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1A602" w14:textId="71C6C638" w:rsidR="004765FE" w:rsidRPr="00563AD3" w:rsidRDefault="00566366" w:rsidP="009B13F3">
      <w:pPr>
        <w:pStyle w:val="Chapterheading"/>
        <w:spacing w:line="360" w:lineRule="auto"/>
        <w:jc w:val="center"/>
      </w:pPr>
      <w:bookmarkStart w:id="0" w:name="_Toc499552387"/>
      <w:bookmarkStart w:id="1" w:name="_Toc508377453"/>
      <w:bookmarkStart w:id="2" w:name="_Toc525543927"/>
      <w:bookmarkStart w:id="3" w:name="_GoBack"/>
      <w:bookmarkEnd w:id="3"/>
      <w:r>
        <w:t>Dementia Care Mapping</w:t>
      </w:r>
      <w:r w:rsidR="00E20D19">
        <w:rPr>
          <w:vertAlign w:val="superscript"/>
        </w:rPr>
        <w:t>TM</w:t>
      </w:r>
      <w:r>
        <w:t xml:space="preserve"> </w:t>
      </w:r>
      <w:r w:rsidR="004765FE" w:rsidRPr="00563AD3">
        <w:t xml:space="preserve">to </w:t>
      </w:r>
      <w:r w:rsidR="002E415C" w:rsidRPr="00563AD3">
        <w:t>reduce agitation in care home residents with dementia</w:t>
      </w:r>
      <w:r w:rsidR="004765FE" w:rsidRPr="00563AD3">
        <w:t xml:space="preserve">: </w:t>
      </w:r>
      <w:r w:rsidR="00D268A5" w:rsidRPr="00563AD3">
        <w:t xml:space="preserve">The </w:t>
      </w:r>
      <w:r w:rsidR="00070560" w:rsidRPr="00563AD3">
        <w:t>DCM™</w:t>
      </w:r>
      <w:r w:rsidR="004765FE" w:rsidRPr="00563AD3">
        <w:t xml:space="preserve"> EPIC </w:t>
      </w:r>
      <w:bookmarkEnd w:id="0"/>
      <w:r w:rsidR="005C2E16" w:rsidRPr="00563AD3">
        <w:t xml:space="preserve">cluster </w:t>
      </w:r>
      <w:bookmarkEnd w:id="1"/>
      <w:r w:rsidR="00903520">
        <w:t>randomised controlled trial</w:t>
      </w:r>
      <w:bookmarkEnd w:id="2"/>
    </w:p>
    <w:p w14:paraId="416A771D" w14:textId="77777777" w:rsidR="004765FE" w:rsidRPr="00563AD3" w:rsidRDefault="004765FE" w:rsidP="009B13F3"/>
    <w:p w14:paraId="336F1A92" w14:textId="614B1AD4" w:rsidR="003B60A1" w:rsidRPr="00563AD3" w:rsidRDefault="009E7481" w:rsidP="009B13F3">
      <w:r>
        <w:t>*</w:t>
      </w:r>
      <w:r w:rsidR="004765FE" w:rsidRPr="00563AD3">
        <w:t>Claire A Surr</w:t>
      </w:r>
      <w:r w:rsidR="004765FE" w:rsidRPr="00563AD3">
        <w:rPr>
          <w:vertAlign w:val="superscript"/>
        </w:rPr>
        <w:t>1</w:t>
      </w:r>
      <w:r w:rsidR="004765FE" w:rsidRPr="00563AD3">
        <w:t>,</w:t>
      </w:r>
      <w:r w:rsidR="004765FE" w:rsidRPr="00563AD3">
        <w:rPr>
          <w:vertAlign w:val="superscript"/>
        </w:rPr>
        <w:t xml:space="preserve"> </w:t>
      </w:r>
      <w:r w:rsidR="006D3EC9" w:rsidRPr="00563AD3">
        <w:t>Ivana Holloway</w:t>
      </w:r>
      <w:r w:rsidR="006D3EC9" w:rsidRPr="00563AD3">
        <w:rPr>
          <w:vertAlign w:val="superscript"/>
        </w:rPr>
        <w:t>2</w:t>
      </w:r>
      <w:r w:rsidR="006D3EC9" w:rsidRPr="00563AD3">
        <w:t xml:space="preserve">, </w:t>
      </w:r>
      <w:r w:rsidR="004765FE" w:rsidRPr="00563AD3">
        <w:t>Rebecca EA Walwyn</w:t>
      </w:r>
      <w:r w:rsidR="004765FE" w:rsidRPr="00563AD3">
        <w:rPr>
          <w:vertAlign w:val="superscript"/>
        </w:rPr>
        <w:t>2</w:t>
      </w:r>
      <w:r w:rsidR="004765FE" w:rsidRPr="00563AD3">
        <w:t xml:space="preserve">, </w:t>
      </w:r>
      <w:r w:rsidR="00180B24" w:rsidRPr="00563AD3">
        <w:rPr>
          <w:rFonts w:eastAsia="Calibri"/>
          <w:color w:val="000000"/>
        </w:rPr>
        <w:t>Alys W Griffiths</w:t>
      </w:r>
      <w:r w:rsidR="00180B24" w:rsidRPr="00563AD3">
        <w:rPr>
          <w:rFonts w:eastAsia="Calibri"/>
          <w:color w:val="000000"/>
          <w:vertAlign w:val="superscript"/>
        </w:rPr>
        <w:t>1</w:t>
      </w:r>
      <w:r w:rsidR="00180B24" w:rsidRPr="00563AD3">
        <w:rPr>
          <w:rFonts w:eastAsia="Calibri"/>
          <w:color w:val="000000"/>
        </w:rPr>
        <w:t>,</w:t>
      </w:r>
      <w:r w:rsidR="00180B24" w:rsidRPr="00563AD3">
        <w:t xml:space="preserve"> David Meads</w:t>
      </w:r>
      <w:r w:rsidR="00180B24" w:rsidRPr="00563AD3">
        <w:rPr>
          <w:vertAlign w:val="superscript"/>
        </w:rPr>
        <w:t>3</w:t>
      </w:r>
      <w:r w:rsidR="00180B24" w:rsidRPr="00563AD3">
        <w:t xml:space="preserve">, </w:t>
      </w:r>
      <w:r w:rsidR="00180B24" w:rsidRPr="00563AD3">
        <w:rPr>
          <w:rFonts w:eastAsia="Calibri"/>
          <w:color w:val="000000"/>
        </w:rPr>
        <w:t>Rachael Kelley</w:t>
      </w:r>
      <w:r w:rsidR="00180B24" w:rsidRPr="00563AD3">
        <w:rPr>
          <w:rFonts w:eastAsia="Calibri"/>
          <w:color w:val="000000"/>
          <w:vertAlign w:val="superscript"/>
        </w:rPr>
        <w:t>1</w:t>
      </w:r>
      <w:r w:rsidR="00180B24" w:rsidRPr="00563AD3">
        <w:rPr>
          <w:rFonts w:eastAsia="Calibri"/>
          <w:color w:val="000000"/>
        </w:rPr>
        <w:t xml:space="preserve">, </w:t>
      </w:r>
      <w:r w:rsidR="006D3EC9" w:rsidRPr="00563AD3">
        <w:t>Adam Martin</w:t>
      </w:r>
      <w:r w:rsidR="006D3EC9" w:rsidRPr="00563AD3">
        <w:rPr>
          <w:vertAlign w:val="superscript"/>
        </w:rPr>
        <w:t>3</w:t>
      </w:r>
      <w:r w:rsidR="006D3EC9" w:rsidRPr="00563AD3">
        <w:t xml:space="preserve">, </w:t>
      </w:r>
      <w:r w:rsidR="00607724" w:rsidRPr="00563AD3">
        <w:rPr>
          <w:rFonts w:eastAsia="Calibri"/>
          <w:color w:val="000000"/>
        </w:rPr>
        <w:t>Vicki McLellan</w:t>
      </w:r>
      <w:r w:rsidR="00607724" w:rsidRPr="00563AD3">
        <w:rPr>
          <w:rFonts w:eastAsia="Calibri"/>
          <w:color w:val="000000"/>
          <w:vertAlign w:val="superscript"/>
        </w:rPr>
        <w:t>2</w:t>
      </w:r>
      <w:r w:rsidR="00607724" w:rsidRPr="00563AD3">
        <w:rPr>
          <w:rFonts w:eastAsia="Calibri"/>
          <w:color w:val="000000"/>
        </w:rPr>
        <w:t xml:space="preserve">, </w:t>
      </w:r>
      <w:r w:rsidR="004765FE" w:rsidRPr="00563AD3">
        <w:t>Clive Ballard</w:t>
      </w:r>
      <w:r w:rsidR="004765FE" w:rsidRPr="00563AD3">
        <w:rPr>
          <w:vertAlign w:val="superscript"/>
        </w:rPr>
        <w:t>4</w:t>
      </w:r>
      <w:r w:rsidR="004765FE" w:rsidRPr="00563AD3">
        <w:t xml:space="preserve">, </w:t>
      </w:r>
      <w:r w:rsidR="006D3EC9" w:rsidRPr="00563AD3">
        <w:t>Jane Fossey</w:t>
      </w:r>
      <w:r w:rsidR="006D3EC9" w:rsidRPr="00563AD3">
        <w:rPr>
          <w:vertAlign w:val="superscript"/>
          <w:lang w:val="da-DK"/>
        </w:rPr>
        <w:t>5</w:t>
      </w:r>
      <w:r w:rsidR="006D3EC9" w:rsidRPr="00563AD3">
        <w:rPr>
          <w:lang w:val="da-DK"/>
        </w:rPr>
        <w:t xml:space="preserve">, </w:t>
      </w:r>
      <w:r w:rsidR="0002108F" w:rsidRPr="00563AD3">
        <w:rPr>
          <w:lang w:val="da-DK"/>
        </w:rPr>
        <w:t>Natasha Burnley</w:t>
      </w:r>
      <w:r w:rsidR="0002108F" w:rsidRPr="00563AD3">
        <w:rPr>
          <w:vertAlign w:val="superscript"/>
          <w:lang w:val="da-DK"/>
        </w:rPr>
        <w:t>1</w:t>
      </w:r>
      <w:r w:rsidR="0002108F" w:rsidRPr="00563AD3">
        <w:rPr>
          <w:lang w:val="da-DK"/>
        </w:rPr>
        <w:t xml:space="preserve">, </w:t>
      </w:r>
      <w:r w:rsidR="004765FE" w:rsidRPr="00563AD3">
        <w:rPr>
          <w:rFonts w:eastAsia="Calibri"/>
          <w:color w:val="000000"/>
        </w:rPr>
        <w:t>Lynn Chenoweth</w:t>
      </w:r>
      <w:r w:rsidR="004765FE" w:rsidRPr="00563AD3">
        <w:rPr>
          <w:vertAlign w:val="superscript"/>
        </w:rPr>
        <w:t>7</w:t>
      </w:r>
      <w:r w:rsidR="004765FE" w:rsidRPr="00563AD3">
        <w:t>,</w:t>
      </w:r>
      <w:r w:rsidR="004765FE" w:rsidRPr="00563AD3">
        <w:rPr>
          <w:rFonts w:eastAsia="Calibri"/>
          <w:color w:val="000000"/>
        </w:rPr>
        <w:t xml:space="preserve"> </w:t>
      </w:r>
      <w:r w:rsidR="003139E3" w:rsidRPr="00563AD3">
        <w:t>Byron Creese</w:t>
      </w:r>
      <w:r w:rsidR="003139E3" w:rsidRPr="00563AD3">
        <w:rPr>
          <w:vertAlign w:val="superscript"/>
        </w:rPr>
        <w:t>4</w:t>
      </w:r>
      <w:r w:rsidR="003139E3" w:rsidRPr="00563AD3">
        <w:t xml:space="preserve">, </w:t>
      </w:r>
      <w:r w:rsidR="004765FE" w:rsidRPr="00563AD3">
        <w:rPr>
          <w:rFonts w:eastAsia="Calibri"/>
          <w:color w:val="000000"/>
        </w:rPr>
        <w:t>Murna Downs</w:t>
      </w:r>
      <w:r w:rsidR="004765FE" w:rsidRPr="00563AD3">
        <w:rPr>
          <w:vertAlign w:val="superscript"/>
        </w:rPr>
        <w:t>6</w:t>
      </w:r>
      <w:r w:rsidR="004765FE" w:rsidRPr="00563AD3">
        <w:t>,</w:t>
      </w:r>
      <w:r w:rsidR="004765FE" w:rsidRPr="00563AD3">
        <w:rPr>
          <w:rFonts w:eastAsia="Calibri"/>
          <w:color w:val="000000"/>
        </w:rPr>
        <w:t xml:space="preserve"> Lucy Garrod</w:t>
      </w:r>
      <w:r w:rsidR="004765FE" w:rsidRPr="00563AD3">
        <w:rPr>
          <w:rFonts w:eastAsia="Calibri"/>
          <w:color w:val="000000"/>
          <w:vertAlign w:val="superscript"/>
        </w:rPr>
        <w:t>5</w:t>
      </w:r>
      <w:r w:rsidR="004765FE" w:rsidRPr="00563AD3">
        <w:rPr>
          <w:rFonts w:eastAsia="Calibri"/>
          <w:color w:val="000000"/>
        </w:rPr>
        <w:t xml:space="preserve">, </w:t>
      </w:r>
      <w:r w:rsidR="004765FE" w:rsidRPr="00563AD3">
        <w:t>Elizabeth H Graham</w:t>
      </w:r>
      <w:r w:rsidR="003139E3" w:rsidRPr="00563AD3">
        <w:rPr>
          <w:vertAlign w:val="superscript"/>
        </w:rPr>
        <w:t>11</w:t>
      </w:r>
      <w:r w:rsidR="004765FE" w:rsidRPr="00563AD3">
        <w:t xml:space="preserve"> </w:t>
      </w:r>
      <w:r w:rsidR="001927C1" w:rsidRPr="00563AD3">
        <w:rPr>
          <w:rFonts w:eastAsia="Calibri"/>
          <w:color w:val="000000"/>
        </w:rPr>
        <w:t>Amanda Lilley-Kelley</w:t>
      </w:r>
      <w:r w:rsidR="00E62920" w:rsidRPr="00563AD3">
        <w:rPr>
          <w:rFonts w:eastAsia="Calibri"/>
          <w:color w:val="000000"/>
          <w:vertAlign w:val="superscript"/>
        </w:rPr>
        <w:t>2</w:t>
      </w:r>
      <w:r w:rsidR="001927C1" w:rsidRPr="00563AD3">
        <w:rPr>
          <w:rFonts w:eastAsia="Calibri"/>
          <w:color w:val="000000"/>
        </w:rPr>
        <w:t xml:space="preserve">, </w:t>
      </w:r>
      <w:r w:rsidR="0002108F" w:rsidRPr="00563AD3">
        <w:rPr>
          <w:rFonts w:eastAsia="Calibri"/>
          <w:color w:val="000000"/>
        </w:rPr>
        <w:t>Joanne McDermid</w:t>
      </w:r>
      <w:r w:rsidR="008A5202" w:rsidRPr="00563AD3">
        <w:rPr>
          <w:rFonts w:eastAsia="Calibri"/>
          <w:color w:val="000000"/>
          <w:vertAlign w:val="superscript"/>
        </w:rPr>
        <w:t>12</w:t>
      </w:r>
      <w:r w:rsidR="0002108F" w:rsidRPr="00563AD3">
        <w:rPr>
          <w:rFonts w:eastAsia="Calibri"/>
          <w:color w:val="000000"/>
        </w:rPr>
        <w:t>, Holly Millard</w:t>
      </w:r>
      <w:r w:rsidR="0002108F" w:rsidRPr="00563AD3">
        <w:rPr>
          <w:rFonts w:eastAsia="Calibri"/>
          <w:color w:val="000000"/>
          <w:vertAlign w:val="superscript"/>
        </w:rPr>
        <w:t>5</w:t>
      </w:r>
      <w:r w:rsidR="0002108F" w:rsidRPr="00563AD3">
        <w:rPr>
          <w:rFonts w:eastAsia="Calibri"/>
          <w:color w:val="000000"/>
        </w:rPr>
        <w:t xml:space="preserve">, </w:t>
      </w:r>
      <w:r w:rsidR="00797416" w:rsidRPr="00563AD3">
        <w:rPr>
          <w:rFonts w:eastAsia="Calibri"/>
          <w:color w:val="000000"/>
        </w:rPr>
        <w:t>Devon Perfect</w:t>
      </w:r>
      <w:r w:rsidR="00797416" w:rsidRPr="00563AD3">
        <w:rPr>
          <w:rFonts w:eastAsia="Calibri"/>
          <w:color w:val="000000"/>
          <w:vertAlign w:val="superscript"/>
        </w:rPr>
        <w:t>5</w:t>
      </w:r>
      <w:r w:rsidR="00797416" w:rsidRPr="00563AD3">
        <w:rPr>
          <w:rFonts w:eastAsia="Calibri"/>
          <w:color w:val="000000"/>
        </w:rPr>
        <w:t xml:space="preserve">, </w:t>
      </w:r>
      <w:r w:rsidR="004765FE" w:rsidRPr="00563AD3">
        <w:rPr>
          <w:rFonts w:eastAsia="Calibri"/>
          <w:color w:val="000000"/>
        </w:rPr>
        <w:t>Louise Robinson</w:t>
      </w:r>
      <w:r w:rsidR="004765FE" w:rsidRPr="00563AD3">
        <w:rPr>
          <w:rFonts w:eastAsia="Calibri"/>
          <w:color w:val="000000"/>
          <w:vertAlign w:val="superscript"/>
        </w:rPr>
        <w:t>9</w:t>
      </w:r>
      <w:r w:rsidR="004765FE" w:rsidRPr="00563AD3">
        <w:rPr>
          <w:rFonts w:eastAsia="Calibri"/>
          <w:color w:val="000000"/>
        </w:rPr>
        <w:t xml:space="preserve">, </w:t>
      </w:r>
      <w:r w:rsidR="006878BA" w:rsidRPr="00563AD3">
        <w:rPr>
          <w:rFonts w:eastAsia="Calibri"/>
          <w:color w:val="000000"/>
        </w:rPr>
        <w:t>Olivia Robinson</w:t>
      </w:r>
      <w:r w:rsidR="006878BA" w:rsidRPr="00563AD3">
        <w:rPr>
          <w:rFonts w:eastAsia="Calibri"/>
          <w:color w:val="000000"/>
          <w:vertAlign w:val="superscript"/>
        </w:rPr>
        <w:t>1</w:t>
      </w:r>
      <w:r w:rsidR="006878BA" w:rsidRPr="00563AD3">
        <w:rPr>
          <w:rFonts w:eastAsia="Calibri"/>
          <w:color w:val="000000"/>
        </w:rPr>
        <w:t xml:space="preserve">, </w:t>
      </w:r>
      <w:r w:rsidR="0002108F" w:rsidRPr="00563AD3">
        <w:rPr>
          <w:rFonts w:eastAsia="Calibri"/>
          <w:color w:val="000000"/>
        </w:rPr>
        <w:t>Emily Shoesmith</w:t>
      </w:r>
      <w:r w:rsidR="0002108F" w:rsidRPr="00563AD3">
        <w:rPr>
          <w:rFonts w:eastAsia="Calibri"/>
          <w:color w:val="000000"/>
          <w:vertAlign w:val="superscript"/>
        </w:rPr>
        <w:t>1</w:t>
      </w:r>
      <w:r w:rsidR="0002108F" w:rsidRPr="00563AD3">
        <w:rPr>
          <w:rFonts w:eastAsia="Calibri"/>
          <w:color w:val="000000"/>
        </w:rPr>
        <w:t xml:space="preserve">, </w:t>
      </w:r>
      <w:r w:rsidR="00797416" w:rsidRPr="00563AD3">
        <w:rPr>
          <w:rFonts w:eastAsia="Calibri"/>
          <w:color w:val="000000"/>
        </w:rPr>
        <w:t>Najma Siddiqi</w:t>
      </w:r>
      <w:r w:rsidR="00797416" w:rsidRPr="00563AD3">
        <w:rPr>
          <w:rFonts w:eastAsia="Calibri"/>
          <w:color w:val="000000"/>
          <w:vertAlign w:val="superscript"/>
        </w:rPr>
        <w:t>8</w:t>
      </w:r>
      <w:r w:rsidR="00797416" w:rsidRPr="00563AD3">
        <w:t xml:space="preserve">, </w:t>
      </w:r>
      <w:r w:rsidR="004765FE" w:rsidRPr="00563AD3">
        <w:rPr>
          <w:rFonts w:eastAsia="Calibri"/>
          <w:color w:val="000000"/>
        </w:rPr>
        <w:t>Graham Stokes</w:t>
      </w:r>
      <w:r w:rsidR="004765FE" w:rsidRPr="00563AD3">
        <w:rPr>
          <w:rFonts w:eastAsia="Calibri"/>
          <w:color w:val="000000"/>
          <w:vertAlign w:val="superscript"/>
        </w:rPr>
        <w:t>10</w:t>
      </w:r>
      <w:r w:rsidR="006D3EC9" w:rsidRPr="00563AD3">
        <w:t>,</w:t>
      </w:r>
      <w:r w:rsidR="00AD61AB" w:rsidRPr="00563AD3">
        <w:t xml:space="preserve"> </w:t>
      </w:r>
      <w:r w:rsidR="004765FE" w:rsidRPr="00563AD3">
        <w:rPr>
          <w:rFonts w:eastAsia="Calibri"/>
          <w:color w:val="000000"/>
        </w:rPr>
        <w:t>Daphne Wallace</w:t>
      </w:r>
      <w:r w:rsidR="004765FE" w:rsidRPr="00563AD3">
        <w:rPr>
          <w:vertAlign w:val="superscript"/>
        </w:rPr>
        <w:t>6</w:t>
      </w:r>
      <w:r w:rsidR="006D3EC9" w:rsidRPr="00563AD3">
        <w:t xml:space="preserve"> and Amanda J Farrin</w:t>
      </w:r>
      <w:r w:rsidR="006D3EC9" w:rsidRPr="00563AD3">
        <w:rPr>
          <w:vertAlign w:val="superscript"/>
        </w:rPr>
        <w:t>2</w:t>
      </w:r>
    </w:p>
    <w:p w14:paraId="7FCE06EC" w14:textId="326F505E" w:rsidR="008149D5" w:rsidRPr="00563AD3" w:rsidRDefault="008149D5" w:rsidP="009B13F3">
      <w:pPr>
        <w:rPr>
          <w:vertAlign w:val="superscript"/>
        </w:rPr>
      </w:pPr>
      <w:r w:rsidRPr="00563AD3">
        <w:rPr>
          <w:rFonts w:eastAsia="Calibri"/>
          <w:vertAlign w:val="superscript"/>
        </w:rPr>
        <w:t xml:space="preserve">1 </w:t>
      </w:r>
      <w:r w:rsidR="006878BA" w:rsidRPr="00563AD3">
        <w:rPr>
          <w:rFonts w:eastAsia="Calibri"/>
        </w:rPr>
        <w:t>Centre for Dementia Research</w:t>
      </w:r>
      <w:r w:rsidRPr="00563AD3">
        <w:rPr>
          <w:rFonts w:eastAsia="Calibri"/>
        </w:rPr>
        <w:t>,</w:t>
      </w:r>
      <w:r w:rsidR="006878BA" w:rsidRPr="00563AD3">
        <w:rPr>
          <w:rFonts w:eastAsia="Calibri"/>
        </w:rPr>
        <w:t xml:space="preserve"> School of Health and Community Studies,</w:t>
      </w:r>
      <w:r w:rsidRPr="00563AD3">
        <w:rPr>
          <w:rFonts w:eastAsia="Calibri"/>
        </w:rPr>
        <w:t xml:space="preserve"> Leeds Beckett University, Leeds, UK</w:t>
      </w:r>
    </w:p>
    <w:p w14:paraId="1DEC8C77" w14:textId="772784AF" w:rsidR="008149D5" w:rsidRPr="00563AD3" w:rsidRDefault="008149D5" w:rsidP="009B13F3">
      <w:r w:rsidRPr="00563AD3">
        <w:rPr>
          <w:vertAlign w:val="superscript"/>
        </w:rPr>
        <w:t>2</w:t>
      </w:r>
      <w:r w:rsidRPr="00563AD3">
        <w:t xml:space="preserve"> Clinical Trials Research</w:t>
      </w:r>
      <w:r w:rsidR="00B11D96" w:rsidRPr="00563AD3">
        <w:t xml:space="preserve"> Unit</w:t>
      </w:r>
      <w:r w:rsidRPr="00563AD3">
        <w:t>, University of Leeds, UK</w:t>
      </w:r>
    </w:p>
    <w:p w14:paraId="16D5671B" w14:textId="77777777" w:rsidR="008149D5" w:rsidRPr="00563AD3" w:rsidRDefault="008149D5" w:rsidP="009B13F3">
      <w:r w:rsidRPr="00563AD3">
        <w:rPr>
          <w:vertAlign w:val="superscript"/>
        </w:rPr>
        <w:t xml:space="preserve">3 </w:t>
      </w:r>
      <w:r w:rsidRPr="00563AD3">
        <w:t>Leeds Institute of Health Sciences, University of Leeds, UK</w:t>
      </w:r>
    </w:p>
    <w:p w14:paraId="13E1414A" w14:textId="68F4BD03" w:rsidR="008149D5" w:rsidRPr="00563AD3" w:rsidRDefault="008149D5" w:rsidP="009B13F3">
      <w:pPr>
        <w:rPr>
          <w:rFonts w:eastAsia="Calibri"/>
        </w:rPr>
      </w:pPr>
      <w:r w:rsidRPr="00563AD3">
        <w:rPr>
          <w:vertAlign w:val="superscript"/>
        </w:rPr>
        <w:t xml:space="preserve">4 </w:t>
      </w:r>
      <w:r w:rsidR="008A5202" w:rsidRPr="00563AD3">
        <w:t>University of Exeter Medical School, Exeter, UK</w:t>
      </w:r>
    </w:p>
    <w:p w14:paraId="43927C7D" w14:textId="77777777" w:rsidR="008149D5" w:rsidRPr="00563AD3" w:rsidRDefault="008149D5" w:rsidP="009B13F3">
      <w:pPr>
        <w:rPr>
          <w:rFonts w:eastAsia="Calibri"/>
          <w:color w:val="000000"/>
        </w:rPr>
      </w:pPr>
      <w:r w:rsidRPr="00563AD3">
        <w:rPr>
          <w:vertAlign w:val="superscript"/>
        </w:rPr>
        <w:t xml:space="preserve">5 </w:t>
      </w:r>
      <w:r w:rsidRPr="00563AD3">
        <w:rPr>
          <w:rFonts w:eastAsia="Calibri"/>
          <w:color w:val="000000"/>
        </w:rPr>
        <w:t xml:space="preserve">Psychological Services, </w:t>
      </w:r>
      <w:r w:rsidRPr="00563AD3">
        <w:t>Oxford Health NHS Foundation Trust</w:t>
      </w:r>
      <w:r w:rsidRPr="00563AD3">
        <w:rPr>
          <w:rFonts w:eastAsia="Calibri"/>
          <w:color w:val="000000"/>
        </w:rPr>
        <w:t xml:space="preserve">, UK </w:t>
      </w:r>
    </w:p>
    <w:p w14:paraId="65BEA19F" w14:textId="4358BB5F" w:rsidR="008149D5" w:rsidRPr="00563AD3" w:rsidRDefault="008149D5" w:rsidP="009B13F3">
      <w:pPr>
        <w:rPr>
          <w:vertAlign w:val="superscript"/>
        </w:rPr>
      </w:pPr>
      <w:r w:rsidRPr="00563AD3">
        <w:rPr>
          <w:vertAlign w:val="superscript"/>
        </w:rPr>
        <w:t xml:space="preserve">6 </w:t>
      </w:r>
      <w:r w:rsidR="007943C4" w:rsidRPr="00563AD3">
        <w:rPr>
          <w:rFonts w:eastAsia="Calibri"/>
        </w:rPr>
        <w:t>Centre for Applied</w:t>
      </w:r>
      <w:r w:rsidRPr="00563AD3">
        <w:rPr>
          <w:rFonts w:eastAsia="Calibri"/>
        </w:rPr>
        <w:t xml:space="preserve"> Dementia Studies, University of Bradford, UK</w:t>
      </w:r>
    </w:p>
    <w:p w14:paraId="5D4B4546" w14:textId="0C0CAAAB" w:rsidR="008149D5" w:rsidRPr="00563AD3" w:rsidRDefault="008149D5" w:rsidP="009B13F3">
      <w:pPr>
        <w:rPr>
          <w:rFonts w:eastAsia="Calibri"/>
        </w:rPr>
      </w:pPr>
      <w:r w:rsidRPr="00563AD3">
        <w:rPr>
          <w:vertAlign w:val="superscript"/>
        </w:rPr>
        <w:t xml:space="preserve">7 </w:t>
      </w:r>
      <w:r w:rsidRPr="00563AD3">
        <w:rPr>
          <w:rFonts w:eastAsia="Calibri"/>
        </w:rPr>
        <w:t>University of New South Wales, Sydney, Australia</w:t>
      </w:r>
    </w:p>
    <w:p w14:paraId="2BAD7994" w14:textId="77777777" w:rsidR="008149D5" w:rsidRPr="00563AD3" w:rsidRDefault="008149D5" w:rsidP="009B13F3">
      <w:pPr>
        <w:rPr>
          <w:rFonts w:eastAsia="Calibri"/>
        </w:rPr>
      </w:pPr>
      <w:r w:rsidRPr="00563AD3">
        <w:rPr>
          <w:rFonts w:eastAsia="Calibri"/>
          <w:vertAlign w:val="superscript"/>
        </w:rPr>
        <w:t>8</w:t>
      </w:r>
      <w:r w:rsidRPr="00563AD3">
        <w:rPr>
          <w:rFonts w:eastAsia="Calibri"/>
        </w:rPr>
        <w:t xml:space="preserve"> Department of Health Sciences, HYMS, University of York &amp; Bradford District Care Foundation Trust</w:t>
      </w:r>
    </w:p>
    <w:p w14:paraId="391DF2DD" w14:textId="77777777" w:rsidR="008149D5" w:rsidRPr="00563AD3" w:rsidRDefault="008149D5" w:rsidP="009B13F3">
      <w:pPr>
        <w:rPr>
          <w:rFonts w:eastAsia="Calibri"/>
        </w:rPr>
      </w:pPr>
      <w:r w:rsidRPr="00563AD3">
        <w:rPr>
          <w:vertAlign w:val="superscript"/>
        </w:rPr>
        <w:t xml:space="preserve">9 </w:t>
      </w:r>
      <w:r w:rsidRPr="00563AD3">
        <w:rPr>
          <w:rFonts w:eastAsia="Calibri"/>
        </w:rPr>
        <w:t xml:space="preserve">Institute for Aging and Health, University of Newcastle, UK </w:t>
      </w:r>
    </w:p>
    <w:p w14:paraId="4CFAE8CB" w14:textId="2CE22B85" w:rsidR="008149D5" w:rsidRPr="00563AD3" w:rsidRDefault="008149D5" w:rsidP="009B13F3">
      <w:pPr>
        <w:rPr>
          <w:rFonts w:eastAsia="Calibri"/>
        </w:rPr>
      </w:pPr>
      <w:r w:rsidRPr="00563AD3">
        <w:rPr>
          <w:vertAlign w:val="superscript"/>
        </w:rPr>
        <w:t xml:space="preserve">10 </w:t>
      </w:r>
      <w:r w:rsidR="00505CA0" w:rsidRPr="00563AD3">
        <w:rPr>
          <w:rFonts w:eastAsia="Calibri"/>
        </w:rPr>
        <w:t>HC-One</w:t>
      </w:r>
      <w:r w:rsidRPr="00563AD3">
        <w:rPr>
          <w:rFonts w:eastAsia="Calibri"/>
        </w:rPr>
        <w:t xml:space="preserve">, </w:t>
      </w:r>
      <w:r w:rsidR="00505CA0" w:rsidRPr="00563AD3">
        <w:rPr>
          <w:rFonts w:eastAsia="Calibri"/>
        </w:rPr>
        <w:t>Darlington</w:t>
      </w:r>
      <w:r w:rsidRPr="00563AD3">
        <w:rPr>
          <w:rFonts w:eastAsia="Calibri"/>
        </w:rPr>
        <w:t xml:space="preserve">, UK </w:t>
      </w:r>
    </w:p>
    <w:p w14:paraId="7FF56E52" w14:textId="44300800" w:rsidR="003139E3" w:rsidRPr="00563AD3" w:rsidRDefault="003139E3" w:rsidP="009B13F3">
      <w:pPr>
        <w:rPr>
          <w:rFonts w:eastAsia="Calibri"/>
        </w:rPr>
      </w:pPr>
      <w:r w:rsidRPr="00563AD3">
        <w:rPr>
          <w:rFonts w:eastAsia="Calibri"/>
          <w:vertAlign w:val="superscript"/>
        </w:rPr>
        <w:t>11</w:t>
      </w:r>
      <w:r w:rsidR="00440D2E" w:rsidRPr="00563AD3">
        <w:rPr>
          <w:rFonts w:eastAsia="Calibri"/>
        </w:rPr>
        <w:t>Academic Unit of Elderly care and Rehabilitation</w:t>
      </w:r>
      <w:r w:rsidR="00937239" w:rsidRPr="00563AD3">
        <w:rPr>
          <w:rFonts w:eastAsia="Calibri"/>
        </w:rPr>
        <w:t>, Bradford T</w:t>
      </w:r>
      <w:r w:rsidRPr="00563AD3">
        <w:rPr>
          <w:rFonts w:eastAsia="Calibri"/>
        </w:rPr>
        <w:t xml:space="preserve">eaching Hospitals NHS Foundation Trust, </w:t>
      </w:r>
      <w:r w:rsidR="00440D2E" w:rsidRPr="00563AD3">
        <w:rPr>
          <w:rFonts w:eastAsia="Calibri"/>
        </w:rPr>
        <w:t xml:space="preserve">Bradford, </w:t>
      </w:r>
      <w:r w:rsidRPr="00563AD3">
        <w:rPr>
          <w:rFonts w:eastAsia="Calibri"/>
        </w:rPr>
        <w:t>UK</w:t>
      </w:r>
    </w:p>
    <w:p w14:paraId="793CDF27" w14:textId="57030F70" w:rsidR="008A5202" w:rsidRPr="00563AD3" w:rsidRDefault="008A5202" w:rsidP="009B13F3">
      <w:pPr>
        <w:rPr>
          <w:rFonts w:eastAsia="Calibri"/>
        </w:rPr>
      </w:pPr>
      <w:r w:rsidRPr="00563AD3">
        <w:rPr>
          <w:rFonts w:eastAsia="Calibri"/>
          <w:vertAlign w:val="superscript"/>
        </w:rPr>
        <w:t>12</w:t>
      </w:r>
      <w:r w:rsidRPr="00563AD3">
        <w:rPr>
          <w:rFonts w:eastAsia="Calibri"/>
        </w:rPr>
        <w:t xml:space="preserve"> Wolfson Centre for Age Related Diseases, Kings College London, UK</w:t>
      </w:r>
    </w:p>
    <w:p w14:paraId="408A624C" w14:textId="5E22885F" w:rsidR="006C61EC" w:rsidRDefault="006C61EC" w:rsidP="006C61EC">
      <w:r w:rsidRPr="00767428">
        <w:rPr>
          <w:b/>
        </w:rPr>
        <w:t xml:space="preserve">Keywords: </w:t>
      </w:r>
      <w:r w:rsidRPr="0054007C">
        <w:t xml:space="preserve">Alzheimer disease, </w:t>
      </w:r>
      <w:r w:rsidR="009E7481">
        <w:t xml:space="preserve">Agitation, </w:t>
      </w:r>
      <w:r w:rsidRPr="0054007C">
        <w:t xml:space="preserve">Cost-benefit analysis, </w:t>
      </w:r>
      <w:r w:rsidR="009E7481">
        <w:t>D</w:t>
      </w:r>
      <w:r w:rsidR="009E7481" w:rsidRPr="0054007C">
        <w:t>ementia</w:t>
      </w:r>
      <w:r w:rsidRPr="0054007C">
        <w:t>,</w:t>
      </w:r>
      <w:r>
        <w:rPr>
          <w:b/>
        </w:rPr>
        <w:t xml:space="preserve"> </w:t>
      </w:r>
      <w:r w:rsidRPr="0054007C">
        <w:t>Economics (medical), Outcome Assessment (Healthcare), Follow-up studies</w:t>
      </w:r>
    </w:p>
    <w:p w14:paraId="2A47B219" w14:textId="77777777" w:rsidR="00A97BB1" w:rsidRDefault="00A97BB1" w:rsidP="00A97BB1">
      <w:pPr>
        <w:rPr>
          <w:b/>
        </w:rPr>
      </w:pPr>
      <w:r>
        <w:rPr>
          <w:b/>
        </w:rPr>
        <w:t>Conflict of interest</w:t>
      </w:r>
    </w:p>
    <w:p w14:paraId="1B884399" w14:textId="77777777" w:rsidR="00A97BB1" w:rsidRDefault="00A97BB1" w:rsidP="00A97BB1">
      <w:r w:rsidRPr="00475926">
        <w:lastRenderedPageBreak/>
        <w:t>Surr was previously employed by the University of Bradford, who own the IP to the DCM</w:t>
      </w:r>
      <w:r w:rsidRPr="00475926">
        <w:rPr>
          <w:vertAlign w:val="superscript"/>
        </w:rPr>
        <w:t>TM</w:t>
      </w:r>
      <w:r w:rsidRPr="00475926">
        <w:t xml:space="preserve"> intervention tested in this trial. In this role she held responsibility for DCM training and method development. She was a technical author on the British Standards Institute PAS 800 guide on implementing DCM</w:t>
      </w:r>
      <w:r w:rsidRPr="00475926">
        <w:rPr>
          <w:vertAlign w:val="superscript"/>
        </w:rPr>
        <w:t>TM</w:t>
      </w:r>
      <w:r w:rsidRPr="00475926">
        <w:t xml:space="preserve"> in health and social care provider organizations.</w:t>
      </w:r>
      <w:r>
        <w:t xml:space="preserve"> She declares personal fees from Hawker publications outside the submitted work.</w:t>
      </w:r>
    </w:p>
    <w:p w14:paraId="5596083E" w14:textId="77777777" w:rsidR="00A97BB1" w:rsidRDefault="00A97BB1" w:rsidP="00A97BB1">
      <w:r w:rsidRPr="009D00A8">
        <w:t xml:space="preserve">Ballard reports grants and personal fees from Acadia pharmaceutical company, grants and personal fees from Lundbeck, personal fees from Roche, personal fees from Otusaka, personal fees from Novartis, personal fees from Eli Lilly, personal fees from Pfizer, </w:t>
      </w:r>
      <w:r>
        <w:t>outside the submitted work</w:t>
      </w:r>
      <w:r w:rsidRPr="009D00A8">
        <w:t>.</w:t>
      </w:r>
    </w:p>
    <w:p w14:paraId="77C70D2F" w14:textId="77777777" w:rsidR="00A97BB1" w:rsidRDefault="00A97BB1" w:rsidP="00A97BB1">
      <w:pPr>
        <w:rPr>
          <w:rFonts w:eastAsiaTheme="minorHAnsi"/>
          <w:lang w:eastAsia="en-US"/>
        </w:rPr>
      </w:pPr>
      <w:r>
        <w:rPr>
          <w:rFonts w:eastAsiaTheme="minorHAnsi"/>
          <w:lang w:eastAsia="en-US"/>
        </w:rPr>
        <w:t>Downs works at the University of Bradford which holds the IP for DCM</w:t>
      </w:r>
      <w:r w:rsidRPr="003E3451">
        <w:rPr>
          <w:rFonts w:eastAsiaTheme="minorHAnsi"/>
          <w:vertAlign w:val="superscript"/>
          <w:lang w:eastAsia="en-US"/>
        </w:rPr>
        <w:t>TM</w:t>
      </w:r>
      <w:r>
        <w:rPr>
          <w:rFonts w:eastAsiaTheme="minorHAnsi"/>
          <w:lang w:eastAsia="en-US"/>
        </w:rPr>
        <w:t xml:space="preserve"> and runs courses for practitioners and professionals who wish to learn how to use the method.</w:t>
      </w:r>
    </w:p>
    <w:p w14:paraId="2A51BC09" w14:textId="77777777" w:rsidR="00A97BB1" w:rsidRDefault="00A97BB1" w:rsidP="00A97BB1">
      <w:pPr>
        <w:rPr>
          <w:rFonts w:eastAsiaTheme="minorHAnsi"/>
          <w:lang w:eastAsia="en-US"/>
        </w:rPr>
      </w:pPr>
      <w:r>
        <w:rPr>
          <w:rFonts w:eastAsiaTheme="minorHAnsi"/>
          <w:lang w:eastAsia="en-US"/>
        </w:rPr>
        <w:t>Meads was a member of the EESC methods panel</w:t>
      </w:r>
    </w:p>
    <w:p w14:paraId="1CA777C5" w14:textId="77777777" w:rsidR="00A97BB1" w:rsidRDefault="00A97BB1" w:rsidP="00A97BB1">
      <w:pPr>
        <w:rPr>
          <w:rFonts w:eastAsiaTheme="minorHAnsi"/>
          <w:lang w:eastAsia="en-US"/>
        </w:rPr>
      </w:pPr>
      <w:r>
        <w:rPr>
          <w:rFonts w:eastAsiaTheme="minorHAnsi"/>
          <w:lang w:eastAsia="en-US"/>
        </w:rPr>
        <w:t>L Robinson was a member of the NIHR Primary Care Themed Call Board</w:t>
      </w:r>
    </w:p>
    <w:p w14:paraId="5FAA7384" w14:textId="77777777" w:rsidR="00A97BB1" w:rsidRDefault="00A97BB1" w:rsidP="00A97BB1">
      <w:r>
        <w:rPr>
          <w:rFonts w:eastAsiaTheme="minorHAnsi"/>
          <w:lang w:eastAsia="en-US"/>
        </w:rPr>
        <w:t>All other authors have no conflicts to declare.</w:t>
      </w:r>
    </w:p>
    <w:p w14:paraId="291E7C93" w14:textId="77777777" w:rsidR="00A97BB1" w:rsidRPr="00563AD3" w:rsidRDefault="00A97BB1" w:rsidP="00A97BB1">
      <w:r w:rsidRPr="00563AD3">
        <w:t xml:space="preserve">Correspondence to: Professor Claire Surr, School of Health and Community Studies, Leeds Beckett University, Leeds, LS1 3HE, UK. Tel: 0113 8124316; Email: </w:t>
      </w:r>
      <w:hyperlink r:id="rId8" w:history="1">
        <w:r w:rsidRPr="00081ED4">
          <w:rPr>
            <w:rStyle w:val="Hyperlink"/>
          </w:rPr>
          <w:t>c.a.surr@leedsbeckett.ac.uk</w:t>
        </w:r>
      </w:hyperlink>
      <w:r w:rsidRPr="00563AD3">
        <w:t xml:space="preserve"> </w:t>
      </w:r>
    </w:p>
    <w:p w14:paraId="119DE347" w14:textId="77777777" w:rsidR="00A97BB1" w:rsidRDefault="00A97BB1" w:rsidP="00A97BB1">
      <w:r w:rsidRPr="00563AD3">
        <w:t xml:space="preserve">Web-site: </w:t>
      </w:r>
      <w:hyperlink r:id="rId9" w:history="1">
        <w:r w:rsidRPr="00563AD3">
          <w:rPr>
            <w:rStyle w:val="Hyperlink"/>
          </w:rPr>
          <w:t>http://www.leedsbeckett.ac.uk/pages/epic-trial/</w:t>
        </w:r>
      </w:hyperlink>
      <w:r w:rsidRPr="00563AD3">
        <w:t xml:space="preserve">   </w:t>
      </w:r>
    </w:p>
    <w:p w14:paraId="43ECA7CD" w14:textId="77777777" w:rsidR="00A97BB1" w:rsidRDefault="00A97BB1" w:rsidP="006C61EC">
      <w:pPr>
        <w:rPr>
          <w:b/>
        </w:rPr>
      </w:pPr>
    </w:p>
    <w:p w14:paraId="699983DD" w14:textId="77777777" w:rsidR="006C61EC" w:rsidRDefault="006C61EC" w:rsidP="009B13F3">
      <w:pPr>
        <w:rPr>
          <w:b/>
        </w:rPr>
      </w:pPr>
    </w:p>
    <w:p w14:paraId="316F8696" w14:textId="77777777" w:rsidR="006C61EC" w:rsidRDefault="006C61EC" w:rsidP="009B13F3">
      <w:pPr>
        <w:rPr>
          <w:b/>
        </w:rPr>
      </w:pPr>
    </w:p>
    <w:p w14:paraId="49CFE9A7" w14:textId="77777777" w:rsidR="00A97BB1" w:rsidRDefault="00A97BB1" w:rsidP="00730E8B"/>
    <w:p w14:paraId="60462AD4" w14:textId="77777777" w:rsidR="00A97BB1" w:rsidRDefault="00A97BB1" w:rsidP="00A97BB1">
      <w:pPr>
        <w:rPr>
          <w:rFonts w:eastAsia="Times New Roman"/>
          <w:color w:val="333333"/>
          <w:sz w:val="28"/>
          <w:szCs w:val="28"/>
        </w:rPr>
      </w:pPr>
      <w:r>
        <w:br w:type="page"/>
      </w:r>
    </w:p>
    <w:p w14:paraId="758FDF15" w14:textId="48437E04" w:rsidR="00A97BB1" w:rsidRPr="00563AD3" w:rsidRDefault="00A97BB1" w:rsidP="00A97BB1">
      <w:pPr>
        <w:pStyle w:val="Heading1"/>
        <w:spacing w:line="360" w:lineRule="auto"/>
      </w:pPr>
      <w:bookmarkStart w:id="4" w:name="_Toc525543928"/>
      <w:r w:rsidRPr="00563AD3">
        <w:lastRenderedPageBreak/>
        <w:t>Abstract</w:t>
      </w:r>
      <w:bookmarkEnd w:id="4"/>
    </w:p>
    <w:p w14:paraId="2B6E1773" w14:textId="77777777" w:rsidR="00A97BB1" w:rsidRDefault="00A97BB1" w:rsidP="00A97BB1">
      <w:pPr>
        <w:rPr>
          <w:b/>
        </w:rPr>
      </w:pPr>
      <w:r>
        <w:rPr>
          <w:b/>
        </w:rPr>
        <w:t xml:space="preserve">Background: </w:t>
      </w:r>
      <w:r>
        <w:t xml:space="preserve">Quality of care for people with dementia in care homes is of concern. Interventions that can improve care outcomes are required. </w:t>
      </w:r>
    </w:p>
    <w:p w14:paraId="39866321" w14:textId="17F2E642" w:rsidR="00A97BB1" w:rsidRPr="00563AD3" w:rsidRDefault="00A97BB1" w:rsidP="00A97BB1">
      <w:pPr>
        <w:rPr>
          <w:b/>
        </w:rPr>
      </w:pPr>
      <w:r w:rsidRPr="00563AD3">
        <w:rPr>
          <w:b/>
        </w:rPr>
        <w:t xml:space="preserve">Objective: </w:t>
      </w:r>
      <w:r w:rsidRPr="00563AD3">
        <w:t>To investigate the clinical and cost-effectiveness of Dementia Care Mapping</w:t>
      </w:r>
      <w:r w:rsidR="00E20D19">
        <w:rPr>
          <w:vertAlign w:val="superscript"/>
        </w:rPr>
        <w:t>TM</w:t>
      </w:r>
      <w:r w:rsidRPr="00563AD3">
        <w:t xml:space="preserve"> (DCM™) for reducing agitation, and </w:t>
      </w:r>
      <w:r>
        <w:t xml:space="preserve">improving </w:t>
      </w:r>
      <w:r w:rsidRPr="00563AD3">
        <w:t xml:space="preserve">care outcomes for people living with dementia in care homes, </w:t>
      </w:r>
      <w:r>
        <w:t>versus</w:t>
      </w:r>
      <w:r w:rsidRPr="00563AD3">
        <w:t xml:space="preserve"> usual care.  </w:t>
      </w:r>
    </w:p>
    <w:p w14:paraId="7395C659" w14:textId="02EB1150" w:rsidR="00A97BB1" w:rsidRPr="00563AD3" w:rsidRDefault="00A97BB1" w:rsidP="00A97BB1">
      <w:pPr>
        <w:rPr>
          <w:b/>
        </w:rPr>
      </w:pPr>
      <w:r w:rsidRPr="00563AD3">
        <w:rPr>
          <w:b/>
        </w:rPr>
        <w:t xml:space="preserve">Design: </w:t>
      </w:r>
      <w:r w:rsidRPr="00563AD3">
        <w:t>A pragmatic, cluster randomised controlled trial with open-cohort design, follow-up at 6- and 16-months, integrated cost-effectiveness analysis and process evaluation. Clusters</w:t>
      </w:r>
      <w:r>
        <w:t xml:space="preserve"> </w:t>
      </w:r>
      <w:r w:rsidRPr="00563AD3">
        <w:t>were not blinded to allocation</w:t>
      </w:r>
      <w:r>
        <w:t>. Primary endpoint was completed by staff-proxy and independent assessors</w:t>
      </w:r>
      <w:r w:rsidRPr="00563AD3">
        <w:t xml:space="preserve">.  </w:t>
      </w:r>
    </w:p>
    <w:p w14:paraId="53E72A9C" w14:textId="0F03D287" w:rsidR="00A97BB1" w:rsidRPr="00563AD3" w:rsidRDefault="00A97BB1" w:rsidP="00A97BB1">
      <w:r w:rsidRPr="00563AD3">
        <w:rPr>
          <w:b/>
        </w:rPr>
        <w:t xml:space="preserve">Setting: </w:t>
      </w:r>
      <w:r w:rsidRPr="00563AD3">
        <w:t>Stratified randomisation of 50</w:t>
      </w:r>
      <w:r w:rsidRPr="00563AD3">
        <w:rPr>
          <w:b/>
        </w:rPr>
        <w:t xml:space="preserve"> </w:t>
      </w:r>
      <w:r w:rsidRPr="00563AD3">
        <w:t>care homes to intervention</w:t>
      </w:r>
      <w:r>
        <w:t>/</w:t>
      </w:r>
      <w:r w:rsidRPr="00563AD3">
        <w:t xml:space="preserve">control on a 3:2 ratio by type, size, </w:t>
      </w:r>
      <w:r>
        <w:t>staff exposure to</w:t>
      </w:r>
      <w:r w:rsidRPr="00563AD3">
        <w:t xml:space="preserve"> dementia training and recruiting hub.</w:t>
      </w:r>
    </w:p>
    <w:p w14:paraId="665A7A43" w14:textId="46F4038E" w:rsidR="00A97BB1" w:rsidRPr="00563AD3" w:rsidRDefault="00A97BB1" w:rsidP="00A97BB1">
      <w:pPr>
        <w:rPr>
          <w:b/>
        </w:rPr>
      </w:pPr>
      <w:r w:rsidRPr="00563AD3">
        <w:rPr>
          <w:b/>
        </w:rPr>
        <w:t xml:space="preserve">Participants: </w:t>
      </w:r>
      <w:r w:rsidRPr="00B47536">
        <w:t>Fifty care homes were randomised (31 intervention, 19 control), with 726 residents recruited at baseline and a further 261 at 16-months.</w:t>
      </w:r>
      <w:r w:rsidRPr="00563AD3">
        <w:t xml:space="preserve"> Care homes were eligible if they recruited a minimum of 10 residents, were not subject to improvement notices, had not used DCM™ in the previous 18-months and were not participating in conflicting research. Residents were eligible if they </w:t>
      </w:r>
      <w:r>
        <w:t>lived there</w:t>
      </w:r>
      <w:r w:rsidRPr="00563AD3">
        <w:t xml:space="preserve"> permanent</w:t>
      </w:r>
      <w:r>
        <w:t>ly</w:t>
      </w:r>
      <w:r w:rsidRPr="00563AD3">
        <w:t xml:space="preserve">, had a formal diagnosis of dementia/score of 4+ on the Functional Assessment Staging of Alzheimer’s Disease, were proficient </w:t>
      </w:r>
      <w:r>
        <w:t xml:space="preserve">in English, </w:t>
      </w:r>
      <w:r w:rsidRPr="00563AD3">
        <w:t>not at end-of-life/permanently cared for in bed</w:t>
      </w:r>
      <w:r>
        <w:t>.</w:t>
      </w:r>
      <w:r w:rsidRPr="00563AD3">
        <w:t xml:space="preserve">  All homes were audited on delivery of dementia and person-centred care awareness training. Those not reaching a minimum standard were provided training ahead of randomisation. </w:t>
      </w:r>
      <w:r>
        <w:t>Eighteen</w:t>
      </w:r>
      <w:r w:rsidRPr="00563AD3">
        <w:t xml:space="preserve"> homes took part in the process evaluation.</w:t>
      </w:r>
    </w:p>
    <w:p w14:paraId="38114324" w14:textId="69F7FA59" w:rsidR="00A97BB1" w:rsidRPr="00563AD3" w:rsidRDefault="00A97BB1" w:rsidP="00A97BB1">
      <w:r w:rsidRPr="00563AD3">
        <w:rPr>
          <w:b/>
        </w:rPr>
        <w:t xml:space="preserve">Intervention: </w:t>
      </w:r>
      <w:r w:rsidRPr="00563AD3">
        <w:t>Two staff from each intervention home were trained to use DCM™ and requested to carry out three DCM™</w:t>
      </w:r>
      <w:r>
        <w:t xml:space="preserve"> </w:t>
      </w:r>
      <w:r w:rsidRPr="00563AD3">
        <w:t>cycles</w:t>
      </w:r>
      <w:r>
        <w:t>;</w:t>
      </w:r>
      <w:r w:rsidRPr="00563AD3">
        <w:t xml:space="preserve"> </w:t>
      </w:r>
      <w:r>
        <w:t xml:space="preserve">the first </w:t>
      </w:r>
      <w:r w:rsidRPr="00563AD3">
        <w:t>supported by a</w:t>
      </w:r>
      <w:r>
        <w:t>n</w:t>
      </w:r>
      <w:r w:rsidRPr="00563AD3">
        <w:t xml:space="preserve"> </w:t>
      </w:r>
      <w:r>
        <w:t xml:space="preserve">external </w:t>
      </w:r>
      <w:r w:rsidRPr="00563AD3">
        <w:t>expert</w:t>
      </w:r>
      <w:r>
        <w:t>.</w:t>
      </w:r>
      <w:r w:rsidRPr="00563AD3">
        <w:t xml:space="preserve"> </w:t>
      </w:r>
    </w:p>
    <w:p w14:paraId="09499E03" w14:textId="2D21EB21" w:rsidR="00A97BB1" w:rsidRPr="00563AD3" w:rsidRDefault="00A97BB1" w:rsidP="00A97BB1">
      <w:r w:rsidRPr="00563AD3">
        <w:rPr>
          <w:b/>
        </w:rPr>
        <w:t>Main outcome measures:</w:t>
      </w:r>
      <w:r w:rsidRPr="00563AD3">
        <w:t xml:space="preserve"> The primary outcome was agitation </w:t>
      </w:r>
      <w:r>
        <w:t>(</w:t>
      </w:r>
      <w:r w:rsidRPr="00563AD3">
        <w:t>Cohen-Mansfield Agitation Inventory</w:t>
      </w:r>
      <w:r>
        <w:t>)</w:t>
      </w:r>
      <w:r w:rsidRPr="00563AD3">
        <w:t xml:space="preserve"> at 16-months. Secondary outcomes included </w:t>
      </w:r>
      <w:r>
        <w:t xml:space="preserve">resident </w:t>
      </w:r>
      <w:r w:rsidRPr="00563AD3">
        <w:t xml:space="preserve">behaviours and quality of life. </w:t>
      </w:r>
    </w:p>
    <w:p w14:paraId="683F9C13" w14:textId="532B625B" w:rsidR="00A97BB1" w:rsidRPr="00563AD3" w:rsidRDefault="00A97BB1" w:rsidP="00A97BB1">
      <w:pPr>
        <w:rPr>
          <w:rFonts w:eastAsiaTheme="minorHAnsi"/>
          <w:lang w:eastAsia="en-US"/>
        </w:rPr>
      </w:pPr>
      <w:r w:rsidRPr="00563AD3">
        <w:rPr>
          <w:b/>
        </w:rPr>
        <w:t xml:space="preserve">Results: </w:t>
      </w:r>
      <w:r w:rsidRPr="00974785">
        <w:t xml:space="preserve">There were </w:t>
      </w:r>
      <w:r w:rsidRPr="00B47536">
        <w:t>675 residents in the final analysis (287 control, 388 intervention).</w:t>
      </w:r>
      <w:r w:rsidRPr="00B47536">
        <w:rPr>
          <w:b/>
        </w:rPr>
        <w:t xml:space="preserve"> </w:t>
      </w:r>
      <w:r w:rsidRPr="00B47536">
        <w:t xml:space="preserve">There </w:t>
      </w:r>
      <w:r w:rsidRPr="00563AD3">
        <w:t xml:space="preserve">was no evidence of difference in agitation levels between arms. </w:t>
      </w:r>
      <w:r w:rsidRPr="00563AD3">
        <w:rPr>
          <w:lang w:eastAsia="en-US"/>
        </w:rPr>
        <w:t xml:space="preserve">The adjusted mean difference in CMAI score was </w:t>
      </w:r>
      <w:r w:rsidRPr="00B47536">
        <w:rPr>
          <w:lang w:eastAsia="en-US"/>
        </w:rPr>
        <w:t xml:space="preserve">-2.11 points, lower in the intervention group than control (95% CI -4.66 to 0.44, p=0.104, adjusted ICC control=0, intervention 0.001). </w:t>
      </w:r>
      <w:r w:rsidRPr="00563AD3">
        <w:rPr>
          <w:lang w:eastAsia="en-US"/>
        </w:rPr>
        <w:t xml:space="preserve">The sensitivity analyses results supported the primary analysis. </w:t>
      </w:r>
      <w:r>
        <w:rPr>
          <w:lang w:eastAsia="en-US"/>
        </w:rPr>
        <w:t>N</w:t>
      </w:r>
      <w:r w:rsidRPr="00563AD3">
        <w:rPr>
          <w:lang w:eastAsia="en-US"/>
        </w:rPr>
        <w:t xml:space="preserve">o differences were detected in any of the secondary outcomes. </w:t>
      </w:r>
      <w:r w:rsidRPr="00563AD3">
        <w:t xml:space="preserve">The health economic analyses indicated </w:t>
      </w:r>
      <w:r w:rsidRPr="00563AD3">
        <w:rPr>
          <w:lang w:eastAsia="en-US"/>
        </w:rPr>
        <w:t>DCM</w:t>
      </w:r>
      <w:r w:rsidRPr="00563AD3">
        <w:t>™</w:t>
      </w:r>
      <w:r w:rsidRPr="00563AD3">
        <w:rPr>
          <w:lang w:eastAsia="en-US"/>
        </w:rPr>
        <w:t xml:space="preserve"> was not cost-effective. Intervention adherence was problematic; only 26% of homes completed more than their first DCM</w:t>
      </w:r>
      <w:r w:rsidRPr="00563AD3">
        <w:t>™</w:t>
      </w:r>
      <w:r w:rsidRPr="00563AD3">
        <w:rPr>
          <w:lang w:eastAsia="en-US"/>
        </w:rPr>
        <w:t xml:space="preserve"> cycle</w:t>
      </w:r>
      <w:r w:rsidRPr="00563AD3">
        <w:t xml:space="preserve">. </w:t>
      </w:r>
      <w:r>
        <w:t>Impacts of and</w:t>
      </w:r>
      <w:r w:rsidRPr="00563AD3">
        <w:t xml:space="preserve"> barriers and facilitators to </w:t>
      </w:r>
      <w:r w:rsidRPr="00563AD3">
        <w:rPr>
          <w:lang w:eastAsia="en-US"/>
        </w:rPr>
        <w:t>DCM</w:t>
      </w:r>
      <w:r w:rsidRPr="00563AD3">
        <w:t>™ implementation were identified.</w:t>
      </w:r>
      <w:r w:rsidRPr="00563AD3">
        <w:rPr>
          <w:rFonts w:eastAsiaTheme="minorHAnsi"/>
          <w:lang w:eastAsia="en-US"/>
        </w:rPr>
        <w:t xml:space="preserve"> </w:t>
      </w:r>
    </w:p>
    <w:p w14:paraId="6B536D93" w14:textId="55583EF3" w:rsidR="00A97BB1" w:rsidRPr="00563AD3" w:rsidRDefault="00A97BB1" w:rsidP="00A97BB1">
      <w:r w:rsidRPr="00563AD3">
        <w:rPr>
          <w:b/>
        </w:rPr>
        <w:t xml:space="preserve">Limitations: </w:t>
      </w:r>
      <w:r w:rsidRPr="00563AD3">
        <w:t xml:space="preserve">Primary completion of resident outcomes was by staff proxy due to self-report difficulties for residents with advanced dementia. Clusters were not blinded to allocation although supportive analyses suggested </w:t>
      </w:r>
      <w:r>
        <w:t xml:space="preserve">any </w:t>
      </w:r>
      <w:r w:rsidRPr="00563AD3">
        <w:t xml:space="preserve">reporting bias was </w:t>
      </w:r>
      <w:r>
        <w:t>not clinically important</w:t>
      </w:r>
      <w:r w:rsidRPr="00563AD3">
        <w:t xml:space="preserve">. </w:t>
      </w:r>
    </w:p>
    <w:p w14:paraId="7A9F9716" w14:textId="77777777" w:rsidR="00A97BB1" w:rsidRDefault="00A97BB1" w:rsidP="00A97BB1">
      <w:r w:rsidRPr="00563AD3">
        <w:rPr>
          <w:b/>
        </w:rPr>
        <w:t xml:space="preserve">Conclusions: </w:t>
      </w:r>
      <w:r w:rsidRPr="00563AD3">
        <w:t xml:space="preserve">There was no benefit of </w:t>
      </w:r>
      <w:r w:rsidRPr="00563AD3">
        <w:rPr>
          <w:lang w:eastAsia="en-US"/>
        </w:rPr>
        <w:t>DCM</w:t>
      </w:r>
      <w:r w:rsidRPr="00563AD3">
        <w:t xml:space="preserve">™ over control on any outcomes. Implementation of </w:t>
      </w:r>
      <w:r w:rsidRPr="00563AD3">
        <w:rPr>
          <w:lang w:eastAsia="en-US"/>
        </w:rPr>
        <w:t>DCM</w:t>
      </w:r>
      <w:r w:rsidRPr="00563AD3">
        <w:t xml:space="preserve">™ by care home staff was sub-optimal compared to protocol in the majority of homes. </w:t>
      </w:r>
    </w:p>
    <w:p w14:paraId="57741C67" w14:textId="77777777" w:rsidR="00A97BB1" w:rsidRPr="00563AD3" w:rsidRDefault="00A97BB1" w:rsidP="00A97BB1">
      <w:r>
        <w:rPr>
          <w:b/>
        </w:rPr>
        <w:t xml:space="preserve">Future work: </w:t>
      </w:r>
      <w:r w:rsidRPr="00563AD3">
        <w:t xml:space="preserve">Alternative models of </w:t>
      </w:r>
      <w:r w:rsidRPr="00563AD3">
        <w:rPr>
          <w:lang w:eastAsia="en-US"/>
        </w:rPr>
        <w:t>DCM</w:t>
      </w:r>
      <w:r w:rsidRPr="00563AD3">
        <w:t>™ implementation should be considered, which do not rely solely on leadership by care home staff.</w:t>
      </w:r>
    </w:p>
    <w:p w14:paraId="1C728D89" w14:textId="77777777" w:rsidR="00A97BB1" w:rsidRPr="00563AD3" w:rsidRDefault="00A97BB1" w:rsidP="00A97BB1">
      <w:r w:rsidRPr="00563AD3">
        <w:rPr>
          <w:b/>
        </w:rPr>
        <w:t xml:space="preserve">Trial registration: </w:t>
      </w:r>
      <w:r w:rsidRPr="00563AD3">
        <w:t>Current Controlled Trials ISRCTN82288852</w:t>
      </w:r>
    </w:p>
    <w:p w14:paraId="71AC8CBE" w14:textId="44A3AE22" w:rsidR="00A97BB1" w:rsidRDefault="00A97BB1" w:rsidP="00A97BB1">
      <w:pPr>
        <w:rPr>
          <w:b/>
        </w:rPr>
      </w:pPr>
      <w:r w:rsidRPr="00563AD3">
        <w:rPr>
          <w:b/>
        </w:rPr>
        <w:t>Funding:</w:t>
      </w:r>
      <w:r w:rsidRPr="00563AD3">
        <w:t xml:space="preserve"> This project was funded by the National Institute for Health Research Health Technology Assessment programme (project number 11/15/13). </w:t>
      </w:r>
    </w:p>
    <w:p w14:paraId="74C30E16" w14:textId="77777777" w:rsidR="00A97BB1" w:rsidRDefault="00A97BB1">
      <w:pPr>
        <w:autoSpaceDE/>
        <w:autoSpaceDN/>
        <w:adjustRightInd/>
        <w:spacing w:line="259" w:lineRule="auto"/>
        <w:rPr>
          <w:b/>
        </w:rPr>
      </w:pPr>
      <w:r>
        <w:rPr>
          <w:b/>
        </w:rPr>
        <w:br w:type="page"/>
      </w:r>
    </w:p>
    <w:sdt>
      <w:sdtPr>
        <w:rPr>
          <w:rFonts w:eastAsiaTheme="minorEastAsia" w:cs="Arial"/>
          <w:b w:val="0"/>
          <w:color w:val="auto"/>
          <w:sz w:val="22"/>
          <w:szCs w:val="22"/>
          <w:lang w:eastAsia="en-GB"/>
        </w:rPr>
        <w:id w:val="892852914"/>
        <w:docPartObj>
          <w:docPartGallery w:val="Table of Contents"/>
          <w:docPartUnique/>
        </w:docPartObj>
      </w:sdtPr>
      <w:sdtEndPr>
        <w:rPr>
          <w:bCs/>
          <w:noProof/>
        </w:rPr>
      </w:sdtEndPr>
      <w:sdtContent>
        <w:p w14:paraId="3FA82AFC" w14:textId="335DD530" w:rsidR="001E3D61" w:rsidRPr="00563AD3" w:rsidRDefault="001E3D61" w:rsidP="009B13F3">
          <w:pPr>
            <w:pStyle w:val="TOCHeading"/>
            <w:spacing w:line="360" w:lineRule="auto"/>
            <w:rPr>
              <w:rFonts w:cs="Arial"/>
            </w:rPr>
          </w:pPr>
          <w:r w:rsidRPr="00563AD3">
            <w:rPr>
              <w:rFonts w:cs="Arial"/>
            </w:rPr>
            <w:t>Contents</w:t>
          </w:r>
        </w:p>
        <w:p w14:paraId="18AA8BB3" w14:textId="37E6C8EA" w:rsidR="00FD5CAE" w:rsidRDefault="001E3D61">
          <w:pPr>
            <w:pStyle w:val="TOC1"/>
            <w:tabs>
              <w:tab w:val="right" w:leader="dot" w:pos="9016"/>
            </w:tabs>
            <w:rPr>
              <w:rFonts w:asciiTheme="minorHAnsi" w:eastAsiaTheme="minorEastAsia" w:hAnsiTheme="minorHAnsi" w:cstheme="minorBidi"/>
              <w:noProof/>
              <w:snapToGrid/>
              <w:sz w:val="22"/>
              <w:szCs w:val="22"/>
              <w:lang w:eastAsia="en-GB"/>
            </w:rPr>
          </w:pPr>
          <w:r w:rsidRPr="00563AD3">
            <w:rPr>
              <w:rFonts w:ascii="Arial" w:hAnsi="Arial" w:cs="Arial"/>
              <w:sz w:val="22"/>
              <w:szCs w:val="22"/>
            </w:rPr>
            <w:fldChar w:fldCharType="begin"/>
          </w:r>
          <w:r w:rsidRPr="00563AD3">
            <w:rPr>
              <w:rFonts w:ascii="Arial" w:hAnsi="Arial" w:cs="Arial"/>
              <w:sz w:val="22"/>
              <w:szCs w:val="22"/>
            </w:rPr>
            <w:instrText xml:space="preserve"> TOC \o "1-3" \h \z \u </w:instrText>
          </w:r>
          <w:r w:rsidRPr="00563AD3">
            <w:rPr>
              <w:rFonts w:ascii="Arial" w:hAnsi="Arial" w:cs="Arial"/>
              <w:sz w:val="22"/>
              <w:szCs w:val="22"/>
            </w:rPr>
            <w:fldChar w:fldCharType="separate"/>
          </w:r>
        </w:p>
        <w:p w14:paraId="61BE0726" w14:textId="3BC67390"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3928" w:history="1">
            <w:r w:rsidR="00FD5CAE" w:rsidRPr="006A2D4F">
              <w:rPr>
                <w:rStyle w:val="Hyperlink"/>
                <w:rFonts w:ascii="Arial" w:hAnsi="Arial" w:cs="Arial"/>
                <w:noProof/>
                <w:sz w:val="22"/>
                <w:szCs w:val="22"/>
              </w:rPr>
              <w:t>Abstract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_Toc525543928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w:t>
            </w:r>
            <w:r w:rsidR="00FD5CAE" w:rsidRPr="006A2D4F">
              <w:rPr>
                <w:rFonts w:ascii="Arial" w:hAnsi="Arial" w:cs="Arial"/>
                <w:noProof/>
                <w:webHidden/>
                <w:sz w:val="22"/>
                <w:szCs w:val="22"/>
              </w:rPr>
              <w:fldChar w:fldCharType="end"/>
            </w:r>
          </w:hyperlink>
        </w:p>
        <w:p w14:paraId="522534B0" w14:textId="3FB64B50"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29" w:history="1">
            <w:r w:rsidR="00FD5CAE" w:rsidRPr="006A2D4F">
              <w:rPr>
                <w:rStyle w:val="Hyperlink"/>
                <w:rFonts w:ascii="Arial" w:hAnsi="Arial" w:cs="Arial"/>
                <w:noProof/>
                <w:sz w:val="22"/>
                <w:szCs w:val="22"/>
              </w:rPr>
              <w:t>List of Tables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_Toc525543929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9</w:t>
            </w:r>
            <w:r w:rsidR="00FD5CAE" w:rsidRPr="006A2D4F">
              <w:rPr>
                <w:rFonts w:ascii="Arial" w:hAnsi="Arial" w:cs="Arial"/>
                <w:noProof/>
                <w:webHidden/>
                <w:sz w:val="22"/>
                <w:szCs w:val="22"/>
              </w:rPr>
              <w:fldChar w:fldCharType="end"/>
            </w:r>
          </w:hyperlink>
        </w:p>
        <w:p w14:paraId="786335C0" w14:textId="38927C44"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30" w:history="1">
            <w:r w:rsidR="00FD5CAE" w:rsidRPr="006A2D4F">
              <w:rPr>
                <w:rStyle w:val="Hyperlink"/>
                <w:rFonts w:ascii="Arial" w:hAnsi="Arial" w:cs="Arial"/>
                <w:noProof/>
                <w:sz w:val="22"/>
                <w:szCs w:val="22"/>
              </w:rPr>
              <w:t>List of Figures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_Toc525543930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12</w:t>
            </w:r>
            <w:r w:rsidR="00FD5CAE" w:rsidRPr="006A2D4F">
              <w:rPr>
                <w:rFonts w:ascii="Arial" w:hAnsi="Arial" w:cs="Arial"/>
                <w:noProof/>
                <w:webHidden/>
                <w:sz w:val="22"/>
                <w:szCs w:val="22"/>
              </w:rPr>
              <w:fldChar w:fldCharType="end"/>
            </w:r>
          </w:hyperlink>
        </w:p>
        <w:p w14:paraId="11120395" w14:textId="5B14F407"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3931" w:history="1">
            <w:r w:rsidR="00FD5CAE" w:rsidRPr="006A2D4F">
              <w:rPr>
                <w:rStyle w:val="Hyperlink"/>
                <w:rFonts w:ascii="Arial" w:hAnsi="Arial" w:cs="Arial"/>
                <w:noProof/>
                <w:sz w:val="22"/>
                <w:szCs w:val="22"/>
              </w:rPr>
              <w:t>Glossary</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_Toc525543931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13</w:t>
            </w:r>
            <w:r w:rsidR="00FD5CAE" w:rsidRPr="006A2D4F">
              <w:rPr>
                <w:rFonts w:ascii="Arial" w:hAnsi="Arial" w:cs="Arial"/>
                <w:noProof/>
                <w:webHidden/>
                <w:sz w:val="22"/>
                <w:szCs w:val="22"/>
              </w:rPr>
              <w:fldChar w:fldCharType="end"/>
            </w:r>
          </w:hyperlink>
        </w:p>
        <w:p w14:paraId="7B203647" w14:textId="4F9A63D5"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3932" w:history="1">
            <w:r w:rsidR="00FD5CAE" w:rsidRPr="006A2D4F">
              <w:rPr>
                <w:rStyle w:val="Hyperlink"/>
                <w:rFonts w:ascii="Arial" w:hAnsi="Arial" w:cs="Arial"/>
                <w:noProof/>
                <w:sz w:val="22"/>
                <w:szCs w:val="22"/>
              </w:rPr>
              <w:t>List of abbreviations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_Toc525543932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14</w:t>
            </w:r>
            <w:r w:rsidR="00FD5CAE" w:rsidRPr="006A2D4F">
              <w:rPr>
                <w:rFonts w:ascii="Arial" w:hAnsi="Arial" w:cs="Arial"/>
                <w:noProof/>
                <w:webHidden/>
                <w:sz w:val="22"/>
                <w:szCs w:val="22"/>
              </w:rPr>
              <w:fldChar w:fldCharType="end"/>
            </w:r>
          </w:hyperlink>
        </w:p>
        <w:p w14:paraId="1DCF491E" w14:textId="5FB665E1"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3933" w:history="1">
            <w:r w:rsidR="00FD5CAE" w:rsidRPr="006A2D4F">
              <w:rPr>
                <w:rStyle w:val="Hyperlink"/>
                <w:rFonts w:ascii="Arial" w:hAnsi="Arial" w:cs="Arial"/>
                <w:noProof/>
                <w:sz w:val="22"/>
                <w:szCs w:val="22"/>
              </w:rPr>
              <w:t>Plain English Summary</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_Toc525543933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16</w:t>
            </w:r>
            <w:r w:rsidR="00FD5CAE" w:rsidRPr="006A2D4F">
              <w:rPr>
                <w:rFonts w:ascii="Arial" w:hAnsi="Arial" w:cs="Arial"/>
                <w:noProof/>
                <w:webHidden/>
                <w:sz w:val="22"/>
                <w:szCs w:val="22"/>
              </w:rPr>
              <w:fldChar w:fldCharType="end"/>
            </w:r>
          </w:hyperlink>
        </w:p>
        <w:p w14:paraId="3434B92C" w14:textId="0543E8AC"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3934" w:history="1">
            <w:r w:rsidR="00FD5CAE" w:rsidRPr="006A2D4F">
              <w:rPr>
                <w:rStyle w:val="Hyperlink"/>
                <w:rFonts w:ascii="Arial" w:hAnsi="Arial" w:cs="Arial"/>
                <w:noProof/>
                <w:sz w:val="22"/>
                <w:szCs w:val="22"/>
              </w:rPr>
              <w:t>Scientific Summary</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_Toc525543934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17</w:t>
            </w:r>
            <w:r w:rsidR="00FD5CAE" w:rsidRPr="006A2D4F">
              <w:rPr>
                <w:rFonts w:ascii="Arial" w:hAnsi="Arial" w:cs="Arial"/>
                <w:noProof/>
                <w:webHidden/>
                <w:sz w:val="22"/>
                <w:szCs w:val="22"/>
              </w:rPr>
              <w:fldChar w:fldCharType="end"/>
            </w:r>
          </w:hyperlink>
        </w:p>
        <w:p w14:paraId="65B0AC71" w14:textId="436996D0"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35" w:history="1">
            <w:r w:rsidR="00FD5CAE" w:rsidRPr="006A2D4F">
              <w:rPr>
                <w:rStyle w:val="Hyperlink"/>
                <w:rFonts w:ascii="Arial" w:hAnsi="Arial" w:cs="Arial"/>
                <w:noProof/>
                <w:sz w:val="22"/>
                <w:szCs w:val="22"/>
              </w:rPr>
              <w:t>Background</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_Toc525543935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17</w:t>
            </w:r>
            <w:r w:rsidR="00FD5CAE" w:rsidRPr="006A2D4F">
              <w:rPr>
                <w:rFonts w:ascii="Arial" w:hAnsi="Arial" w:cs="Arial"/>
                <w:noProof/>
                <w:webHidden/>
                <w:sz w:val="22"/>
                <w:szCs w:val="22"/>
              </w:rPr>
              <w:fldChar w:fldCharType="end"/>
            </w:r>
          </w:hyperlink>
        </w:p>
        <w:p w14:paraId="45D454A0" w14:textId="2493DFAF"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36" w:history="1">
            <w:r w:rsidR="00FD5CAE" w:rsidRPr="006A2D4F">
              <w:rPr>
                <w:rStyle w:val="Hyperlink"/>
                <w:rFonts w:ascii="Arial" w:hAnsi="Arial" w:cs="Arial"/>
                <w:noProof/>
                <w:sz w:val="22"/>
                <w:szCs w:val="22"/>
              </w:rPr>
              <w:t>Objectives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_Toc525543936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17</w:t>
            </w:r>
            <w:r w:rsidR="00FD5CAE" w:rsidRPr="006A2D4F">
              <w:rPr>
                <w:rFonts w:ascii="Arial" w:hAnsi="Arial" w:cs="Arial"/>
                <w:noProof/>
                <w:webHidden/>
                <w:sz w:val="22"/>
                <w:szCs w:val="22"/>
              </w:rPr>
              <w:fldChar w:fldCharType="end"/>
            </w:r>
          </w:hyperlink>
        </w:p>
        <w:p w14:paraId="7DBF5557" w14:textId="4AE4D6BA"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37" w:history="1">
            <w:r w:rsidR="00FD5CAE" w:rsidRPr="006A2D4F">
              <w:rPr>
                <w:rStyle w:val="Hyperlink"/>
                <w:rFonts w:ascii="Arial" w:hAnsi="Arial" w:cs="Arial"/>
                <w:noProof/>
                <w:sz w:val="22"/>
                <w:szCs w:val="22"/>
              </w:rPr>
              <w:t>Methods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_Toc525543937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18</w:t>
            </w:r>
            <w:r w:rsidR="00FD5CAE" w:rsidRPr="006A2D4F">
              <w:rPr>
                <w:rFonts w:ascii="Arial" w:hAnsi="Arial" w:cs="Arial"/>
                <w:noProof/>
                <w:webHidden/>
                <w:sz w:val="22"/>
                <w:szCs w:val="22"/>
              </w:rPr>
              <w:fldChar w:fldCharType="end"/>
            </w:r>
          </w:hyperlink>
        </w:p>
        <w:p w14:paraId="3039D4EE" w14:textId="23A5FF7B"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38" w:history="1">
            <w:r w:rsidR="00FD5CAE" w:rsidRPr="006A2D4F">
              <w:rPr>
                <w:rStyle w:val="Hyperlink"/>
                <w:rFonts w:ascii="Arial" w:hAnsi="Arial" w:cs="Arial"/>
                <w:noProof/>
                <w:sz w:val="22"/>
                <w:szCs w:val="22"/>
              </w:rPr>
              <w:t>Results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_Toc525543938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20</w:t>
            </w:r>
            <w:r w:rsidR="00FD5CAE" w:rsidRPr="006A2D4F">
              <w:rPr>
                <w:rFonts w:ascii="Arial" w:hAnsi="Arial" w:cs="Arial"/>
                <w:noProof/>
                <w:webHidden/>
                <w:sz w:val="22"/>
                <w:szCs w:val="22"/>
              </w:rPr>
              <w:fldChar w:fldCharType="end"/>
            </w:r>
          </w:hyperlink>
        </w:p>
        <w:p w14:paraId="35AA7EB6" w14:textId="1A2B00B6"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39" w:history="1">
            <w:r w:rsidR="00FD5CAE" w:rsidRPr="006A2D4F">
              <w:rPr>
                <w:rStyle w:val="Hyperlink"/>
                <w:rFonts w:ascii="Arial" w:hAnsi="Arial" w:cs="Arial"/>
                <w:noProof/>
                <w:sz w:val="22"/>
                <w:szCs w:val="22"/>
              </w:rPr>
              <w:t>Conclusions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_Toc525543939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22</w:t>
            </w:r>
            <w:r w:rsidR="00FD5CAE" w:rsidRPr="006A2D4F">
              <w:rPr>
                <w:rFonts w:ascii="Arial" w:hAnsi="Arial" w:cs="Arial"/>
                <w:noProof/>
                <w:webHidden/>
                <w:sz w:val="22"/>
                <w:szCs w:val="22"/>
              </w:rPr>
              <w:fldChar w:fldCharType="end"/>
            </w:r>
          </w:hyperlink>
        </w:p>
        <w:p w14:paraId="68CBD432" w14:textId="35E7685E"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40" w:history="1">
            <w:r w:rsidR="00FD5CAE" w:rsidRPr="006A2D4F">
              <w:rPr>
                <w:rStyle w:val="Hyperlink"/>
                <w:rFonts w:ascii="Arial" w:hAnsi="Arial" w:cs="Arial"/>
                <w:noProof/>
                <w:sz w:val="22"/>
                <w:szCs w:val="22"/>
              </w:rPr>
              <w:t>Trial registration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_Toc525543940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22</w:t>
            </w:r>
            <w:r w:rsidR="00FD5CAE" w:rsidRPr="006A2D4F">
              <w:rPr>
                <w:rFonts w:ascii="Arial" w:hAnsi="Arial" w:cs="Arial"/>
                <w:noProof/>
                <w:webHidden/>
                <w:sz w:val="22"/>
                <w:szCs w:val="22"/>
              </w:rPr>
              <w:fldChar w:fldCharType="end"/>
            </w:r>
          </w:hyperlink>
        </w:p>
        <w:p w14:paraId="6E987853" w14:textId="225145B2"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41" w:history="1">
            <w:r w:rsidR="00FD5CAE" w:rsidRPr="006A2D4F">
              <w:rPr>
                <w:rStyle w:val="Hyperlink"/>
                <w:rFonts w:ascii="Arial" w:hAnsi="Arial" w:cs="Arial"/>
                <w:noProof/>
                <w:sz w:val="22"/>
                <w:szCs w:val="22"/>
              </w:rPr>
              <w:t>Funding</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_Toc525543941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22</w:t>
            </w:r>
            <w:r w:rsidR="00FD5CAE" w:rsidRPr="006A2D4F">
              <w:rPr>
                <w:rFonts w:ascii="Arial" w:hAnsi="Arial" w:cs="Arial"/>
                <w:noProof/>
                <w:webHidden/>
                <w:sz w:val="22"/>
                <w:szCs w:val="22"/>
              </w:rPr>
              <w:fldChar w:fldCharType="end"/>
            </w:r>
          </w:hyperlink>
        </w:p>
        <w:p w14:paraId="6A4CF326" w14:textId="4E943BF4"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3942" w:history="1">
            <w:r w:rsidR="00FD5CAE" w:rsidRPr="006A2D4F">
              <w:rPr>
                <w:rStyle w:val="Hyperlink"/>
                <w:rFonts w:ascii="Arial" w:hAnsi="Arial" w:cs="Arial"/>
                <w:noProof/>
                <w:sz w:val="22"/>
                <w:szCs w:val="22"/>
              </w:rPr>
              <w:t>Chapter 1: Introduction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_Toc525543942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23</w:t>
            </w:r>
            <w:r w:rsidR="00FD5CAE" w:rsidRPr="006A2D4F">
              <w:rPr>
                <w:rFonts w:ascii="Arial" w:hAnsi="Arial" w:cs="Arial"/>
                <w:noProof/>
                <w:webHidden/>
                <w:sz w:val="22"/>
                <w:szCs w:val="22"/>
              </w:rPr>
              <w:fldChar w:fldCharType="end"/>
            </w:r>
          </w:hyperlink>
        </w:p>
        <w:p w14:paraId="2518E155" w14:textId="4ADF5D76"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43" w:history="1">
            <w:r w:rsidR="00FD5CAE" w:rsidRPr="006A2D4F">
              <w:rPr>
                <w:rStyle w:val="Hyperlink"/>
                <w:rFonts w:ascii="Arial" w:hAnsi="Arial" w:cs="Arial"/>
                <w:noProof/>
                <w:sz w:val="22"/>
                <w:szCs w:val="22"/>
              </w:rPr>
              <w:t>1.1. Scientific background</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_Toc525543943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23</w:t>
            </w:r>
            <w:r w:rsidR="00FD5CAE" w:rsidRPr="006A2D4F">
              <w:rPr>
                <w:rFonts w:ascii="Arial" w:hAnsi="Arial" w:cs="Arial"/>
                <w:noProof/>
                <w:webHidden/>
                <w:sz w:val="22"/>
                <w:szCs w:val="22"/>
              </w:rPr>
              <w:fldChar w:fldCharType="end"/>
            </w:r>
          </w:hyperlink>
        </w:p>
        <w:p w14:paraId="46893C44" w14:textId="00E613F5"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44" w:history="1">
            <w:r w:rsidR="00FD5CAE" w:rsidRPr="006A2D4F">
              <w:rPr>
                <w:rStyle w:val="Hyperlink"/>
                <w:rFonts w:ascii="Arial" w:hAnsi="Arial" w:cs="Arial"/>
                <w:noProof/>
                <w:sz w:val="22"/>
                <w:szCs w:val="22"/>
              </w:rPr>
              <w:t>1.1.1 Behaviours staff may find challenging (BSC)</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_Toc525543944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23</w:t>
            </w:r>
            <w:r w:rsidR="00FD5CAE" w:rsidRPr="006A2D4F">
              <w:rPr>
                <w:rFonts w:ascii="Arial" w:hAnsi="Arial" w:cs="Arial"/>
                <w:noProof/>
                <w:webHidden/>
                <w:sz w:val="22"/>
                <w:szCs w:val="22"/>
              </w:rPr>
              <w:fldChar w:fldCharType="end"/>
            </w:r>
          </w:hyperlink>
        </w:p>
        <w:p w14:paraId="19D9D3FF" w14:textId="2992259F"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45" w:history="1">
            <w:r w:rsidR="00FD5CAE" w:rsidRPr="006A2D4F">
              <w:rPr>
                <w:rStyle w:val="Hyperlink"/>
                <w:rFonts w:ascii="Arial" w:hAnsi="Arial" w:cs="Arial"/>
                <w:noProof/>
                <w:sz w:val="22"/>
                <w:szCs w:val="22"/>
              </w:rPr>
              <w:t>1.1.2 Person-centred care</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_Toc525543945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25</w:t>
            </w:r>
            <w:r w:rsidR="00FD5CAE" w:rsidRPr="006A2D4F">
              <w:rPr>
                <w:rFonts w:ascii="Arial" w:hAnsi="Arial" w:cs="Arial"/>
                <w:noProof/>
                <w:webHidden/>
                <w:sz w:val="22"/>
                <w:szCs w:val="22"/>
              </w:rPr>
              <w:fldChar w:fldCharType="end"/>
            </w:r>
          </w:hyperlink>
        </w:p>
        <w:p w14:paraId="54A6A890" w14:textId="4DB3DDAB"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46" w:history="1">
            <w:r w:rsidR="00FD5CAE" w:rsidRPr="006A2D4F">
              <w:rPr>
                <w:rStyle w:val="Hyperlink"/>
                <w:rFonts w:ascii="Arial" w:hAnsi="Arial" w:cs="Arial"/>
                <w:noProof/>
                <w:sz w:val="22"/>
                <w:szCs w:val="22"/>
              </w:rPr>
              <w:t>1.1.3 Dementia Care Mapping™ (DCM™)</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_Toc525543946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26</w:t>
            </w:r>
            <w:r w:rsidR="00FD5CAE" w:rsidRPr="006A2D4F">
              <w:rPr>
                <w:rFonts w:ascii="Arial" w:hAnsi="Arial" w:cs="Arial"/>
                <w:noProof/>
                <w:webHidden/>
                <w:sz w:val="22"/>
                <w:szCs w:val="22"/>
              </w:rPr>
              <w:fldChar w:fldCharType="end"/>
            </w:r>
          </w:hyperlink>
        </w:p>
        <w:p w14:paraId="189D8EBB" w14:textId="7D8118B7"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47" w:history="1">
            <w:r w:rsidR="00FD5CAE" w:rsidRPr="006A2D4F">
              <w:rPr>
                <w:rStyle w:val="Hyperlink"/>
                <w:rFonts w:ascii="Arial" w:hAnsi="Arial" w:cs="Arial"/>
                <w:noProof/>
                <w:sz w:val="22"/>
                <w:szCs w:val="22"/>
              </w:rPr>
              <w:t>1.2 Evidence of the effects of Dementia Care Mapping</w:t>
            </w:r>
            <w:r w:rsidR="00FD5CAE" w:rsidRPr="006A2D4F">
              <w:rPr>
                <w:rStyle w:val="Hyperlink"/>
                <w:rFonts w:ascii="Arial" w:hAnsi="Arial" w:cs="Arial"/>
                <w:noProof/>
                <w:sz w:val="22"/>
                <w:szCs w:val="22"/>
                <w:vertAlign w:val="superscript"/>
              </w:rPr>
              <w:t>TM</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_Toc525543947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27</w:t>
            </w:r>
            <w:r w:rsidR="00FD5CAE" w:rsidRPr="006A2D4F">
              <w:rPr>
                <w:rFonts w:ascii="Arial" w:hAnsi="Arial" w:cs="Arial"/>
                <w:noProof/>
                <w:webHidden/>
                <w:sz w:val="22"/>
                <w:szCs w:val="22"/>
              </w:rPr>
              <w:fldChar w:fldCharType="end"/>
            </w:r>
          </w:hyperlink>
        </w:p>
        <w:p w14:paraId="6F795D6B" w14:textId="72EE25AC"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48" w:history="1">
            <w:r w:rsidR="00FD5CAE" w:rsidRPr="006A2D4F">
              <w:rPr>
                <w:rStyle w:val="Hyperlink"/>
                <w:rFonts w:ascii="Arial" w:hAnsi="Arial" w:cs="Arial"/>
                <w:noProof/>
                <w:sz w:val="22"/>
                <w:szCs w:val="22"/>
              </w:rPr>
              <w:t>1.3 Rationale for the research</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_Toc525543948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30</w:t>
            </w:r>
            <w:r w:rsidR="00FD5CAE" w:rsidRPr="006A2D4F">
              <w:rPr>
                <w:rFonts w:ascii="Arial" w:hAnsi="Arial" w:cs="Arial"/>
                <w:noProof/>
                <w:webHidden/>
                <w:sz w:val="22"/>
                <w:szCs w:val="22"/>
              </w:rPr>
              <w:fldChar w:fldCharType="end"/>
            </w:r>
          </w:hyperlink>
        </w:p>
        <w:p w14:paraId="1E01C8A3" w14:textId="24F962D3"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49" w:history="1">
            <w:r w:rsidR="00FD5CAE" w:rsidRPr="006A2D4F">
              <w:rPr>
                <w:rStyle w:val="Hyperlink"/>
                <w:rFonts w:ascii="Arial" w:hAnsi="Arial" w:cs="Arial"/>
                <w:noProof/>
                <w:sz w:val="22"/>
                <w:szCs w:val="22"/>
              </w:rPr>
              <w:t>1.4 Aims and Objectives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_Toc525543949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30</w:t>
            </w:r>
            <w:r w:rsidR="00FD5CAE" w:rsidRPr="006A2D4F">
              <w:rPr>
                <w:rFonts w:ascii="Arial" w:hAnsi="Arial" w:cs="Arial"/>
                <w:noProof/>
                <w:webHidden/>
                <w:sz w:val="22"/>
                <w:szCs w:val="22"/>
              </w:rPr>
              <w:fldChar w:fldCharType="end"/>
            </w:r>
          </w:hyperlink>
        </w:p>
        <w:p w14:paraId="457AC4F2" w14:textId="6757DB4D"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50" w:history="1">
            <w:r w:rsidR="00FD5CAE" w:rsidRPr="006A2D4F">
              <w:rPr>
                <w:rStyle w:val="Hyperlink"/>
                <w:rFonts w:ascii="Arial" w:hAnsi="Arial" w:cs="Arial"/>
                <w:noProof/>
                <w:sz w:val="22"/>
                <w:szCs w:val="22"/>
              </w:rPr>
              <w:t>1.4.1 Primary research question: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_Toc525543950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30</w:t>
            </w:r>
            <w:r w:rsidR="00FD5CAE" w:rsidRPr="006A2D4F">
              <w:rPr>
                <w:rFonts w:ascii="Arial" w:hAnsi="Arial" w:cs="Arial"/>
                <w:noProof/>
                <w:webHidden/>
                <w:sz w:val="22"/>
                <w:szCs w:val="22"/>
              </w:rPr>
              <w:fldChar w:fldCharType="end"/>
            </w:r>
          </w:hyperlink>
        </w:p>
        <w:p w14:paraId="11E24671" w14:textId="2ADA3EA6"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51" w:history="1">
            <w:r w:rsidR="00FD5CAE" w:rsidRPr="006A2D4F">
              <w:rPr>
                <w:rStyle w:val="Hyperlink"/>
                <w:rFonts w:ascii="Arial" w:hAnsi="Arial" w:cs="Arial"/>
                <w:noProof/>
                <w:sz w:val="22"/>
                <w:szCs w:val="22"/>
              </w:rPr>
              <w:t>1.4.2 Secondary research questions: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_Toc525543951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31</w:t>
            </w:r>
            <w:r w:rsidR="00FD5CAE" w:rsidRPr="006A2D4F">
              <w:rPr>
                <w:rFonts w:ascii="Arial" w:hAnsi="Arial" w:cs="Arial"/>
                <w:noProof/>
                <w:webHidden/>
                <w:sz w:val="22"/>
                <w:szCs w:val="22"/>
              </w:rPr>
              <w:fldChar w:fldCharType="end"/>
            </w:r>
          </w:hyperlink>
        </w:p>
        <w:p w14:paraId="30B51E51" w14:textId="575FCFEB"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3952" w:history="1">
            <w:r w:rsidR="00FD5CAE" w:rsidRPr="006A2D4F">
              <w:rPr>
                <w:rStyle w:val="Hyperlink"/>
                <w:rFonts w:ascii="Arial" w:hAnsi="Arial" w:cs="Arial"/>
                <w:noProof/>
                <w:sz w:val="22"/>
                <w:szCs w:val="22"/>
              </w:rPr>
              <w:t>Chapter 2: Trial design and methods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_Toc525543952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32</w:t>
            </w:r>
            <w:r w:rsidR="00FD5CAE" w:rsidRPr="006A2D4F">
              <w:rPr>
                <w:rFonts w:ascii="Arial" w:hAnsi="Arial" w:cs="Arial"/>
                <w:noProof/>
                <w:webHidden/>
                <w:sz w:val="22"/>
                <w:szCs w:val="22"/>
              </w:rPr>
              <w:fldChar w:fldCharType="end"/>
            </w:r>
          </w:hyperlink>
        </w:p>
        <w:p w14:paraId="2F58C4EC" w14:textId="0920553A"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53" w:history="1">
            <w:r w:rsidR="00FD5CAE" w:rsidRPr="006A2D4F">
              <w:rPr>
                <w:rStyle w:val="Hyperlink"/>
                <w:rFonts w:ascii="Arial" w:hAnsi="Arial" w:cs="Arial"/>
                <w:noProof/>
                <w:sz w:val="22"/>
                <w:szCs w:val="22"/>
              </w:rPr>
              <w:t>2.1 Trial design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_Toc525543953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32</w:t>
            </w:r>
            <w:r w:rsidR="00FD5CAE" w:rsidRPr="006A2D4F">
              <w:rPr>
                <w:rFonts w:ascii="Arial" w:hAnsi="Arial" w:cs="Arial"/>
                <w:noProof/>
                <w:webHidden/>
                <w:sz w:val="22"/>
                <w:szCs w:val="22"/>
              </w:rPr>
              <w:fldChar w:fldCharType="end"/>
            </w:r>
          </w:hyperlink>
        </w:p>
        <w:p w14:paraId="7B874DC0" w14:textId="6D64FA82"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54" w:history="1">
            <w:r w:rsidR="00FD5CAE" w:rsidRPr="006A2D4F">
              <w:rPr>
                <w:rStyle w:val="Hyperlink"/>
                <w:rFonts w:ascii="Arial" w:hAnsi="Arial" w:cs="Arial"/>
                <w:noProof/>
                <w:sz w:val="22"/>
                <w:szCs w:val="22"/>
              </w:rPr>
              <w:t>2.2 Ethical approval, research governance and study oversight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_Toc525543954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32</w:t>
            </w:r>
            <w:r w:rsidR="00FD5CAE" w:rsidRPr="006A2D4F">
              <w:rPr>
                <w:rFonts w:ascii="Arial" w:hAnsi="Arial" w:cs="Arial"/>
                <w:noProof/>
                <w:webHidden/>
                <w:sz w:val="22"/>
                <w:szCs w:val="22"/>
              </w:rPr>
              <w:fldChar w:fldCharType="end"/>
            </w:r>
          </w:hyperlink>
        </w:p>
        <w:p w14:paraId="10BEAB8D" w14:textId="24414A87"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55" w:history="1">
            <w:r w:rsidR="00FD5CAE" w:rsidRPr="006A2D4F">
              <w:rPr>
                <w:rStyle w:val="Hyperlink"/>
                <w:rFonts w:ascii="Arial" w:hAnsi="Arial" w:cs="Arial"/>
                <w:noProof/>
                <w:sz w:val="22"/>
                <w:szCs w:val="22"/>
              </w:rPr>
              <w:t>Trial steering committee</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_Toc525543955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33</w:t>
            </w:r>
            <w:r w:rsidR="00FD5CAE" w:rsidRPr="006A2D4F">
              <w:rPr>
                <w:rFonts w:ascii="Arial" w:hAnsi="Arial" w:cs="Arial"/>
                <w:noProof/>
                <w:webHidden/>
                <w:sz w:val="22"/>
                <w:szCs w:val="22"/>
              </w:rPr>
              <w:fldChar w:fldCharType="end"/>
            </w:r>
          </w:hyperlink>
        </w:p>
        <w:p w14:paraId="7DC7E9CE" w14:textId="33F45806"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56" w:history="1">
            <w:r w:rsidR="00FD5CAE" w:rsidRPr="006A2D4F">
              <w:rPr>
                <w:rStyle w:val="Hyperlink"/>
                <w:rFonts w:ascii="Arial" w:hAnsi="Arial" w:cs="Arial"/>
                <w:noProof/>
                <w:sz w:val="22"/>
                <w:szCs w:val="22"/>
              </w:rPr>
              <w:t>Data Monitoring and Ethics Committee</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_Toc525543956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33</w:t>
            </w:r>
            <w:r w:rsidR="00FD5CAE" w:rsidRPr="006A2D4F">
              <w:rPr>
                <w:rFonts w:ascii="Arial" w:hAnsi="Arial" w:cs="Arial"/>
                <w:noProof/>
                <w:webHidden/>
                <w:sz w:val="22"/>
                <w:szCs w:val="22"/>
              </w:rPr>
              <w:fldChar w:fldCharType="end"/>
            </w:r>
          </w:hyperlink>
        </w:p>
        <w:p w14:paraId="79617CC4" w14:textId="2B753D57"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57" w:history="1">
            <w:r w:rsidR="00FD5CAE" w:rsidRPr="006A2D4F">
              <w:rPr>
                <w:rStyle w:val="Hyperlink"/>
                <w:rFonts w:ascii="Arial" w:hAnsi="Arial" w:cs="Arial"/>
                <w:noProof/>
                <w:sz w:val="22"/>
                <w:szCs w:val="22"/>
              </w:rPr>
              <w:t>2.3 Participants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_Toc525543957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33</w:t>
            </w:r>
            <w:r w:rsidR="00FD5CAE" w:rsidRPr="006A2D4F">
              <w:rPr>
                <w:rFonts w:ascii="Arial" w:hAnsi="Arial" w:cs="Arial"/>
                <w:noProof/>
                <w:webHidden/>
                <w:sz w:val="22"/>
                <w:szCs w:val="22"/>
              </w:rPr>
              <w:fldChar w:fldCharType="end"/>
            </w:r>
          </w:hyperlink>
        </w:p>
        <w:p w14:paraId="2BFC7200" w14:textId="662B8110"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58" w:history="1">
            <w:r w:rsidR="00FD5CAE" w:rsidRPr="006A2D4F">
              <w:rPr>
                <w:rStyle w:val="Hyperlink"/>
                <w:rFonts w:ascii="Arial" w:hAnsi="Arial" w:cs="Arial"/>
                <w:noProof/>
                <w:sz w:val="22"/>
                <w:szCs w:val="22"/>
              </w:rPr>
              <w:t>2.3.1 Care Home eligibility, recruitment and consent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_Toc525543958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33</w:t>
            </w:r>
            <w:r w:rsidR="00FD5CAE" w:rsidRPr="006A2D4F">
              <w:rPr>
                <w:rFonts w:ascii="Arial" w:hAnsi="Arial" w:cs="Arial"/>
                <w:noProof/>
                <w:webHidden/>
                <w:sz w:val="22"/>
                <w:szCs w:val="22"/>
              </w:rPr>
              <w:fldChar w:fldCharType="end"/>
            </w:r>
          </w:hyperlink>
        </w:p>
        <w:p w14:paraId="0EAE3B27" w14:textId="51CA4B49"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59" w:history="1">
            <w:r w:rsidR="00FD5CAE" w:rsidRPr="006A2D4F">
              <w:rPr>
                <w:rStyle w:val="Hyperlink"/>
                <w:rFonts w:ascii="Arial" w:hAnsi="Arial" w:cs="Arial"/>
                <w:noProof/>
                <w:sz w:val="22"/>
                <w:szCs w:val="22"/>
              </w:rPr>
              <w:t>2.3.2 Resident eligibility, recruitment and consent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_Toc525543959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35</w:t>
            </w:r>
            <w:r w:rsidR="00FD5CAE" w:rsidRPr="006A2D4F">
              <w:rPr>
                <w:rFonts w:ascii="Arial" w:hAnsi="Arial" w:cs="Arial"/>
                <w:noProof/>
                <w:webHidden/>
                <w:sz w:val="22"/>
                <w:szCs w:val="22"/>
              </w:rPr>
              <w:fldChar w:fldCharType="end"/>
            </w:r>
          </w:hyperlink>
        </w:p>
        <w:p w14:paraId="4D1FEFC7" w14:textId="23A1EA7B"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60" w:history="1">
            <w:r w:rsidR="00FD5CAE" w:rsidRPr="006A2D4F">
              <w:rPr>
                <w:rStyle w:val="Hyperlink"/>
                <w:rFonts w:ascii="Arial" w:hAnsi="Arial" w:cs="Arial"/>
                <w:noProof/>
                <w:sz w:val="22"/>
                <w:szCs w:val="22"/>
              </w:rPr>
              <w:t>2.3.3 Staff roles, eligibility, recruitment and consent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_Toc525543960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38</w:t>
            </w:r>
            <w:r w:rsidR="00FD5CAE" w:rsidRPr="006A2D4F">
              <w:rPr>
                <w:rFonts w:ascii="Arial" w:hAnsi="Arial" w:cs="Arial"/>
                <w:noProof/>
                <w:webHidden/>
                <w:sz w:val="22"/>
                <w:szCs w:val="22"/>
              </w:rPr>
              <w:fldChar w:fldCharType="end"/>
            </w:r>
          </w:hyperlink>
        </w:p>
        <w:p w14:paraId="5D3E905D" w14:textId="467802D2"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61" w:history="1">
            <w:r w:rsidR="00FD5CAE" w:rsidRPr="006A2D4F">
              <w:rPr>
                <w:rStyle w:val="Hyperlink"/>
                <w:rFonts w:ascii="Arial" w:hAnsi="Arial" w:cs="Arial"/>
                <w:noProof/>
                <w:sz w:val="22"/>
                <w:szCs w:val="22"/>
              </w:rPr>
              <w:t>2.3.4 Relative/friend eligibility, recruitment and consent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_Toc525543961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39</w:t>
            </w:r>
            <w:r w:rsidR="00FD5CAE" w:rsidRPr="006A2D4F">
              <w:rPr>
                <w:rFonts w:ascii="Arial" w:hAnsi="Arial" w:cs="Arial"/>
                <w:noProof/>
                <w:webHidden/>
                <w:sz w:val="22"/>
                <w:szCs w:val="22"/>
              </w:rPr>
              <w:fldChar w:fldCharType="end"/>
            </w:r>
          </w:hyperlink>
        </w:p>
        <w:p w14:paraId="44352F47" w14:textId="58608A7E"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62" w:history="1">
            <w:r w:rsidR="00FD5CAE" w:rsidRPr="006A2D4F">
              <w:rPr>
                <w:rStyle w:val="Hyperlink"/>
                <w:rFonts w:ascii="Arial" w:hAnsi="Arial" w:cs="Arial"/>
                <w:noProof/>
                <w:sz w:val="22"/>
                <w:szCs w:val="22"/>
              </w:rPr>
              <w:t>2.4 Registration, Randomisation and Blinding</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_Toc525543962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39</w:t>
            </w:r>
            <w:r w:rsidR="00FD5CAE" w:rsidRPr="006A2D4F">
              <w:rPr>
                <w:rFonts w:ascii="Arial" w:hAnsi="Arial" w:cs="Arial"/>
                <w:noProof/>
                <w:webHidden/>
                <w:sz w:val="22"/>
                <w:szCs w:val="22"/>
              </w:rPr>
              <w:fldChar w:fldCharType="end"/>
            </w:r>
          </w:hyperlink>
        </w:p>
        <w:p w14:paraId="47639B6C" w14:textId="4C1CEA69"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63" w:history="1">
            <w:r w:rsidR="00FD5CAE" w:rsidRPr="006A2D4F">
              <w:rPr>
                <w:rStyle w:val="Hyperlink"/>
                <w:rFonts w:ascii="Arial" w:hAnsi="Arial" w:cs="Arial"/>
                <w:noProof/>
                <w:sz w:val="22"/>
                <w:szCs w:val="22"/>
              </w:rPr>
              <w:t>2.4.1 Registration of residents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_Toc525543963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39</w:t>
            </w:r>
            <w:r w:rsidR="00FD5CAE" w:rsidRPr="006A2D4F">
              <w:rPr>
                <w:rFonts w:ascii="Arial" w:hAnsi="Arial" w:cs="Arial"/>
                <w:noProof/>
                <w:webHidden/>
                <w:sz w:val="22"/>
                <w:szCs w:val="22"/>
              </w:rPr>
              <w:fldChar w:fldCharType="end"/>
            </w:r>
          </w:hyperlink>
        </w:p>
        <w:p w14:paraId="534E55E6" w14:textId="0C8FF5EF"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64" w:history="1">
            <w:r w:rsidR="00FD5CAE" w:rsidRPr="006A2D4F">
              <w:rPr>
                <w:rStyle w:val="Hyperlink"/>
                <w:rFonts w:ascii="Arial" w:hAnsi="Arial" w:cs="Arial"/>
                <w:noProof/>
                <w:sz w:val="22"/>
                <w:szCs w:val="22"/>
              </w:rPr>
              <w:t>2.4.2 Randomisation, stratification and blinding</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_Toc525543964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40</w:t>
            </w:r>
            <w:r w:rsidR="00FD5CAE" w:rsidRPr="006A2D4F">
              <w:rPr>
                <w:rFonts w:ascii="Arial" w:hAnsi="Arial" w:cs="Arial"/>
                <w:noProof/>
                <w:webHidden/>
                <w:sz w:val="22"/>
                <w:szCs w:val="22"/>
              </w:rPr>
              <w:fldChar w:fldCharType="end"/>
            </w:r>
          </w:hyperlink>
        </w:p>
        <w:p w14:paraId="7F424652" w14:textId="781BAB4A"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65" w:history="1">
            <w:r w:rsidR="00FD5CAE" w:rsidRPr="006A2D4F">
              <w:rPr>
                <w:rStyle w:val="Hyperlink"/>
                <w:rFonts w:ascii="Arial" w:hAnsi="Arial" w:cs="Arial"/>
                <w:noProof/>
                <w:sz w:val="22"/>
                <w:szCs w:val="22"/>
              </w:rPr>
              <w:t>2.5 Procedure</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_Toc525543965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41</w:t>
            </w:r>
            <w:r w:rsidR="00FD5CAE" w:rsidRPr="006A2D4F">
              <w:rPr>
                <w:rFonts w:ascii="Arial" w:hAnsi="Arial" w:cs="Arial"/>
                <w:noProof/>
                <w:webHidden/>
                <w:sz w:val="22"/>
                <w:szCs w:val="22"/>
              </w:rPr>
              <w:fldChar w:fldCharType="end"/>
            </w:r>
          </w:hyperlink>
        </w:p>
        <w:p w14:paraId="2C90BBF7" w14:textId="539780B1"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66" w:history="1">
            <w:r w:rsidR="00FD5CAE" w:rsidRPr="006A2D4F">
              <w:rPr>
                <w:rStyle w:val="Hyperlink"/>
                <w:rFonts w:ascii="Arial" w:hAnsi="Arial" w:cs="Arial"/>
                <w:noProof/>
                <w:sz w:val="22"/>
                <w:szCs w:val="22"/>
              </w:rPr>
              <w:t>2.5.1 Usual care (both arms)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_Toc525543966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41</w:t>
            </w:r>
            <w:r w:rsidR="00FD5CAE" w:rsidRPr="006A2D4F">
              <w:rPr>
                <w:rFonts w:ascii="Arial" w:hAnsi="Arial" w:cs="Arial"/>
                <w:noProof/>
                <w:webHidden/>
                <w:sz w:val="22"/>
                <w:szCs w:val="22"/>
              </w:rPr>
              <w:fldChar w:fldCharType="end"/>
            </w:r>
          </w:hyperlink>
        </w:p>
        <w:p w14:paraId="4787B617" w14:textId="53FD321B"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67" w:history="1">
            <w:r w:rsidR="00FD5CAE" w:rsidRPr="006A2D4F">
              <w:rPr>
                <w:rStyle w:val="Hyperlink"/>
                <w:rFonts w:ascii="Arial" w:hAnsi="Arial" w:cs="Arial"/>
                <w:noProof/>
                <w:sz w:val="22"/>
                <w:szCs w:val="22"/>
              </w:rPr>
              <w:t>2.5.2 Dementia Care Mapping™ (intervention arm)</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_Toc525543967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41</w:t>
            </w:r>
            <w:r w:rsidR="00FD5CAE" w:rsidRPr="006A2D4F">
              <w:rPr>
                <w:rFonts w:ascii="Arial" w:hAnsi="Arial" w:cs="Arial"/>
                <w:noProof/>
                <w:webHidden/>
                <w:sz w:val="22"/>
                <w:szCs w:val="22"/>
              </w:rPr>
              <w:fldChar w:fldCharType="end"/>
            </w:r>
          </w:hyperlink>
        </w:p>
        <w:p w14:paraId="3C617582" w14:textId="78EC7800"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68" w:history="1">
            <w:r w:rsidR="00FD5CAE" w:rsidRPr="006A2D4F">
              <w:rPr>
                <w:rStyle w:val="Hyperlink"/>
                <w:rFonts w:ascii="Arial" w:hAnsi="Arial" w:cs="Arial"/>
                <w:noProof/>
                <w:sz w:val="22"/>
                <w:szCs w:val="22"/>
              </w:rPr>
              <w:t>2.6 Outcomes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_Toc525543968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44</w:t>
            </w:r>
            <w:r w:rsidR="00FD5CAE" w:rsidRPr="006A2D4F">
              <w:rPr>
                <w:rFonts w:ascii="Arial" w:hAnsi="Arial" w:cs="Arial"/>
                <w:noProof/>
                <w:webHidden/>
                <w:sz w:val="22"/>
                <w:szCs w:val="22"/>
              </w:rPr>
              <w:fldChar w:fldCharType="end"/>
            </w:r>
          </w:hyperlink>
        </w:p>
        <w:p w14:paraId="01E5DE50" w14:textId="7AAB5F83"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69" w:history="1">
            <w:r w:rsidR="00FD5CAE" w:rsidRPr="006A2D4F">
              <w:rPr>
                <w:rStyle w:val="Hyperlink"/>
                <w:rFonts w:ascii="Arial" w:hAnsi="Arial" w:cs="Arial"/>
                <w:noProof/>
                <w:sz w:val="22"/>
                <w:szCs w:val="22"/>
              </w:rPr>
              <w:t>2.6.1 Primary endpoint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_Toc525543969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44</w:t>
            </w:r>
            <w:r w:rsidR="00FD5CAE" w:rsidRPr="006A2D4F">
              <w:rPr>
                <w:rFonts w:ascii="Arial" w:hAnsi="Arial" w:cs="Arial"/>
                <w:noProof/>
                <w:webHidden/>
                <w:sz w:val="22"/>
                <w:szCs w:val="22"/>
              </w:rPr>
              <w:fldChar w:fldCharType="end"/>
            </w:r>
          </w:hyperlink>
        </w:p>
        <w:p w14:paraId="6A8E4D9F" w14:textId="7C6BA38E"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70" w:history="1">
            <w:r w:rsidR="00FD5CAE" w:rsidRPr="006A2D4F">
              <w:rPr>
                <w:rStyle w:val="Hyperlink"/>
                <w:rFonts w:ascii="Arial" w:hAnsi="Arial" w:cs="Arial"/>
                <w:noProof/>
                <w:sz w:val="22"/>
                <w:szCs w:val="22"/>
              </w:rPr>
              <w:t>2.6.2 Health economic endpoints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_Toc525543970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45</w:t>
            </w:r>
            <w:r w:rsidR="00FD5CAE" w:rsidRPr="006A2D4F">
              <w:rPr>
                <w:rFonts w:ascii="Arial" w:hAnsi="Arial" w:cs="Arial"/>
                <w:noProof/>
                <w:webHidden/>
                <w:sz w:val="22"/>
                <w:szCs w:val="22"/>
              </w:rPr>
              <w:fldChar w:fldCharType="end"/>
            </w:r>
          </w:hyperlink>
        </w:p>
        <w:p w14:paraId="7044AD32" w14:textId="098074EF"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71" w:history="1">
            <w:r w:rsidR="00FD5CAE" w:rsidRPr="006A2D4F">
              <w:rPr>
                <w:rStyle w:val="Hyperlink"/>
                <w:rFonts w:ascii="Arial" w:hAnsi="Arial" w:cs="Arial"/>
                <w:noProof/>
                <w:sz w:val="22"/>
                <w:szCs w:val="22"/>
              </w:rPr>
              <w:t>2.6.3 Secondary endpoints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_Toc525543971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45</w:t>
            </w:r>
            <w:r w:rsidR="00FD5CAE" w:rsidRPr="006A2D4F">
              <w:rPr>
                <w:rFonts w:ascii="Arial" w:hAnsi="Arial" w:cs="Arial"/>
                <w:noProof/>
                <w:webHidden/>
                <w:sz w:val="22"/>
                <w:szCs w:val="22"/>
              </w:rPr>
              <w:fldChar w:fldCharType="end"/>
            </w:r>
          </w:hyperlink>
        </w:p>
        <w:p w14:paraId="15B53F3E" w14:textId="5554BFDC"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72" w:history="1">
            <w:r w:rsidR="00FD5CAE" w:rsidRPr="006A2D4F">
              <w:rPr>
                <w:rStyle w:val="Hyperlink"/>
                <w:rFonts w:ascii="Arial" w:hAnsi="Arial" w:cs="Arial"/>
                <w:noProof/>
                <w:sz w:val="22"/>
                <w:szCs w:val="22"/>
              </w:rPr>
              <w:t>2.6.4 Resident Measures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_Toc525543972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47</w:t>
            </w:r>
            <w:r w:rsidR="00FD5CAE" w:rsidRPr="006A2D4F">
              <w:rPr>
                <w:rFonts w:ascii="Arial" w:hAnsi="Arial" w:cs="Arial"/>
                <w:noProof/>
                <w:webHidden/>
                <w:sz w:val="22"/>
                <w:szCs w:val="22"/>
              </w:rPr>
              <w:fldChar w:fldCharType="end"/>
            </w:r>
          </w:hyperlink>
        </w:p>
        <w:p w14:paraId="6547EC89" w14:textId="3DF8A79A"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73" w:history="1">
            <w:r w:rsidR="00FD5CAE" w:rsidRPr="006A2D4F">
              <w:rPr>
                <w:rStyle w:val="Hyperlink"/>
                <w:rFonts w:ascii="Arial" w:hAnsi="Arial" w:cs="Arial"/>
                <w:noProof/>
                <w:sz w:val="22"/>
                <w:szCs w:val="22"/>
              </w:rPr>
              <w:t>2.6.5 Staff Measures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_Toc525543973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50</w:t>
            </w:r>
            <w:r w:rsidR="00FD5CAE" w:rsidRPr="006A2D4F">
              <w:rPr>
                <w:rFonts w:ascii="Arial" w:hAnsi="Arial" w:cs="Arial"/>
                <w:noProof/>
                <w:webHidden/>
                <w:sz w:val="22"/>
                <w:szCs w:val="22"/>
              </w:rPr>
              <w:fldChar w:fldCharType="end"/>
            </w:r>
          </w:hyperlink>
        </w:p>
        <w:p w14:paraId="134A3AC2" w14:textId="587803AE"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74" w:history="1">
            <w:r w:rsidR="00FD5CAE" w:rsidRPr="006A2D4F">
              <w:rPr>
                <w:rStyle w:val="Hyperlink"/>
                <w:rFonts w:ascii="Arial" w:hAnsi="Arial" w:cs="Arial"/>
                <w:noProof/>
                <w:sz w:val="22"/>
                <w:szCs w:val="22"/>
              </w:rPr>
              <w:t>2.6.6 Organisational Measures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_Toc525543974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50</w:t>
            </w:r>
            <w:r w:rsidR="00FD5CAE" w:rsidRPr="006A2D4F">
              <w:rPr>
                <w:rFonts w:ascii="Arial" w:hAnsi="Arial" w:cs="Arial"/>
                <w:noProof/>
                <w:webHidden/>
                <w:sz w:val="22"/>
                <w:szCs w:val="22"/>
              </w:rPr>
              <w:fldChar w:fldCharType="end"/>
            </w:r>
          </w:hyperlink>
        </w:p>
        <w:p w14:paraId="21BCE90A" w14:textId="79921B09"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75" w:history="1">
            <w:r w:rsidR="00FD5CAE" w:rsidRPr="006A2D4F">
              <w:rPr>
                <w:rStyle w:val="Hyperlink"/>
                <w:rFonts w:ascii="Arial" w:hAnsi="Arial" w:cs="Arial"/>
                <w:noProof/>
                <w:sz w:val="22"/>
                <w:szCs w:val="22"/>
              </w:rPr>
              <w:t>2.7 Sample size</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_Toc525543975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52</w:t>
            </w:r>
            <w:r w:rsidR="00FD5CAE" w:rsidRPr="006A2D4F">
              <w:rPr>
                <w:rFonts w:ascii="Arial" w:hAnsi="Arial" w:cs="Arial"/>
                <w:noProof/>
                <w:webHidden/>
                <w:sz w:val="22"/>
                <w:szCs w:val="22"/>
              </w:rPr>
              <w:fldChar w:fldCharType="end"/>
            </w:r>
          </w:hyperlink>
        </w:p>
        <w:p w14:paraId="6744DFD3" w14:textId="47D48689"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76" w:history="1">
            <w:r w:rsidR="00FD5CAE" w:rsidRPr="006A2D4F">
              <w:rPr>
                <w:rStyle w:val="Hyperlink"/>
                <w:rFonts w:ascii="Arial" w:hAnsi="Arial" w:cs="Arial"/>
                <w:noProof/>
                <w:sz w:val="22"/>
                <w:szCs w:val="22"/>
              </w:rPr>
              <w:t>2.8 Statistical and health economic methods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_Toc525543976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52</w:t>
            </w:r>
            <w:r w:rsidR="00FD5CAE" w:rsidRPr="006A2D4F">
              <w:rPr>
                <w:rFonts w:ascii="Arial" w:hAnsi="Arial" w:cs="Arial"/>
                <w:noProof/>
                <w:webHidden/>
                <w:sz w:val="22"/>
                <w:szCs w:val="22"/>
              </w:rPr>
              <w:fldChar w:fldCharType="end"/>
            </w:r>
          </w:hyperlink>
        </w:p>
        <w:p w14:paraId="584B8E86" w14:textId="520319C0"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77" w:history="1">
            <w:r w:rsidR="00FD5CAE" w:rsidRPr="006A2D4F">
              <w:rPr>
                <w:rStyle w:val="Hyperlink"/>
                <w:rFonts w:ascii="Arial" w:hAnsi="Arial" w:cs="Arial"/>
                <w:noProof/>
                <w:sz w:val="22"/>
                <w:szCs w:val="22"/>
              </w:rPr>
              <w:t>2.8.1 Analysis populations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_Toc525543977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53</w:t>
            </w:r>
            <w:r w:rsidR="00FD5CAE" w:rsidRPr="006A2D4F">
              <w:rPr>
                <w:rFonts w:ascii="Arial" w:hAnsi="Arial" w:cs="Arial"/>
                <w:noProof/>
                <w:webHidden/>
                <w:sz w:val="22"/>
                <w:szCs w:val="22"/>
              </w:rPr>
              <w:fldChar w:fldCharType="end"/>
            </w:r>
          </w:hyperlink>
        </w:p>
        <w:p w14:paraId="65A78198" w14:textId="305A525A"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78" w:history="1">
            <w:r w:rsidR="00FD5CAE" w:rsidRPr="006A2D4F">
              <w:rPr>
                <w:rStyle w:val="Hyperlink"/>
                <w:rFonts w:ascii="Arial" w:hAnsi="Arial" w:cs="Arial"/>
                <w:noProof/>
                <w:sz w:val="22"/>
                <w:szCs w:val="22"/>
              </w:rPr>
              <w:t>2.8.2 Missing data</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_Toc525543978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53</w:t>
            </w:r>
            <w:r w:rsidR="00FD5CAE" w:rsidRPr="006A2D4F">
              <w:rPr>
                <w:rFonts w:ascii="Arial" w:hAnsi="Arial" w:cs="Arial"/>
                <w:noProof/>
                <w:webHidden/>
                <w:sz w:val="22"/>
                <w:szCs w:val="22"/>
              </w:rPr>
              <w:fldChar w:fldCharType="end"/>
            </w:r>
          </w:hyperlink>
        </w:p>
        <w:p w14:paraId="66239908" w14:textId="296FB1D1"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79" w:history="1">
            <w:r w:rsidR="00FD5CAE" w:rsidRPr="006A2D4F">
              <w:rPr>
                <w:rStyle w:val="Hyperlink"/>
                <w:rFonts w:ascii="Arial" w:hAnsi="Arial" w:cs="Arial"/>
                <w:noProof/>
                <w:sz w:val="22"/>
                <w:szCs w:val="22"/>
              </w:rPr>
              <w:t>2.8.3 Screening, baseline, treatment and outcome summaries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_Toc525543979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54</w:t>
            </w:r>
            <w:r w:rsidR="00FD5CAE" w:rsidRPr="006A2D4F">
              <w:rPr>
                <w:rFonts w:ascii="Arial" w:hAnsi="Arial" w:cs="Arial"/>
                <w:noProof/>
                <w:webHidden/>
                <w:sz w:val="22"/>
                <w:szCs w:val="22"/>
              </w:rPr>
              <w:fldChar w:fldCharType="end"/>
            </w:r>
          </w:hyperlink>
        </w:p>
        <w:p w14:paraId="7EB2A88F" w14:textId="4BE03B94"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80" w:history="1">
            <w:r w:rsidR="00FD5CAE" w:rsidRPr="006A2D4F">
              <w:rPr>
                <w:rStyle w:val="Hyperlink"/>
                <w:rFonts w:ascii="Arial" w:hAnsi="Arial" w:cs="Arial"/>
                <w:noProof/>
                <w:sz w:val="22"/>
                <w:szCs w:val="22"/>
              </w:rPr>
              <w:t>2.8.4 Primary effectiveness analysis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_Toc525543980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54</w:t>
            </w:r>
            <w:r w:rsidR="00FD5CAE" w:rsidRPr="006A2D4F">
              <w:rPr>
                <w:rFonts w:ascii="Arial" w:hAnsi="Arial" w:cs="Arial"/>
                <w:noProof/>
                <w:webHidden/>
                <w:sz w:val="22"/>
                <w:szCs w:val="22"/>
              </w:rPr>
              <w:fldChar w:fldCharType="end"/>
            </w:r>
          </w:hyperlink>
        </w:p>
        <w:p w14:paraId="26F9824B" w14:textId="5385EAAC"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81" w:history="1">
            <w:r w:rsidR="00FD5CAE" w:rsidRPr="006A2D4F">
              <w:rPr>
                <w:rStyle w:val="Hyperlink"/>
                <w:rFonts w:ascii="Arial" w:hAnsi="Arial" w:cs="Arial"/>
                <w:noProof/>
                <w:sz w:val="22"/>
                <w:szCs w:val="22"/>
              </w:rPr>
              <w:t>2.8.5 Sensitivity effectiveness analyses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_Toc525543981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55</w:t>
            </w:r>
            <w:r w:rsidR="00FD5CAE" w:rsidRPr="006A2D4F">
              <w:rPr>
                <w:rFonts w:ascii="Arial" w:hAnsi="Arial" w:cs="Arial"/>
                <w:noProof/>
                <w:webHidden/>
                <w:sz w:val="22"/>
                <w:szCs w:val="22"/>
              </w:rPr>
              <w:fldChar w:fldCharType="end"/>
            </w:r>
          </w:hyperlink>
        </w:p>
        <w:p w14:paraId="4D0832F7" w14:textId="5BB26D76"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82" w:history="1">
            <w:r w:rsidR="00FD5CAE" w:rsidRPr="006A2D4F">
              <w:rPr>
                <w:rStyle w:val="Hyperlink"/>
                <w:rFonts w:ascii="Arial" w:hAnsi="Arial" w:cs="Arial"/>
                <w:noProof/>
                <w:sz w:val="22"/>
                <w:szCs w:val="22"/>
              </w:rPr>
              <w:t>2.8.6 Supportive effectiveness analyses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_Toc525543982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55</w:t>
            </w:r>
            <w:r w:rsidR="00FD5CAE" w:rsidRPr="006A2D4F">
              <w:rPr>
                <w:rFonts w:ascii="Arial" w:hAnsi="Arial" w:cs="Arial"/>
                <w:noProof/>
                <w:webHidden/>
                <w:sz w:val="22"/>
                <w:szCs w:val="22"/>
              </w:rPr>
              <w:fldChar w:fldCharType="end"/>
            </w:r>
          </w:hyperlink>
        </w:p>
        <w:p w14:paraId="4E97FEA7" w14:textId="2AB7100D"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83" w:history="1">
            <w:r w:rsidR="00FD5CAE" w:rsidRPr="006A2D4F">
              <w:rPr>
                <w:rStyle w:val="Hyperlink"/>
                <w:rFonts w:ascii="Arial" w:hAnsi="Arial" w:cs="Arial"/>
                <w:noProof/>
                <w:sz w:val="22"/>
                <w:szCs w:val="22"/>
              </w:rPr>
              <w:t>2.8.7 Secondary effectiveness analyses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_Toc525543983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56</w:t>
            </w:r>
            <w:r w:rsidR="00FD5CAE" w:rsidRPr="006A2D4F">
              <w:rPr>
                <w:rFonts w:ascii="Arial" w:hAnsi="Arial" w:cs="Arial"/>
                <w:noProof/>
                <w:webHidden/>
                <w:sz w:val="22"/>
                <w:szCs w:val="22"/>
              </w:rPr>
              <w:fldChar w:fldCharType="end"/>
            </w:r>
          </w:hyperlink>
        </w:p>
        <w:p w14:paraId="38112D1A" w14:textId="67D8C430"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84" w:history="1">
            <w:r w:rsidR="00FD5CAE" w:rsidRPr="006A2D4F">
              <w:rPr>
                <w:rStyle w:val="Hyperlink"/>
                <w:rFonts w:ascii="Arial" w:hAnsi="Arial" w:cs="Arial"/>
                <w:noProof/>
                <w:sz w:val="22"/>
                <w:szCs w:val="22"/>
              </w:rPr>
              <w:t>2.8.8 Safety analysis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_Toc525543984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56</w:t>
            </w:r>
            <w:r w:rsidR="00FD5CAE" w:rsidRPr="006A2D4F">
              <w:rPr>
                <w:rFonts w:ascii="Arial" w:hAnsi="Arial" w:cs="Arial"/>
                <w:noProof/>
                <w:webHidden/>
                <w:sz w:val="22"/>
                <w:szCs w:val="22"/>
              </w:rPr>
              <w:fldChar w:fldCharType="end"/>
            </w:r>
          </w:hyperlink>
        </w:p>
        <w:p w14:paraId="05FC0F86" w14:textId="2D328CEC"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85" w:history="1">
            <w:r w:rsidR="00FD5CAE" w:rsidRPr="006A2D4F">
              <w:rPr>
                <w:rStyle w:val="Hyperlink"/>
                <w:rFonts w:ascii="Arial" w:hAnsi="Arial" w:cs="Arial"/>
                <w:noProof/>
                <w:sz w:val="22"/>
                <w:szCs w:val="22"/>
              </w:rPr>
              <w:t>2.8.9 Health Economic analysis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_Toc525543985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56</w:t>
            </w:r>
            <w:r w:rsidR="00FD5CAE" w:rsidRPr="006A2D4F">
              <w:rPr>
                <w:rFonts w:ascii="Arial" w:hAnsi="Arial" w:cs="Arial"/>
                <w:noProof/>
                <w:webHidden/>
                <w:sz w:val="22"/>
                <w:szCs w:val="22"/>
              </w:rPr>
              <w:fldChar w:fldCharType="end"/>
            </w:r>
          </w:hyperlink>
        </w:p>
        <w:p w14:paraId="31EC2953" w14:textId="6549E90F"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86" w:history="1">
            <w:r w:rsidR="00FD5CAE" w:rsidRPr="006A2D4F">
              <w:rPr>
                <w:rStyle w:val="Hyperlink"/>
                <w:rFonts w:ascii="Arial" w:hAnsi="Arial" w:cs="Arial"/>
                <w:noProof/>
                <w:sz w:val="22"/>
                <w:szCs w:val="22"/>
              </w:rPr>
              <w:t>2.9 Process evaluation and assessment of treatment implementation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_Toc525543986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63</w:t>
            </w:r>
            <w:r w:rsidR="00FD5CAE" w:rsidRPr="006A2D4F">
              <w:rPr>
                <w:rFonts w:ascii="Arial" w:hAnsi="Arial" w:cs="Arial"/>
                <w:noProof/>
                <w:webHidden/>
                <w:sz w:val="22"/>
                <w:szCs w:val="22"/>
              </w:rPr>
              <w:fldChar w:fldCharType="end"/>
            </w:r>
          </w:hyperlink>
        </w:p>
        <w:p w14:paraId="4BFA1DFB" w14:textId="5361EBD8"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87" w:history="1">
            <w:r w:rsidR="00FD5CAE" w:rsidRPr="006A2D4F">
              <w:rPr>
                <w:rStyle w:val="Hyperlink"/>
                <w:rFonts w:ascii="Arial" w:hAnsi="Arial" w:cs="Arial"/>
                <w:noProof/>
                <w:sz w:val="22"/>
                <w:szCs w:val="22"/>
              </w:rPr>
              <w:t>2.9.1 Aims and research questions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_Toc525543987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63</w:t>
            </w:r>
            <w:r w:rsidR="00FD5CAE" w:rsidRPr="006A2D4F">
              <w:rPr>
                <w:rFonts w:ascii="Arial" w:hAnsi="Arial" w:cs="Arial"/>
                <w:noProof/>
                <w:webHidden/>
                <w:sz w:val="22"/>
                <w:szCs w:val="22"/>
              </w:rPr>
              <w:fldChar w:fldCharType="end"/>
            </w:r>
          </w:hyperlink>
        </w:p>
        <w:p w14:paraId="555D154D" w14:textId="2AC5A851"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88" w:history="1">
            <w:r w:rsidR="00FD5CAE" w:rsidRPr="006A2D4F">
              <w:rPr>
                <w:rStyle w:val="Hyperlink"/>
                <w:rFonts w:ascii="Arial" w:hAnsi="Arial" w:cs="Arial"/>
                <w:noProof/>
                <w:sz w:val="22"/>
                <w:szCs w:val="22"/>
              </w:rPr>
              <w:t>2.9.2 Design of the process evaluation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_Toc525543988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65</w:t>
            </w:r>
            <w:r w:rsidR="00FD5CAE" w:rsidRPr="006A2D4F">
              <w:rPr>
                <w:rFonts w:ascii="Arial" w:hAnsi="Arial" w:cs="Arial"/>
                <w:noProof/>
                <w:webHidden/>
                <w:sz w:val="22"/>
                <w:szCs w:val="22"/>
              </w:rPr>
              <w:fldChar w:fldCharType="end"/>
            </w:r>
          </w:hyperlink>
        </w:p>
        <w:p w14:paraId="6F07131F" w14:textId="67957E2F"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89" w:history="1">
            <w:r w:rsidR="00FD5CAE" w:rsidRPr="006A2D4F">
              <w:rPr>
                <w:rStyle w:val="Hyperlink"/>
                <w:rFonts w:ascii="Arial" w:hAnsi="Arial" w:cs="Arial"/>
                <w:noProof/>
                <w:sz w:val="22"/>
                <w:szCs w:val="22"/>
              </w:rPr>
              <w:t>2.9.3 Sampling for the quantitative and qualitative data collection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_Toc525543989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65</w:t>
            </w:r>
            <w:r w:rsidR="00FD5CAE" w:rsidRPr="006A2D4F">
              <w:rPr>
                <w:rFonts w:ascii="Arial" w:hAnsi="Arial" w:cs="Arial"/>
                <w:noProof/>
                <w:webHidden/>
                <w:sz w:val="22"/>
                <w:szCs w:val="22"/>
              </w:rPr>
              <w:fldChar w:fldCharType="end"/>
            </w:r>
          </w:hyperlink>
        </w:p>
        <w:p w14:paraId="7D757888" w14:textId="66766B94"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90" w:history="1">
            <w:r w:rsidR="00FD5CAE" w:rsidRPr="006A2D4F">
              <w:rPr>
                <w:rStyle w:val="Hyperlink"/>
                <w:rFonts w:ascii="Arial" w:hAnsi="Arial" w:cs="Arial"/>
                <w:noProof/>
                <w:sz w:val="22"/>
                <w:szCs w:val="22"/>
              </w:rPr>
              <w:t>2.9.4 Participant eligibility</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_Toc525543990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66</w:t>
            </w:r>
            <w:r w:rsidR="00FD5CAE" w:rsidRPr="006A2D4F">
              <w:rPr>
                <w:rFonts w:ascii="Arial" w:hAnsi="Arial" w:cs="Arial"/>
                <w:noProof/>
                <w:webHidden/>
                <w:sz w:val="22"/>
                <w:szCs w:val="22"/>
              </w:rPr>
              <w:fldChar w:fldCharType="end"/>
            </w:r>
          </w:hyperlink>
        </w:p>
        <w:p w14:paraId="1E9DE561" w14:textId="7E8AF561"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91" w:history="1">
            <w:r w:rsidR="00FD5CAE" w:rsidRPr="006A2D4F">
              <w:rPr>
                <w:rStyle w:val="Hyperlink"/>
                <w:rFonts w:ascii="Arial" w:hAnsi="Arial" w:cs="Arial"/>
                <w:noProof/>
                <w:sz w:val="22"/>
                <w:szCs w:val="22"/>
              </w:rPr>
              <w:t>2.9.5 Data collection, transcription and storage</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_Toc525543991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66</w:t>
            </w:r>
            <w:r w:rsidR="00FD5CAE" w:rsidRPr="006A2D4F">
              <w:rPr>
                <w:rFonts w:ascii="Arial" w:hAnsi="Arial" w:cs="Arial"/>
                <w:noProof/>
                <w:webHidden/>
                <w:sz w:val="22"/>
                <w:szCs w:val="22"/>
              </w:rPr>
              <w:fldChar w:fldCharType="end"/>
            </w:r>
          </w:hyperlink>
        </w:p>
        <w:p w14:paraId="2A758A57" w14:textId="2875A868"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92" w:history="1">
            <w:r w:rsidR="00FD5CAE" w:rsidRPr="006A2D4F">
              <w:rPr>
                <w:rStyle w:val="Hyperlink"/>
                <w:rFonts w:ascii="Arial" w:hAnsi="Arial" w:cs="Arial"/>
                <w:noProof/>
                <w:sz w:val="22"/>
                <w:szCs w:val="22"/>
              </w:rPr>
              <w:t>2.9.6 Data analysis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_Toc525543992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67</w:t>
            </w:r>
            <w:r w:rsidR="00FD5CAE" w:rsidRPr="006A2D4F">
              <w:rPr>
                <w:rFonts w:ascii="Arial" w:hAnsi="Arial" w:cs="Arial"/>
                <w:noProof/>
                <w:webHidden/>
                <w:sz w:val="22"/>
                <w:szCs w:val="22"/>
              </w:rPr>
              <w:fldChar w:fldCharType="end"/>
            </w:r>
          </w:hyperlink>
        </w:p>
        <w:p w14:paraId="7A48E5BF" w14:textId="2E788A5B"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93" w:history="1">
            <w:r w:rsidR="00FD5CAE" w:rsidRPr="006A2D4F">
              <w:rPr>
                <w:rStyle w:val="Hyperlink"/>
                <w:rFonts w:ascii="Arial" w:hAnsi="Arial" w:cs="Arial"/>
                <w:noProof/>
                <w:sz w:val="22"/>
                <w:szCs w:val="22"/>
              </w:rPr>
              <w:t>2.9.7 Measurement of adherence</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_Toc525543993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68</w:t>
            </w:r>
            <w:r w:rsidR="00FD5CAE" w:rsidRPr="006A2D4F">
              <w:rPr>
                <w:rFonts w:ascii="Arial" w:hAnsi="Arial" w:cs="Arial"/>
                <w:noProof/>
                <w:webHidden/>
                <w:sz w:val="22"/>
                <w:szCs w:val="22"/>
              </w:rPr>
              <w:fldChar w:fldCharType="end"/>
            </w:r>
          </w:hyperlink>
        </w:p>
        <w:p w14:paraId="59A2CECA" w14:textId="1DED89B2"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94" w:history="1">
            <w:r w:rsidR="00FD5CAE" w:rsidRPr="006A2D4F">
              <w:rPr>
                <w:rStyle w:val="Hyperlink"/>
                <w:rFonts w:ascii="Arial" w:hAnsi="Arial" w:cs="Arial"/>
                <w:noProof/>
                <w:sz w:val="22"/>
                <w:szCs w:val="22"/>
              </w:rPr>
              <w:t>2.10 Summary of changes to project protocol</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_Toc525543994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69</w:t>
            </w:r>
            <w:r w:rsidR="00FD5CAE" w:rsidRPr="006A2D4F">
              <w:rPr>
                <w:rFonts w:ascii="Arial" w:hAnsi="Arial" w:cs="Arial"/>
                <w:noProof/>
                <w:webHidden/>
                <w:sz w:val="22"/>
                <w:szCs w:val="22"/>
              </w:rPr>
              <w:fldChar w:fldCharType="end"/>
            </w:r>
          </w:hyperlink>
        </w:p>
        <w:p w14:paraId="55E405B4" w14:textId="400F1244"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95" w:history="1">
            <w:r w:rsidR="00FD5CAE" w:rsidRPr="006A2D4F">
              <w:rPr>
                <w:rStyle w:val="Hyperlink"/>
                <w:rFonts w:ascii="Arial" w:hAnsi="Arial" w:cs="Arial"/>
                <w:noProof/>
                <w:sz w:val="22"/>
                <w:szCs w:val="22"/>
              </w:rPr>
              <w:t>2.10.1 Internal pilot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_Toc525543995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69</w:t>
            </w:r>
            <w:r w:rsidR="00FD5CAE" w:rsidRPr="006A2D4F">
              <w:rPr>
                <w:rFonts w:ascii="Arial" w:hAnsi="Arial" w:cs="Arial"/>
                <w:noProof/>
                <w:webHidden/>
                <w:sz w:val="22"/>
                <w:szCs w:val="22"/>
              </w:rPr>
              <w:fldChar w:fldCharType="end"/>
            </w:r>
          </w:hyperlink>
        </w:p>
        <w:p w14:paraId="27BBC0EE" w14:textId="5D279898"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3996" w:history="1">
            <w:r w:rsidR="00FD5CAE" w:rsidRPr="006A2D4F">
              <w:rPr>
                <w:rStyle w:val="Hyperlink"/>
                <w:rFonts w:ascii="Arial" w:hAnsi="Arial" w:cs="Arial"/>
                <w:noProof/>
                <w:sz w:val="22"/>
                <w:szCs w:val="22"/>
              </w:rPr>
              <w:t>2.10.2 Design change</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_Toc525543996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69</w:t>
            </w:r>
            <w:r w:rsidR="00FD5CAE" w:rsidRPr="006A2D4F">
              <w:rPr>
                <w:rFonts w:ascii="Arial" w:hAnsi="Arial" w:cs="Arial"/>
                <w:noProof/>
                <w:webHidden/>
                <w:sz w:val="22"/>
                <w:szCs w:val="22"/>
              </w:rPr>
              <w:fldChar w:fldCharType="end"/>
            </w:r>
          </w:hyperlink>
        </w:p>
        <w:p w14:paraId="68E52B92" w14:textId="26E52183"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97" w:history="1">
            <w:r w:rsidR="00FD5CAE" w:rsidRPr="006A2D4F">
              <w:rPr>
                <w:rStyle w:val="Hyperlink"/>
                <w:rFonts w:ascii="Arial" w:hAnsi="Arial" w:cs="Arial"/>
                <w:noProof/>
                <w:sz w:val="22"/>
                <w:szCs w:val="22"/>
              </w:rPr>
              <w:t>2.11 Resident safety</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_Toc525543997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73</w:t>
            </w:r>
            <w:r w:rsidR="00FD5CAE" w:rsidRPr="006A2D4F">
              <w:rPr>
                <w:rFonts w:ascii="Arial" w:hAnsi="Arial" w:cs="Arial"/>
                <w:noProof/>
                <w:webHidden/>
                <w:sz w:val="22"/>
                <w:szCs w:val="22"/>
              </w:rPr>
              <w:fldChar w:fldCharType="end"/>
            </w:r>
          </w:hyperlink>
        </w:p>
        <w:p w14:paraId="3AC57A53" w14:textId="6A307C65"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98" w:history="1">
            <w:r w:rsidR="00FD5CAE" w:rsidRPr="006A2D4F">
              <w:rPr>
                <w:rStyle w:val="Hyperlink"/>
                <w:rFonts w:ascii="Arial" w:hAnsi="Arial" w:cs="Arial"/>
                <w:noProof/>
                <w:sz w:val="22"/>
                <w:szCs w:val="22"/>
              </w:rPr>
              <w:t>2.12 Safeguarding</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_Toc525543998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74</w:t>
            </w:r>
            <w:r w:rsidR="00FD5CAE" w:rsidRPr="006A2D4F">
              <w:rPr>
                <w:rFonts w:ascii="Arial" w:hAnsi="Arial" w:cs="Arial"/>
                <w:noProof/>
                <w:webHidden/>
                <w:sz w:val="22"/>
                <w:szCs w:val="22"/>
              </w:rPr>
              <w:fldChar w:fldCharType="end"/>
            </w:r>
          </w:hyperlink>
        </w:p>
        <w:p w14:paraId="44F28669" w14:textId="770D4A7A"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3999" w:history="1">
            <w:r w:rsidR="00FD5CAE" w:rsidRPr="006A2D4F">
              <w:rPr>
                <w:rStyle w:val="Hyperlink"/>
                <w:rFonts w:ascii="Arial" w:hAnsi="Arial" w:cs="Arial"/>
                <w:noProof/>
                <w:sz w:val="22"/>
                <w:szCs w:val="22"/>
              </w:rPr>
              <w:t>2.13 Patient and Public Involvement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_Toc525543999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74</w:t>
            </w:r>
            <w:r w:rsidR="00FD5CAE" w:rsidRPr="006A2D4F">
              <w:rPr>
                <w:rFonts w:ascii="Arial" w:hAnsi="Arial" w:cs="Arial"/>
                <w:noProof/>
                <w:webHidden/>
                <w:sz w:val="22"/>
                <w:szCs w:val="22"/>
              </w:rPr>
              <w:fldChar w:fldCharType="end"/>
            </w:r>
          </w:hyperlink>
        </w:p>
        <w:p w14:paraId="271B5631" w14:textId="0775971B"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00" w:history="1">
            <w:r w:rsidR="00FD5CAE" w:rsidRPr="006A2D4F">
              <w:rPr>
                <w:rStyle w:val="Hyperlink"/>
                <w:rFonts w:ascii="Arial" w:hAnsi="Arial" w:cs="Arial"/>
                <w:noProof/>
                <w:sz w:val="22"/>
                <w:szCs w:val="22"/>
              </w:rPr>
              <w:t>2.13.1 Lay advisors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_Toc525544000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74</w:t>
            </w:r>
            <w:r w:rsidR="00FD5CAE" w:rsidRPr="006A2D4F">
              <w:rPr>
                <w:rFonts w:ascii="Arial" w:hAnsi="Arial" w:cs="Arial"/>
                <w:noProof/>
                <w:webHidden/>
                <w:sz w:val="22"/>
                <w:szCs w:val="22"/>
              </w:rPr>
              <w:fldChar w:fldCharType="end"/>
            </w:r>
          </w:hyperlink>
        </w:p>
        <w:p w14:paraId="5EC66CCA" w14:textId="2DAD1538"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01" w:history="1">
            <w:r w:rsidR="00FD5CAE" w:rsidRPr="006A2D4F">
              <w:rPr>
                <w:rStyle w:val="Hyperlink"/>
                <w:rFonts w:ascii="Arial" w:hAnsi="Arial" w:cs="Arial"/>
                <w:noProof/>
                <w:sz w:val="22"/>
                <w:szCs w:val="22"/>
              </w:rPr>
              <w:t>2.13.2 Lay Advisory Group</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_Toc525544001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75</w:t>
            </w:r>
            <w:r w:rsidR="00FD5CAE" w:rsidRPr="006A2D4F">
              <w:rPr>
                <w:rFonts w:ascii="Arial" w:hAnsi="Arial" w:cs="Arial"/>
                <w:noProof/>
                <w:webHidden/>
                <w:sz w:val="22"/>
                <w:szCs w:val="22"/>
              </w:rPr>
              <w:fldChar w:fldCharType="end"/>
            </w:r>
          </w:hyperlink>
        </w:p>
        <w:p w14:paraId="7D487D29" w14:textId="612FA6E0"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4002" w:history="1">
            <w:r w:rsidR="00FD5CAE" w:rsidRPr="006A2D4F">
              <w:rPr>
                <w:rStyle w:val="Hyperlink"/>
                <w:rFonts w:ascii="Arial" w:hAnsi="Arial" w:cs="Arial"/>
                <w:noProof/>
                <w:sz w:val="22"/>
                <w:szCs w:val="22"/>
              </w:rPr>
              <w:t>Chapter 3: Results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_Toc525544002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76</w:t>
            </w:r>
            <w:r w:rsidR="00FD5CAE" w:rsidRPr="006A2D4F">
              <w:rPr>
                <w:rFonts w:ascii="Arial" w:hAnsi="Arial" w:cs="Arial"/>
                <w:noProof/>
                <w:webHidden/>
                <w:sz w:val="22"/>
                <w:szCs w:val="22"/>
              </w:rPr>
              <w:fldChar w:fldCharType="end"/>
            </w:r>
          </w:hyperlink>
        </w:p>
        <w:p w14:paraId="60F690CB" w14:textId="2781A6BA"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03" w:history="1">
            <w:r w:rsidR="00FD5CAE" w:rsidRPr="006A2D4F">
              <w:rPr>
                <w:rStyle w:val="Hyperlink"/>
                <w:rFonts w:ascii="Arial" w:hAnsi="Arial" w:cs="Arial"/>
                <w:noProof/>
                <w:sz w:val="22"/>
                <w:szCs w:val="22"/>
              </w:rPr>
              <w:t>3.1 Recruitment and randomisation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_Toc525544003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76</w:t>
            </w:r>
            <w:r w:rsidR="00FD5CAE" w:rsidRPr="006A2D4F">
              <w:rPr>
                <w:rFonts w:ascii="Arial" w:hAnsi="Arial" w:cs="Arial"/>
                <w:noProof/>
                <w:webHidden/>
                <w:sz w:val="22"/>
                <w:szCs w:val="22"/>
              </w:rPr>
              <w:fldChar w:fldCharType="end"/>
            </w:r>
          </w:hyperlink>
        </w:p>
        <w:p w14:paraId="6E1DA22C" w14:textId="13C02A69"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04" w:history="1">
            <w:r w:rsidR="00FD5CAE" w:rsidRPr="006A2D4F">
              <w:rPr>
                <w:rStyle w:val="Hyperlink"/>
                <w:rFonts w:ascii="Arial" w:hAnsi="Arial" w:cs="Arial"/>
                <w:noProof/>
                <w:sz w:val="22"/>
                <w:szCs w:val="22"/>
              </w:rPr>
              <w:t>3.1.1 Cluster recruitment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_Toc525544004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76</w:t>
            </w:r>
            <w:r w:rsidR="00FD5CAE" w:rsidRPr="006A2D4F">
              <w:rPr>
                <w:rFonts w:ascii="Arial" w:hAnsi="Arial" w:cs="Arial"/>
                <w:noProof/>
                <w:webHidden/>
                <w:sz w:val="22"/>
                <w:szCs w:val="22"/>
              </w:rPr>
              <w:fldChar w:fldCharType="end"/>
            </w:r>
          </w:hyperlink>
        </w:p>
        <w:p w14:paraId="01E35771" w14:textId="0DC49439"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05" w:history="1">
            <w:r w:rsidR="00FD5CAE" w:rsidRPr="006A2D4F">
              <w:rPr>
                <w:rStyle w:val="Hyperlink"/>
                <w:rFonts w:ascii="Arial" w:hAnsi="Arial" w:cs="Arial"/>
                <w:noProof/>
                <w:sz w:val="22"/>
                <w:szCs w:val="22"/>
              </w:rPr>
              <w:t>3.1.2 Resident participant flow and recruitment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_Toc525544005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76</w:t>
            </w:r>
            <w:r w:rsidR="00FD5CAE" w:rsidRPr="006A2D4F">
              <w:rPr>
                <w:rFonts w:ascii="Arial" w:hAnsi="Arial" w:cs="Arial"/>
                <w:noProof/>
                <w:webHidden/>
                <w:sz w:val="22"/>
                <w:szCs w:val="22"/>
              </w:rPr>
              <w:fldChar w:fldCharType="end"/>
            </w:r>
          </w:hyperlink>
        </w:p>
        <w:p w14:paraId="099E3B6F" w14:textId="3787FA3C"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06" w:history="1">
            <w:r w:rsidR="00FD5CAE" w:rsidRPr="006A2D4F">
              <w:rPr>
                <w:rStyle w:val="Hyperlink"/>
                <w:rFonts w:ascii="Arial" w:hAnsi="Arial" w:cs="Arial"/>
                <w:noProof/>
                <w:sz w:val="22"/>
                <w:szCs w:val="22"/>
              </w:rPr>
              <w:t>3.1.3 Staff recruitment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_Toc525544006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80</w:t>
            </w:r>
            <w:r w:rsidR="00FD5CAE" w:rsidRPr="006A2D4F">
              <w:rPr>
                <w:rFonts w:ascii="Arial" w:hAnsi="Arial" w:cs="Arial"/>
                <w:noProof/>
                <w:webHidden/>
                <w:sz w:val="22"/>
                <w:szCs w:val="22"/>
              </w:rPr>
              <w:fldChar w:fldCharType="end"/>
            </w:r>
          </w:hyperlink>
        </w:p>
        <w:p w14:paraId="165AB957" w14:textId="2AC31501"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07" w:history="1">
            <w:r w:rsidR="00FD5CAE" w:rsidRPr="006A2D4F">
              <w:rPr>
                <w:rStyle w:val="Hyperlink"/>
                <w:rFonts w:ascii="Arial" w:hAnsi="Arial" w:cs="Arial"/>
                <w:noProof/>
                <w:sz w:val="22"/>
                <w:szCs w:val="22"/>
              </w:rPr>
              <w:t>3.1.4 Relative/friend recruitment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_Toc525544007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80</w:t>
            </w:r>
            <w:r w:rsidR="00FD5CAE" w:rsidRPr="006A2D4F">
              <w:rPr>
                <w:rFonts w:ascii="Arial" w:hAnsi="Arial" w:cs="Arial"/>
                <w:noProof/>
                <w:webHidden/>
                <w:sz w:val="22"/>
                <w:szCs w:val="22"/>
              </w:rPr>
              <w:fldChar w:fldCharType="end"/>
            </w:r>
          </w:hyperlink>
        </w:p>
        <w:p w14:paraId="318508ED" w14:textId="3EBA5550"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08" w:history="1">
            <w:r w:rsidR="00FD5CAE" w:rsidRPr="006A2D4F">
              <w:rPr>
                <w:rStyle w:val="Hyperlink"/>
                <w:rFonts w:ascii="Arial" w:hAnsi="Arial" w:cs="Arial"/>
                <w:noProof/>
                <w:sz w:val="22"/>
                <w:szCs w:val="22"/>
              </w:rPr>
              <w:t>3.2 Baseline data</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_Toc525544008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80</w:t>
            </w:r>
            <w:r w:rsidR="00FD5CAE" w:rsidRPr="006A2D4F">
              <w:rPr>
                <w:rFonts w:ascii="Arial" w:hAnsi="Arial" w:cs="Arial"/>
                <w:noProof/>
                <w:webHidden/>
                <w:sz w:val="22"/>
                <w:szCs w:val="22"/>
              </w:rPr>
              <w:fldChar w:fldCharType="end"/>
            </w:r>
          </w:hyperlink>
        </w:p>
        <w:p w14:paraId="57B43DE1" w14:textId="27627C3F"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09" w:history="1">
            <w:r w:rsidR="00FD5CAE" w:rsidRPr="006A2D4F">
              <w:rPr>
                <w:rStyle w:val="Hyperlink"/>
                <w:rFonts w:ascii="Arial" w:hAnsi="Arial" w:cs="Arial"/>
                <w:noProof/>
                <w:sz w:val="22"/>
                <w:szCs w:val="22"/>
              </w:rPr>
              <w:t>3.2.1 Care Home characteristics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_Toc525544009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80</w:t>
            </w:r>
            <w:r w:rsidR="00FD5CAE" w:rsidRPr="006A2D4F">
              <w:rPr>
                <w:rFonts w:ascii="Arial" w:hAnsi="Arial" w:cs="Arial"/>
                <w:noProof/>
                <w:webHidden/>
                <w:sz w:val="22"/>
                <w:szCs w:val="22"/>
              </w:rPr>
              <w:fldChar w:fldCharType="end"/>
            </w:r>
          </w:hyperlink>
        </w:p>
        <w:p w14:paraId="38B6D7C3" w14:textId="1770D9DD"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10" w:history="1">
            <w:r w:rsidR="00FD5CAE" w:rsidRPr="006A2D4F">
              <w:rPr>
                <w:rStyle w:val="Hyperlink"/>
                <w:rFonts w:ascii="Arial" w:eastAsia="Calibri" w:hAnsi="Arial" w:cs="Arial"/>
                <w:noProof/>
                <w:sz w:val="22"/>
                <w:szCs w:val="22"/>
              </w:rPr>
              <w:t>3.2.2 Resident characteristics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_Toc525544010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83</w:t>
            </w:r>
            <w:r w:rsidR="00FD5CAE" w:rsidRPr="006A2D4F">
              <w:rPr>
                <w:rFonts w:ascii="Arial" w:hAnsi="Arial" w:cs="Arial"/>
                <w:noProof/>
                <w:webHidden/>
                <w:sz w:val="22"/>
                <w:szCs w:val="22"/>
              </w:rPr>
              <w:fldChar w:fldCharType="end"/>
            </w:r>
          </w:hyperlink>
        </w:p>
        <w:p w14:paraId="59802F1A" w14:textId="47BF54B4"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11" w:history="1">
            <w:r w:rsidR="00FD5CAE" w:rsidRPr="006A2D4F">
              <w:rPr>
                <w:rStyle w:val="Hyperlink"/>
                <w:rFonts w:ascii="Arial" w:hAnsi="Arial" w:cs="Arial"/>
                <w:noProof/>
                <w:sz w:val="22"/>
                <w:szCs w:val="22"/>
              </w:rPr>
              <w:t>3.3 Treatment summaries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_Toc525544011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83</w:t>
            </w:r>
            <w:r w:rsidR="00FD5CAE" w:rsidRPr="006A2D4F">
              <w:rPr>
                <w:rFonts w:ascii="Arial" w:hAnsi="Arial" w:cs="Arial"/>
                <w:noProof/>
                <w:webHidden/>
                <w:sz w:val="22"/>
                <w:szCs w:val="22"/>
              </w:rPr>
              <w:fldChar w:fldCharType="end"/>
            </w:r>
          </w:hyperlink>
        </w:p>
        <w:p w14:paraId="259BDB6D" w14:textId="0F3E1CBE"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12" w:history="1">
            <w:r w:rsidR="00FD5CAE" w:rsidRPr="006A2D4F">
              <w:rPr>
                <w:rStyle w:val="Hyperlink"/>
                <w:rFonts w:ascii="Arial" w:hAnsi="Arial" w:cs="Arial"/>
                <w:noProof/>
                <w:sz w:val="22"/>
                <w:szCs w:val="22"/>
              </w:rPr>
              <w:t>3.3.1 Control</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_Toc525544012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83</w:t>
            </w:r>
            <w:r w:rsidR="00FD5CAE" w:rsidRPr="006A2D4F">
              <w:rPr>
                <w:rFonts w:ascii="Arial" w:hAnsi="Arial" w:cs="Arial"/>
                <w:noProof/>
                <w:webHidden/>
                <w:sz w:val="22"/>
                <w:szCs w:val="22"/>
              </w:rPr>
              <w:fldChar w:fldCharType="end"/>
            </w:r>
          </w:hyperlink>
        </w:p>
        <w:p w14:paraId="673DBC69" w14:textId="30B18E0F"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13" w:history="1">
            <w:r w:rsidR="00FD5CAE" w:rsidRPr="006A2D4F">
              <w:rPr>
                <w:rStyle w:val="Hyperlink"/>
                <w:rFonts w:ascii="Arial" w:hAnsi="Arial" w:cs="Arial"/>
                <w:noProof/>
                <w:sz w:val="22"/>
                <w:szCs w:val="22"/>
              </w:rPr>
              <w:t>3.3.2 Intervention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_Toc525544013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83</w:t>
            </w:r>
            <w:r w:rsidR="00FD5CAE" w:rsidRPr="006A2D4F">
              <w:rPr>
                <w:rFonts w:ascii="Arial" w:hAnsi="Arial" w:cs="Arial"/>
                <w:noProof/>
                <w:webHidden/>
                <w:sz w:val="22"/>
                <w:szCs w:val="22"/>
              </w:rPr>
              <w:fldChar w:fldCharType="end"/>
            </w:r>
          </w:hyperlink>
        </w:p>
        <w:p w14:paraId="467203DA" w14:textId="2FA2925C"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14" w:history="1">
            <w:r w:rsidR="00FD5CAE" w:rsidRPr="006A2D4F">
              <w:rPr>
                <w:rStyle w:val="Hyperlink"/>
                <w:rFonts w:ascii="Arial" w:hAnsi="Arial" w:cs="Arial"/>
                <w:noProof/>
                <w:sz w:val="22"/>
                <w:szCs w:val="22"/>
              </w:rPr>
              <w:t>3.4 Losses and exclusions after randomisation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_Toc525544014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85</w:t>
            </w:r>
            <w:r w:rsidR="00FD5CAE" w:rsidRPr="006A2D4F">
              <w:rPr>
                <w:rFonts w:ascii="Arial" w:hAnsi="Arial" w:cs="Arial"/>
                <w:noProof/>
                <w:webHidden/>
                <w:sz w:val="22"/>
                <w:szCs w:val="22"/>
              </w:rPr>
              <w:fldChar w:fldCharType="end"/>
            </w:r>
          </w:hyperlink>
        </w:p>
        <w:p w14:paraId="1F0A97C4" w14:textId="11642029"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15" w:history="1">
            <w:r w:rsidR="00FD5CAE" w:rsidRPr="006A2D4F">
              <w:rPr>
                <w:rStyle w:val="Hyperlink"/>
                <w:rFonts w:ascii="Arial" w:hAnsi="Arial" w:cs="Arial"/>
                <w:noProof/>
                <w:sz w:val="22"/>
                <w:szCs w:val="22"/>
              </w:rPr>
              <w:t>3.4.1 Withdrawals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_Toc525544015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85</w:t>
            </w:r>
            <w:r w:rsidR="00FD5CAE" w:rsidRPr="006A2D4F">
              <w:rPr>
                <w:rFonts w:ascii="Arial" w:hAnsi="Arial" w:cs="Arial"/>
                <w:noProof/>
                <w:webHidden/>
                <w:sz w:val="22"/>
                <w:szCs w:val="22"/>
              </w:rPr>
              <w:fldChar w:fldCharType="end"/>
            </w:r>
          </w:hyperlink>
        </w:p>
        <w:p w14:paraId="746CFE4F" w14:textId="157CCADD"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16" w:history="1">
            <w:r w:rsidR="00FD5CAE" w:rsidRPr="006A2D4F">
              <w:rPr>
                <w:rStyle w:val="Hyperlink"/>
                <w:rFonts w:ascii="Arial" w:hAnsi="Arial" w:cs="Arial"/>
                <w:noProof/>
                <w:sz w:val="22"/>
                <w:szCs w:val="22"/>
              </w:rPr>
              <w:t>3.4.2 Protocol violations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_Toc525544016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85</w:t>
            </w:r>
            <w:r w:rsidR="00FD5CAE" w:rsidRPr="006A2D4F">
              <w:rPr>
                <w:rFonts w:ascii="Arial" w:hAnsi="Arial" w:cs="Arial"/>
                <w:noProof/>
                <w:webHidden/>
                <w:sz w:val="22"/>
                <w:szCs w:val="22"/>
              </w:rPr>
              <w:fldChar w:fldCharType="end"/>
            </w:r>
          </w:hyperlink>
        </w:p>
        <w:p w14:paraId="1465212D" w14:textId="295D3CE4"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17" w:history="1">
            <w:r w:rsidR="00FD5CAE" w:rsidRPr="006A2D4F">
              <w:rPr>
                <w:rStyle w:val="Hyperlink"/>
                <w:rFonts w:ascii="Arial" w:hAnsi="Arial" w:cs="Arial"/>
                <w:noProof/>
                <w:sz w:val="22"/>
                <w:szCs w:val="22"/>
              </w:rPr>
              <w:t>3.4.3 Resident deaths in closed cohort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_Toc525544017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85</w:t>
            </w:r>
            <w:r w:rsidR="00FD5CAE" w:rsidRPr="006A2D4F">
              <w:rPr>
                <w:rFonts w:ascii="Arial" w:hAnsi="Arial" w:cs="Arial"/>
                <w:noProof/>
                <w:webHidden/>
                <w:sz w:val="22"/>
                <w:szCs w:val="22"/>
              </w:rPr>
              <w:fldChar w:fldCharType="end"/>
            </w:r>
          </w:hyperlink>
        </w:p>
        <w:p w14:paraId="06B67439" w14:textId="27128FAA"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18" w:history="1">
            <w:r w:rsidR="00FD5CAE" w:rsidRPr="006A2D4F">
              <w:rPr>
                <w:rStyle w:val="Hyperlink"/>
                <w:rFonts w:ascii="Arial" w:hAnsi="Arial" w:cs="Arial"/>
                <w:noProof/>
                <w:sz w:val="22"/>
                <w:szCs w:val="22"/>
              </w:rPr>
              <w:t>3.5 Clinical effectiveness of the intervention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_Toc525544018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86</w:t>
            </w:r>
            <w:r w:rsidR="00FD5CAE" w:rsidRPr="006A2D4F">
              <w:rPr>
                <w:rFonts w:ascii="Arial" w:hAnsi="Arial" w:cs="Arial"/>
                <w:noProof/>
                <w:webHidden/>
                <w:sz w:val="22"/>
                <w:szCs w:val="22"/>
              </w:rPr>
              <w:fldChar w:fldCharType="end"/>
            </w:r>
          </w:hyperlink>
        </w:p>
        <w:p w14:paraId="20955D04" w14:textId="6D949D79"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19" w:history="1">
            <w:r w:rsidR="00FD5CAE" w:rsidRPr="006A2D4F">
              <w:rPr>
                <w:rStyle w:val="Hyperlink"/>
                <w:rFonts w:ascii="Arial" w:hAnsi="Arial" w:cs="Arial"/>
                <w:noProof/>
                <w:sz w:val="22"/>
                <w:szCs w:val="22"/>
              </w:rPr>
              <w:t>3.5.1 Analyses of the primary outcome</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_Toc525544019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86</w:t>
            </w:r>
            <w:r w:rsidR="00FD5CAE" w:rsidRPr="006A2D4F">
              <w:rPr>
                <w:rFonts w:ascii="Arial" w:hAnsi="Arial" w:cs="Arial"/>
                <w:noProof/>
                <w:webHidden/>
                <w:sz w:val="22"/>
                <w:szCs w:val="22"/>
              </w:rPr>
              <w:fldChar w:fldCharType="end"/>
            </w:r>
          </w:hyperlink>
        </w:p>
        <w:p w14:paraId="1D1E1FAC" w14:textId="6808335E"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20" w:history="1">
            <w:r w:rsidR="00FD5CAE" w:rsidRPr="006A2D4F">
              <w:rPr>
                <w:rStyle w:val="Hyperlink"/>
                <w:rFonts w:ascii="Arial" w:hAnsi="Arial" w:cs="Arial"/>
                <w:noProof/>
                <w:sz w:val="22"/>
                <w:szCs w:val="22"/>
              </w:rPr>
              <w:t>3.5.3 Analyses of safety</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_Toc525544020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100</w:t>
            </w:r>
            <w:r w:rsidR="00FD5CAE" w:rsidRPr="006A2D4F">
              <w:rPr>
                <w:rFonts w:ascii="Arial" w:hAnsi="Arial" w:cs="Arial"/>
                <w:noProof/>
                <w:webHidden/>
                <w:sz w:val="22"/>
                <w:szCs w:val="22"/>
              </w:rPr>
              <w:fldChar w:fldCharType="end"/>
            </w:r>
          </w:hyperlink>
        </w:p>
        <w:p w14:paraId="27B1CC52" w14:textId="0A0AC719"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4021" w:history="1">
            <w:r w:rsidR="00FD5CAE" w:rsidRPr="006A2D4F">
              <w:rPr>
                <w:rStyle w:val="Hyperlink"/>
                <w:rFonts w:ascii="Arial" w:hAnsi="Arial" w:cs="Arial"/>
                <w:noProof/>
                <w:sz w:val="22"/>
                <w:szCs w:val="22"/>
              </w:rPr>
              <w:t>4. Cost effectiveness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_Toc525544021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102</w:t>
            </w:r>
            <w:r w:rsidR="00FD5CAE" w:rsidRPr="006A2D4F">
              <w:rPr>
                <w:rFonts w:ascii="Arial" w:hAnsi="Arial" w:cs="Arial"/>
                <w:noProof/>
                <w:webHidden/>
                <w:sz w:val="22"/>
                <w:szCs w:val="22"/>
              </w:rPr>
              <w:fldChar w:fldCharType="end"/>
            </w:r>
          </w:hyperlink>
        </w:p>
        <w:p w14:paraId="6AF84086" w14:textId="0B2996EB"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22" w:history="1">
            <w:r w:rsidR="00FD5CAE" w:rsidRPr="006A2D4F">
              <w:rPr>
                <w:rStyle w:val="Hyperlink"/>
                <w:rFonts w:ascii="Arial" w:hAnsi="Arial" w:cs="Arial"/>
                <w:noProof/>
                <w:sz w:val="22"/>
                <w:szCs w:val="22"/>
              </w:rPr>
              <w:t>4.1 Missing data</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_Toc525544022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102</w:t>
            </w:r>
            <w:r w:rsidR="00FD5CAE" w:rsidRPr="006A2D4F">
              <w:rPr>
                <w:rFonts w:ascii="Arial" w:hAnsi="Arial" w:cs="Arial"/>
                <w:noProof/>
                <w:webHidden/>
                <w:sz w:val="22"/>
                <w:szCs w:val="22"/>
              </w:rPr>
              <w:fldChar w:fldCharType="end"/>
            </w:r>
          </w:hyperlink>
        </w:p>
        <w:p w14:paraId="50D0539C" w14:textId="3749E809"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23" w:history="1">
            <w:r w:rsidR="00FD5CAE" w:rsidRPr="006A2D4F">
              <w:rPr>
                <w:rStyle w:val="Hyperlink"/>
                <w:rFonts w:ascii="Arial" w:hAnsi="Arial" w:cs="Arial"/>
                <w:noProof/>
                <w:sz w:val="22"/>
                <w:szCs w:val="22"/>
              </w:rPr>
              <w:t>4.2 Costs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_Toc525544023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103</w:t>
            </w:r>
            <w:r w:rsidR="00FD5CAE" w:rsidRPr="006A2D4F">
              <w:rPr>
                <w:rFonts w:ascii="Arial" w:hAnsi="Arial" w:cs="Arial"/>
                <w:noProof/>
                <w:webHidden/>
                <w:sz w:val="22"/>
                <w:szCs w:val="22"/>
              </w:rPr>
              <w:fldChar w:fldCharType="end"/>
            </w:r>
          </w:hyperlink>
        </w:p>
        <w:p w14:paraId="6324561F" w14:textId="3FB0519A"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24" w:history="1">
            <w:r w:rsidR="00FD5CAE" w:rsidRPr="006A2D4F">
              <w:rPr>
                <w:rStyle w:val="Hyperlink"/>
                <w:rFonts w:ascii="Arial" w:hAnsi="Arial" w:cs="Arial"/>
                <w:noProof/>
                <w:sz w:val="22"/>
                <w:szCs w:val="22"/>
              </w:rPr>
              <w:t>4.3 Utility</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_Toc525544024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105</w:t>
            </w:r>
            <w:r w:rsidR="00FD5CAE" w:rsidRPr="006A2D4F">
              <w:rPr>
                <w:rFonts w:ascii="Arial" w:hAnsi="Arial" w:cs="Arial"/>
                <w:noProof/>
                <w:webHidden/>
                <w:sz w:val="22"/>
                <w:szCs w:val="22"/>
              </w:rPr>
              <w:fldChar w:fldCharType="end"/>
            </w:r>
          </w:hyperlink>
        </w:p>
        <w:p w14:paraId="0408C3EC" w14:textId="7143DB65"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25" w:history="1">
            <w:r w:rsidR="00FD5CAE" w:rsidRPr="006A2D4F">
              <w:rPr>
                <w:rStyle w:val="Hyperlink"/>
                <w:rFonts w:ascii="Arial" w:hAnsi="Arial" w:cs="Arial"/>
                <w:noProof/>
                <w:sz w:val="22"/>
                <w:szCs w:val="22"/>
              </w:rPr>
              <w:t>4.3.1 Cost-effectiveness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_Toc525544025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107</w:t>
            </w:r>
            <w:r w:rsidR="00FD5CAE" w:rsidRPr="006A2D4F">
              <w:rPr>
                <w:rFonts w:ascii="Arial" w:hAnsi="Arial" w:cs="Arial"/>
                <w:noProof/>
                <w:webHidden/>
                <w:sz w:val="22"/>
                <w:szCs w:val="22"/>
              </w:rPr>
              <w:fldChar w:fldCharType="end"/>
            </w:r>
          </w:hyperlink>
        </w:p>
        <w:p w14:paraId="5F50F459" w14:textId="3A6C6E05"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4026" w:history="1">
            <w:r w:rsidR="00FD5CAE" w:rsidRPr="006A2D4F">
              <w:rPr>
                <w:rStyle w:val="Hyperlink"/>
                <w:rFonts w:ascii="Arial" w:hAnsi="Arial" w:cs="Arial"/>
                <w:noProof/>
                <w:sz w:val="22"/>
                <w:szCs w:val="22"/>
              </w:rPr>
              <w:t>5. Process evaluation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_Toc525544026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111</w:t>
            </w:r>
            <w:r w:rsidR="00FD5CAE" w:rsidRPr="006A2D4F">
              <w:rPr>
                <w:rFonts w:ascii="Arial" w:hAnsi="Arial" w:cs="Arial"/>
                <w:noProof/>
                <w:webHidden/>
                <w:sz w:val="22"/>
                <w:szCs w:val="22"/>
              </w:rPr>
              <w:fldChar w:fldCharType="end"/>
            </w:r>
          </w:hyperlink>
        </w:p>
        <w:p w14:paraId="3FBADC57" w14:textId="0B080C3C"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27" w:history="1">
            <w:r w:rsidR="00FD5CAE" w:rsidRPr="006A2D4F">
              <w:rPr>
                <w:rStyle w:val="Hyperlink"/>
                <w:rFonts w:ascii="Arial" w:hAnsi="Arial" w:cs="Arial"/>
                <w:noProof/>
                <w:sz w:val="22"/>
                <w:szCs w:val="22"/>
              </w:rPr>
              <w:t>5.1 Participants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_Toc525544027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111</w:t>
            </w:r>
            <w:r w:rsidR="00FD5CAE" w:rsidRPr="006A2D4F">
              <w:rPr>
                <w:rFonts w:ascii="Arial" w:hAnsi="Arial" w:cs="Arial"/>
                <w:noProof/>
                <w:webHidden/>
                <w:sz w:val="22"/>
                <w:szCs w:val="22"/>
              </w:rPr>
              <w:fldChar w:fldCharType="end"/>
            </w:r>
          </w:hyperlink>
        </w:p>
        <w:p w14:paraId="7EA3BF8E" w14:textId="023198E6"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28" w:history="1">
            <w:r w:rsidR="00FD5CAE" w:rsidRPr="006A2D4F">
              <w:rPr>
                <w:rStyle w:val="Hyperlink"/>
                <w:rFonts w:ascii="Arial" w:hAnsi="Arial" w:cs="Arial"/>
                <w:noProof/>
                <w:sz w:val="22"/>
                <w:szCs w:val="22"/>
              </w:rPr>
              <w:t>5.2 What was implemented?</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_Toc525544028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111</w:t>
            </w:r>
            <w:r w:rsidR="00FD5CAE" w:rsidRPr="006A2D4F">
              <w:rPr>
                <w:rFonts w:ascii="Arial" w:hAnsi="Arial" w:cs="Arial"/>
                <w:noProof/>
                <w:webHidden/>
                <w:sz w:val="22"/>
                <w:szCs w:val="22"/>
              </w:rPr>
              <w:fldChar w:fldCharType="end"/>
            </w:r>
          </w:hyperlink>
        </w:p>
        <w:p w14:paraId="6AF8B580" w14:textId="76FDB26B"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29" w:history="1">
            <w:r w:rsidR="00FD5CAE" w:rsidRPr="006A2D4F">
              <w:rPr>
                <w:rStyle w:val="Hyperlink"/>
                <w:rFonts w:ascii="Arial" w:hAnsi="Arial" w:cs="Arial"/>
                <w:noProof/>
                <w:sz w:val="22"/>
                <w:szCs w:val="22"/>
              </w:rPr>
              <w:t>5.2.1 Mapper training and retention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_Toc525544029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111</w:t>
            </w:r>
            <w:r w:rsidR="00FD5CAE" w:rsidRPr="006A2D4F">
              <w:rPr>
                <w:rFonts w:ascii="Arial" w:hAnsi="Arial" w:cs="Arial"/>
                <w:noProof/>
                <w:webHidden/>
                <w:sz w:val="22"/>
                <w:szCs w:val="22"/>
              </w:rPr>
              <w:fldChar w:fldCharType="end"/>
            </w:r>
          </w:hyperlink>
        </w:p>
        <w:p w14:paraId="6257E6B6" w14:textId="40C7C65F"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30" w:history="1">
            <w:r w:rsidR="00FD5CAE" w:rsidRPr="006A2D4F">
              <w:rPr>
                <w:rStyle w:val="Hyperlink"/>
                <w:rFonts w:ascii="Arial" w:hAnsi="Arial" w:cs="Arial"/>
                <w:noProof/>
                <w:sz w:val="22"/>
                <w:szCs w:val="22"/>
              </w:rPr>
              <w:t>5.2.2 Mapping cycles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_Toc525544030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112</w:t>
            </w:r>
            <w:r w:rsidR="00FD5CAE" w:rsidRPr="006A2D4F">
              <w:rPr>
                <w:rFonts w:ascii="Arial" w:hAnsi="Arial" w:cs="Arial"/>
                <w:noProof/>
                <w:webHidden/>
                <w:sz w:val="22"/>
                <w:szCs w:val="22"/>
              </w:rPr>
              <w:fldChar w:fldCharType="end"/>
            </w:r>
          </w:hyperlink>
        </w:p>
        <w:p w14:paraId="613AADA8" w14:textId="1D1116E7" w:rsidR="00FD5CAE" w:rsidRPr="006A2D4F" w:rsidRDefault="00D53D38">
          <w:pPr>
            <w:pStyle w:val="TOC2"/>
            <w:tabs>
              <w:tab w:val="left" w:pos="880"/>
              <w:tab w:val="right" w:leader="dot" w:pos="9016"/>
            </w:tabs>
            <w:rPr>
              <w:rFonts w:ascii="Arial" w:eastAsiaTheme="minorEastAsia" w:hAnsi="Arial" w:cs="Arial"/>
              <w:noProof/>
              <w:snapToGrid/>
              <w:sz w:val="22"/>
              <w:szCs w:val="22"/>
              <w:lang w:eastAsia="en-GB"/>
            </w:rPr>
          </w:pPr>
          <w:hyperlink w:anchor="_Toc525544031" w:history="1">
            <w:r w:rsidR="00FD5CAE" w:rsidRPr="006A2D4F">
              <w:rPr>
                <w:rStyle w:val="Hyperlink"/>
                <w:rFonts w:ascii="Arial" w:hAnsi="Arial" w:cs="Arial"/>
                <w:noProof/>
                <w:sz w:val="22"/>
                <w:szCs w:val="22"/>
              </w:rPr>
              <w:t>5.3</w:t>
            </w:r>
            <w:r w:rsidR="00FD5CAE" w:rsidRPr="006A2D4F">
              <w:rPr>
                <w:rFonts w:ascii="Arial" w:eastAsiaTheme="minorEastAsia" w:hAnsi="Arial" w:cs="Arial"/>
                <w:noProof/>
                <w:snapToGrid/>
                <w:sz w:val="22"/>
                <w:szCs w:val="22"/>
                <w:lang w:eastAsia="en-GB"/>
              </w:rPr>
              <w:tab/>
            </w:r>
            <w:r w:rsidR="00FD5CAE" w:rsidRPr="006A2D4F">
              <w:rPr>
                <w:rStyle w:val="Hyperlink"/>
                <w:rFonts w:ascii="Arial" w:hAnsi="Arial" w:cs="Arial"/>
                <w:noProof/>
                <w:sz w:val="22"/>
                <w:szCs w:val="22"/>
              </w:rPr>
              <w:t>How did participants react to the intervention?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_Toc525544031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112</w:t>
            </w:r>
            <w:r w:rsidR="00FD5CAE" w:rsidRPr="006A2D4F">
              <w:rPr>
                <w:rFonts w:ascii="Arial" w:hAnsi="Arial" w:cs="Arial"/>
                <w:noProof/>
                <w:webHidden/>
                <w:sz w:val="22"/>
                <w:szCs w:val="22"/>
              </w:rPr>
              <w:fldChar w:fldCharType="end"/>
            </w:r>
          </w:hyperlink>
        </w:p>
        <w:p w14:paraId="2324E232" w14:textId="3EF6B9EF"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32" w:history="1">
            <w:r w:rsidR="00FD5CAE" w:rsidRPr="006A2D4F">
              <w:rPr>
                <w:rStyle w:val="Hyperlink"/>
                <w:rFonts w:ascii="Arial" w:hAnsi="Arial" w:cs="Arial"/>
                <w:noProof/>
                <w:sz w:val="22"/>
                <w:szCs w:val="22"/>
              </w:rPr>
              <w:t>5.3.1 Experiences of the intervention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_Toc525544032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112</w:t>
            </w:r>
            <w:r w:rsidR="00FD5CAE" w:rsidRPr="006A2D4F">
              <w:rPr>
                <w:rFonts w:ascii="Arial" w:hAnsi="Arial" w:cs="Arial"/>
                <w:noProof/>
                <w:webHidden/>
                <w:sz w:val="22"/>
                <w:szCs w:val="22"/>
              </w:rPr>
              <w:fldChar w:fldCharType="end"/>
            </w:r>
          </w:hyperlink>
        </w:p>
        <w:p w14:paraId="59065BAC" w14:textId="46005B0E"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33" w:history="1">
            <w:r w:rsidR="00FD5CAE" w:rsidRPr="006A2D4F">
              <w:rPr>
                <w:rStyle w:val="Hyperlink"/>
                <w:rFonts w:ascii="Arial" w:hAnsi="Arial" w:cs="Arial"/>
                <w:noProof/>
                <w:sz w:val="22"/>
                <w:szCs w:val="22"/>
              </w:rPr>
              <w:t>5.3.2 Perceptions of intervention impact</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_Toc525544033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112</w:t>
            </w:r>
            <w:r w:rsidR="00FD5CAE" w:rsidRPr="006A2D4F">
              <w:rPr>
                <w:rFonts w:ascii="Arial" w:hAnsi="Arial" w:cs="Arial"/>
                <w:noProof/>
                <w:webHidden/>
                <w:sz w:val="22"/>
                <w:szCs w:val="22"/>
              </w:rPr>
              <w:fldChar w:fldCharType="end"/>
            </w:r>
          </w:hyperlink>
        </w:p>
        <w:p w14:paraId="63F7C893" w14:textId="1A165A6D"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34" w:history="1">
            <w:r w:rsidR="00FD5CAE" w:rsidRPr="006A2D4F">
              <w:rPr>
                <w:rStyle w:val="Hyperlink"/>
                <w:rFonts w:ascii="Arial" w:hAnsi="Arial" w:cs="Arial"/>
                <w:noProof/>
                <w:sz w:val="22"/>
                <w:szCs w:val="22"/>
              </w:rPr>
              <w:t>5.4 What contextual factors shaped if and how the intervention was implemented or worked?</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_Toc525544034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126</w:t>
            </w:r>
            <w:r w:rsidR="00FD5CAE" w:rsidRPr="006A2D4F">
              <w:rPr>
                <w:rFonts w:ascii="Arial" w:hAnsi="Arial" w:cs="Arial"/>
                <w:noProof/>
                <w:webHidden/>
                <w:sz w:val="22"/>
                <w:szCs w:val="22"/>
              </w:rPr>
              <w:fldChar w:fldCharType="end"/>
            </w:r>
          </w:hyperlink>
        </w:p>
        <w:p w14:paraId="33D6893E" w14:textId="71AEB817"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35" w:history="1">
            <w:r w:rsidR="00FD5CAE" w:rsidRPr="006A2D4F">
              <w:rPr>
                <w:rStyle w:val="Hyperlink"/>
                <w:rFonts w:ascii="Arial" w:hAnsi="Arial" w:cs="Arial"/>
                <w:noProof/>
                <w:sz w:val="22"/>
                <w:szCs w:val="22"/>
              </w:rPr>
              <w:t>5.4.1 What were the perceived barriers and facilitators to intervention implementation, mechanisms of impact and perceived impact from the perspective of mappers, DCM™ expert mappers, managers, staff, residents and relatives?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_Toc525544035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126</w:t>
            </w:r>
            <w:r w:rsidR="00FD5CAE" w:rsidRPr="006A2D4F">
              <w:rPr>
                <w:rFonts w:ascii="Arial" w:hAnsi="Arial" w:cs="Arial"/>
                <w:noProof/>
                <w:webHidden/>
                <w:sz w:val="22"/>
                <w:szCs w:val="22"/>
              </w:rPr>
              <w:fldChar w:fldCharType="end"/>
            </w:r>
          </w:hyperlink>
        </w:p>
        <w:p w14:paraId="485BE132" w14:textId="01E0F075"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36" w:history="1">
            <w:r w:rsidR="00FD5CAE" w:rsidRPr="006A2D4F">
              <w:rPr>
                <w:rStyle w:val="Hyperlink"/>
                <w:rFonts w:ascii="Arial" w:hAnsi="Arial" w:cs="Arial"/>
                <w:noProof/>
                <w:sz w:val="22"/>
                <w:szCs w:val="22"/>
              </w:rPr>
              <w:t>5.5 Mechanisms of action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_Toc525544036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146</w:t>
            </w:r>
            <w:r w:rsidR="00FD5CAE" w:rsidRPr="006A2D4F">
              <w:rPr>
                <w:rFonts w:ascii="Arial" w:hAnsi="Arial" w:cs="Arial"/>
                <w:noProof/>
                <w:webHidden/>
                <w:sz w:val="22"/>
                <w:szCs w:val="22"/>
              </w:rPr>
              <w:fldChar w:fldCharType="end"/>
            </w:r>
          </w:hyperlink>
        </w:p>
        <w:p w14:paraId="07DB148F" w14:textId="055F6E1E"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37" w:history="1">
            <w:r w:rsidR="00FD5CAE" w:rsidRPr="006A2D4F">
              <w:rPr>
                <w:rStyle w:val="Hyperlink"/>
                <w:rFonts w:ascii="Arial" w:hAnsi="Arial" w:cs="Arial"/>
                <w:noProof/>
                <w:sz w:val="22"/>
                <w:szCs w:val="22"/>
              </w:rPr>
              <w:t>5.5.1 Ancillary analyses (moderator/mediator analyses)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_Toc525544037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146</w:t>
            </w:r>
            <w:r w:rsidR="00FD5CAE" w:rsidRPr="006A2D4F">
              <w:rPr>
                <w:rFonts w:ascii="Arial" w:hAnsi="Arial" w:cs="Arial"/>
                <w:noProof/>
                <w:webHidden/>
                <w:sz w:val="22"/>
                <w:szCs w:val="22"/>
              </w:rPr>
              <w:fldChar w:fldCharType="end"/>
            </w:r>
          </w:hyperlink>
        </w:p>
        <w:p w14:paraId="7AB059CF" w14:textId="4FFFAE37"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38" w:history="1">
            <w:r w:rsidR="00FD5CAE" w:rsidRPr="006A2D4F">
              <w:rPr>
                <w:rStyle w:val="Hyperlink"/>
                <w:rFonts w:ascii="Arial" w:hAnsi="Arial" w:cs="Arial"/>
                <w:noProof/>
                <w:sz w:val="22"/>
                <w:szCs w:val="22"/>
              </w:rPr>
              <w:t>5.5.2 Interview data</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_Toc525544038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148</w:t>
            </w:r>
            <w:r w:rsidR="00FD5CAE" w:rsidRPr="006A2D4F">
              <w:rPr>
                <w:rFonts w:ascii="Arial" w:hAnsi="Arial" w:cs="Arial"/>
                <w:noProof/>
                <w:webHidden/>
                <w:sz w:val="22"/>
                <w:szCs w:val="22"/>
              </w:rPr>
              <w:fldChar w:fldCharType="end"/>
            </w:r>
          </w:hyperlink>
        </w:p>
        <w:p w14:paraId="5A724C50" w14:textId="49072190"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4039" w:history="1">
            <w:r w:rsidR="00FD5CAE" w:rsidRPr="006A2D4F">
              <w:rPr>
                <w:rStyle w:val="Hyperlink"/>
                <w:rFonts w:ascii="Arial" w:hAnsi="Arial" w:cs="Arial"/>
                <w:noProof/>
                <w:sz w:val="22"/>
                <w:szCs w:val="22"/>
              </w:rPr>
              <w:t>6. Discussion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_Toc525544039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149</w:t>
            </w:r>
            <w:r w:rsidR="00FD5CAE" w:rsidRPr="006A2D4F">
              <w:rPr>
                <w:rFonts w:ascii="Arial" w:hAnsi="Arial" w:cs="Arial"/>
                <w:noProof/>
                <w:webHidden/>
                <w:sz w:val="22"/>
                <w:szCs w:val="22"/>
              </w:rPr>
              <w:fldChar w:fldCharType="end"/>
            </w:r>
          </w:hyperlink>
        </w:p>
        <w:p w14:paraId="6DE68B7A" w14:textId="661D0070"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40" w:history="1">
            <w:r w:rsidR="00FD5CAE" w:rsidRPr="006A2D4F">
              <w:rPr>
                <w:rStyle w:val="Hyperlink"/>
                <w:rFonts w:ascii="Arial" w:hAnsi="Arial" w:cs="Arial"/>
                <w:noProof/>
                <w:sz w:val="22"/>
                <w:szCs w:val="22"/>
              </w:rPr>
              <w:t>6.1 Key findings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_Toc525544040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149</w:t>
            </w:r>
            <w:r w:rsidR="00FD5CAE" w:rsidRPr="006A2D4F">
              <w:rPr>
                <w:rFonts w:ascii="Arial" w:hAnsi="Arial" w:cs="Arial"/>
                <w:noProof/>
                <w:webHidden/>
                <w:sz w:val="22"/>
                <w:szCs w:val="22"/>
              </w:rPr>
              <w:fldChar w:fldCharType="end"/>
            </w:r>
          </w:hyperlink>
        </w:p>
        <w:p w14:paraId="4081AF2C" w14:textId="3A759184"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41" w:history="1">
            <w:r w:rsidR="00FD5CAE" w:rsidRPr="006A2D4F">
              <w:rPr>
                <w:rStyle w:val="Hyperlink"/>
                <w:rFonts w:ascii="Arial" w:hAnsi="Arial" w:cs="Arial"/>
                <w:noProof/>
                <w:sz w:val="22"/>
                <w:szCs w:val="22"/>
              </w:rPr>
              <w:t>6.2 Primary outcomes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_Toc525544041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149</w:t>
            </w:r>
            <w:r w:rsidR="00FD5CAE" w:rsidRPr="006A2D4F">
              <w:rPr>
                <w:rFonts w:ascii="Arial" w:hAnsi="Arial" w:cs="Arial"/>
                <w:noProof/>
                <w:webHidden/>
                <w:sz w:val="22"/>
                <w:szCs w:val="22"/>
              </w:rPr>
              <w:fldChar w:fldCharType="end"/>
            </w:r>
          </w:hyperlink>
        </w:p>
        <w:p w14:paraId="4A29FB88" w14:textId="4E3CCB93"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42" w:history="1">
            <w:r w:rsidR="00FD5CAE" w:rsidRPr="006A2D4F">
              <w:rPr>
                <w:rStyle w:val="Hyperlink"/>
                <w:rFonts w:ascii="Arial" w:hAnsi="Arial" w:cs="Arial"/>
                <w:noProof/>
                <w:sz w:val="22"/>
                <w:szCs w:val="22"/>
              </w:rPr>
              <w:t>6.3 Secondary outcomes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_Toc525544042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149</w:t>
            </w:r>
            <w:r w:rsidR="00FD5CAE" w:rsidRPr="006A2D4F">
              <w:rPr>
                <w:rFonts w:ascii="Arial" w:hAnsi="Arial" w:cs="Arial"/>
                <w:noProof/>
                <w:webHidden/>
                <w:sz w:val="22"/>
                <w:szCs w:val="22"/>
              </w:rPr>
              <w:fldChar w:fldCharType="end"/>
            </w:r>
          </w:hyperlink>
        </w:p>
        <w:p w14:paraId="47A3745C" w14:textId="396D9213"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43" w:history="1">
            <w:r w:rsidR="00FD5CAE" w:rsidRPr="006A2D4F">
              <w:rPr>
                <w:rStyle w:val="Hyperlink"/>
                <w:rFonts w:ascii="Arial" w:hAnsi="Arial" w:cs="Arial"/>
                <w:noProof/>
                <w:sz w:val="22"/>
                <w:szCs w:val="22"/>
              </w:rPr>
              <w:t>6.4 Economic evaluation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_Toc525544043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150</w:t>
            </w:r>
            <w:r w:rsidR="00FD5CAE" w:rsidRPr="006A2D4F">
              <w:rPr>
                <w:rFonts w:ascii="Arial" w:hAnsi="Arial" w:cs="Arial"/>
                <w:noProof/>
                <w:webHidden/>
                <w:sz w:val="22"/>
                <w:szCs w:val="22"/>
              </w:rPr>
              <w:fldChar w:fldCharType="end"/>
            </w:r>
          </w:hyperlink>
        </w:p>
        <w:p w14:paraId="64B3D319" w14:textId="22054795"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44" w:history="1">
            <w:r w:rsidR="00FD5CAE" w:rsidRPr="006A2D4F">
              <w:rPr>
                <w:rStyle w:val="Hyperlink"/>
                <w:rFonts w:ascii="Arial" w:hAnsi="Arial" w:cs="Arial"/>
                <w:noProof/>
                <w:sz w:val="22"/>
                <w:szCs w:val="22"/>
              </w:rPr>
              <w:t>6.5 Safety</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_Toc525544044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151</w:t>
            </w:r>
            <w:r w:rsidR="00FD5CAE" w:rsidRPr="006A2D4F">
              <w:rPr>
                <w:rFonts w:ascii="Arial" w:hAnsi="Arial" w:cs="Arial"/>
                <w:noProof/>
                <w:webHidden/>
                <w:sz w:val="22"/>
                <w:szCs w:val="22"/>
              </w:rPr>
              <w:fldChar w:fldCharType="end"/>
            </w:r>
          </w:hyperlink>
        </w:p>
        <w:p w14:paraId="61B65294" w14:textId="00E61C31"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45" w:history="1">
            <w:r w:rsidR="00FD5CAE" w:rsidRPr="006A2D4F">
              <w:rPr>
                <w:rStyle w:val="Hyperlink"/>
                <w:rFonts w:ascii="Arial" w:hAnsi="Arial" w:cs="Arial"/>
                <w:noProof/>
                <w:sz w:val="22"/>
                <w:szCs w:val="22"/>
              </w:rPr>
              <w:t>6.6 Comparison to other trials of DCM™ in care home settings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_Toc525544045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151</w:t>
            </w:r>
            <w:r w:rsidR="00FD5CAE" w:rsidRPr="006A2D4F">
              <w:rPr>
                <w:rFonts w:ascii="Arial" w:hAnsi="Arial" w:cs="Arial"/>
                <w:noProof/>
                <w:webHidden/>
                <w:sz w:val="22"/>
                <w:szCs w:val="22"/>
              </w:rPr>
              <w:fldChar w:fldCharType="end"/>
            </w:r>
          </w:hyperlink>
        </w:p>
        <w:p w14:paraId="2A8AD235" w14:textId="33715C21"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46" w:history="1">
            <w:r w:rsidR="00FD5CAE" w:rsidRPr="006A2D4F">
              <w:rPr>
                <w:rStyle w:val="Hyperlink"/>
                <w:rFonts w:ascii="Arial" w:hAnsi="Arial" w:cs="Arial"/>
                <w:noProof/>
                <w:sz w:val="22"/>
                <w:szCs w:val="22"/>
              </w:rPr>
              <w:t>6.7 Strengths and limitations of the study</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_Toc525544046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153</w:t>
            </w:r>
            <w:r w:rsidR="00FD5CAE" w:rsidRPr="006A2D4F">
              <w:rPr>
                <w:rFonts w:ascii="Arial" w:hAnsi="Arial" w:cs="Arial"/>
                <w:noProof/>
                <w:webHidden/>
                <w:sz w:val="22"/>
                <w:szCs w:val="22"/>
              </w:rPr>
              <w:fldChar w:fldCharType="end"/>
            </w:r>
          </w:hyperlink>
        </w:p>
        <w:p w14:paraId="2AAEF7F3" w14:textId="163405D5"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47" w:history="1">
            <w:r w:rsidR="00FD5CAE" w:rsidRPr="006A2D4F">
              <w:rPr>
                <w:rStyle w:val="Hyperlink"/>
                <w:rFonts w:ascii="Arial" w:hAnsi="Arial" w:cs="Arial"/>
                <w:noProof/>
                <w:sz w:val="22"/>
                <w:szCs w:val="22"/>
              </w:rPr>
              <w:t>6.7.1 Study design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_Toc525544047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154</w:t>
            </w:r>
            <w:r w:rsidR="00FD5CAE" w:rsidRPr="006A2D4F">
              <w:rPr>
                <w:rFonts w:ascii="Arial" w:hAnsi="Arial" w:cs="Arial"/>
                <w:noProof/>
                <w:webHidden/>
                <w:sz w:val="22"/>
                <w:szCs w:val="22"/>
              </w:rPr>
              <w:fldChar w:fldCharType="end"/>
            </w:r>
          </w:hyperlink>
        </w:p>
        <w:p w14:paraId="156ADDB4" w14:textId="486BAF5C"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48" w:history="1">
            <w:r w:rsidR="00FD5CAE" w:rsidRPr="006A2D4F">
              <w:rPr>
                <w:rStyle w:val="Hyperlink"/>
                <w:rFonts w:ascii="Arial" w:hAnsi="Arial" w:cs="Arial"/>
                <w:noProof/>
                <w:sz w:val="22"/>
                <w:szCs w:val="22"/>
              </w:rPr>
              <w:t>6.7.2 Health economic analysis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_Toc525544048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155</w:t>
            </w:r>
            <w:r w:rsidR="00FD5CAE" w:rsidRPr="006A2D4F">
              <w:rPr>
                <w:rFonts w:ascii="Arial" w:hAnsi="Arial" w:cs="Arial"/>
                <w:noProof/>
                <w:webHidden/>
                <w:sz w:val="22"/>
                <w:szCs w:val="22"/>
              </w:rPr>
              <w:fldChar w:fldCharType="end"/>
            </w:r>
          </w:hyperlink>
        </w:p>
        <w:p w14:paraId="3FC7ED40" w14:textId="3D6CDC19"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49" w:history="1">
            <w:r w:rsidR="00FD5CAE" w:rsidRPr="006A2D4F">
              <w:rPr>
                <w:rStyle w:val="Hyperlink"/>
                <w:rFonts w:ascii="Arial" w:hAnsi="Arial" w:cs="Arial"/>
                <w:noProof/>
                <w:sz w:val="22"/>
                <w:szCs w:val="22"/>
              </w:rPr>
              <w:t>6.8 Generalisability and sources of bias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_Toc525544049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155</w:t>
            </w:r>
            <w:r w:rsidR="00FD5CAE" w:rsidRPr="006A2D4F">
              <w:rPr>
                <w:rFonts w:ascii="Arial" w:hAnsi="Arial" w:cs="Arial"/>
                <w:noProof/>
                <w:webHidden/>
                <w:sz w:val="22"/>
                <w:szCs w:val="22"/>
              </w:rPr>
              <w:fldChar w:fldCharType="end"/>
            </w:r>
          </w:hyperlink>
        </w:p>
        <w:p w14:paraId="73E58631" w14:textId="0C3CAD2C"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50" w:history="1">
            <w:r w:rsidR="00FD5CAE" w:rsidRPr="006A2D4F">
              <w:rPr>
                <w:rStyle w:val="Hyperlink"/>
                <w:rFonts w:ascii="Arial" w:hAnsi="Arial" w:cs="Arial"/>
                <w:noProof/>
                <w:sz w:val="22"/>
                <w:szCs w:val="22"/>
              </w:rPr>
              <w:t>6.9 Implementation of a complex intervention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_Toc525544050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156</w:t>
            </w:r>
            <w:r w:rsidR="00FD5CAE" w:rsidRPr="006A2D4F">
              <w:rPr>
                <w:rFonts w:ascii="Arial" w:hAnsi="Arial" w:cs="Arial"/>
                <w:noProof/>
                <w:webHidden/>
                <w:sz w:val="22"/>
                <w:szCs w:val="22"/>
              </w:rPr>
              <w:fldChar w:fldCharType="end"/>
            </w:r>
          </w:hyperlink>
        </w:p>
        <w:p w14:paraId="4759ECC1" w14:textId="1D3F997B"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51" w:history="1">
            <w:r w:rsidR="00FD5CAE" w:rsidRPr="006A2D4F">
              <w:rPr>
                <w:rStyle w:val="Hyperlink"/>
                <w:rFonts w:ascii="Arial" w:hAnsi="Arial" w:cs="Arial"/>
                <w:noProof/>
                <w:sz w:val="22"/>
                <w:szCs w:val="22"/>
              </w:rPr>
              <w:t>6.9.1 Intervention compliance</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_Toc525544051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157</w:t>
            </w:r>
            <w:r w:rsidR="00FD5CAE" w:rsidRPr="006A2D4F">
              <w:rPr>
                <w:rFonts w:ascii="Arial" w:hAnsi="Arial" w:cs="Arial"/>
                <w:noProof/>
                <w:webHidden/>
                <w:sz w:val="22"/>
                <w:szCs w:val="22"/>
              </w:rPr>
              <w:fldChar w:fldCharType="end"/>
            </w:r>
          </w:hyperlink>
        </w:p>
        <w:p w14:paraId="5FDC71C4" w14:textId="301C09C9"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52" w:history="1">
            <w:r w:rsidR="00FD5CAE" w:rsidRPr="006A2D4F">
              <w:rPr>
                <w:rStyle w:val="Hyperlink"/>
                <w:rFonts w:ascii="Arial" w:hAnsi="Arial" w:cs="Arial"/>
                <w:noProof/>
                <w:sz w:val="22"/>
                <w:szCs w:val="22"/>
              </w:rPr>
              <w:t>6.9.2 Integral process evaluation (separate papers in preparation)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_Toc525544052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158</w:t>
            </w:r>
            <w:r w:rsidR="00FD5CAE" w:rsidRPr="006A2D4F">
              <w:rPr>
                <w:rFonts w:ascii="Arial" w:hAnsi="Arial" w:cs="Arial"/>
                <w:noProof/>
                <w:webHidden/>
                <w:sz w:val="22"/>
                <w:szCs w:val="22"/>
              </w:rPr>
              <w:fldChar w:fldCharType="end"/>
            </w:r>
          </w:hyperlink>
        </w:p>
        <w:p w14:paraId="27055B40" w14:textId="77A47927"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53" w:history="1">
            <w:r w:rsidR="00FD5CAE" w:rsidRPr="006A2D4F">
              <w:rPr>
                <w:rStyle w:val="Hyperlink"/>
                <w:rFonts w:ascii="Arial" w:hAnsi="Arial" w:cs="Arial"/>
                <w:noProof/>
                <w:sz w:val="22"/>
                <w:szCs w:val="22"/>
              </w:rPr>
              <w:t>6.10 Interpretation of results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_Toc525544053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158</w:t>
            </w:r>
            <w:r w:rsidR="00FD5CAE" w:rsidRPr="006A2D4F">
              <w:rPr>
                <w:rFonts w:ascii="Arial" w:hAnsi="Arial" w:cs="Arial"/>
                <w:noProof/>
                <w:webHidden/>
                <w:sz w:val="22"/>
                <w:szCs w:val="22"/>
              </w:rPr>
              <w:fldChar w:fldCharType="end"/>
            </w:r>
          </w:hyperlink>
        </w:p>
        <w:p w14:paraId="138A6112" w14:textId="517E5B17"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54" w:history="1">
            <w:r w:rsidR="00FD5CAE" w:rsidRPr="006A2D4F">
              <w:rPr>
                <w:rStyle w:val="Hyperlink"/>
                <w:rFonts w:ascii="Arial" w:hAnsi="Arial" w:cs="Arial"/>
                <w:noProof/>
                <w:sz w:val="22"/>
                <w:szCs w:val="22"/>
              </w:rPr>
              <w:t>6.10.1 Economic evaluation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_Toc525544054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159</w:t>
            </w:r>
            <w:r w:rsidR="00FD5CAE" w:rsidRPr="006A2D4F">
              <w:rPr>
                <w:rFonts w:ascii="Arial" w:hAnsi="Arial" w:cs="Arial"/>
                <w:noProof/>
                <w:webHidden/>
                <w:sz w:val="22"/>
                <w:szCs w:val="22"/>
              </w:rPr>
              <w:fldChar w:fldCharType="end"/>
            </w:r>
          </w:hyperlink>
        </w:p>
        <w:p w14:paraId="3EBAB992" w14:textId="44ABF671"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55" w:history="1">
            <w:r w:rsidR="00FD5CAE" w:rsidRPr="006A2D4F">
              <w:rPr>
                <w:rStyle w:val="Hyperlink"/>
                <w:rFonts w:ascii="Arial" w:hAnsi="Arial" w:cs="Arial"/>
                <w:noProof/>
                <w:sz w:val="22"/>
                <w:szCs w:val="22"/>
              </w:rPr>
              <w:t>6.10.2 Overall evidence</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_Toc525544055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159</w:t>
            </w:r>
            <w:r w:rsidR="00FD5CAE" w:rsidRPr="006A2D4F">
              <w:rPr>
                <w:rFonts w:ascii="Arial" w:hAnsi="Arial" w:cs="Arial"/>
                <w:noProof/>
                <w:webHidden/>
                <w:sz w:val="22"/>
                <w:szCs w:val="22"/>
              </w:rPr>
              <w:fldChar w:fldCharType="end"/>
            </w:r>
          </w:hyperlink>
        </w:p>
        <w:p w14:paraId="1C6DDB33" w14:textId="43C23ED7"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4056" w:history="1">
            <w:r w:rsidR="00FD5CAE" w:rsidRPr="006A2D4F">
              <w:rPr>
                <w:rStyle w:val="Hyperlink"/>
                <w:rFonts w:ascii="Arial" w:hAnsi="Arial" w:cs="Arial"/>
                <w:noProof/>
                <w:sz w:val="22"/>
                <w:szCs w:val="22"/>
              </w:rPr>
              <w:t>7. Conclusions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_Toc525544056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160</w:t>
            </w:r>
            <w:r w:rsidR="00FD5CAE" w:rsidRPr="006A2D4F">
              <w:rPr>
                <w:rFonts w:ascii="Arial" w:hAnsi="Arial" w:cs="Arial"/>
                <w:noProof/>
                <w:webHidden/>
                <w:sz w:val="22"/>
                <w:szCs w:val="22"/>
              </w:rPr>
              <w:fldChar w:fldCharType="end"/>
            </w:r>
          </w:hyperlink>
        </w:p>
        <w:p w14:paraId="3D7F001B" w14:textId="5E50579B"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4057" w:history="1">
            <w:r w:rsidR="00FD5CAE" w:rsidRPr="006A2D4F">
              <w:rPr>
                <w:rStyle w:val="Hyperlink"/>
                <w:rFonts w:ascii="Arial" w:hAnsi="Arial" w:cs="Arial"/>
                <w:noProof/>
                <w:sz w:val="22"/>
                <w:szCs w:val="22"/>
              </w:rPr>
              <w:t>8. Acknowledgements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_Toc525544057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162</w:t>
            </w:r>
            <w:r w:rsidR="00FD5CAE" w:rsidRPr="006A2D4F">
              <w:rPr>
                <w:rFonts w:ascii="Arial" w:hAnsi="Arial" w:cs="Arial"/>
                <w:noProof/>
                <w:webHidden/>
                <w:sz w:val="22"/>
                <w:szCs w:val="22"/>
              </w:rPr>
              <w:fldChar w:fldCharType="end"/>
            </w:r>
          </w:hyperlink>
        </w:p>
        <w:p w14:paraId="4C33D7B6" w14:textId="32C55D46"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58" w:history="1">
            <w:r w:rsidR="00FD5CAE" w:rsidRPr="006A2D4F">
              <w:rPr>
                <w:rStyle w:val="Hyperlink"/>
                <w:rFonts w:ascii="Arial" w:hAnsi="Arial" w:cs="Arial"/>
                <w:noProof/>
                <w:sz w:val="22"/>
                <w:szCs w:val="22"/>
              </w:rPr>
              <w:t>Contribution of authors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_Toc525544058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162</w:t>
            </w:r>
            <w:r w:rsidR="00FD5CAE" w:rsidRPr="006A2D4F">
              <w:rPr>
                <w:rFonts w:ascii="Arial" w:hAnsi="Arial" w:cs="Arial"/>
                <w:noProof/>
                <w:webHidden/>
                <w:sz w:val="22"/>
                <w:szCs w:val="22"/>
              </w:rPr>
              <w:fldChar w:fldCharType="end"/>
            </w:r>
          </w:hyperlink>
        </w:p>
        <w:p w14:paraId="7BE73B07" w14:textId="4CE0CABD"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59" w:history="1">
            <w:r w:rsidR="00FD5CAE" w:rsidRPr="006A2D4F">
              <w:rPr>
                <w:rStyle w:val="Hyperlink"/>
                <w:rFonts w:ascii="Arial" w:hAnsi="Arial" w:cs="Arial"/>
                <w:noProof/>
                <w:sz w:val="22"/>
                <w:szCs w:val="22"/>
              </w:rPr>
              <w:t>Publications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_Toc525544059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164</w:t>
            </w:r>
            <w:r w:rsidR="00FD5CAE" w:rsidRPr="006A2D4F">
              <w:rPr>
                <w:rFonts w:ascii="Arial" w:hAnsi="Arial" w:cs="Arial"/>
                <w:noProof/>
                <w:webHidden/>
                <w:sz w:val="22"/>
                <w:szCs w:val="22"/>
              </w:rPr>
              <w:fldChar w:fldCharType="end"/>
            </w:r>
          </w:hyperlink>
        </w:p>
        <w:p w14:paraId="70D07A8B" w14:textId="7295A3C2"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60" w:history="1">
            <w:r w:rsidR="00FD5CAE" w:rsidRPr="006A2D4F">
              <w:rPr>
                <w:rStyle w:val="Hyperlink"/>
                <w:rFonts w:ascii="Arial" w:hAnsi="Arial" w:cs="Arial"/>
                <w:noProof/>
                <w:sz w:val="22"/>
                <w:szCs w:val="22"/>
              </w:rPr>
              <w:t>Other acknowledgements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_Toc525544060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164</w:t>
            </w:r>
            <w:r w:rsidR="00FD5CAE" w:rsidRPr="006A2D4F">
              <w:rPr>
                <w:rFonts w:ascii="Arial" w:hAnsi="Arial" w:cs="Arial"/>
                <w:noProof/>
                <w:webHidden/>
                <w:sz w:val="22"/>
                <w:szCs w:val="22"/>
              </w:rPr>
              <w:fldChar w:fldCharType="end"/>
            </w:r>
          </w:hyperlink>
        </w:p>
        <w:p w14:paraId="08FA2235" w14:textId="384BED57"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4061" w:history="1">
            <w:r w:rsidR="00FD5CAE" w:rsidRPr="006A2D4F">
              <w:rPr>
                <w:rStyle w:val="Hyperlink"/>
                <w:rFonts w:ascii="Arial" w:hAnsi="Arial" w:cs="Arial"/>
                <w:noProof/>
                <w:sz w:val="22"/>
                <w:szCs w:val="22"/>
              </w:rPr>
              <w:t>9. References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_Toc525544061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166</w:t>
            </w:r>
            <w:r w:rsidR="00FD5CAE" w:rsidRPr="006A2D4F">
              <w:rPr>
                <w:rFonts w:ascii="Arial" w:hAnsi="Arial" w:cs="Arial"/>
                <w:noProof/>
                <w:webHidden/>
                <w:sz w:val="22"/>
                <w:szCs w:val="22"/>
              </w:rPr>
              <w:fldChar w:fldCharType="end"/>
            </w:r>
          </w:hyperlink>
        </w:p>
        <w:p w14:paraId="7EFEFA88" w14:textId="682243B3" w:rsidR="00FD5CAE" w:rsidRPr="006A2D4F" w:rsidRDefault="00D53D38">
          <w:pPr>
            <w:pStyle w:val="TOC1"/>
            <w:tabs>
              <w:tab w:val="right" w:leader="dot" w:pos="9016"/>
            </w:tabs>
            <w:rPr>
              <w:rFonts w:ascii="Arial" w:eastAsiaTheme="minorEastAsia" w:hAnsi="Arial" w:cs="Arial"/>
              <w:noProof/>
              <w:snapToGrid/>
              <w:sz w:val="22"/>
              <w:szCs w:val="22"/>
              <w:lang w:eastAsia="en-GB"/>
            </w:rPr>
          </w:pPr>
          <w:hyperlink w:anchor="_Toc525544062" w:history="1">
            <w:r w:rsidR="00FD5CAE" w:rsidRPr="006A2D4F">
              <w:rPr>
                <w:rStyle w:val="Hyperlink"/>
                <w:rFonts w:ascii="Arial" w:hAnsi="Arial" w:cs="Arial"/>
                <w:noProof/>
                <w:sz w:val="22"/>
                <w:szCs w:val="22"/>
              </w:rPr>
              <w:t>10. Appendices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_Toc525544062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174</w:t>
            </w:r>
            <w:r w:rsidR="00FD5CAE" w:rsidRPr="006A2D4F">
              <w:rPr>
                <w:rFonts w:ascii="Arial" w:hAnsi="Arial" w:cs="Arial"/>
                <w:noProof/>
                <w:webHidden/>
                <w:sz w:val="22"/>
                <w:szCs w:val="22"/>
              </w:rPr>
              <w:fldChar w:fldCharType="end"/>
            </w:r>
          </w:hyperlink>
        </w:p>
        <w:p w14:paraId="16DE24DA" w14:textId="2BEC6BCA"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63" w:history="1">
            <w:r w:rsidR="00FD5CAE" w:rsidRPr="006A2D4F">
              <w:rPr>
                <w:rStyle w:val="Hyperlink"/>
                <w:rFonts w:ascii="Arial" w:hAnsi="Arial" w:cs="Arial"/>
                <w:noProof/>
                <w:sz w:val="22"/>
                <w:szCs w:val="22"/>
              </w:rPr>
              <w:t>Appendix 1: Supporting tables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_Toc525544063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174</w:t>
            </w:r>
            <w:r w:rsidR="00FD5CAE" w:rsidRPr="006A2D4F">
              <w:rPr>
                <w:rFonts w:ascii="Arial" w:hAnsi="Arial" w:cs="Arial"/>
                <w:noProof/>
                <w:webHidden/>
                <w:sz w:val="22"/>
                <w:szCs w:val="22"/>
              </w:rPr>
              <w:fldChar w:fldCharType="end"/>
            </w:r>
          </w:hyperlink>
        </w:p>
        <w:p w14:paraId="633872F8" w14:textId="122B1770"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64" w:history="1">
            <w:r w:rsidR="00FD5CAE" w:rsidRPr="006A2D4F">
              <w:rPr>
                <w:rStyle w:val="Hyperlink"/>
                <w:rFonts w:ascii="Arial" w:hAnsi="Arial" w:cs="Arial"/>
                <w:noProof/>
                <w:sz w:val="22"/>
                <w:szCs w:val="22"/>
              </w:rPr>
              <w:t>Screening</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_Toc525544064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174</w:t>
            </w:r>
            <w:r w:rsidR="00FD5CAE" w:rsidRPr="006A2D4F">
              <w:rPr>
                <w:rFonts w:ascii="Arial" w:hAnsi="Arial" w:cs="Arial"/>
                <w:noProof/>
                <w:webHidden/>
                <w:sz w:val="22"/>
                <w:szCs w:val="22"/>
              </w:rPr>
              <w:fldChar w:fldCharType="end"/>
            </w:r>
          </w:hyperlink>
        </w:p>
        <w:p w14:paraId="079F81A5" w14:textId="344537DE"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65" w:history="1">
            <w:r w:rsidR="00FD5CAE" w:rsidRPr="006A2D4F">
              <w:rPr>
                <w:rStyle w:val="Hyperlink"/>
                <w:rFonts w:ascii="Arial" w:hAnsi="Arial" w:cs="Arial"/>
                <w:noProof/>
                <w:sz w:val="22"/>
                <w:szCs w:val="22"/>
              </w:rPr>
              <w:t>Staff and relative/ friend</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_Toc525544065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179</w:t>
            </w:r>
            <w:r w:rsidR="00FD5CAE" w:rsidRPr="006A2D4F">
              <w:rPr>
                <w:rFonts w:ascii="Arial" w:hAnsi="Arial" w:cs="Arial"/>
                <w:noProof/>
                <w:webHidden/>
                <w:sz w:val="22"/>
                <w:szCs w:val="22"/>
              </w:rPr>
              <w:fldChar w:fldCharType="end"/>
            </w:r>
          </w:hyperlink>
        </w:p>
        <w:p w14:paraId="0D3D397D" w14:textId="74E0590B"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66" w:history="1">
            <w:r w:rsidR="00FD5CAE" w:rsidRPr="006A2D4F">
              <w:rPr>
                <w:rStyle w:val="Hyperlink"/>
                <w:rFonts w:ascii="Arial" w:hAnsi="Arial" w:cs="Arial"/>
                <w:noProof/>
                <w:sz w:val="22"/>
                <w:szCs w:val="22"/>
              </w:rPr>
              <w:t>Intervention</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_Toc525544066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181</w:t>
            </w:r>
            <w:r w:rsidR="00FD5CAE" w:rsidRPr="006A2D4F">
              <w:rPr>
                <w:rFonts w:ascii="Arial" w:hAnsi="Arial" w:cs="Arial"/>
                <w:noProof/>
                <w:webHidden/>
                <w:sz w:val="22"/>
                <w:szCs w:val="22"/>
              </w:rPr>
              <w:fldChar w:fldCharType="end"/>
            </w:r>
          </w:hyperlink>
        </w:p>
        <w:p w14:paraId="00D319C6" w14:textId="1832E3C8"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67" w:history="1">
            <w:r w:rsidR="00FD5CAE" w:rsidRPr="006A2D4F">
              <w:rPr>
                <w:rStyle w:val="Hyperlink"/>
                <w:rFonts w:ascii="Arial" w:hAnsi="Arial" w:cs="Arial"/>
                <w:noProof/>
                <w:sz w:val="22"/>
                <w:szCs w:val="22"/>
              </w:rPr>
              <w:t>Resident deaths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_Toc525544067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189</w:t>
            </w:r>
            <w:r w:rsidR="00FD5CAE" w:rsidRPr="006A2D4F">
              <w:rPr>
                <w:rFonts w:ascii="Arial" w:hAnsi="Arial" w:cs="Arial"/>
                <w:noProof/>
                <w:webHidden/>
                <w:sz w:val="22"/>
                <w:szCs w:val="22"/>
              </w:rPr>
              <w:fldChar w:fldCharType="end"/>
            </w:r>
          </w:hyperlink>
        </w:p>
        <w:p w14:paraId="3D907E99" w14:textId="3ECAA08D"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68" w:history="1">
            <w:r w:rsidR="00FD5CAE" w:rsidRPr="006A2D4F">
              <w:rPr>
                <w:rStyle w:val="Hyperlink"/>
                <w:rFonts w:ascii="Arial" w:hAnsi="Arial" w:cs="Arial"/>
                <w:noProof/>
                <w:sz w:val="22"/>
                <w:szCs w:val="22"/>
              </w:rPr>
              <w:t>Outcomes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_Toc525544068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190</w:t>
            </w:r>
            <w:r w:rsidR="00FD5CAE" w:rsidRPr="006A2D4F">
              <w:rPr>
                <w:rFonts w:ascii="Arial" w:hAnsi="Arial" w:cs="Arial"/>
                <w:noProof/>
                <w:webHidden/>
                <w:sz w:val="22"/>
                <w:szCs w:val="22"/>
              </w:rPr>
              <w:fldChar w:fldCharType="end"/>
            </w:r>
          </w:hyperlink>
        </w:p>
        <w:p w14:paraId="6B5579DD" w14:textId="21FE1B51"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69" w:history="1">
            <w:r w:rsidR="00FD5CAE" w:rsidRPr="006A2D4F">
              <w:rPr>
                <w:rStyle w:val="Hyperlink"/>
                <w:rFonts w:ascii="Arial" w:hAnsi="Arial" w:cs="Arial"/>
                <w:noProof/>
                <w:sz w:val="22"/>
                <w:szCs w:val="22"/>
              </w:rPr>
              <w:t>Predictive and process measures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_Toc525544069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212</w:t>
            </w:r>
            <w:r w:rsidR="00FD5CAE" w:rsidRPr="006A2D4F">
              <w:rPr>
                <w:rFonts w:ascii="Arial" w:hAnsi="Arial" w:cs="Arial"/>
                <w:noProof/>
                <w:webHidden/>
                <w:sz w:val="22"/>
                <w:szCs w:val="22"/>
              </w:rPr>
              <w:fldChar w:fldCharType="end"/>
            </w:r>
          </w:hyperlink>
        </w:p>
        <w:p w14:paraId="49310720" w14:textId="5BAD6704" w:rsidR="00FD5CAE" w:rsidRPr="006A2D4F" w:rsidRDefault="00D53D38">
          <w:pPr>
            <w:pStyle w:val="TOC3"/>
            <w:tabs>
              <w:tab w:val="right" w:leader="dot" w:pos="9016"/>
            </w:tabs>
            <w:rPr>
              <w:rFonts w:ascii="Arial" w:eastAsiaTheme="minorEastAsia" w:hAnsi="Arial" w:cs="Arial"/>
              <w:noProof/>
              <w:snapToGrid/>
              <w:sz w:val="22"/>
              <w:szCs w:val="22"/>
              <w:lang w:eastAsia="en-GB"/>
            </w:rPr>
          </w:pPr>
          <w:hyperlink w:anchor="_Toc525544070" w:history="1">
            <w:r w:rsidR="00FD5CAE" w:rsidRPr="006A2D4F">
              <w:rPr>
                <w:rStyle w:val="Hyperlink"/>
                <w:rFonts w:ascii="Arial" w:hAnsi="Arial" w:cs="Arial"/>
                <w:noProof/>
                <w:sz w:val="22"/>
                <w:szCs w:val="22"/>
              </w:rPr>
              <w:t>Health economic analysis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_Toc525544070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215</w:t>
            </w:r>
            <w:r w:rsidR="00FD5CAE" w:rsidRPr="006A2D4F">
              <w:rPr>
                <w:rFonts w:ascii="Arial" w:hAnsi="Arial" w:cs="Arial"/>
                <w:noProof/>
                <w:webHidden/>
                <w:sz w:val="22"/>
                <w:szCs w:val="22"/>
              </w:rPr>
              <w:fldChar w:fldCharType="end"/>
            </w:r>
          </w:hyperlink>
        </w:p>
        <w:p w14:paraId="78EB2991" w14:textId="7044CF89"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71" w:history="1">
            <w:r w:rsidR="00FD5CAE" w:rsidRPr="006A2D4F">
              <w:rPr>
                <w:rStyle w:val="Hyperlink"/>
                <w:rFonts w:ascii="Arial" w:hAnsi="Arial" w:cs="Arial"/>
                <w:noProof/>
                <w:sz w:val="22"/>
                <w:szCs w:val="22"/>
              </w:rPr>
              <w:t>Appendix 2: Summary of substantial amendments</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_Toc525544071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217</w:t>
            </w:r>
            <w:r w:rsidR="00FD5CAE" w:rsidRPr="006A2D4F">
              <w:rPr>
                <w:rFonts w:ascii="Arial" w:hAnsi="Arial" w:cs="Arial"/>
                <w:noProof/>
                <w:webHidden/>
                <w:sz w:val="22"/>
                <w:szCs w:val="22"/>
              </w:rPr>
              <w:fldChar w:fldCharType="end"/>
            </w:r>
          </w:hyperlink>
        </w:p>
        <w:p w14:paraId="70A6A2CC" w14:textId="03555FFC" w:rsidR="00FD5CAE" w:rsidRPr="006A2D4F" w:rsidRDefault="00D53D38">
          <w:pPr>
            <w:pStyle w:val="TOC2"/>
            <w:tabs>
              <w:tab w:val="right" w:leader="dot" w:pos="9016"/>
            </w:tabs>
            <w:rPr>
              <w:rFonts w:ascii="Arial" w:eastAsiaTheme="minorEastAsia" w:hAnsi="Arial" w:cs="Arial"/>
              <w:noProof/>
              <w:snapToGrid/>
              <w:sz w:val="22"/>
              <w:szCs w:val="22"/>
              <w:lang w:eastAsia="en-GB"/>
            </w:rPr>
          </w:pPr>
          <w:hyperlink w:anchor="_Toc525544072" w:history="1">
            <w:r w:rsidR="00FD5CAE" w:rsidRPr="006A2D4F">
              <w:rPr>
                <w:rStyle w:val="Hyperlink"/>
                <w:rFonts w:ascii="Arial" w:hAnsi="Arial" w:cs="Arial"/>
                <w:noProof/>
                <w:sz w:val="22"/>
                <w:szCs w:val="22"/>
              </w:rPr>
              <w:t>Appendix 3: Rationale for design change</w:t>
            </w:r>
            <w:r w:rsidR="00FD5CAE" w:rsidRPr="006A2D4F">
              <w:rPr>
                <w:rFonts w:ascii="Arial" w:hAnsi="Arial" w:cs="Arial"/>
                <w:noProof/>
                <w:webHidden/>
                <w:sz w:val="22"/>
                <w:szCs w:val="22"/>
              </w:rPr>
              <w:tab/>
            </w:r>
            <w:r w:rsidR="00FD5CAE" w:rsidRPr="006A2D4F">
              <w:rPr>
                <w:rFonts w:ascii="Arial" w:hAnsi="Arial" w:cs="Arial"/>
                <w:noProof/>
                <w:webHidden/>
                <w:sz w:val="22"/>
                <w:szCs w:val="22"/>
              </w:rPr>
              <w:fldChar w:fldCharType="begin"/>
            </w:r>
            <w:r w:rsidR="00FD5CAE" w:rsidRPr="006A2D4F">
              <w:rPr>
                <w:rFonts w:ascii="Arial" w:hAnsi="Arial" w:cs="Arial"/>
                <w:noProof/>
                <w:webHidden/>
                <w:sz w:val="22"/>
                <w:szCs w:val="22"/>
              </w:rPr>
              <w:instrText xml:space="preserve"> PAGEREF _Toc525544072 \h </w:instrText>
            </w:r>
            <w:r w:rsidR="00FD5CAE" w:rsidRPr="006A2D4F">
              <w:rPr>
                <w:rFonts w:ascii="Arial" w:hAnsi="Arial" w:cs="Arial"/>
                <w:noProof/>
                <w:webHidden/>
                <w:sz w:val="22"/>
                <w:szCs w:val="22"/>
              </w:rPr>
            </w:r>
            <w:r w:rsidR="00FD5CAE" w:rsidRPr="006A2D4F">
              <w:rPr>
                <w:rFonts w:ascii="Arial" w:hAnsi="Arial" w:cs="Arial"/>
                <w:noProof/>
                <w:webHidden/>
                <w:sz w:val="22"/>
                <w:szCs w:val="22"/>
              </w:rPr>
              <w:fldChar w:fldCharType="separate"/>
            </w:r>
            <w:r w:rsidR="00120FF8">
              <w:rPr>
                <w:rFonts w:ascii="Arial" w:hAnsi="Arial" w:cs="Arial"/>
                <w:noProof/>
                <w:webHidden/>
                <w:sz w:val="22"/>
                <w:szCs w:val="22"/>
              </w:rPr>
              <w:t>234</w:t>
            </w:r>
            <w:r w:rsidR="00FD5CAE" w:rsidRPr="006A2D4F">
              <w:rPr>
                <w:rFonts w:ascii="Arial" w:hAnsi="Arial" w:cs="Arial"/>
                <w:noProof/>
                <w:webHidden/>
                <w:sz w:val="22"/>
                <w:szCs w:val="22"/>
              </w:rPr>
              <w:fldChar w:fldCharType="end"/>
            </w:r>
          </w:hyperlink>
        </w:p>
        <w:p w14:paraId="3185D532" w14:textId="2B668FE2" w:rsidR="001E3D61" w:rsidRPr="00563AD3" w:rsidRDefault="001E3D61" w:rsidP="009B13F3">
          <w:r w:rsidRPr="00563AD3">
            <w:rPr>
              <w:b/>
              <w:bCs/>
              <w:noProof/>
            </w:rPr>
            <w:fldChar w:fldCharType="end"/>
          </w:r>
        </w:p>
      </w:sdtContent>
    </w:sdt>
    <w:p w14:paraId="105EF774" w14:textId="77777777" w:rsidR="00B501E2" w:rsidRPr="00563AD3" w:rsidRDefault="00B501E2" w:rsidP="009B13F3">
      <w:pPr>
        <w:autoSpaceDE/>
        <w:autoSpaceDN/>
        <w:adjustRightInd/>
      </w:pPr>
      <w:r w:rsidRPr="00563AD3">
        <w:br w:type="page"/>
      </w:r>
    </w:p>
    <w:p w14:paraId="24146928" w14:textId="11112C19" w:rsidR="00B501E2" w:rsidRPr="00563AD3" w:rsidRDefault="00B501E2" w:rsidP="009B13F3">
      <w:pPr>
        <w:pStyle w:val="Heading2"/>
      </w:pPr>
      <w:bookmarkStart w:id="5" w:name="_Toc525543929"/>
      <w:r w:rsidRPr="00563AD3">
        <w:t>List of Tables</w:t>
      </w:r>
      <w:bookmarkEnd w:id="5"/>
    </w:p>
    <w:p w14:paraId="0DF48538" w14:textId="1DA88E5E" w:rsidR="00120FF8" w:rsidRDefault="00B501E2">
      <w:pPr>
        <w:pStyle w:val="TableofFigures"/>
        <w:tabs>
          <w:tab w:val="right" w:leader="dot" w:pos="9016"/>
        </w:tabs>
        <w:rPr>
          <w:rFonts w:asciiTheme="minorHAnsi" w:eastAsiaTheme="minorEastAsia" w:hAnsiTheme="minorHAnsi" w:cstheme="minorBidi"/>
          <w:noProof/>
          <w:sz w:val="22"/>
          <w:szCs w:val="22"/>
          <w:lang w:eastAsia="en-GB"/>
        </w:rPr>
      </w:pPr>
      <w:r w:rsidRPr="00563AD3">
        <w:fldChar w:fldCharType="begin"/>
      </w:r>
      <w:r w:rsidRPr="00563AD3">
        <w:instrText xml:space="preserve"> TOC \h \z \t "Table heading" \c </w:instrText>
      </w:r>
      <w:r w:rsidRPr="00563AD3">
        <w:fldChar w:fldCharType="separate"/>
      </w:r>
      <w:hyperlink w:anchor="_Toc948198" w:history="1">
        <w:r w:rsidR="00120FF8" w:rsidRPr="00993B7E">
          <w:rPr>
            <w:rStyle w:val="Hyperlink"/>
            <w:noProof/>
          </w:rPr>
          <w:t>Table 1: Role Summary</w:t>
        </w:r>
        <w:r w:rsidR="00120FF8">
          <w:rPr>
            <w:noProof/>
            <w:webHidden/>
          </w:rPr>
          <w:tab/>
        </w:r>
        <w:r w:rsidR="00120FF8">
          <w:rPr>
            <w:noProof/>
            <w:webHidden/>
          </w:rPr>
          <w:fldChar w:fldCharType="begin"/>
        </w:r>
        <w:r w:rsidR="00120FF8">
          <w:rPr>
            <w:noProof/>
            <w:webHidden/>
          </w:rPr>
          <w:instrText xml:space="preserve"> PAGEREF _Toc948198 \h </w:instrText>
        </w:r>
        <w:r w:rsidR="00120FF8">
          <w:rPr>
            <w:noProof/>
            <w:webHidden/>
          </w:rPr>
        </w:r>
        <w:r w:rsidR="00120FF8">
          <w:rPr>
            <w:noProof/>
            <w:webHidden/>
          </w:rPr>
          <w:fldChar w:fldCharType="separate"/>
        </w:r>
        <w:r w:rsidR="00120FF8">
          <w:rPr>
            <w:noProof/>
            <w:webHidden/>
          </w:rPr>
          <w:t>38</w:t>
        </w:r>
        <w:r w:rsidR="00120FF8">
          <w:rPr>
            <w:noProof/>
            <w:webHidden/>
          </w:rPr>
          <w:fldChar w:fldCharType="end"/>
        </w:r>
      </w:hyperlink>
    </w:p>
    <w:p w14:paraId="78A76EE3" w14:textId="55282E7F"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199" w:history="1">
        <w:r w:rsidR="00120FF8" w:rsidRPr="00993B7E">
          <w:rPr>
            <w:rStyle w:val="Hyperlink"/>
            <w:noProof/>
          </w:rPr>
          <w:t>Table 2: Summary of data collected</w:t>
        </w:r>
        <w:r w:rsidR="00120FF8">
          <w:rPr>
            <w:noProof/>
            <w:webHidden/>
          </w:rPr>
          <w:tab/>
        </w:r>
        <w:r w:rsidR="00120FF8">
          <w:rPr>
            <w:noProof/>
            <w:webHidden/>
          </w:rPr>
          <w:fldChar w:fldCharType="begin"/>
        </w:r>
        <w:r w:rsidR="00120FF8">
          <w:rPr>
            <w:noProof/>
            <w:webHidden/>
          </w:rPr>
          <w:instrText xml:space="preserve"> PAGEREF _Toc948199 \h </w:instrText>
        </w:r>
        <w:r w:rsidR="00120FF8">
          <w:rPr>
            <w:noProof/>
            <w:webHidden/>
          </w:rPr>
        </w:r>
        <w:r w:rsidR="00120FF8">
          <w:rPr>
            <w:noProof/>
            <w:webHidden/>
          </w:rPr>
          <w:fldChar w:fldCharType="separate"/>
        </w:r>
        <w:r w:rsidR="00120FF8">
          <w:rPr>
            <w:noProof/>
            <w:webHidden/>
          </w:rPr>
          <w:t>46</w:t>
        </w:r>
        <w:r w:rsidR="00120FF8">
          <w:rPr>
            <w:noProof/>
            <w:webHidden/>
          </w:rPr>
          <w:fldChar w:fldCharType="end"/>
        </w:r>
      </w:hyperlink>
    </w:p>
    <w:p w14:paraId="4A55E77C" w14:textId="31E3B589"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00" w:history="1">
        <w:r w:rsidR="00120FF8" w:rsidRPr="00993B7E">
          <w:rPr>
            <w:rStyle w:val="Hyperlink"/>
            <w:noProof/>
          </w:rPr>
          <w:t>Table 3: Summary of substantial amendments to the protocol as associated trial documentation</w:t>
        </w:r>
        <w:r w:rsidR="00120FF8">
          <w:rPr>
            <w:noProof/>
            <w:webHidden/>
          </w:rPr>
          <w:tab/>
        </w:r>
        <w:r w:rsidR="00120FF8">
          <w:rPr>
            <w:noProof/>
            <w:webHidden/>
          </w:rPr>
          <w:fldChar w:fldCharType="begin"/>
        </w:r>
        <w:r w:rsidR="00120FF8">
          <w:rPr>
            <w:noProof/>
            <w:webHidden/>
          </w:rPr>
          <w:instrText xml:space="preserve"> PAGEREF _Toc948200 \h </w:instrText>
        </w:r>
        <w:r w:rsidR="00120FF8">
          <w:rPr>
            <w:noProof/>
            <w:webHidden/>
          </w:rPr>
        </w:r>
        <w:r w:rsidR="00120FF8">
          <w:rPr>
            <w:noProof/>
            <w:webHidden/>
          </w:rPr>
          <w:fldChar w:fldCharType="separate"/>
        </w:r>
        <w:r w:rsidR="00120FF8">
          <w:rPr>
            <w:noProof/>
            <w:webHidden/>
          </w:rPr>
          <w:t>70</w:t>
        </w:r>
        <w:r w:rsidR="00120FF8">
          <w:rPr>
            <w:noProof/>
            <w:webHidden/>
          </w:rPr>
          <w:fldChar w:fldCharType="end"/>
        </w:r>
      </w:hyperlink>
    </w:p>
    <w:p w14:paraId="5C9E64F9" w14:textId="2EB1FE90"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01" w:history="1">
        <w:r w:rsidR="00120FF8" w:rsidRPr="00993B7E">
          <w:rPr>
            <w:rStyle w:val="Hyperlink"/>
            <w:noProof/>
          </w:rPr>
          <w:t>Table 4 Characteristics of Screened Residents Overall and by Arm</w:t>
        </w:r>
        <w:r w:rsidR="00120FF8">
          <w:rPr>
            <w:noProof/>
            <w:webHidden/>
          </w:rPr>
          <w:tab/>
        </w:r>
        <w:r w:rsidR="00120FF8">
          <w:rPr>
            <w:noProof/>
            <w:webHidden/>
          </w:rPr>
          <w:fldChar w:fldCharType="begin"/>
        </w:r>
        <w:r w:rsidR="00120FF8">
          <w:rPr>
            <w:noProof/>
            <w:webHidden/>
          </w:rPr>
          <w:instrText xml:space="preserve"> PAGEREF _Toc948201 \h </w:instrText>
        </w:r>
        <w:r w:rsidR="00120FF8">
          <w:rPr>
            <w:noProof/>
            <w:webHidden/>
          </w:rPr>
        </w:r>
        <w:r w:rsidR="00120FF8">
          <w:rPr>
            <w:noProof/>
            <w:webHidden/>
          </w:rPr>
          <w:fldChar w:fldCharType="separate"/>
        </w:r>
        <w:r w:rsidR="00120FF8">
          <w:rPr>
            <w:noProof/>
            <w:webHidden/>
          </w:rPr>
          <w:t>79</w:t>
        </w:r>
        <w:r w:rsidR="00120FF8">
          <w:rPr>
            <w:noProof/>
            <w:webHidden/>
          </w:rPr>
          <w:fldChar w:fldCharType="end"/>
        </w:r>
      </w:hyperlink>
    </w:p>
    <w:p w14:paraId="439497FF" w14:textId="017EB8C6"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02" w:history="1">
        <w:r w:rsidR="00120FF8" w:rsidRPr="00993B7E">
          <w:rPr>
            <w:rStyle w:val="Hyperlink"/>
            <w:rFonts w:eastAsia="Calibri"/>
            <w:noProof/>
          </w:rPr>
          <w:t>Table 5 Baseline care home and care home manager characteristics</w:t>
        </w:r>
        <w:r w:rsidR="00120FF8">
          <w:rPr>
            <w:noProof/>
            <w:webHidden/>
          </w:rPr>
          <w:tab/>
        </w:r>
        <w:r w:rsidR="00120FF8">
          <w:rPr>
            <w:noProof/>
            <w:webHidden/>
          </w:rPr>
          <w:fldChar w:fldCharType="begin"/>
        </w:r>
        <w:r w:rsidR="00120FF8">
          <w:rPr>
            <w:noProof/>
            <w:webHidden/>
          </w:rPr>
          <w:instrText xml:space="preserve"> PAGEREF _Toc948202 \h </w:instrText>
        </w:r>
        <w:r w:rsidR="00120FF8">
          <w:rPr>
            <w:noProof/>
            <w:webHidden/>
          </w:rPr>
        </w:r>
        <w:r w:rsidR="00120FF8">
          <w:rPr>
            <w:noProof/>
            <w:webHidden/>
          </w:rPr>
          <w:fldChar w:fldCharType="separate"/>
        </w:r>
        <w:r w:rsidR="00120FF8">
          <w:rPr>
            <w:noProof/>
            <w:webHidden/>
          </w:rPr>
          <w:t>81</w:t>
        </w:r>
        <w:r w:rsidR="00120FF8">
          <w:rPr>
            <w:noProof/>
            <w:webHidden/>
          </w:rPr>
          <w:fldChar w:fldCharType="end"/>
        </w:r>
      </w:hyperlink>
    </w:p>
    <w:p w14:paraId="3697EEEC" w14:textId="502DF64D"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03" w:history="1">
        <w:r w:rsidR="00120FF8" w:rsidRPr="00993B7E">
          <w:rPr>
            <w:rStyle w:val="Hyperlink"/>
            <w:rFonts w:eastAsia="Calibri"/>
            <w:noProof/>
          </w:rPr>
          <w:t>Table 6 Resident characteristics</w:t>
        </w:r>
        <w:r w:rsidR="00120FF8">
          <w:rPr>
            <w:noProof/>
            <w:webHidden/>
          </w:rPr>
          <w:tab/>
        </w:r>
        <w:r w:rsidR="00120FF8">
          <w:rPr>
            <w:noProof/>
            <w:webHidden/>
          </w:rPr>
          <w:fldChar w:fldCharType="begin"/>
        </w:r>
        <w:r w:rsidR="00120FF8">
          <w:rPr>
            <w:noProof/>
            <w:webHidden/>
          </w:rPr>
          <w:instrText xml:space="preserve"> PAGEREF _Toc948203 \h </w:instrText>
        </w:r>
        <w:r w:rsidR="00120FF8">
          <w:rPr>
            <w:noProof/>
            <w:webHidden/>
          </w:rPr>
        </w:r>
        <w:r w:rsidR="00120FF8">
          <w:rPr>
            <w:noProof/>
            <w:webHidden/>
          </w:rPr>
          <w:fldChar w:fldCharType="separate"/>
        </w:r>
        <w:r w:rsidR="00120FF8">
          <w:rPr>
            <w:noProof/>
            <w:webHidden/>
          </w:rPr>
          <w:t>82</w:t>
        </w:r>
        <w:r w:rsidR="00120FF8">
          <w:rPr>
            <w:noProof/>
            <w:webHidden/>
          </w:rPr>
          <w:fldChar w:fldCharType="end"/>
        </w:r>
      </w:hyperlink>
    </w:p>
    <w:p w14:paraId="7DB5B30A" w14:textId="390E92FF"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04" w:history="1">
        <w:r w:rsidR="00120FF8" w:rsidRPr="00993B7E">
          <w:rPr>
            <w:rStyle w:val="Hyperlink"/>
            <w:noProof/>
          </w:rPr>
          <w:t>Table 7 Summary of changes in usual care</w:t>
        </w:r>
        <w:r w:rsidR="00120FF8">
          <w:rPr>
            <w:noProof/>
            <w:webHidden/>
          </w:rPr>
          <w:tab/>
        </w:r>
        <w:r w:rsidR="00120FF8">
          <w:rPr>
            <w:noProof/>
            <w:webHidden/>
          </w:rPr>
          <w:fldChar w:fldCharType="begin"/>
        </w:r>
        <w:r w:rsidR="00120FF8">
          <w:rPr>
            <w:noProof/>
            <w:webHidden/>
          </w:rPr>
          <w:instrText xml:space="preserve"> PAGEREF _Toc948204 \h </w:instrText>
        </w:r>
        <w:r w:rsidR="00120FF8">
          <w:rPr>
            <w:noProof/>
            <w:webHidden/>
          </w:rPr>
        </w:r>
        <w:r w:rsidR="00120FF8">
          <w:rPr>
            <w:noProof/>
            <w:webHidden/>
          </w:rPr>
          <w:fldChar w:fldCharType="separate"/>
        </w:r>
        <w:r w:rsidR="00120FF8">
          <w:rPr>
            <w:noProof/>
            <w:webHidden/>
          </w:rPr>
          <w:t>84</w:t>
        </w:r>
        <w:r w:rsidR="00120FF8">
          <w:rPr>
            <w:noProof/>
            <w:webHidden/>
          </w:rPr>
          <w:fldChar w:fldCharType="end"/>
        </w:r>
      </w:hyperlink>
    </w:p>
    <w:p w14:paraId="3EA288A2" w14:textId="102458B2"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05" w:history="1">
        <w:r w:rsidR="00120FF8" w:rsidRPr="00993B7E">
          <w:rPr>
            <w:rStyle w:val="Hyperlink"/>
            <w:noProof/>
          </w:rPr>
          <w:t>Table 8 Unadjusted CMAI scores by resident sample and time-point</w:t>
        </w:r>
        <w:r w:rsidR="00120FF8">
          <w:rPr>
            <w:noProof/>
            <w:webHidden/>
          </w:rPr>
          <w:tab/>
        </w:r>
        <w:r w:rsidR="00120FF8">
          <w:rPr>
            <w:noProof/>
            <w:webHidden/>
          </w:rPr>
          <w:fldChar w:fldCharType="begin"/>
        </w:r>
        <w:r w:rsidR="00120FF8">
          <w:rPr>
            <w:noProof/>
            <w:webHidden/>
          </w:rPr>
          <w:instrText xml:space="preserve"> PAGEREF _Toc948205 \h </w:instrText>
        </w:r>
        <w:r w:rsidR="00120FF8">
          <w:rPr>
            <w:noProof/>
            <w:webHidden/>
          </w:rPr>
        </w:r>
        <w:r w:rsidR="00120FF8">
          <w:rPr>
            <w:noProof/>
            <w:webHidden/>
          </w:rPr>
          <w:fldChar w:fldCharType="separate"/>
        </w:r>
        <w:r w:rsidR="00120FF8">
          <w:rPr>
            <w:noProof/>
            <w:webHidden/>
          </w:rPr>
          <w:t>88</w:t>
        </w:r>
        <w:r w:rsidR="00120FF8">
          <w:rPr>
            <w:noProof/>
            <w:webHidden/>
          </w:rPr>
          <w:fldChar w:fldCharType="end"/>
        </w:r>
      </w:hyperlink>
    </w:p>
    <w:p w14:paraId="7C608E62" w14:textId="3F5B0232"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06" w:history="1">
        <w:r w:rsidR="00120FF8" w:rsidRPr="00993B7E">
          <w:rPr>
            <w:rStyle w:val="Hyperlink"/>
            <w:noProof/>
          </w:rPr>
          <w:t>Table 9 Unadjusted observational CMAI and PAS scores for by time-point - cross-sectional cohort</w:t>
        </w:r>
        <w:r w:rsidR="00120FF8">
          <w:rPr>
            <w:noProof/>
            <w:webHidden/>
          </w:rPr>
          <w:tab/>
        </w:r>
        <w:r w:rsidR="00120FF8">
          <w:rPr>
            <w:noProof/>
            <w:webHidden/>
          </w:rPr>
          <w:fldChar w:fldCharType="begin"/>
        </w:r>
        <w:r w:rsidR="00120FF8">
          <w:rPr>
            <w:noProof/>
            <w:webHidden/>
          </w:rPr>
          <w:instrText xml:space="preserve"> PAGEREF _Toc948206 \h </w:instrText>
        </w:r>
        <w:r w:rsidR="00120FF8">
          <w:rPr>
            <w:noProof/>
            <w:webHidden/>
          </w:rPr>
        </w:r>
        <w:r w:rsidR="00120FF8">
          <w:rPr>
            <w:noProof/>
            <w:webHidden/>
          </w:rPr>
          <w:fldChar w:fldCharType="separate"/>
        </w:r>
        <w:r w:rsidR="00120FF8">
          <w:rPr>
            <w:noProof/>
            <w:webHidden/>
          </w:rPr>
          <w:t>89</w:t>
        </w:r>
        <w:r w:rsidR="00120FF8">
          <w:rPr>
            <w:noProof/>
            <w:webHidden/>
          </w:rPr>
          <w:fldChar w:fldCharType="end"/>
        </w:r>
      </w:hyperlink>
    </w:p>
    <w:p w14:paraId="1F433625" w14:textId="5BCFD1B6"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07" w:history="1">
        <w:r w:rsidR="00120FF8" w:rsidRPr="00993B7E">
          <w:rPr>
            <w:rStyle w:val="Hyperlink"/>
            <w:noProof/>
          </w:rPr>
          <w:t>Table 10: Primary and sensitivity analyses assuming missing data are MAR – cross-sectional sample</w:t>
        </w:r>
        <w:r w:rsidR="00120FF8">
          <w:rPr>
            <w:noProof/>
            <w:webHidden/>
          </w:rPr>
          <w:tab/>
        </w:r>
        <w:r w:rsidR="00120FF8">
          <w:rPr>
            <w:noProof/>
            <w:webHidden/>
          </w:rPr>
          <w:fldChar w:fldCharType="begin"/>
        </w:r>
        <w:r w:rsidR="00120FF8">
          <w:rPr>
            <w:noProof/>
            <w:webHidden/>
          </w:rPr>
          <w:instrText xml:space="preserve"> PAGEREF _Toc948207 \h </w:instrText>
        </w:r>
        <w:r w:rsidR="00120FF8">
          <w:rPr>
            <w:noProof/>
            <w:webHidden/>
          </w:rPr>
        </w:r>
        <w:r w:rsidR="00120FF8">
          <w:rPr>
            <w:noProof/>
            <w:webHidden/>
          </w:rPr>
          <w:fldChar w:fldCharType="separate"/>
        </w:r>
        <w:r w:rsidR="00120FF8">
          <w:rPr>
            <w:noProof/>
            <w:webHidden/>
          </w:rPr>
          <w:t>91</w:t>
        </w:r>
        <w:r w:rsidR="00120FF8">
          <w:rPr>
            <w:noProof/>
            <w:webHidden/>
          </w:rPr>
          <w:fldChar w:fldCharType="end"/>
        </w:r>
      </w:hyperlink>
    </w:p>
    <w:p w14:paraId="7080FCAF" w14:textId="535AE762"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08" w:history="1">
        <w:r w:rsidR="00120FF8" w:rsidRPr="00993B7E">
          <w:rPr>
            <w:rStyle w:val="Hyperlink"/>
            <w:rFonts w:eastAsia="Calibri"/>
            <w:noProof/>
          </w:rPr>
          <w:t>Table 11: CACE analysis using various scenarios</w:t>
        </w:r>
        <w:r w:rsidR="00120FF8">
          <w:rPr>
            <w:noProof/>
            <w:webHidden/>
          </w:rPr>
          <w:tab/>
        </w:r>
        <w:r w:rsidR="00120FF8">
          <w:rPr>
            <w:noProof/>
            <w:webHidden/>
          </w:rPr>
          <w:fldChar w:fldCharType="begin"/>
        </w:r>
        <w:r w:rsidR="00120FF8">
          <w:rPr>
            <w:noProof/>
            <w:webHidden/>
          </w:rPr>
          <w:instrText xml:space="preserve"> PAGEREF _Toc948208 \h </w:instrText>
        </w:r>
        <w:r w:rsidR="00120FF8">
          <w:rPr>
            <w:noProof/>
            <w:webHidden/>
          </w:rPr>
        </w:r>
        <w:r w:rsidR="00120FF8">
          <w:rPr>
            <w:noProof/>
            <w:webHidden/>
          </w:rPr>
          <w:fldChar w:fldCharType="separate"/>
        </w:r>
        <w:r w:rsidR="00120FF8">
          <w:rPr>
            <w:noProof/>
            <w:webHidden/>
          </w:rPr>
          <w:t>92</w:t>
        </w:r>
        <w:r w:rsidR="00120FF8">
          <w:rPr>
            <w:noProof/>
            <w:webHidden/>
          </w:rPr>
          <w:fldChar w:fldCharType="end"/>
        </w:r>
      </w:hyperlink>
    </w:p>
    <w:p w14:paraId="1F6ABE36" w14:textId="3F8BC2FE"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09" w:history="1">
        <w:r w:rsidR="00120FF8" w:rsidRPr="00993B7E">
          <w:rPr>
            <w:rStyle w:val="Hyperlink"/>
            <w:rFonts w:eastAsia="Calibri"/>
            <w:noProof/>
          </w:rPr>
          <w:t>Table 12 Unadjusted NPI-NH scores and behaviours staff find challenging by resident sample and time-point</w:t>
        </w:r>
        <w:r w:rsidR="00120FF8">
          <w:rPr>
            <w:noProof/>
            <w:webHidden/>
          </w:rPr>
          <w:tab/>
        </w:r>
        <w:r w:rsidR="00120FF8">
          <w:rPr>
            <w:noProof/>
            <w:webHidden/>
          </w:rPr>
          <w:fldChar w:fldCharType="begin"/>
        </w:r>
        <w:r w:rsidR="00120FF8">
          <w:rPr>
            <w:noProof/>
            <w:webHidden/>
          </w:rPr>
          <w:instrText xml:space="preserve"> PAGEREF _Toc948209 \h </w:instrText>
        </w:r>
        <w:r w:rsidR="00120FF8">
          <w:rPr>
            <w:noProof/>
            <w:webHidden/>
          </w:rPr>
        </w:r>
        <w:r w:rsidR="00120FF8">
          <w:rPr>
            <w:noProof/>
            <w:webHidden/>
          </w:rPr>
          <w:fldChar w:fldCharType="separate"/>
        </w:r>
        <w:r w:rsidR="00120FF8">
          <w:rPr>
            <w:noProof/>
            <w:webHidden/>
          </w:rPr>
          <w:t>94</w:t>
        </w:r>
        <w:r w:rsidR="00120FF8">
          <w:rPr>
            <w:noProof/>
            <w:webHidden/>
          </w:rPr>
          <w:fldChar w:fldCharType="end"/>
        </w:r>
      </w:hyperlink>
    </w:p>
    <w:p w14:paraId="5D0FE22D" w14:textId="1010F37E"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10" w:history="1">
        <w:r w:rsidR="00120FF8" w:rsidRPr="00993B7E">
          <w:rPr>
            <w:rStyle w:val="Hyperlink"/>
            <w:rFonts w:eastAsia="Calibri"/>
            <w:noProof/>
          </w:rPr>
          <w:t>Table 13 Unadjusted PRN prescription medications by resident sample and timepoint</w:t>
        </w:r>
        <w:r w:rsidR="00120FF8">
          <w:rPr>
            <w:noProof/>
            <w:webHidden/>
          </w:rPr>
          <w:tab/>
        </w:r>
        <w:r w:rsidR="00120FF8">
          <w:rPr>
            <w:noProof/>
            <w:webHidden/>
          </w:rPr>
          <w:fldChar w:fldCharType="begin"/>
        </w:r>
        <w:r w:rsidR="00120FF8">
          <w:rPr>
            <w:noProof/>
            <w:webHidden/>
          </w:rPr>
          <w:instrText xml:space="preserve"> PAGEREF _Toc948210 \h </w:instrText>
        </w:r>
        <w:r w:rsidR="00120FF8">
          <w:rPr>
            <w:noProof/>
            <w:webHidden/>
          </w:rPr>
        </w:r>
        <w:r w:rsidR="00120FF8">
          <w:rPr>
            <w:noProof/>
            <w:webHidden/>
          </w:rPr>
          <w:fldChar w:fldCharType="separate"/>
        </w:r>
        <w:r w:rsidR="00120FF8">
          <w:rPr>
            <w:noProof/>
            <w:webHidden/>
          </w:rPr>
          <w:t>96</w:t>
        </w:r>
        <w:r w:rsidR="00120FF8">
          <w:rPr>
            <w:noProof/>
            <w:webHidden/>
          </w:rPr>
          <w:fldChar w:fldCharType="end"/>
        </w:r>
      </w:hyperlink>
    </w:p>
    <w:p w14:paraId="4564B9E7" w14:textId="566A590A"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11" w:history="1">
        <w:r w:rsidR="00120FF8" w:rsidRPr="00993B7E">
          <w:rPr>
            <w:rStyle w:val="Hyperlink"/>
            <w:rFonts w:eastAsia="Calibri"/>
            <w:noProof/>
          </w:rPr>
          <w:t>Table 14 Unadjusted quality of life scores by resident sample and time-point</w:t>
        </w:r>
        <w:r w:rsidR="00120FF8">
          <w:rPr>
            <w:noProof/>
            <w:webHidden/>
          </w:rPr>
          <w:tab/>
        </w:r>
        <w:r w:rsidR="00120FF8">
          <w:rPr>
            <w:noProof/>
            <w:webHidden/>
          </w:rPr>
          <w:fldChar w:fldCharType="begin"/>
        </w:r>
        <w:r w:rsidR="00120FF8">
          <w:rPr>
            <w:noProof/>
            <w:webHidden/>
          </w:rPr>
          <w:instrText xml:space="preserve"> PAGEREF _Toc948211 \h </w:instrText>
        </w:r>
        <w:r w:rsidR="00120FF8">
          <w:rPr>
            <w:noProof/>
            <w:webHidden/>
          </w:rPr>
        </w:r>
        <w:r w:rsidR="00120FF8">
          <w:rPr>
            <w:noProof/>
            <w:webHidden/>
          </w:rPr>
          <w:fldChar w:fldCharType="separate"/>
        </w:r>
        <w:r w:rsidR="00120FF8">
          <w:rPr>
            <w:noProof/>
            <w:webHidden/>
          </w:rPr>
          <w:t>97</w:t>
        </w:r>
        <w:r w:rsidR="00120FF8">
          <w:rPr>
            <w:noProof/>
            <w:webHidden/>
          </w:rPr>
          <w:fldChar w:fldCharType="end"/>
        </w:r>
      </w:hyperlink>
    </w:p>
    <w:p w14:paraId="443CBFCA" w14:textId="356B2AAB"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12" w:history="1">
        <w:r w:rsidR="00120FF8" w:rsidRPr="00993B7E">
          <w:rPr>
            <w:rStyle w:val="Hyperlink"/>
            <w:rFonts w:eastAsia="Calibri"/>
            <w:noProof/>
          </w:rPr>
          <w:t>Table 15 Unadjusted QUIS interactions by resident sample and timepoint</w:t>
        </w:r>
        <w:r w:rsidR="00120FF8">
          <w:rPr>
            <w:noProof/>
            <w:webHidden/>
          </w:rPr>
          <w:tab/>
        </w:r>
        <w:r w:rsidR="00120FF8">
          <w:rPr>
            <w:noProof/>
            <w:webHidden/>
          </w:rPr>
          <w:fldChar w:fldCharType="begin"/>
        </w:r>
        <w:r w:rsidR="00120FF8">
          <w:rPr>
            <w:noProof/>
            <w:webHidden/>
          </w:rPr>
          <w:instrText xml:space="preserve"> PAGEREF _Toc948212 \h </w:instrText>
        </w:r>
        <w:r w:rsidR="00120FF8">
          <w:rPr>
            <w:noProof/>
            <w:webHidden/>
          </w:rPr>
        </w:r>
        <w:r w:rsidR="00120FF8">
          <w:rPr>
            <w:noProof/>
            <w:webHidden/>
          </w:rPr>
          <w:fldChar w:fldCharType="separate"/>
        </w:r>
        <w:r w:rsidR="00120FF8">
          <w:rPr>
            <w:noProof/>
            <w:webHidden/>
          </w:rPr>
          <w:t>97</w:t>
        </w:r>
        <w:r w:rsidR="00120FF8">
          <w:rPr>
            <w:noProof/>
            <w:webHidden/>
          </w:rPr>
          <w:fldChar w:fldCharType="end"/>
        </w:r>
      </w:hyperlink>
    </w:p>
    <w:p w14:paraId="69967F4C" w14:textId="479F5B51"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13" w:history="1">
        <w:r w:rsidR="00120FF8" w:rsidRPr="00993B7E">
          <w:rPr>
            <w:rStyle w:val="Hyperlink"/>
            <w:rFonts w:eastAsia="Calibri"/>
            <w:noProof/>
          </w:rPr>
          <w:t>Table 16 Secondary outcomes at 6-months (closed-cohort)</w:t>
        </w:r>
        <w:r w:rsidR="00120FF8">
          <w:rPr>
            <w:noProof/>
            <w:webHidden/>
          </w:rPr>
          <w:tab/>
        </w:r>
        <w:r w:rsidR="00120FF8">
          <w:rPr>
            <w:noProof/>
            <w:webHidden/>
          </w:rPr>
          <w:fldChar w:fldCharType="begin"/>
        </w:r>
        <w:r w:rsidR="00120FF8">
          <w:rPr>
            <w:noProof/>
            <w:webHidden/>
          </w:rPr>
          <w:instrText xml:space="preserve"> PAGEREF _Toc948213 \h </w:instrText>
        </w:r>
        <w:r w:rsidR="00120FF8">
          <w:rPr>
            <w:noProof/>
            <w:webHidden/>
          </w:rPr>
        </w:r>
        <w:r w:rsidR="00120FF8">
          <w:rPr>
            <w:noProof/>
            <w:webHidden/>
          </w:rPr>
          <w:fldChar w:fldCharType="separate"/>
        </w:r>
        <w:r w:rsidR="00120FF8">
          <w:rPr>
            <w:noProof/>
            <w:webHidden/>
          </w:rPr>
          <w:t>98</w:t>
        </w:r>
        <w:r w:rsidR="00120FF8">
          <w:rPr>
            <w:noProof/>
            <w:webHidden/>
          </w:rPr>
          <w:fldChar w:fldCharType="end"/>
        </w:r>
      </w:hyperlink>
    </w:p>
    <w:p w14:paraId="4D9E7B6C" w14:textId="49D2301D"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14" w:history="1">
        <w:r w:rsidR="00120FF8" w:rsidRPr="00993B7E">
          <w:rPr>
            <w:rStyle w:val="Hyperlink"/>
            <w:rFonts w:eastAsia="Calibri"/>
            <w:noProof/>
          </w:rPr>
          <w:t>Table 17 Secondary outcomes at 16-months by resident sample</w:t>
        </w:r>
        <w:r w:rsidR="00120FF8">
          <w:rPr>
            <w:noProof/>
            <w:webHidden/>
          </w:rPr>
          <w:tab/>
        </w:r>
        <w:r w:rsidR="00120FF8">
          <w:rPr>
            <w:noProof/>
            <w:webHidden/>
          </w:rPr>
          <w:fldChar w:fldCharType="begin"/>
        </w:r>
        <w:r w:rsidR="00120FF8">
          <w:rPr>
            <w:noProof/>
            <w:webHidden/>
          </w:rPr>
          <w:instrText xml:space="preserve"> PAGEREF _Toc948214 \h </w:instrText>
        </w:r>
        <w:r w:rsidR="00120FF8">
          <w:rPr>
            <w:noProof/>
            <w:webHidden/>
          </w:rPr>
        </w:r>
        <w:r w:rsidR="00120FF8">
          <w:rPr>
            <w:noProof/>
            <w:webHidden/>
          </w:rPr>
          <w:fldChar w:fldCharType="separate"/>
        </w:r>
        <w:r w:rsidR="00120FF8">
          <w:rPr>
            <w:noProof/>
            <w:webHidden/>
          </w:rPr>
          <w:t>99</w:t>
        </w:r>
        <w:r w:rsidR="00120FF8">
          <w:rPr>
            <w:noProof/>
            <w:webHidden/>
          </w:rPr>
          <w:fldChar w:fldCharType="end"/>
        </w:r>
      </w:hyperlink>
    </w:p>
    <w:p w14:paraId="53F1BEE4" w14:textId="29D57C1A"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15" w:history="1">
        <w:r w:rsidR="00120FF8" w:rsidRPr="00993B7E">
          <w:rPr>
            <w:rStyle w:val="Hyperlink"/>
            <w:rFonts w:eastAsia="Calibri"/>
            <w:noProof/>
          </w:rPr>
          <w:t>Table 18 Hospital admissions in the closed-cohort</w:t>
        </w:r>
        <w:r w:rsidR="00120FF8">
          <w:rPr>
            <w:noProof/>
            <w:webHidden/>
          </w:rPr>
          <w:tab/>
        </w:r>
        <w:r w:rsidR="00120FF8">
          <w:rPr>
            <w:noProof/>
            <w:webHidden/>
          </w:rPr>
          <w:fldChar w:fldCharType="begin"/>
        </w:r>
        <w:r w:rsidR="00120FF8">
          <w:rPr>
            <w:noProof/>
            <w:webHidden/>
          </w:rPr>
          <w:instrText xml:space="preserve"> PAGEREF _Toc948215 \h </w:instrText>
        </w:r>
        <w:r w:rsidR="00120FF8">
          <w:rPr>
            <w:noProof/>
            <w:webHidden/>
          </w:rPr>
        </w:r>
        <w:r w:rsidR="00120FF8">
          <w:rPr>
            <w:noProof/>
            <w:webHidden/>
          </w:rPr>
          <w:fldChar w:fldCharType="separate"/>
        </w:r>
        <w:r w:rsidR="00120FF8">
          <w:rPr>
            <w:noProof/>
            <w:webHidden/>
          </w:rPr>
          <w:t>101</w:t>
        </w:r>
        <w:r w:rsidR="00120FF8">
          <w:rPr>
            <w:noProof/>
            <w:webHidden/>
          </w:rPr>
          <w:fldChar w:fldCharType="end"/>
        </w:r>
      </w:hyperlink>
    </w:p>
    <w:p w14:paraId="7C3516CD" w14:textId="2AE6E32A"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16" w:history="1">
        <w:r w:rsidR="00120FF8" w:rsidRPr="00993B7E">
          <w:rPr>
            <w:rStyle w:val="Hyperlink"/>
            <w:noProof/>
          </w:rPr>
          <w:t>Table 19: Costs of DCM™ intervention</w:t>
        </w:r>
        <w:r w:rsidR="00120FF8">
          <w:rPr>
            <w:noProof/>
            <w:webHidden/>
          </w:rPr>
          <w:tab/>
        </w:r>
        <w:r w:rsidR="00120FF8">
          <w:rPr>
            <w:noProof/>
            <w:webHidden/>
          </w:rPr>
          <w:fldChar w:fldCharType="begin"/>
        </w:r>
        <w:r w:rsidR="00120FF8">
          <w:rPr>
            <w:noProof/>
            <w:webHidden/>
          </w:rPr>
          <w:instrText xml:space="preserve"> PAGEREF _Toc948216 \h </w:instrText>
        </w:r>
        <w:r w:rsidR="00120FF8">
          <w:rPr>
            <w:noProof/>
            <w:webHidden/>
          </w:rPr>
        </w:r>
        <w:r w:rsidR="00120FF8">
          <w:rPr>
            <w:noProof/>
            <w:webHidden/>
          </w:rPr>
          <w:fldChar w:fldCharType="separate"/>
        </w:r>
        <w:r w:rsidR="00120FF8">
          <w:rPr>
            <w:noProof/>
            <w:webHidden/>
          </w:rPr>
          <w:t>104</w:t>
        </w:r>
        <w:r w:rsidR="00120FF8">
          <w:rPr>
            <w:noProof/>
            <w:webHidden/>
          </w:rPr>
          <w:fldChar w:fldCharType="end"/>
        </w:r>
      </w:hyperlink>
    </w:p>
    <w:p w14:paraId="1BB8BED8" w14:textId="7017A432"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17" w:history="1">
        <w:r w:rsidR="00120FF8" w:rsidRPr="00993B7E">
          <w:rPr>
            <w:rStyle w:val="Hyperlink"/>
            <w:noProof/>
          </w:rPr>
          <w:t>Table 20: Healthcare resource costs in base case analysis*</w:t>
        </w:r>
        <w:r w:rsidR="00120FF8">
          <w:rPr>
            <w:noProof/>
            <w:webHidden/>
          </w:rPr>
          <w:tab/>
        </w:r>
        <w:r w:rsidR="00120FF8">
          <w:rPr>
            <w:noProof/>
            <w:webHidden/>
          </w:rPr>
          <w:fldChar w:fldCharType="begin"/>
        </w:r>
        <w:r w:rsidR="00120FF8">
          <w:rPr>
            <w:noProof/>
            <w:webHidden/>
          </w:rPr>
          <w:instrText xml:space="preserve"> PAGEREF _Toc948217 \h </w:instrText>
        </w:r>
        <w:r w:rsidR="00120FF8">
          <w:rPr>
            <w:noProof/>
            <w:webHidden/>
          </w:rPr>
        </w:r>
        <w:r w:rsidR="00120FF8">
          <w:rPr>
            <w:noProof/>
            <w:webHidden/>
          </w:rPr>
          <w:fldChar w:fldCharType="separate"/>
        </w:r>
        <w:r w:rsidR="00120FF8">
          <w:rPr>
            <w:noProof/>
            <w:webHidden/>
          </w:rPr>
          <w:t>105</w:t>
        </w:r>
        <w:r w:rsidR="00120FF8">
          <w:rPr>
            <w:noProof/>
            <w:webHidden/>
          </w:rPr>
          <w:fldChar w:fldCharType="end"/>
        </w:r>
      </w:hyperlink>
    </w:p>
    <w:p w14:paraId="197E2E6D" w14:textId="59B3FD8E"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18" w:history="1">
        <w:r w:rsidR="00120FF8" w:rsidRPr="00993B7E">
          <w:rPr>
            <w:rStyle w:val="Hyperlink"/>
            <w:noProof/>
          </w:rPr>
          <w:t>Table 21: Utility values</w:t>
        </w:r>
        <w:r w:rsidR="00120FF8">
          <w:rPr>
            <w:noProof/>
            <w:webHidden/>
          </w:rPr>
          <w:tab/>
        </w:r>
        <w:r w:rsidR="00120FF8">
          <w:rPr>
            <w:noProof/>
            <w:webHidden/>
          </w:rPr>
          <w:fldChar w:fldCharType="begin"/>
        </w:r>
        <w:r w:rsidR="00120FF8">
          <w:rPr>
            <w:noProof/>
            <w:webHidden/>
          </w:rPr>
          <w:instrText xml:space="preserve"> PAGEREF _Toc948218 \h </w:instrText>
        </w:r>
        <w:r w:rsidR="00120FF8">
          <w:rPr>
            <w:noProof/>
            <w:webHidden/>
          </w:rPr>
        </w:r>
        <w:r w:rsidR="00120FF8">
          <w:rPr>
            <w:noProof/>
            <w:webHidden/>
          </w:rPr>
          <w:fldChar w:fldCharType="separate"/>
        </w:r>
        <w:r w:rsidR="00120FF8">
          <w:rPr>
            <w:noProof/>
            <w:webHidden/>
          </w:rPr>
          <w:t>106</w:t>
        </w:r>
        <w:r w:rsidR="00120FF8">
          <w:rPr>
            <w:noProof/>
            <w:webHidden/>
          </w:rPr>
          <w:fldChar w:fldCharType="end"/>
        </w:r>
      </w:hyperlink>
    </w:p>
    <w:p w14:paraId="18C7C9CA" w14:textId="25AEFEB1"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19" w:history="1">
        <w:r w:rsidR="00120FF8" w:rsidRPr="00993B7E">
          <w:rPr>
            <w:rStyle w:val="Hyperlink"/>
            <w:noProof/>
          </w:rPr>
          <w:t>Table 22: Cost effectiveness</w:t>
        </w:r>
        <w:r w:rsidR="00120FF8">
          <w:rPr>
            <w:noProof/>
            <w:webHidden/>
          </w:rPr>
          <w:tab/>
        </w:r>
        <w:r w:rsidR="00120FF8">
          <w:rPr>
            <w:noProof/>
            <w:webHidden/>
          </w:rPr>
          <w:fldChar w:fldCharType="begin"/>
        </w:r>
        <w:r w:rsidR="00120FF8">
          <w:rPr>
            <w:noProof/>
            <w:webHidden/>
          </w:rPr>
          <w:instrText xml:space="preserve"> PAGEREF _Toc948219 \h </w:instrText>
        </w:r>
        <w:r w:rsidR="00120FF8">
          <w:rPr>
            <w:noProof/>
            <w:webHidden/>
          </w:rPr>
        </w:r>
        <w:r w:rsidR="00120FF8">
          <w:rPr>
            <w:noProof/>
            <w:webHidden/>
          </w:rPr>
          <w:fldChar w:fldCharType="separate"/>
        </w:r>
        <w:r w:rsidR="00120FF8">
          <w:rPr>
            <w:noProof/>
            <w:webHidden/>
          </w:rPr>
          <w:t>108</w:t>
        </w:r>
        <w:r w:rsidR="00120FF8">
          <w:rPr>
            <w:noProof/>
            <w:webHidden/>
          </w:rPr>
          <w:fldChar w:fldCharType="end"/>
        </w:r>
      </w:hyperlink>
    </w:p>
    <w:p w14:paraId="43951B15" w14:textId="059880CE"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20" w:history="1">
        <w:r w:rsidR="00120FF8" w:rsidRPr="00993B7E">
          <w:rPr>
            <w:rStyle w:val="Hyperlink"/>
            <w:noProof/>
          </w:rPr>
          <w:t>Table 23: Net Benefit Regression</w:t>
        </w:r>
        <w:r w:rsidR="00120FF8">
          <w:rPr>
            <w:noProof/>
            <w:webHidden/>
          </w:rPr>
          <w:tab/>
        </w:r>
        <w:r w:rsidR="00120FF8">
          <w:rPr>
            <w:noProof/>
            <w:webHidden/>
          </w:rPr>
          <w:fldChar w:fldCharType="begin"/>
        </w:r>
        <w:r w:rsidR="00120FF8">
          <w:rPr>
            <w:noProof/>
            <w:webHidden/>
          </w:rPr>
          <w:instrText xml:space="preserve"> PAGEREF _Toc948220 \h </w:instrText>
        </w:r>
        <w:r w:rsidR="00120FF8">
          <w:rPr>
            <w:noProof/>
            <w:webHidden/>
          </w:rPr>
        </w:r>
        <w:r w:rsidR="00120FF8">
          <w:rPr>
            <w:noProof/>
            <w:webHidden/>
          </w:rPr>
          <w:fldChar w:fldCharType="separate"/>
        </w:r>
        <w:r w:rsidR="00120FF8">
          <w:rPr>
            <w:noProof/>
            <w:webHidden/>
          </w:rPr>
          <w:t>110</w:t>
        </w:r>
        <w:r w:rsidR="00120FF8">
          <w:rPr>
            <w:noProof/>
            <w:webHidden/>
          </w:rPr>
          <w:fldChar w:fldCharType="end"/>
        </w:r>
      </w:hyperlink>
    </w:p>
    <w:p w14:paraId="4A3CC028" w14:textId="03DA1915"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21" w:history="1">
        <w:r w:rsidR="00120FF8" w:rsidRPr="00993B7E">
          <w:rPr>
            <w:rStyle w:val="Hyperlink"/>
            <w:rFonts w:eastAsia="Calibri"/>
            <w:noProof/>
          </w:rPr>
          <w:t>Table 24 Assessment of moderators of treatment effect at 16-months – cross-sectional sample, complete cases – adjusted estimates</w:t>
        </w:r>
        <w:r w:rsidR="00120FF8">
          <w:rPr>
            <w:noProof/>
            <w:webHidden/>
          </w:rPr>
          <w:tab/>
        </w:r>
        <w:r w:rsidR="00120FF8">
          <w:rPr>
            <w:noProof/>
            <w:webHidden/>
          </w:rPr>
          <w:fldChar w:fldCharType="begin"/>
        </w:r>
        <w:r w:rsidR="00120FF8">
          <w:rPr>
            <w:noProof/>
            <w:webHidden/>
          </w:rPr>
          <w:instrText xml:space="preserve"> PAGEREF _Toc948221 \h </w:instrText>
        </w:r>
        <w:r w:rsidR="00120FF8">
          <w:rPr>
            <w:noProof/>
            <w:webHidden/>
          </w:rPr>
        </w:r>
        <w:r w:rsidR="00120FF8">
          <w:rPr>
            <w:noProof/>
            <w:webHidden/>
          </w:rPr>
          <w:fldChar w:fldCharType="separate"/>
        </w:r>
        <w:r w:rsidR="00120FF8">
          <w:rPr>
            <w:noProof/>
            <w:webHidden/>
          </w:rPr>
          <w:t>147</w:t>
        </w:r>
        <w:r w:rsidR="00120FF8">
          <w:rPr>
            <w:noProof/>
            <w:webHidden/>
          </w:rPr>
          <w:fldChar w:fldCharType="end"/>
        </w:r>
      </w:hyperlink>
    </w:p>
    <w:p w14:paraId="17A49BF8" w14:textId="1EA615DA"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22" w:history="1">
        <w:r w:rsidR="00120FF8" w:rsidRPr="00993B7E">
          <w:rPr>
            <w:rStyle w:val="Hyperlink"/>
            <w:rFonts w:eastAsia="Calibri"/>
            <w:noProof/>
          </w:rPr>
          <w:t>Table 25 Causal Mediators Analyses based on Multiple Imputations</w:t>
        </w:r>
        <w:r w:rsidR="00120FF8">
          <w:rPr>
            <w:noProof/>
            <w:webHidden/>
          </w:rPr>
          <w:tab/>
        </w:r>
        <w:r w:rsidR="00120FF8">
          <w:rPr>
            <w:noProof/>
            <w:webHidden/>
          </w:rPr>
          <w:fldChar w:fldCharType="begin"/>
        </w:r>
        <w:r w:rsidR="00120FF8">
          <w:rPr>
            <w:noProof/>
            <w:webHidden/>
          </w:rPr>
          <w:instrText xml:space="preserve"> PAGEREF _Toc948222 \h </w:instrText>
        </w:r>
        <w:r w:rsidR="00120FF8">
          <w:rPr>
            <w:noProof/>
            <w:webHidden/>
          </w:rPr>
        </w:r>
        <w:r w:rsidR="00120FF8">
          <w:rPr>
            <w:noProof/>
            <w:webHidden/>
          </w:rPr>
          <w:fldChar w:fldCharType="separate"/>
        </w:r>
        <w:r w:rsidR="00120FF8">
          <w:rPr>
            <w:noProof/>
            <w:webHidden/>
          </w:rPr>
          <w:t>148</w:t>
        </w:r>
        <w:r w:rsidR="00120FF8">
          <w:rPr>
            <w:noProof/>
            <w:webHidden/>
          </w:rPr>
          <w:fldChar w:fldCharType="end"/>
        </w:r>
      </w:hyperlink>
    </w:p>
    <w:p w14:paraId="21003FFA" w14:textId="56EF0549"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23" w:history="1">
        <w:r w:rsidR="00120FF8" w:rsidRPr="00993B7E">
          <w:rPr>
            <w:rStyle w:val="Hyperlink"/>
            <w:rFonts w:eastAsia="Calibri"/>
            <w:noProof/>
          </w:rPr>
          <w:t>Table 26 Resident original cohort CONSORT by hub</w:t>
        </w:r>
        <w:r w:rsidR="00120FF8">
          <w:rPr>
            <w:noProof/>
            <w:webHidden/>
          </w:rPr>
          <w:tab/>
        </w:r>
        <w:r w:rsidR="00120FF8">
          <w:rPr>
            <w:noProof/>
            <w:webHidden/>
          </w:rPr>
          <w:fldChar w:fldCharType="begin"/>
        </w:r>
        <w:r w:rsidR="00120FF8">
          <w:rPr>
            <w:noProof/>
            <w:webHidden/>
          </w:rPr>
          <w:instrText xml:space="preserve"> PAGEREF _Toc948223 \h </w:instrText>
        </w:r>
        <w:r w:rsidR="00120FF8">
          <w:rPr>
            <w:noProof/>
            <w:webHidden/>
          </w:rPr>
        </w:r>
        <w:r w:rsidR="00120FF8">
          <w:rPr>
            <w:noProof/>
            <w:webHidden/>
          </w:rPr>
          <w:fldChar w:fldCharType="separate"/>
        </w:r>
        <w:r w:rsidR="00120FF8">
          <w:rPr>
            <w:noProof/>
            <w:webHidden/>
          </w:rPr>
          <w:t>174</w:t>
        </w:r>
        <w:r w:rsidR="00120FF8">
          <w:rPr>
            <w:noProof/>
            <w:webHidden/>
          </w:rPr>
          <w:fldChar w:fldCharType="end"/>
        </w:r>
      </w:hyperlink>
    </w:p>
    <w:p w14:paraId="21A32D38" w14:textId="67F83A0E"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24" w:history="1">
        <w:r w:rsidR="00120FF8" w:rsidRPr="00993B7E">
          <w:rPr>
            <w:rStyle w:val="Hyperlink"/>
            <w:rFonts w:eastAsia="Calibri"/>
            <w:noProof/>
          </w:rPr>
          <w:t>Table 27 Additional resident cohort screening by hub</w:t>
        </w:r>
        <w:r w:rsidR="00120FF8">
          <w:rPr>
            <w:noProof/>
            <w:webHidden/>
          </w:rPr>
          <w:tab/>
        </w:r>
        <w:r w:rsidR="00120FF8">
          <w:rPr>
            <w:noProof/>
            <w:webHidden/>
          </w:rPr>
          <w:fldChar w:fldCharType="begin"/>
        </w:r>
        <w:r w:rsidR="00120FF8">
          <w:rPr>
            <w:noProof/>
            <w:webHidden/>
          </w:rPr>
          <w:instrText xml:space="preserve"> PAGEREF _Toc948224 \h </w:instrText>
        </w:r>
        <w:r w:rsidR="00120FF8">
          <w:rPr>
            <w:noProof/>
            <w:webHidden/>
          </w:rPr>
        </w:r>
        <w:r w:rsidR="00120FF8">
          <w:rPr>
            <w:noProof/>
            <w:webHidden/>
          </w:rPr>
          <w:fldChar w:fldCharType="separate"/>
        </w:r>
        <w:r w:rsidR="00120FF8">
          <w:rPr>
            <w:noProof/>
            <w:webHidden/>
          </w:rPr>
          <w:t>175</w:t>
        </w:r>
        <w:r w:rsidR="00120FF8">
          <w:rPr>
            <w:noProof/>
            <w:webHidden/>
          </w:rPr>
          <w:fldChar w:fldCharType="end"/>
        </w:r>
      </w:hyperlink>
    </w:p>
    <w:p w14:paraId="0C0A7731" w14:textId="7F2809E7"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25" w:history="1">
        <w:r w:rsidR="00120FF8" w:rsidRPr="00993B7E">
          <w:rPr>
            <w:rStyle w:val="Hyperlink"/>
            <w:rFonts w:eastAsia="Calibri"/>
            <w:noProof/>
          </w:rPr>
          <w:t>Table 28 Residents screened in additional cohort by treatment arm</w:t>
        </w:r>
        <w:r w:rsidR="00120FF8">
          <w:rPr>
            <w:noProof/>
            <w:webHidden/>
          </w:rPr>
          <w:tab/>
        </w:r>
        <w:r w:rsidR="00120FF8">
          <w:rPr>
            <w:noProof/>
            <w:webHidden/>
          </w:rPr>
          <w:fldChar w:fldCharType="begin"/>
        </w:r>
        <w:r w:rsidR="00120FF8">
          <w:rPr>
            <w:noProof/>
            <w:webHidden/>
          </w:rPr>
          <w:instrText xml:space="preserve"> PAGEREF _Toc948225 \h </w:instrText>
        </w:r>
        <w:r w:rsidR="00120FF8">
          <w:rPr>
            <w:noProof/>
            <w:webHidden/>
          </w:rPr>
        </w:r>
        <w:r w:rsidR="00120FF8">
          <w:rPr>
            <w:noProof/>
            <w:webHidden/>
          </w:rPr>
          <w:fldChar w:fldCharType="separate"/>
        </w:r>
        <w:r w:rsidR="00120FF8">
          <w:rPr>
            <w:noProof/>
            <w:webHidden/>
          </w:rPr>
          <w:t>176</w:t>
        </w:r>
        <w:r w:rsidR="00120FF8">
          <w:rPr>
            <w:noProof/>
            <w:webHidden/>
          </w:rPr>
          <w:fldChar w:fldCharType="end"/>
        </w:r>
      </w:hyperlink>
    </w:p>
    <w:p w14:paraId="088B4EF9" w14:textId="37A86D17"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26" w:history="1">
        <w:r w:rsidR="00120FF8" w:rsidRPr="00993B7E">
          <w:rPr>
            <w:rStyle w:val="Hyperlink"/>
            <w:rFonts w:eastAsia="Calibri"/>
            <w:noProof/>
          </w:rPr>
          <w:t>Table 29 Screening data – original and additional cohort by hub</w:t>
        </w:r>
        <w:r w:rsidR="00120FF8">
          <w:rPr>
            <w:noProof/>
            <w:webHidden/>
          </w:rPr>
          <w:tab/>
        </w:r>
        <w:r w:rsidR="00120FF8">
          <w:rPr>
            <w:noProof/>
            <w:webHidden/>
          </w:rPr>
          <w:fldChar w:fldCharType="begin"/>
        </w:r>
        <w:r w:rsidR="00120FF8">
          <w:rPr>
            <w:noProof/>
            <w:webHidden/>
          </w:rPr>
          <w:instrText xml:space="preserve"> PAGEREF _Toc948226 \h </w:instrText>
        </w:r>
        <w:r w:rsidR="00120FF8">
          <w:rPr>
            <w:noProof/>
            <w:webHidden/>
          </w:rPr>
        </w:r>
        <w:r w:rsidR="00120FF8">
          <w:rPr>
            <w:noProof/>
            <w:webHidden/>
          </w:rPr>
          <w:fldChar w:fldCharType="separate"/>
        </w:r>
        <w:r w:rsidR="00120FF8">
          <w:rPr>
            <w:noProof/>
            <w:webHidden/>
          </w:rPr>
          <w:t>177</w:t>
        </w:r>
        <w:r w:rsidR="00120FF8">
          <w:rPr>
            <w:noProof/>
            <w:webHidden/>
          </w:rPr>
          <w:fldChar w:fldCharType="end"/>
        </w:r>
      </w:hyperlink>
    </w:p>
    <w:p w14:paraId="63615476" w14:textId="60DEC61B"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27" w:history="1">
        <w:r w:rsidR="00120FF8" w:rsidRPr="00993B7E">
          <w:rPr>
            <w:rStyle w:val="Hyperlink"/>
            <w:rFonts w:eastAsia="Calibri"/>
            <w:noProof/>
          </w:rPr>
          <w:t>Table 30 Type of consent of registered residents</w:t>
        </w:r>
        <w:r w:rsidR="00120FF8">
          <w:rPr>
            <w:noProof/>
            <w:webHidden/>
          </w:rPr>
          <w:tab/>
        </w:r>
        <w:r w:rsidR="00120FF8">
          <w:rPr>
            <w:noProof/>
            <w:webHidden/>
          </w:rPr>
          <w:fldChar w:fldCharType="begin"/>
        </w:r>
        <w:r w:rsidR="00120FF8">
          <w:rPr>
            <w:noProof/>
            <w:webHidden/>
          </w:rPr>
          <w:instrText xml:space="preserve"> PAGEREF _Toc948227 \h </w:instrText>
        </w:r>
        <w:r w:rsidR="00120FF8">
          <w:rPr>
            <w:noProof/>
            <w:webHidden/>
          </w:rPr>
        </w:r>
        <w:r w:rsidR="00120FF8">
          <w:rPr>
            <w:noProof/>
            <w:webHidden/>
          </w:rPr>
          <w:fldChar w:fldCharType="separate"/>
        </w:r>
        <w:r w:rsidR="00120FF8">
          <w:rPr>
            <w:noProof/>
            <w:webHidden/>
          </w:rPr>
          <w:t>178</w:t>
        </w:r>
        <w:r w:rsidR="00120FF8">
          <w:rPr>
            <w:noProof/>
            <w:webHidden/>
          </w:rPr>
          <w:fldChar w:fldCharType="end"/>
        </w:r>
      </w:hyperlink>
    </w:p>
    <w:p w14:paraId="27F220F0" w14:textId="4CB8F8A6"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28" w:history="1">
        <w:r w:rsidR="00120FF8" w:rsidRPr="00993B7E">
          <w:rPr>
            <w:rStyle w:val="Hyperlink"/>
            <w:rFonts w:eastAsia="Calibri"/>
            <w:noProof/>
          </w:rPr>
          <w:t>Table 31 Staff measures – SCIDS (total number of staff that completed at least one SCIDS item)</w:t>
        </w:r>
        <w:r w:rsidR="00120FF8">
          <w:rPr>
            <w:noProof/>
            <w:webHidden/>
          </w:rPr>
          <w:tab/>
        </w:r>
        <w:r w:rsidR="00120FF8">
          <w:rPr>
            <w:noProof/>
            <w:webHidden/>
          </w:rPr>
          <w:fldChar w:fldCharType="begin"/>
        </w:r>
        <w:r w:rsidR="00120FF8">
          <w:rPr>
            <w:noProof/>
            <w:webHidden/>
          </w:rPr>
          <w:instrText xml:space="preserve"> PAGEREF _Toc948228 \h </w:instrText>
        </w:r>
        <w:r w:rsidR="00120FF8">
          <w:rPr>
            <w:noProof/>
            <w:webHidden/>
          </w:rPr>
        </w:r>
        <w:r w:rsidR="00120FF8">
          <w:rPr>
            <w:noProof/>
            <w:webHidden/>
          </w:rPr>
          <w:fldChar w:fldCharType="separate"/>
        </w:r>
        <w:r w:rsidR="00120FF8">
          <w:rPr>
            <w:noProof/>
            <w:webHidden/>
          </w:rPr>
          <w:t>179</w:t>
        </w:r>
        <w:r w:rsidR="00120FF8">
          <w:rPr>
            <w:noProof/>
            <w:webHidden/>
          </w:rPr>
          <w:fldChar w:fldCharType="end"/>
        </w:r>
      </w:hyperlink>
    </w:p>
    <w:p w14:paraId="0EE66A83" w14:textId="63A74745"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29" w:history="1">
        <w:r w:rsidR="00120FF8" w:rsidRPr="00993B7E">
          <w:rPr>
            <w:rStyle w:val="Hyperlink"/>
            <w:rFonts w:eastAsia="Calibri"/>
            <w:noProof/>
          </w:rPr>
          <w:t>Table 32 QUALID – completed by relative/ friend (out of relatives that were registered at each timepoint)</w:t>
        </w:r>
        <w:r w:rsidR="00120FF8">
          <w:rPr>
            <w:noProof/>
            <w:webHidden/>
          </w:rPr>
          <w:tab/>
        </w:r>
        <w:r w:rsidR="00120FF8">
          <w:rPr>
            <w:noProof/>
            <w:webHidden/>
          </w:rPr>
          <w:fldChar w:fldCharType="begin"/>
        </w:r>
        <w:r w:rsidR="00120FF8">
          <w:rPr>
            <w:noProof/>
            <w:webHidden/>
          </w:rPr>
          <w:instrText xml:space="preserve"> PAGEREF _Toc948229 \h </w:instrText>
        </w:r>
        <w:r w:rsidR="00120FF8">
          <w:rPr>
            <w:noProof/>
            <w:webHidden/>
          </w:rPr>
        </w:r>
        <w:r w:rsidR="00120FF8">
          <w:rPr>
            <w:noProof/>
            <w:webHidden/>
          </w:rPr>
          <w:fldChar w:fldCharType="separate"/>
        </w:r>
        <w:r w:rsidR="00120FF8">
          <w:rPr>
            <w:noProof/>
            <w:webHidden/>
          </w:rPr>
          <w:t>180</w:t>
        </w:r>
        <w:r w:rsidR="00120FF8">
          <w:rPr>
            <w:noProof/>
            <w:webHidden/>
          </w:rPr>
          <w:fldChar w:fldCharType="end"/>
        </w:r>
      </w:hyperlink>
    </w:p>
    <w:p w14:paraId="3890D678" w14:textId="6BFA5850"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30" w:history="1">
        <w:r w:rsidR="00120FF8" w:rsidRPr="00993B7E">
          <w:rPr>
            <w:rStyle w:val="Hyperlink"/>
            <w:rFonts w:eastAsia="Calibri"/>
            <w:noProof/>
          </w:rPr>
          <w:t>Table 33 Compliance with intervention by care home</w:t>
        </w:r>
        <w:r w:rsidR="00120FF8">
          <w:rPr>
            <w:noProof/>
            <w:webHidden/>
          </w:rPr>
          <w:tab/>
        </w:r>
        <w:r w:rsidR="00120FF8">
          <w:rPr>
            <w:noProof/>
            <w:webHidden/>
          </w:rPr>
          <w:fldChar w:fldCharType="begin"/>
        </w:r>
        <w:r w:rsidR="00120FF8">
          <w:rPr>
            <w:noProof/>
            <w:webHidden/>
          </w:rPr>
          <w:instrText xml:space="preserve"> PAGEREF _Toc948230 \h </w:instrText>
        </w:r>
        <w:r w:rsidR="00120FF8">
          <w:rPr>
            <w:noProof/>
            <w:webHidden/>
          </w:rPr>
        </w:r>
        <w:r w:rsidR="00120FF8">
          <w:rPr>
            <w:noProof/>
            <w:webHidden/>
          </w:rPr>
          <w:fldChar w:fldCharType="separate"/>
        </w:r>
        <w:r w:rsidR="00120FF8">
          <w:rPr>
            <w:noProof/>
            <w:webHidden/>
          </w:rPr>
          <w:t>181</w:t>
        </w:r>
        <w:r w:rsidR="00120FF8">
          <w:rPr>
            <w:noProof/>
            <w:webHidden/>
          </w:rPr>
          <w:fldChar w:fldCharType="end"/>
        </w:r>
      </w:hyperlink>
    </w:p>
    <w:p w14:paraId="278079E2" w14:textId="2BDB0EBE"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31" w:history="1">
        <w:r w:rsidR="00120FF8" w:rsidRPr="00993B7E">
          <w:rPr>
            <w:rStyle w:val="Hyperlink"/>
            <w:rFonts w:eastAsia="Calibri"/>
            <w:noProof/>
          </w:rPr>
          <w:t>Table 34 Summary of briefing sessions as documented</w:t>
        </w:r>
        <w:r w:rsidR="00120FF8">
          <w:rPr>
            <w:noProof/>
            <w:webHidden/>
          </w:rPr>
          <w:tab/>
        </w:r>
        <w:r w:rsidR="00120FF8">
          <w:rPr>
            <w:noProof/>
            <w:webHidden/>
          </w:rPr>
          <w:fldChar w:fldCharType="begin"/>
        </w:r>
        <w:r w:rsidR="00120FF8">
          <w:rPr>
            <w:noProof/>
            <w:webHidden/>
          </w:rPr>
          <w:instrText xml:space="preserve"> PAGEREF _Toc948231 \h </w:instrText>
        </w:r>
        <w:r w:rsidR="00120FF8">
          <w:rPr>
            <w:noProof/>
            <w:webHidden/>
          </w:rPr>
        </w:r>
        <w:r w:rsidR="00120FF8">
          <w:rPr>
            <w:noProof/>
            <w:webHidden/>
          </w:rPr>
          <w:fldChar w:fldCharType="separate"/>
        </w:r>
        <w:r w:rsidR="00120FF8">
          <w:rPr>
            <w:noProof/>
            <w:webHidden/>
          </w:rPr>
          <w:t>182</w:t>
        </w:r>
        <w:r w:rsidR="00120FF8">
          <w:rPr>
            <w:noProof/>
            <w:webHidden/>
          </w:rPr>
          <w:fldChar w:fldCharType="end"/>
        </w:r>
      </w:hyperlink>
    </w:p>
    <w:p w14:paraId="06D0A71A" w14:textId="316F875F"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32" w:history="1">
        <w:r w:rsidR="00120FF8" w:rsidRPr="00993B7E">
          <w:rPr>
            <w:rStyle w:val="Hyperlink"/>
            <w:rFonts w:eastAsia="Calibri"/>
            <w:noProof/>
          </w:rPr>
          <w:t>Table 35 Summary of observation as documented</w:t>
        </w:r>
        <w:r w:rsidR="00120FF8">
          <w:rPr>
            <w:noProof/>
            <w:webHidden/>
          </w:rPr>
          <w:tab/>
        </w:r>
        <w:r w:rsidR="00120FF8">
          <w:rPr>
            <w:noProof/>
            <w:webHidden/>
          </w:rPr>
          <w:fldChar w:fldCharType="begin"/>
        </w:r>
        <w:r w:rsidR="00120FF8">
          <w:rPr>
            <w:noProof/>
            <w:webHidden/>
          </w:rPr>
          <w:instrText xml:space="preserve"> PAGEREF _Toc948232 \h </w:instrText>
        </w:r>
        <w:r w:rsidR="00120FF8">
          <w:rPr>
            <w:noProof/>
            <w:webHidden/>
          </w:rPr>
        </w:r>
        <w:r w:rsidR="00120FF8">
          <w:rPr>
            <w:noProof/>
            <w:webHidden/>
          </w:rPr>
          <w:fldChar w:fldCharType="separate"/>
        </w:r>
        <w:r w:rsidR="00120FF8">
          <w:rPr>
            <w:noProof/>
            <w:webHidden/>
          </w:rPr>
          <w:t>184</w:t>
        </w:r>
        <w:r w:rsidR="00120FF8">
          <w:rPr>
            <w:noProof/>
            <w:webHidden/>
          </w:rPr>
          <w:fldChar w:fldCharType="end"/>
        </w:r>
      </w:hyperlink>
    </w:p>
    <w:p w14:paraId="0DA73550" w14:textId="4BBC40CC"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33" w:history="1">
        <w:r w:rsidR="00120FF8" w:rsidRPr="00993B7E">
          <w:rPr>
            <w:rStyle w:val="Hyperlink"/>
            <w:rFonts w:eastAsia="Calibri"/>
            <w:noProof/>
          </w:rPr>
          <w:t>Table 36 Observation quality by cycle</w:t>
        </w:r>
        <w:r w:rsidR="00120FF8">
          <w:rPr>
            <w:noProof/>
            <w:webHidden/>
          </w:rPr>
          <w:tab/>
        </w:r>
        <w:r w:rsidR="00120FF8">
          <w:rPr>
            <w:noProof/>
            <w:webHidden/>
          </w:rPr>
          <w:fldChar w:fldCharType="begin"/>
        </w:r>
        <w:r w:rsidR="00120FF8">
          <w:rPr>
            <w:noProof/>
            <w:webHidden/>
          </w:rPr>
          <w:instrText xml:space="preserve"> PAGEREF _Toc948233 \h </w:instrText>
        </w:r>
        <w:r w:rsidR="00120FF8">
          <w:rPr>
            <w:noProof/>
            <w:webHidden/>
          </w:rPr>
        </w:r>
        <w:r w:rsidR="00120FF8">
          <w:rPr>
            <w:noProof/>
            <w:webHidden/>
          </w:rPr>
          <w:fldChar w:fldCharType="separate"/>
        </w:r>
        <w:r w:rsidR="00120FF8">
          <w:rPr>
            <w:noProof/>
            <w:webHidden/>
          </w:rPr>
          <w:t>185</w:t>
        </w:r>
        <w:r w:rsidR="00120FF8">
          <w:rPr>
            <w:noProof/>
            <w:webHidden/>
          </w:rPr>
          <w:fldChar w:fldCharType="end"/>
        </w:r>
      </w:hyperlink>
    </w:p>
    <w:p w14:paraId="62B4FF9F" w14:textId="0434D38D"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34" w:history="1">
        <w:r w:rsidR="00120FF8" w:rsidRPr="00993B7E">
          <w:rPr>
            <w:rStyle w:val="Hyperlink"/>
            <w:rFonts w:eastAsia="Calibri"/>
            <w:noProof/>
          </w:rPr>
          <w:t>Table 37 Summary of feedback sessions as documented</w:t>
        </w:r>
        <w:r w:rsidR="00120FF8">
          <w:rPr>
            <w:noProof/>
            <w:webHidden/>
          </w:rPr>
          <w:tab/>
        </w:r>
        <w:r w:rsidR="00120FF8">
          <w:rPr>
            <w:noProof/>
            <w:webHidden/>
          </w:rPr>
          <w:fldChar w:fldCharType="begin"/>
        </w:r>
        <w:r w:rsidR="00120FF8">
          <w:rPr>
            <w:noProof/>
            <w:webHidden/>
          </w:rPr>
          <w:instrText xml:space="preserve"> PAGEREF _Toc948234 \h </w:instrText>
        </w:r>
        <w:r w:rsidR="00120FF8">
          <w:rPr>
            <w:noProof/>
            <w:webHidden/>
          </w:rPr>
        </w:r>
        <w:r w:rsidR="00120FF8">
          <w:rPr>
            <w:noProof/>
            <w:webHidden/>
          </w:rPr>
          <w:fldChar w:fldCharType="separate"/>
        </w:r>
        <w:r w:rsidR="00120FF8">
          <w:rPr>
            <w:noProof/>
            <w:webHidden/>
          </w:rPr>
          <w:t>186</w:t>
        </w:r>
        <w:r w:rsidR="00120FF8">
          <w:rPr>
            <w:noProof/>
            <w:webHidden/>
          </w:rPr>
          <w:fldChar w:fldCharType="end"/>
        </w:r>
      </w:hyperlink>
    </w:p>
    <w:p w14:paraId="54BF747E" w14:textId="7A2475EC"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35" w:history="1">
        <w:r w:rsidR="00120FF8" w:rsidRPr="00993B7E">
          <w:rPr>
            <w:rStyle w:val="Hyperlink"/>
            <w:rFonts w:eastAsia="Calibri"/>
            <w:noProof/>
          </w:rPr>
          <w:t>Table 38 Care home and residents feedback points</w:t>
        </w:r>
        <w:r w:rsidR="00120FF8">
          <w:rPr>
            <w:noProof/>
            <w:webHidden/>
          </w:rPr>
          <w:tab/>
        </w:r>
        <w:r w:rsidR="00120FF8">
          <w:rPr>
            <w:noProof/>
            <w:webHidden/>
          </w:rPr>
          <w:fldChar w:fldCharType="begin"/>
        </w:r>
        <w:r w:rsidR="00120FF8">
          <w:rPr>
            <w:noProof/>
            <w:webHidden/>
          </w:rPr>
          <w:instrText xml:space="preserve"> PAGEREF _Toc948235 \h </w:instrText>
        </w:r>
        <w:r w:rsidR="00120FF8">
          <w:rPr>
            <w:noProof/>
            <w:webHidden/>
          </w:rPr>
        </w:r>
        <w:r w:rsidR="00120FF8">
          <w:rPr>
            <w:noProof/>
            <w:webHidden/>
          </w:rPr>
          <w:fldChar w:fldCharType="separate"/>
        </w:r>
        <w:r w:rsidR="00120FF8">
          <w:rPr>
            <w:noProof/>
            <w:webHidden/>
          </w:rPr>
          <w:t>187</w:t>
        </w:r>
        <w:r w:rsidR="00120FF8">
          <w:rPr>
            <w:noProof/>
            <w:webHidden/>
          </w:rPr>
          <w:fldChar w:fldCharType="end"/>
        </w:r>
      </w:hyperlink>
    </w:p>
    <w:p w14:paraId="4FE4D7AB" w14:textId="75C48D53"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36" w:history="1">
        <w:r w:rsidR="00120FF8" w:rsidRPr="00993B7E">
          <w:rPr>
            <w:rStyle w:val="Hyperlink"/>
            <w:rFonts w:eastAsia="Calibri"/>
            <w:noProof/>
          </w:rPr>
          <w:t>Table 39 Summary of action planning as documented</w:t>
        </w:r>
        <w:r w:rsidR="00120FF8">
          <w:rPr>
            <w:noProof/>
            <w:webHidden/>
          </w:rPr>
          <w:tab/>
        </w:r>
        <w:r w:rsidR="00120FF8">
          <w:rPr>
            <w:noProof/>
            <w:webHidden/>
          </w:rPr>
          <w:fldChar w:fldCharType="begin"/>
        </w:r>
        <w:r w:rsidR="00120FF8">
          <w:rPr>
            <w:noProof/>
            <w:webHidden/>
          </w:rPr>
          <w:instrText xml:space="preserve"> PAGEREF _Toc948236 \h </w:instrText>
        </w:r>
        <w:r w:rsidR="00120FF8">
          <w:rPr>
            <w:noProof/>
            <w:webHidden/>
          </w:rPr>
        </w:r>
        <w:r w:rsidR="00120FF8">
          <w:rPr>
            <w:noProof/>
            <w:webHidden/>
          </w:rPr>
          <w:fldChar w:fldCharType="separate"/>
        </w:r>
        <w:r w:rsidR="00120FF8">
          <w:rPr>
            <w:noProof/>
            <w:webHidden/>
          </w:rPr>
          <w:t>188</w:t>
        </w:r>
        <w:r w:rsidR="00120FF8">
          <w:rPr>
            <w:noProof/>
            <w:webHidden/>
          </w:rPr>
          <w:fldChar w:fldCharType="end"/>
        </w:r>
      </w:hyperlink>
    </w:p>
    <w:p w14:paraId="1932A96B" w14:textId="24968FC8"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37" w:history="1">
        <w:r w:rsidR="00120FF8" w:rsidRPr="00993B7E">
          <w:rPr>
            <w:rStyle w:val="Hyperlink"/>
            <w:rFonts w:eastAsia="Calibri"/>
            <w:noProof/>
          </w:rPr>
          <w:t>Table 40 Action planning quality</w:t>
        </w:r>
        <w:r w:rsidR="00120FF8">
          <w:rPr>
            <w:noProof/>
            <w:webHidden/>
          </w:rPr>
          <w:tab/>
        </w:r>
        <w:r w:rsidR="00120FF8">
          <w:rPr>
            <w:noProof/>
            <w:webHidden/>
          </w:rPr>
          <w:fldChar w:fldCharType="begin"/>
        </w:r>
        <w:r w:rsidR="00120FF8">
          <w:rPr>
            <w:noProof/>
            <w:webHidden/>
          </w:rPr>
          <w:instrText xml:space="preserve"> PAGEREF _Toc948237 \h </w:instrText>
        </w:r>
        <w:r w:rsidR="00120FF8">
          <w:rPr>
            <w:noProof/>
            <w:webHidden/>
          </w:rPr>
        </w:r>
        <w:r w:rsidR="00120FF8">
          <w:rPr>
            <w:noProof/>
            <w:webHidden/>
          </w:rPr>
          <w:fldChar w:fldCharType="separate"/>
        </w:r>
        <w:r w:rsidR="00120FF8">
          <w:rPr>
            <w:noProof/>
            <w:webHidden/>
          </w:rPr>
          <w:t>188</w:t>
        </w:r>
        <w:r w:rsidR="00120FF8">
          <w:rPr>
            <w:noProof/>
            <w:webHidden/>
          </w:rPr>
          <w:fldChar w:fldCharType="end"/>
        </w:r>
      </w:hyperlink>
    </w:p>
    <w:p w14:paraId="479A2FBC" w14:textId="5FE47A45"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38" w:history="1">
        <w:r w:rsidR="00120FF8" w:rsidRPr="00993B7E">
          <w:rPr>
            <w:rStyle w:val="Hyperlink"/>
            <w:rFonts w:eastAsia="Calibri"/>
            <w:noProof/>
          </w:rPr>
          <w:t>Table 41 Residents deaths by treatment arm</w:t>
        </w:r>
        <w:r w:rsidR="00120FF8">
          <w:rPr>
            <w:noProof/>
            <w:webHidden/>
          </w:rPr>
          <w:tab/>
        </w:r>
        <w:r w:rsidR="00120FF8">
          <w:rPr>
            <w:noProof/>
            <w:webHidden/>
          </w:rPr>
          <w:fldChar w:fldCharType="begin"/>
        </w:r>
        <w:r w:rsidR="00120FF8">
          <w:rPr>
            <w:noProof/>
            <w:webHidden/>
          </w:rPr>
          <w:instrText xml:space="preserve"> PAGEREF _Toc948238 \h </w:instrText>
        </w:r>
        <w:r w:rsidR="00120FF8">
          <w:rPr>
            <w:noProof/>
            <w:webHidden/>
          </w:rPr>
        </w:r>
        <w:r w:rsidR="00120FF8">
          <w:rPr>
            <w:noProof/>
            <w:webHidden/>
          </w:rPr>
          <w:fldChar w:fldCharType="separate"/>
        </w:r>
        <w:r w:rsidR="00120FF8">
          <w:rPr>
            <w:noProof/>
            <w:webHidden/>
          </w:rPr>
          <w:t>189</w:t>
        </w:r>
        <w:r w:rsidR="00120FF8">
          <w:rPr>
            <w:noProof/>
            <w:webHidden/>
          </w:rPr>
          <w:fldChar w:fldCharType="end"/>
        </w:r>
      </w:hyperlink>
    </w:p>
    <w:p w14:paraId="01260C2D" w14:textId="15850C76"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39" w:history="1">
        <w:r w:rsidR="00120FF8" w:rsidRPr="00993B7E">
          <w:rPr>
            <w:rStyle w:val="Hyperlink"/>
            <w:noProof/>
          </w:rPr>
          <w:t>Table 42 Unadjusted observational CMAI and PAS summaries by time-point – closed cohort</w:t>
        </w:r>
        <w:r w:rsidR="00120FF8">
          <w:rPr>
            <w:noProof/>
            <w:webHidden/>
          </w:rPr>
          <w:tab/>
        </w:r>
        <w:r w:rsidR="00120FF8">
          <w:rPr>
            <w:noProof/>
            <w:webHidden/>
          </w:rPr>
          <w:fldChar w:fldCharType="begin"/>
        </w:r>
        <w:r w:rsidR="00120FF8">
          <w:rPr>
            <w:noProof/>
            <w:webHidden/>
          </w:rPr>
          <w:instrText xml:space="preserve"> PAGEREF _Toc948239 \h </w:instrText>
        </w:r>
        <w:r w:rsidR="00120FF8">
          <w:rPr>
            <w:noProof/>
            <w:webHidden/>
          </w:rPr>
        </w:r>
        <w:r w:rsidR="00120FF8">
          <w:rPr>
            <w:noProof/>
            <w:webHidden/>
          </w:rPr>
          <w:fldChar w:fldCharType="separate"/>
        </w:r>
        <w:r w:rsidR="00120FF8">
          <w:rPr>
            <w:noProof/>
            <w:webHidden/>
          </w:rPr>
          <w:t>190</w:t>
        </w:r>
        <w:r w:rsidR="00120FF8">
          <w:rPr>
            <w:noProof/>
            <w:webHidden/>
          </w:rPr>
          <w:fldChar w:fldCharType="end"/>
        </w:r>
      </w:hyperlink>
    </w:p>
    <w:p w14:paraId="2BADDBC3" w14:textId="07428EB5"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40" w:history="1">
        <w:r w:rsidR="00120FF8" w:rsidRPr="00993B7E">
          <w:rPr>
            <w:rStyle w:val="Hyperlink"/>
            <w:rFonts w:eastAsia="Calibri"/>
            <w:noProof/>
          </w:rPr>
          <w:t>Table 43 Observational CMAI (CMAI-O) and PAS summaries – unadjusted scores</w:t>
        </w:r>
        <w:r w:rsidR="00120FF8">
          <w:rPr>
            <w:noProof/>
            <w:webHidden/>
          </w:rPr>
          <w:tab/>
        </w:r>
        <w:r w:rsidR="00120FF8">
          <w:rPr>
            <w:noProof/>
            <w:webHidden/>
          </w:rPr>
          <w:fldChar w:fldCharType="begin"/>
        </w:r>
        <w:r w:rsidR="00120FF8">
          <w:rPr>
            <w:noProof/>
            <w:webHidden/>
          </w:rPr>
          <w:instrText xml:space="preserve"> PAGEREF _Toc948240 \h </w:instrText>
        </w:r>
        <w:r w:rsidR="00120FF8">
          <w:rPr>
            <w:noProof/>
            <w:webHidden/>
          </w:rPr>
        </w:r>
        <w:r w:rsidR="00120FF8">
          <w:rPr>
            <w:noProof/>
            <w:webHidden/>
          </w:rPr>
          <w:fldChar w:fldCharType="separate"/>
        </w:r>
        <w:r w:rsidR="00120FF8">
          <w:rPr>
            <w:noProof/>
            <w:webHidden/>
          </w:rPr>
          <w:t>193</w:t>
        </w:r>
        <w:r w:rsidR="00120FF8">
          <w:rPr>
            <w:noProof/>
            <w:webHidden/>
          </w:rPr>
          <w:fldChar w:fldCharType="end"/>
        </w:r>
      </w:hyperlink>
    </w:p>
    <w:p w14:paraId="47D49145" w14:textId="023ACC3D"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41" w:history="1">
        <w:r w:rsidR="00120FF8" w:rsidRPr="00993B7E">
          <w:rPr>
            <w:rStyle w:val="Hyperlink"/>
            <w:noProof/>
          </w:rPr>
          <w:t>Table 44 Supportive analysis assuming missing data are MAR – closed-cohort</w:t>
        </w:r>
        <w:r w:rsidR="00120FF8">
          <w:rPr>
            <w:noProof/>
            <w:webHidden/>
          </w:rPr>
          <w:tab/>
        </w:r>
        <w:r w:rsidR="00120FF8">
          <w:rPr>
            <w:noProof/>
            <w:webHidden/>
          </w:rPr>
          <w:fldChar w:fldCharType="begin"/>
        </w:r>
        <w:r w:rsidR="00120FF8">
          <w:rPr>
            <w:noProof/>
            <w:webHidden/>
          </w:rPr>
          <w:instrText xml:space="preserve"> PAGEREF _Toc948241 \h </w:instrText>
        </w:r>
        <w:r w:rsidR="00120FF8">
          <w:rPr>
            <w:noProof/>
            <w:webHidden/>
          </w:rPr>
        </w:r>
        <w:r w:rsidR="00120FF8">
          <w:rPr>
            <w:noProof/>
            <w:webHidden/>
          </w:rPr>
          <w:fldChar w:fldCharType="separate"/>
        </w:r>
        <w:r w:rsidR="00120FF8">
          <w:rPr>
            <w:noProof/>
            <w:webHidden/>
          </w:rPr>
          <w:t>194</w:t>
        </w:r>
        <w:r w:rsidR="00120FF8">
          <w:rPr>
            <w:noProof/>
            <w:webHidden/>
          </w:rPr>
          <w:fldChar w:fldCharType="end"/>
        </w:r>
      </w:hyperlink>
    </w:p>
    <w:p w14:paraId="40D5E9B5" w14:textId="12278766"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42" w:history="1">
        <w:r w:rsidR="00120FF8" w:rsidRPr="00993B7E">
          <w:rPr>
            <w:rStyle w:val="Hyperlink"/>
            <w:rFonts w:eastAsia="Calibri"/>
            <w:noProof/>
          </w:rPr>
          <w:t>Table 45 Primary and sensitivity analyses – complete cases, cross-section</w:t>
        </w:r>
        <w:r w:rsidR="00120FF8">
          <w:rPr>
            <w:noProof/>
            <w:webHidden/>
          </w:rPr>
          <w:tab/>
        </w:r>
        <w:r w:rsidR="00120FF8">
          <w:rPr>
            <w:noProof/>
            <w:webHidden/>
          </w:rPr>
          <w:fldChar w:fldCharType="begin"/>
        </w:r>
        <w:r w:rsidR="00120FF8">
          <w:rPr>
            <w:noProof/>
            <w:webHidden/>
          </w:rPr>
          <w:instrText xml:space="preserve"> PAGEREF _Toc948242 \h </w:instrText>
        </w:r>
        <w:r w:rsidR="00120FF8">
          <w:rPr>
            <w:noProof/>
            <w:webHidden/>
          </w:rPr>
        </w:r>
        <w:r w:rsidR="00120FF8">
          <w:rPr>
            <w:noProof/>
            <w:webHidden/>
          </w:rPr>
          <w:fldChar w:fldCharType="separate"/>
        </w:r>
        <w:r w:rsidR="00120FF8">
          <w:rPr>
            <w:noProof/>
            <w:webHidden/>
          </w:rPr>
          <w:t>195</w:t>
        </w:r>
        <w:r w:rsidR="00120FF8">
          <w:rPr>
            <w:noProof/>
            <w:webHidden/>
          </w:rPr>
          <w:fldChar w:fldCharType="end"/>
        </w:r>
      </w:hyperlink>
    </w:p>
    <w:p w14:paraId="69739A9F" w14:textId="5C87AA1E"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43" w:history="1">
        <w:r w:rsidR="00120FF8" w:rsidRPr="00993B7E">
          <w:rPr>
            <w:rStyle w:val="Hyperlink"/>
            <w:rFonts w:eastAsia="Calibri"/>
            <w:noProof/>
          </w:rPr>
          <w:t>Table 46 Sensitivity analyses (4-5) CMAI, PAS and CMAI-O at 16-months – complete cases</w:t>
        </w:r>
        <w:r w:rsidR="00120FF8">
          <w:rPr>
            <w:noProof/>
            <w:webHidden/>
          </w:rPr>
          <w:tab/>
        </w:r>
        <w:r w:rsidR="00120FF8">
          <w:rPr>
            <w:noProof/>
            <w:webHidden/>
          </w:rPr>
          <w:fldChar w:fldCharType="begin"/>
        </w:r>
        <w:r w:rsidR="00120FF8">
          <w:rPr>
            <w:noProof/>
            <w:webHidden/>
          </w:rPr>
          <w:instrText xml:space="preserve"> PAGEREF _Toc948243 \h </w:instrText>
        </w:r>
        <w:r w:rsidR="00120FF8">
          <w:rPr>
            <w:noProof/>
            <w:webHidden/>
          </w:rPr>
        </w:r>
        <w:r w:rsidR="00120FF8">
          <w:rPr>
            <w:noProof/>
            <w:webHidden/>
          </w:rPr>
          <w:fldChar w:fldCharType="separate"/>
        </w:r>
        <w:r w:rsidR="00120FF8">
          <w:rPr>
            <w:noProof/>
            <w:webHidden/>
          </w:rPr>
          <w:t>195</w:t>
        </w:r>
        <w:r w:rsidR="00120FF8">
          <w:rPr>
            <w:noProof/>
            <w:webHidden/>
          </w:rPr>
          <w:fldChar w:fldCharType="end"/>
        </w:r>
      </w:hyperlink>
    </w:p>
    <w:p w14:paraId="12FFA5BF" w14:textId="7B7B6316"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44" w:history="1">
        <w:r w:rsidR="00120FF8" w:rsidRPr="00993B7E">
          <w:rPr>
            <w:rStyle w:val="Hyperlink"/>
            <w:rFonts w:eastAsia="Calibri"/>
            <w:noProof/>
          </w:rPr>
          <w:t>Table 47 CMAI, observational CMAI and PAS at 6-months – complete cases</w:t>
        </w:r>
        <w:r w:rsidR="00120FF8">
          <w:rPr>
            <w:noProof/>
            <w:webHidden/>
          </w:rPr>
          <w:tab/>
        </w:r>
        <w:r w:rsidR="00120FF8">
          <w:rPr>
            <w:noProof/>
            <w:webHidden/>
          </w:rPr>
          <w:fldChar w:fldCharType="begin"/>
        </w:r>
        <w:r w:rsidR="00120FF8">
          <w:rPr>
            <w:noProof/>
            <w:webHidden/>
          </w:rPr>
          <w:instrText xml:space="preserve"> PAGEREF _Toc948244 \h </w:instrText>
        </w:r>
        <w:r w:rsidR="00120FF8">
          <w:rPr>
            <w:noProof/>
            <w:webHidden/>
          </w:rPr>
        </w:r>
        <w:r w:rsidR="00120FF8">
          <w:rPr>
            <w:noProof/>
            <w:webHidden/>
          </w:rPr>
          <w:fldChar w:fldCharType="separate"/>
        </w:r>
        <w:r w:rsidR="00120FF8">
          <w:rPr>
            <w:noProof/>
            <w:webHidden/>
          </w:rPr>
          <w:t>196</w:t>
        </w:r>
        <w:r w:rsidR="00120FF8">
          <w:rPr>
            <w:noProof/>
            <w:webHidden/>
          </w:rPr>
          <w:fldChar w:fldCharType="end"/>
        </w:r>
      </w:hyperlink>
    </w:p>
    <w:p w14:paraId="74865E02" w14:textId="5C238BB1"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45" w:history="1">
        <w:r w:rsidR="00120FF8" w:rsidRPr="00993B7E">
          <w:rPr>
            <w:rStyle w:val="Hyperlink"/>
            <w:rFonts w:eastAsia="Calibri"/>
            <w:noProof/>
          </w:rPr>
          <w:t>Table 48 Sensitivity analysis (5) - CMAI score at 16-months – closed-cohort - deaths and withdrawals assumed MNAR - two-way tipping point analysis</w:t>
        </w:r>
        <w:r w:rsidR="00120FF8">
          <w:rPr>
            <w:noProof/>
            <w:webHidden/>
          </w:rPr>
          <w:tab/>
        </w:r>
        <w:r w:rsidR="00120FF8">
          <w:rPr>
            <w:noProof/>
            <w:webHidden/>
          </w:rPr>
          <w:fldChar w:fldCharType="begin"/>
        </w:r>
        <w:r w:rsidR="00120FF8">
          <w:rPr>
            <w:noProof/>
            <w:webHidden/>
          </w:rPr>
          <w:instrText xml:space="preserve"> PAGEREF _Toc948245 \h </w:instrText>
        </w:r>
        <w:r w:rsidR="00120FF8">
          <w:rPr>
            <w:noProof/>
            <w:webHidden/>
          </w:rPr>
        </w:r>
        <w:r w:rsidR="00120FF8">
          <w:rPr>
            <w:noProof/>
            <w:webHidden/>
          </w:rPr>
          <w:fldChar w:fldCharType="separate"/>
        </w:r>
        <w:r w:rsidR="00120FF8">
          <w:rPr>
            <w:noProof/>
            <w:webHidden/>
          </w:rPr>
          <w:t>197</w:t>
        </w:r>
        <w:r w:rsidR="00120FF8">
          <w:rPr>
            <w:noProof/>
            <w:webHidden/>
          </w:rPr>
          <w:fldChar w:fldCharType="end"/>
        </w:r>
      </w:hyperlink>
    </w:p>
    <w:p w14:paraId="61D179D2" w14:textId="20EDBFBD"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46" w:history="1">
        <w:r w:rsidR="00120FF8" w:rsidRPr="00993B7E">
          <w:rPr>
            <w:rStyle w:val="Hyperlink"/>
            <w:rFonts w:eastAsia="Calibri"/>
            <w:noProof/>
          </w:rPr>
          <w:t>Table 49 NPI-NH at baseline – unadjusted scores</w:t>
        </w:r>
        <w:r w:rsidR="00120FF8">
          <w:rPr>
            <w:noProof/>
            <w:webHidden/>
          </w:rPr>
          <w:tab/>
        </w:r>
        <w:r w:rsidR="00120FF8">
          <w:rPr>
            <w:noProof/>
            <w:webHidden/>
          </w:rPr>
          <w:fldChar w:fldCharType="begin"/>
        </w:r>
        <w:r w:rsidR="00120FF8">
          <w:rPr>
            <w:noProof/>
            <w:webHidden/>
          </w:rPr>
          <w:instrText xml:space="preserve"> PAGEREF _Toc948246 \h </w:instrText>
        </w:r>
        <w:r w:rsidR="00120FF8">
          <w:rPr>
            <w:noProof/>
            <w:webHidden/>
          </w:rPr>
        </w:r>
        <w:r w:rsidR="00120FF8">
          <w:rPr>
            <w:noProof/>
            <w:webHidden/>
          </w:rPr>
          <w:fldChar w:fldCharType="separate"/>
        </w:r>
        <w:r w:rsidR="00120FF8">
          <w:rPr>
            <w:noProof/>
            <w:webHidden/>
          </w:rPr>
          <w:t>198</w:t>
        </w:r>
        <w:r w:rsidR="00120FF8">
          <w:rPr>
            <w:noProof/>
            <w:webHidden/>
          </w:rPr>
          <w:fldChar w:fldCharType="end"/>
        </w:r>
      </w:hyperlink>
    </w:p>
    <w:p w14:paraId="3C3B5A4F" w14:textId="7B750FAE"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47" w:history="1">
        <w:r w:rsidR="00120FF8" w:rsidRPr="00993B7E">
          <w:rPr>
            <w:rStyle w:val="Hyperlink"/>
            <w:rFonts w:eastAsia="Calibri"/>
            <w:noProof/>
          </w:rPr>
          <w:t>Table 50 NPI-NH at 6-months – unadjusted scores</w:t>
        </w:r>
        <w:r w:rsidR="00120FF8">
          <w:rPr>
            <w:noProof/>
            <w:webHidden/>
          </w:rPr>
          <w:tab/>
        </w:r>
        <w:r w:rsidR="00120FF8">
          <w:rPr>
            <w:noProof/>
            <w:webHidden/>
          </w:rPr>
          <w:fldChar w:fldCharType="begin"/>
        </w:r>
        <w:r w:rsidR="00120FF8">
          <w:rPr>
            <w:noProof/>
            <w:webHidden/>
          </w:rPr>
          <w:instrText xml:space="preserve"> PAGEREF _Toc948247 \h </w:instrText>
        </w:r>
        <w:r w:rsidR="00120FF8">
          <w:rPr>
            <w:noProof/>
            <w:webHidden/>
          </w:rPr>
        </w:r>
        <w:r w:rsidR="00120FF8">
          <w:rPr>
            <w:noProof/>
            <w:webHidden/>
          </w:rPr>
          <w:fldChar w:fldCharType="separate"/>
        </w:r>
        <w:r w:rsidR="00120FF8">
          <w:rPr>
            <w:noProof/>
            <w:webHidden/>
          </w:rPr>
          <w:t>199</w:t>
        </w:r>
        <w:r w:rsidR="00120FF8">
          <w:rPr>
            <w:noProof/>
            <w:webHidden/>
          </w:rPr>
          <w:fldChar w:fldCharType="end"/>
        </w:r>
      </w:hyperlink>
    </w:p>
    <w:p w14:paraId="4C046D8D" w14:textId="253EEDBE"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48" w:history="1">
        <w:r w:rsidR="00120FF8" w:rsidRPr="00993B7E">
          <w:rPr>
            <w:rStyle w:val="Hyperlink"/>
            <w:rFonts w:eastAsia="Calibri"/>
            <w:noProof/>
          </w:rPr>
          <w:t>Table 51 NPI-NH at 16-months original cohort – unadjusted scores</w:t>
        </w:r>
        <w:r w:rsidR="00120FF8">
          <w:rPr>
            <w:noProof/>
            <w:webHidden/>
          </w:rPr>
          <w:tab/>
        </w:r>
        <w:r w:rsidR="00120FF8">
          <w:rPr>
            <w:noProof/>
            <w:webHidden/>
          </w:rPr>
          <w:fldChar w:fldCharType="begin"/>
        </w:r>
        <w:r w:rsidR="00120FF8">
          <w:rPr>
            <w:noProof/>
            <w:webHidden/>
          </w:rPr>
          <w:instrText xml:space="preserve"> PAGEREF _Toc948248 \h </w:instrText>
        </w:r>
        <w:r w:rsidR="00120FF8">
          <w:rPr>
            <w:noProof/>
            <w:webHidden/>
          </w:rPr>
        </w:r>
        <w:r w:rsidR="00120FF8">
          <w:rPr>
            <w:noProof/>
            <w:webHidden/>
          </w:rPr>
          <w:fldChar w:fldCharType="separate"/>
        </w:r>
        <w:r w:rsidR="00120FF8">
          <w:rPr>
            <w:noProof/>
            <w:webHidden/>
          </w:rPr>
          <w:t>200</w:t>
        </w:r>
        <w:r w:rsidR="00120FF8">
          <w:rPr>
            <w:noProof/>
            <w:webHidden/>
          </w:rPr>
          <w:fldChar w:fldCharType="end"/>
        </w:r>
      </w:hyperlink>
    </w:p>
    <w:p w14:paraId="60EBA6CB" w14:textId="050CFF5A"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49" w:history="1">
        <w:r w:rsidR="00120FF8" w:rsidRPr="00993B7E">
          <w:rPr>
            <w:rStyle w:val="Hyperlink"/>
            <w:rFonts w:eastAsia="Calibri"/>
            <w:noProof/>
          </w:rPr>
          <w:t>Table 52 NPI-NH at 16-months cross-sectional cohort – unadjusted scores</w:t>
        </w:r>
        <w:r w:rsidR="00120FF8">
          <w:rPr>
            <w:noProof/>
            <w:webHidden/>
          </w:rPr>
          <w:tab/>
        </w:r>
        <w:r w:rsidR="00120FF8">
          <w:rPr>
            <w:noProof/>
            <w:webHidden/>
          </w:rPr>
          <w:fldChar w:fldCharType="begin"/>
        </w:r>
        <w:r w:rsidR="00120FF8">
          <w:rPr>
            <w:noProof/>
            <w:webHidden/>
          </w:rPr>
          <w:instrText xml:space="preserve"> PAGEREF _Toc948249 \h </w:instrText>
        </w:r>
        <w:r w:rsidR="00120FF8">
          <w:rPr>
            <w:noProof/>
            <w:webHidden/>
          </w:rPr>
        </w:r>
        <w:r w:rsidR="00120FF8">
          <w:rPr>
            <w:noProof/>
            <w:webHidden/>
          </w:rPr>
          <w:fldChar w:fldCharType="separate"/>
        </w:r>
        <w:r w:rsidR="00120FF8">
          <w:rPr>
            <w:noProof/>
            <w:webHidden/>
          </w:rPr>
          <w:t>201</w:t>
        </w:r>
        <w:r w:rsidR="00120FF8">
          <w:rPr>
            <w:noProof/>
            <w:webHidden/>
          </w:rPr>
          <w:fldChar w:fldCharType="end"/>
        </w:r>
      </w:hyperlink>
    </w:p>
    <w:p w14:paraId="4B6A9B27" w14:textId="6D6CD291"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50" w:history="1">
        <w:r w:rsidR="00120FF8" w:rsidRPr="00993B7E">
          <w:rPr>
            <w:rStyle w:val="Hyperlink"/>
            <w:rFonts w:eastAsia="Calibri"/>
            <w:noProof/>
          </w:rPr>
          <w:t>Table 53 Behaviours staff find challenging, medications and mood (based on NPI domains) at 6-months</w:t>
        </w:r>
        <w:r w:rsidR="00120FF8">
          <w:rPr>
            <w:noProof/>
            <w:webHidden/>
          </w:rPr>
          <w:tab/>
        </w:r>
        <w:r w:rsidR="00120FF8">
          <w:rPr>
            <w:noProof/>
            <w:webHidden/>
          </w:rPr>
          <w:fldChar w:fldCharType="begin"/>
        </w:r>
        <w:r w:rsidR="00120FF8">
          <w:rPr>
            <w:noProof/>
            <w:webHidden/>
          </w:rPr>
          <w:instrText xml:space="preserve"> PAGEREF _Toc948250 \h </w:instrText>
        </w:r>
        <w:r w:rsidR="00120FF8">
          <w:rPr>
            <w:noProof/>
            <w:webHidden/>
          </w:rPr>
        </w:r>
        <w:r w:rsidR="00120FF8">
          <w:rPr>
            <w:noProof/>
            <w:webHidden/>
          </w:rPr>
          <w:fldChar w:fldCharType="separate"/>
        </w:r>
        <w:r w:rsidR="00120FF8">
          <w:rPr>
            <w:noProof/>
            <w:webHidden/>
          </w:rPr>
          <w:t>202</w:t>
        </w:r>
        <w:r w:rsidR="00120FF8">
          <w:rPr>
            <w:noProof/>
            <w:webHidden/>
          </w:rPr>
          <w:fldChar w:fldCharType="end"/>
        </w:r>
      </w:hyperlink>
    </w:p>
    <w:p w14:paraId="53CF061A" w14:textId="39D60496"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51" w:history="1">
        <w:r w:rsidR="00120FF8" w:rsidRPr="00993B7E">
          <w:rPr>
            <w:rStyle w:val="Hyperlink"/>
            <w:rFonts w:eastAsia="Calibri"/>
            <w:noProof/>
          </w:rPr>
          <w:t>Table 54 Behaviours staff find challenging, medications and mood (based on NPI domains) at 16-months</w:t>
        </w:r>
        <w:r w:rsidR="00120FF8">
          <w:rPr>
            <w:noProof/>
            <w:webHidden/>
          </w:rPr>
          <w:tab/>
        </w:r>
        <w:r w:rsidR="00120FF8">
          <w:rPr>
            <w:noProof/>
            <w:webHidden/>
          </w:rPr>
          <w:fldChar w:fldCharType="begin"/>
        </w:r>
        <w:r w:rsidR="00120FF8">
          <w:rPr>
            <w:noProof/>
            <w:webHidden/>
          </w:rPr>
          <w:instrText xml:space="preserve"> PAGEREF _Toc948251 \h </w:instrText>
        </w:r>
        <w:r w:rsidR="00120FF8">
          <w:rPr>
            <w:noProof/>
            <w:webHidden/>
          </w:rPr>
        </w:r>
        <w:r w:rsidR="00120FF8">
          <w:rPr>
            <w:noProof/>
            <w:webHidden/>
          </w:rPr>
          <w:fldChar w:fldCharType="separate"/>
        </w:r>
        <w:r w:rsidR="00120FF8">
          <w:rPr>
            <w:noProof/>
            <w:webHidden/>
          </w:rPr>
          <w:t>203</w:t>
        </w:r>
        <w:r w:rsidR="00120FF8">
          <w:rPr>
            <w:noProof/>
            <w:webHidden/>
          </w:rPr>
          <w:fldChar w:fldCharType="end"/>
        </w:r>
      </w:hyperlink>
    </w:p>
    <w:p w14:paraId="4829F29B" w14:textId="127CCA8A"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52" w:history="1">
        <w:r w:rsidR="00120FF8" w:rsidRPr="00993B7E">
          <w:rPr>
            <w:rStyle w:val="Hyperlink"/>
            <w:rFonts w:eastAsia="Calibri"/>
            <w:noProof/>
          </w:rPr>
          <w:t>Table 55 Behaviours staff find challenging, medications and mood (based on NPI domains) at 16-months</w:t>
        </w:r>
        <w:r w:rsidR="00120FF8">
          <w:rPr>
            <w:noProof/>
            <w:webHidden/>
          </w:rPr>
          <w:tab/>
        </w:r>
        <w:r w:rsidR="00120FF8">
          <w:rPr>
            <w:noProof/>
            <w:webHidden/>
          </w:rPr>
          <w:fldChar w:fldCharType="begin"/>
        </w:r>
        <w:r w:rsidR="00120FF8">
          <w:rPr>
            <w:noProof/>
            <w:webHidden/>
          </w:rPr>
          <w:instrText xml:space="preserve"> PAGEREF _Toc948252 \h </w:instrText>
        </w:r>
        <w:r w:rsidR="00120FF8">
          <w:rPr>
            <w:noProof/>
            <w:webHidden/>
          </w:rPr>
        </w:r>
        <w:r w:rsidR="00120FF8">
          <w:rPr>
            <w:noProof/>
            <w:webHidden/>
          </w:rPr>
          <w:fldChar w:fldCharType="separate"/>
        </w:r>
        <w:r w:rsidR="00120FF8">
          <w:rPr>
            <w:noProof/>
            <w:webHidden/>
          </w:rPr>
          <w:t>204</w:t>
        </w:r>
        <w:r w:rsidR="00120FF8">
          <w:rPr>
            <w:noProof/>
            <w:webHidden/>
          </w:rPr>
          <w:fldChar w:fldCharType="end"/>
        </w:r>
      </w:hyperlink>
    </w:p>
    <w:p w14:paraId="0C4CF203" w14:textId="2CFCD423"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53" w:history="1">
        <w:r w:rsidR="00120FF8" w:rsidRPr="00993B7E">
          <w:rPr>
            <w:rStyle w:val="Hyperlink"/>
            <w:rFonts w:eastAsia="Calibri"/>
            <w:noProof/>
          </w:rPr>
          <w:t>Table 56 Quality of life analysis – QUALID (relative/ friend and staff)</w:t>
        </w:r>
        <w:r w:rsidR="00120FF8">
          <w:rPr>
            <w:noProof/>
            <w:webHidden/>
          </w:rPr>
          <w:tab/>
        </w:r>
        <w:r w:rsidR="00120FF8">
          <w:rPr>
            <w:noProof/>
            <w:webHidden/>
          </w:rPr>
          <w:fldChar w:fldCharType="begin"/>
        </w:r>
        <w:r w:rsidR="00120FF8">
          <w:rPr>
            <w:noProof/>
            <w:webHidden/>
          </w:rPr>
          <w:instrText xml:space="preserve"> PAGEREF _Toc948253 \h </w:instrText>
        </w:r>
        <w:r w:rsidR="00120FF8">
          <w:rPr>
            <w:noProof/>
            <w:webHidden/>
          </w:rPr>
        </w:r>
        <w:r w:rsidR="00120FF8">
          <w:rPr>
            <w:noProof/>
            <w:webHidden/>
          </w:rPr>
          <w:fldChar w:fldCharType="separate"/>
        </w:r>
        <w:r w:rsidR="00120FF8">
          <w:rPr>
            <w:noProof/>
            <w:webHidden/>
          </w:rPr>
          <w:t>205</w:t>
        </w:r>
        <w:r w:rsidR="00120FF8">
          <w:rPr>
            <w:noProof/>
            <w:webHidden/>
          </w:rPr>
          <w:fldChar w:fldCharType="end"/>
        </w:r>
      </w:hyperlink>
    </w:p>
    <w:p w14:paraId="7EED1E6C" w14:textId="4475D3C9"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54" w:history="1">
        <w:r w:rsidR="00120FF8" w:rsidRPr="00993B7E">
          <w:rPr>
            <w:rStyle w:val="Hyperlink"/>
            <w:rFonts w:eastAsia="Calibri"/>
            <w:noProof/>
          </w:rPr>
          <w:t>Table 57 Quality of life analysis – cross-sectional sample QUALID (relative/ friend and staff)</w:t>
        </w:r>
        <w:r w:rsidR="00120FF8">
          <w:rPr>
            <w:noProof/>
            <w:webHidden/>
          </w:rPr>
          <w:tab/>
        </w:r>
        <w:r w:rsidR="00120FF8">
          <w:rPr>
            <w:noProof/>
            <w:webHidden/>
          </w:rPr>
          <w:fldChar w:fldCharType="begin"/>
        </w:r>
        <w:r w:rsidR="00120FF8">
          <w:rPr>
            <w:noProof/>
            <w:webHidden/>
          </w:rPr>
          <w:instrText xml:space="preserve"> PAGEREF _Toc948254 \h </w:instrText>
        </w:r>
        <w:r w:rsidR="00120FF8">
          <w:rPr>
            <w:noProof/>
            <w:webHidden/>
          </w:rPr>
        </w:r>
        <w:r w:rsidR="00120FF8">
          <w:rPr>
            <w:noProof/>
            <w:webHidden/>
          </w:rPr>
          <w:fldChar w:fldCharType="separate"/>
        </w:r>
        <w:r w:rsidR="00120FF8">
          <w:rPr>
            <w:noProof/>
            <w:webHidden/>
          </w:rPr>
          <w:t>205</w:t>
        </w:r>
        <w:r w:rsidR="00120FF8">
          <w:rPr>
            <w:noProof/>
            <w:webHidden/>
          </w:rPr>
          <w:fldChar w:fldCharType="end"/>
        </w:r>
      </w:hyperlink>
    </w:p>
    <w:p w14:paraId="69B5246C" w14:textId="43E3871B"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55" w:history="1">
        <w:r w:rsidR="00120FF8" w:rsidRPr="00993B7E">
          <w:rPr>
            <w:rStyle w:val="Hyperlink"/>
            <w:rFonts w:eastAsia="Calibri"/>
            <w:noProof/>
          </w:rPr>
          <w:t>Table 58 Prescription of regular medications – closed-cohort at baseline and 6-months</w:t>
        </w:r>
        <w:r w:rsidR="00120FF8">
          <w:rPr>
            <w:noProof/>
            <w:webHidden/>
          </w:rPr>
          <w:tab/>
        </w:r>
        <w:r w:rsidR="00120FF8">
          <w:rPr>
            <w:noProof/>
            <w:webHidden/>
          </w:rPr>
          <w:fldChar w:fldCharType="begin"/>
        </w:r>
        <w:r w:rsidR="00120FF8">
          <w:rPr>
            <w:noProof/>
            <w:webHidden/>
          </w:rPr>
          <w:instrText xml:space="preserve"> PAGEREF _Toc948255 \h </w:instrText>
        </w:r>
        <w:r w:rsidR="00120FF8">
          <w:rPr>
            <w:noProof/>
            <w:webHidden/>
          </w:rPr>
        </w:r>
        <w:r w:rsidR="00120FF8">
          <w:rPr>
            <w:noProof/>
            <w:webHidden/>
          </w:rPr>
          <w:fldChar w:fldCharType="separate"/>
        </w:r>
        <w:r w:rsidR="00120FF8">
          <w:rPr>
            <w:noProof/>
            <w:webHidden/>
          </w:rPr>
          <w:t>206</w:t>
        </w:r>
        <w:r w:rsidR="00120FF8">
          <w:rPr>
            <w:noProof/>
            <w:webHidden/>
          </w:rPr>
          <w:fldChar w:fldCharType="end"/>
        </w:r>
      </w:hyperlink>
    </w:p>
    <w:p w14:paraId="65432191" w14:textId="3647D488"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56" w:history="1">
        <w:r w:rsidR="00120FF8" w:rsidRPr="00993B7E">
          <w:rPr>
            <w:rStyle w:val="Hyperlink"/>
            <w:rFonts w:eastAsia="Calibri"/>
            <w:noProof/>
          </w:rPr>
          <w:t>Table 59 Number of closed-cohort and cross-sectional cohort residents prescribed regular medications at 16-months</w:t>
        </w:r>
        <w:r w:rsidR="00120FF8">
          <w:rPr>
            <w:noProof/>
            <w:webHidden/>
          </w:rPr>
          <w:tab/>
        </w:r>
        <w:r w:rsidR="00120FF8">
          <w:rPr>
            <w:noProof/>
            <w:webHidden/>
          </w:rPr>
          <w:fldChar w:fldCharType="begin"/>
        </w:r>
        <w:r w:rsidR="00120FF8">
          <w:rPr>
            <w:noProof/>
            <w:webHidden/>
          </w:rPr>
          <w:instrText xml:space="preserve"> PAGEREF _Toc948256 \h </w:instrText>
        </w:r>
        <w:r w:rsidR="00120FF8">
          <w:rPr>
            <w:noProof/>
            <w:webHidden/>
          </w:rPr>
        </w:r>
        <w:r w:rsidR="00120FF8">
          <w:rPr>
            <w:noProof/>
            <w:webHidden/>
          </w:rPr>
          <w:fldChar w:fldCharType="separate"/>
        </w:r>
        <w:r w:rsidR="00120FF8">
          <w:rPr>
            <w:noProof/>
            <w:webHidden/>
          </w:rPr>
          <w:t>206</w:t>
        </w:r>
        <w:r w:rsidR="00120FF8">
          <w:rPr>
            <w:noProof/>
            <w:webHidden/>
          </w:rPr>
          <w:fldChar w:fldCharType="end"/>
        </w:r>
      </w:hyperlink>
    </w:p>
    <w:p w14:paraId="5B6BABD0" w14:textId="497C8E98"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57" w:history="1">
        <w:r w:rsidR="00120FF8" w:rsidRPr="00993B7E">
          <w:rPr>
            <w:rStyle w:val="Hyperlink"/>
            <w:rFonts w:eastAsia="Calibri"/>
            <w:noProof/>
          </w:rPr>
          <w:t>Table 60 Administration of PRN medications by cohort and time point</w:t>
        </w:r>
        <w:r w:rsidR="00120FF8">
          <w:rPr>
            <w:noProof/>
            <w:webHidden/>
          </w:rPr>
          <w:tab/>
        </w:r>
        <w:r w:rsidR="00120FF8">
          <w:rPr>
            <w:noProof/>
            <w:webHidden/>
          </w:rPr>
          <w:fldChar w:fldCharType="begin"/>
        </w:r>
        <w:r w:rsidR="00120FF8">
          <w:rPr>
            <w:noProof/>
            <w:webHidden/>
          </w:rPr>
          <w:instrText xml:space="preserve"> PAGEREF _Toc948257 \h </w:instrText>
        </w:r>
        <w:r w:rsidR="00120FF8">
          <w:rPr>
            <w:noProof/>
            <w:webHidden/>
          </w:rPr>
        </w:r>
        <w:r w:rsidR="00120FF8">
          <w:rPr>
            <w:noProof/>
            <w:webHidden/>
          </w:rPr>
          <w:fldChar w:fldCharType="separate"/>
        </w:r>
        <w:r w:rsidR="00120FF8">
          <w:rPr>
            <w:noProof/>
            <w:webHidden/>
          </w:rPr>
          <w:t>208</w:t>
        </w:r>
        <w:r w:rsidR="00120FF8">
          <w:rPr>
            <w:noProof/>
            <w:webHidden/>
          </w:rPr>
          <w:fldChar w:fldCharType="end"/>
        </w:r>
      </w:hyperlink>
    </w:p>
    <w:p w14:paraId="4CAB393B" w14:textId="59E4533E"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58" w:history="1">
        <w:r w:rsidR="00120FF8" w:rsidRPr="00993B7E">
          <w:rPr>
            <w:rStyle w:val="Hyperlink"/>
            <w:rFonts w:eastAsia="Calibri"/>
            <w:noProof/>
          </w:rPr>
          <w:t>Table 61 QUIS summaries - unadjusted</w:t>
        </w:r>
        <w:r w:rsidR="00120FF8">
          <w:rPr>
            <w:noProof/>
            <w:webHidden/>
          </w:rPr>
          <w:tab/>
        </w:r>
        <w:r w:rsidR="00120FF8">
          <w:rPr>
            <w:noProof/>
            <w:webHidden/>
          </w:rPr>
          <w:fldChar w:fldCharType="begin"/>
        </w:r>
        <w:r w:rsidR="00120FF8">
          <w:rPr>
            <w:noProof/>
            <w:webHidden/>
          </w:rPr>
          <w:instrText xml:space="preserve"> PAGEREF _Toc948258 \h </w:instrText>
        </w:r>
        <w:r w:rsidR="00120FF8">
          <w:rPr>
            <w:noProof/>
            <w:webHidden/>
          </w:rPr>
        </w:r>
        <w:r w:rsidR="00120FF8">
          <w:rPr>
            <w:noProof/>
            <w:webHidden/>
          </w:rPr>
          <w:fldChar w:fldCharType="separate"/>
        </w:r>
        <w:r w:rsidR="00120FF8">
          <w:rPr>
            <w:noProof/>
            <w:webHidden/>
          </w:rPr>
          <w:t>209</w:t>
        </w:r>
        <w:r w:rsidR="00120FF8">
          <w:rPr>
            <w:noProof/>
            <w:webHidden/>
          </w:rPr>
          <w:fldChar w:fldCharType="end"/>
        </w:r>
      </w:hyperlink>
    </w:p>
    <w:p w14:paraId="5FBF7123" w14:textId="1BC759CB"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59" w:history="1">
        <w:r w:rsidR="00120FF8" w:rsidRPr="00993B7E">
          <w:rPr>
            <w:rStyle w:val="Hyperlink"/>
            <w:rFonts w:eastAsia="Calibri"/>
            <w:noProof/>
          </w:rPr>
          <w:t>Table 62 Care home CDR summaries</w:t>
        </w:r>
        <w:r w:rsidR="00120FF8">
          <w:rPr>
            <w:noProof/>
            <w:webHidden/>
          </w:rPr>
          <w:tab/>
        </w:r>
        <w:r w:rsidR="00120FF8">
          <w:rPr>
            <w:noProof/>
            <w:webHidden/>
          </w:rPr>
          <w:fldChar w:fldCharType="begin"/>
        </w:r>
        <w:r w:rsidR="00120FF8">
          <w:rPr>
            <w:noProof/>
            <w:webHidden/>
          </w:rPr>
          <w:instrText xml:space="preserve"> PAGEREF _Toc948259 \h </w:instrText>
        </w:r>
        <w:r w:rsidR="00120FF8">
          <w:rPr>
            <w:noProof/>
            <w:webHidden/>
          </w:rPr>
        </w:r>
        <w:r w:rsidR="00120FF8">
          <w:rPr>
            <w:noProof/>
            <w:webHidden/>
          </w:rPr>
          <w:fldChar w:fldCharType="separate"/>
        </w:r>
        <w:r w:rsidR="00120FF8">
          <w:rPr>
            <w:noProof/>
            <w:webHidden/>
          </w:rPr>
          <w:t>210</w:t>
        </w:r>
        <w:r w:rsidR="00120FF8">
          <w:rPr>
            <w:noProof/>
            <w:webHidden/>
          </w:rPr>
          <w:fldChar w:fldCharType="end"/>
        </w:r>
      </w:hyperlink>
    </w:p>
    <w:p w14:paraId="4E642A59" w14:textId="2146E4A5"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60" w:history="1">
        <w:r w:rsidR="00120FF8" w:rsidRPr="00993B7E">
          <w:rPr>
            <w:rStyle w:val="Hyperlink"/>
            <w:rFonts w:eastAsia="Calibri"/>
            <w:noProof/>
          </w:rPr>
          <w:t>Table 63 Care home EAT summaries</w:t>
        </w:r>
        <w:r w:rsidR="00120FF8">
          <w:rPr>
            <w:noProof/>
            <w:webHidden/>
          </w:rPr>
          <w:tab/>
        </w:r>
        <w:r w:rsidR="00120FF8">
          <w:rPr>
            <w:noProof/>
            <w:webHidden/>
          </w:rPr>
          <w:fldChar w:fldCharType="begin"/>
        </w:r>
        <w:r w:rsidR="00120FF8">
          <w:rPr>
            <w:noProof/>
            <w:webHidden/>
          </w:rPr>
          <w:instrText xml:space="preserve"> PAGEREF _Toc948260 \h </w:instrText>
        </w:r>
        <w:r w:rsidR="00120FF8">
          <w:rPr>
            <w:noProof/>
            <w:webHidden/>
          </w:rPr>
        </w:r>
        <w:r w:rsidR="00120FF8">
          <w:rPr>
            <w:noProof/>
            <w:webHidden/>
          </w:rPr>
          <w:fldChar w:fldCharType="separate"/>
        </w:r>
        <w:r w:rsidR="00120FF8">
          <w:rPr>
            <w:noProof/>
            <w:webHidden/>
          </w:rPr>
          <w:t>211</w:t>
        </w:r>
        <w:r w:rsidR="00120FF8">
          <w:rPr>
            <w:noProof/>
            <w:webHidden/>
          </w:rPr>
          <w:fldChar w:fldCharType="end"/>
        </w:r>
      </w:hyperlink>
    </w:p>
    <w:p w14:paraId="73B981FA" w14:textId="3B92B952"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61" w:history="1">
        <w:r w:rsidR="00120FF8" w:rsidRPr="00993B7E">
          <w:rPr>
            <w:rStyle w:val="Hyperlink"/>
            <w:rFonts w:eastAsia="Calibri"/>
            <w:noProof/>
          </w:rPr>
          <w:t>Table 64 Group living home characteristics</w:t>
        </w:r>
        <w:r w:rsidR="00120FF8">
          <w:rPr>
            <w:noProof/>
            <w:webHidden/>
          </w:rPr>
          <w:tab/>
        </w:r>
        <w:r w:rsidR="00120FF8">
          <w:rPr>
            <w:noProof/>
            <w:webHidden/>
          </w:rPr>
          <w:fldChar w:fldCharType="begin"/>
        </w:r>
        <w:r w:rsidR="00120FF8">
          <w:rPr>
            <w:noProof/>
            <w:webHidden/>
          </w:rPr>
          <w:instrText xml:space="preserve"> PAGEREF _Toc948261 \h </w:instrText>
        </w:r>
        <w:r w:rsidR="00120FF8">
          <w:rPr>
            <w:noProof/>
            <w:webHidden/>
          </w:rPr>
        </w:r>
        <w:r w:rsidR="00120FF8">
          <w:rPr>
            <w:noProof/>
            <w:webHidden/>
          </w:rPr>
          <w:fldChar w:fldCharType="separate"/>
        </w:r>
        <w:r w:rsidR="00120FF8">
          <w:rPr>
            <w:noProof/>
            <w:webHidden/>
          </w:rPr>
          <w:t>212</w:t>
        </w:r>
        <w:r w:rsidR="00120FF8">
          <w:rPr>
            <w:noProof/>
            <w:webHidden/>
          </w:rPr>
          <w:fldChar w:fldCharType="end"/>
        </w:r>
      </w:hyperlink>
    </w:p>
    <w:p w14:paraId="2EBC585F" w14:textId="2B19EEC7"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62" w:history="1">
        <w:r w:rsidR="00120FF8" w:rsidRPr="00993B7E">
          <w:rPr>
            <w:rStyle w:val="Hyperlink"/>
            <w:noProof/>
          </w:rPr>
          <w:t>Table 65 Resource Use – complete case sample*</w:t>
        </w:r>
        <w:r w:rsidR="00120FF8">
          <w:rPr>
            <w:noProof/>
            <w:webHidden/>
          </w:rPr>
          <w:tab/>
        </w:r>
        <w:r w:rsidR="00120FF8">
          <w:rPr>
            <w:noProof/>
            <w:webHidden/>
          </w:rPr>
          <w:fldChar w:fldCharType="begin"/>
        </w:r>
        <w:r w:rsidR="00120FF8">
          <w:rPr>
            <w:noProof/>
            <w:webHidden/>
          </w:rPr>
          <w:instrText xml:space="preserve"> PAGEREF _Toc948262 \h </w:instrText>
        </w:r>
        <w:r w:rsidR="00120FF8">
          <w:rPr>
            <w:noProof/>
            <w:webHidden/>
          </w:rPr>
        </w:r>
        <w:r w:rsidR="00120FF8">
          <w:rPr>
            <w:noProof/>
            <w:webHidden/>
          </w:rPr>
          <w:fldChar w:fldCharType="separate"/>
        </w:r>
        <w:r w:rsidR="00120FF8">
          <w:rPr>
            <w:noProof/>
            <w:webHidden/>
          </w:rPr>
          <w:t>213</w:t>
        </w:r>
        <w:r w:rsidR="00120FF8">
          <w:rPr>
            <w:noProof/>
            <w:webHidden/>
          </w:rPr>
          <w:fldChar w:fldCharType="end"/>
        </w:r>
      </w:hyperlink>
    </w:p>
    <w:p w14:paraId="0A96F46E" w14:textId="15054EE2"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63" w:history="1">
        <w:r w:rsidR="00120FF8" w:rsidRPr="00993B7E">
          <w:rPr>
            <w:rStyle w:val="Hyperlink"/>
            <w:noProof/>
          </w:rPr>
          <w:t>Table 66: Main* Unit Costs</w:t>
        </w:r>
        <w:r w:rsidR="00120FF8">
          <w:rPr>
            <w:noProof/>
            <w:webHidden/>
          </w:rPr>
          <w:tab/>
        </w:r>
        <w:r w:rsidR="00120FF8">
          <w:rPr>
            <w:noProof/>
            <w:webHidden/>
          </w:rPr>
          <w:fldChar w:fldCharType="begin"/>
        </w:r>
        <w:r w:rsidR="00120FF8">
          <w:rPr>
            <w:noProof/>
            <w:webHidden/>
          </w:rPr>
          <w:instrText xml:space="preserve"> PAGEREF _Toc948263 \h </w:instrText>
        </w:r>
        <w:r w:rsidR="00120FF8">
          <w:rPr>
            <w:noProof/>
            <w:webHidden/>
          </w:rPr>
        </w:r>
        <w:r w:rsidR="00120FF8">
          <w:rPr>
            <w:noProof/>
            <w:webHidden/>
          </w:rPr>
          <w:fldChar w:fldCharType="separate"/>
        </w:r>
        <w:r w:rsidR="00120FF8">
          <w:rPr>
            <w:noProof/>
            <w:webHidden/>
          </w:rPr>
          <w:t>214</w:t>
        </w:r>
        <w:r w:rsidR="00120FF8">
          <w:rPr>
            <w:noProof/>
            <w:webHidden/>
          </w:rPr>
          <w:fldChar w:fldCharType="end"/>
        </w:r>
      </w:hyperlink>
    </w:p>
    <w:p w14:paraId="5C2BD11D" w14:textId="3EDC222F" w:rsidR="00120FF8"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948264" w:history="1">
        <w:r w:rsidR="00120FF8" w:rsidRPr="00993B7E">
          <w:rPr>
            <w:rStyle w:val="Hyperlink"/>
            <w:rFonts w:eastAsia="Calibri"/>
            <w:noProof/>
          </w:rPr>
          <w:t xml:space="preserve">Table 67: Effect size detected based on the number of residents at the end of recruitment </w:t>
        </w:r>
        <w:r w:rsidR="00120FF8" w:rsidRPr="00993B7E">
          <w:rPr>
            <w:rStyle w:val="Hyperlink"/>
            <w:noProof/>
          </w:rPr>
          <w:t>(variable cluster size with incorporated loss to follow up)</w:t>
        </w:r>
        <w:r w:rsidR="00120FF8">
          <w:rPr>
            <w:noProof/>
            <w:webHidden/>
          </w:rPr>
          <w:tab/>
        </w:r>
        <w:r w:rsidR="00120FF8">
          <w:rPr>
            <w:noProof/>
            <w:webHidden/>
          </w:rPr>
          <w:fldChar w:fldCharType="begin"/>
        </w:r>
        <w:r w:rsidR="00120FF8">
          <w:rPr>
            <w:noProof/>
            <w:webHidden/>
          </w:rPr>
          <w:instrText xml:space="preserve"> PAGEREF _Toc948264 \h </w:instrText>
        </w:r>
        <w:r w:rsidR="00120FF8">
          <w:rPr>
            <w:noProof/>
            <w:webHidden/>
          </w:rPr>
        </w:r>
        <w:r w:rsidR="00120FF8">
          <w:rPr>
            <w:noProof/>
            <w:webHidden/>
          </w:rPr>
          <w:fldChar w:fldCharType="separate"/>
        </w:r>
        <w:r w:rsidR="00120FF8">
          <w:rPr>
            <w:noProof/>
            <w:webHidden/>
          </w:rPr>
          <w:t>237</w:t>
        </w:r>
        <w:r w:rsidR="00120FF8">
          <w:rPr>
            <w:noProof/>
            <w:webHidden/>
          </w:rPr>
          <w:fldChar w:fldCharType="end"/>
        </w:r>
      </w:hyperlink>
    </w:p>
    <w:p w14:paraId="5AD56437" w14:textId="4F29B43E" w:rsidR="00B501E2" w:rsidRPr="00563AD3" w:rsidRDefault="00B501E2" w:rsidP="009B13F3">
      <w:r w:rsidRPr="00563AD3">
        <w:fldChar w:fldCharType="end"/>
      </w:r>
    </w:p>
    <w:p w14:paraId="4D49E869" w14:textId="5179CB07" w:rsidR="00B501E2" w:rsidRPr="00563AD3" w:rsidRDefault="00B501E2" w:rsidP="009B13F3"/>
    <w:p w14:paraId="1F06CB91" w14:textId="77777777" w:rsidR="00747F9C" w:rsidRDefault="00747F9C">
      <w:pPr>
        <w:autoSpaceDE/>
        <w:autoSpaceDN/>
        <w:adjustRightInd/>
        <w:spacing w:line="259" w:lineRule="auto"/>
        <w:rPr>
          <w:b/>
        </w:rPr>
      </w:pPr>
      <w:r>
        <w:br w:type="page"/>
      </w:r>
    </w:p>
    <w:p w14:paraId="2FF3B347" w14:textId="1CC725EE" w:rsidR="00B501E2" w:rsidRPr="00563AD3" w:rsidRDefault="00B501E2" w:rsidP="009B13F3">
      <w:pPr>
        <w:pStyle w:val="Heading2"/>
      </w:pPr>
      <w:bookmarkStart w:id="6" w:name="_Toc525543930"/>
      <w:r w:rsidRPr="00563AD3">
        <w:t>List of Figures</w:t>
      </w:r>
      <w:bookmarkEnd w:id="6"/>
    </w:p>
    <w:p w14:paraId="3F931BE7" w14:textId="06BE0C34" w:rsidR="00B03437" w:rsidRDefault="00F236DE">
      <w:pPr>
        <w:pStyle w:val="TableofFigures"/>
        <w:tabs>
          <w:tab w:val="right" w:leader="dot" w:pos="9016"/>
        </w:tabs>
        <w:rPr>
          <w:rFonts w:asciiTheme="minorHAnsi" w:eastAsiaTheme="minorEastAsia" w:hAnsiTheme="minorHAnsi" w:cstheme="minorBidi"/>
          <w:noProof/>
          <w:sz w:val="22"/>
          <w:szCs w:val="22"/>
          <w:lang w:eastAsia="en-GB"/>
        </w:rPr>
      </w:pPr>
      <w:r w:rsidRPr="00563AD3">
        <w:fldChar w:fldCharType="begin"/>
      </w:r>
      <w:r w:rsidRPr="00563AD3">
        <w:instrText xml:space="preserve"> TOC \f F \h \z \t "Figure" \c </w:instrText>
      </w:r>
      <w:r w:rsidRPr="00563AD3">
        <w:fldChar w:fldCharType="separate"/>
      </w:r>
      <w:hyperlink w:anchor="_Toc525805237" w:history="1">
        <w:r w:rsidR="00B03437" w:rsidRPr="004C47C0">
          <w:rPr>
            <w:rStyle w:val="Hyperlink"/>
            <w:noProof/>
          </w:rPr>
          <w:t>Figure 1 Care Home and Resident CONSORT Diagram</w:t>
        </w:r>
        <w:r w:rsidR="00B03437">
          <w:rPr>
            <w:noProof/>
            <w:webHidden/>
          </w:rPr>
          <w:tab/>
        </w:r>
        <w:r w:rsidR="00B03437">
          <w:rPr>
            <w:noProof/>
            <w:webHidden/>
          </w:rPr>
          <w:fldChar w:fldCharType="begin"/>
        </w:r>
        <w:r w:rsidR="00B03437">
          <w:rPr>
            <w:noProof/>
            <w:webHidden/>
          </w:rPr>
          <w:instrText xml:space="preserve"> PAGEREF _Toc525805237 \h </w:instrText>
        </w:r>
        <w:r w:rsidR="00B03437">
          <w:rPr>
            <w:noProof/>
            <w:webHidden/>
          </w:rPr>
        </w:r>
        <w:r w:rsidR="00B03437">
          <w:rPr>
            <w:noProof/>
            <w:webHidden/>
          </w:rPr>
          <w:fldChar w:fldCharType="separate"/>
        </w:r>
        <w:r w:rsidR="00120FF8">
          <w:rPr>
            <w:noProof/>
            <w:webHidden/>
          </w:rPr>
          <w:t>78</w:t>
        </w:r>
        <w:r w:rsidR="00B03437">
          <w:rPr>
            <w:noProof/>
            <w:webHidden/>
          </w:rPr>
          <w:fldChar w:fldCharType="end"/>
        </w:r>
      </w:hyperlink>
    </w:p>
    <w:p w14:paraId="09A231DB" w14:textId="128F0F6A" w:rsidR="00B03437"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525805238" w:history="1">
        <w:r w:rsidR="00B03437" w:rsidRPr="004C47C0">
          <w:rPr>
            <w:rStyle w:val="Hyperlink"/>
            <w:noProof/>
          </w:rPr>
          <w:t>Figure 2: Completion of intervention components by cycle</w:t>
        </w:r>
        <w:r w:rsidR="00B03437">
          <w:rPr>
            <w:noProof/>
            <w:webHidden/>
          </w:rPr>
          <w:tab/>
        </w:r>
        <w:r w:rsidR="00B03437">
          <w:rPr>
            <w:noProof/>
            <w:webHidden/>
          </w:rPr>
          <w:fldChar w:fldCharType="begin"/>
        </w:r>
        <w:r w:rsidR="00B03437">
          <w:rPr>
            <w:noProof/>
            <w:webHidden/>
          </w:rPr>
          <w:instrText xml:space="preserve"> PAGEREF _Toc525805238 \h </w:instrText>
        </w:r>
        <w:r w:rsidR="00B03437">
          <w:rPr>
            <w:noProof/>
            <w:webHidden/>
          </w:rPr>
        </w:r>
        <w:r w:rsidR="00B03437">
          <w:rPr>
            <w:noProof/>
            <w:webHidden/>
          </w:rPr>
          <w:fldChar w:fldCharType="separate"/>
        </w:r>
        <w:r w:rsidR="00120FF8">
          <w:rPr>
            <w:noProof/>
            <w:webHidden/>
          </w:rPr>
          <w:t>85</w:t>
        </w:r>
        <w:r w:rsidR="00B03437">
          <w:rPr>
            <w:noProof/>
            <w:webHidden/>
          </w:rPr>
          <w:fldChar w:fldCharType="end"/>
        </w:r>
      </w:hyperlink>
    </w:p>
    <w:p w14:paraId="2E5F563B" w14:textId="7A589D5D" w:rsidR="00B03437"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525805239" w:history="1">
        <w:r w:rsidR="00B03437" w:rsidRPr="004C47C0">
          <w:rPr>
            <w:rStyle w:val="Hyperlink"/>
            <w:noProof/>
          </w:rPr>
          <w:t>Figure 3 Change in CMAI score between baseline and 16-months by adherence to the intervention</w:t>
        </w:r>
        <w:r w:rsidR="00B03437">
          <w:rPr>
            <w:noProof/>
            <w:webHidden/>
          </w:rPr>
          <w:tab/>
        </w:r>
        <w:r w:rsidR="00B03437">
          <w:rPr>
            <w:noProof/>
            <w:webHidden/>
          </w:rPr>
          <w:fldChar w:fldCharType="begin"/>
        </w:r>
        <w:r w:rsidR="00B03437">
          <w:rPr>
            <w:noProof/>
            <w:webHidden/>
          </w:rPr>
          <w:instrText xml:space="preserve"> PAGEREF _Toc525805239 \h </w:instrText>
        </w:r>
        <w:r w:rsidR="00B03437">
          <w:rPr>
            <w:noProof/>
            <w:webHidden/>
          </w:rPr>
        </w:r>
        <w:r w:rsidR="00B03437">
          <w:rPr>
            <w:noProof/>
            <w:webHidden/>
          </w:rPr>
          <w:fldChar w:fldCharType="separate"/>
        </w:r>
        <w:r w:rsidR="00120FF8">
          <w:rPr>
            <w:noProof/>
            <w:webHidden/>
          </w:rPr>
          <w:t>92</w:t>
        </w:r>
        <w:r w:rsidR="00B03437">
          <w:rPr>
            <w:noProof/>
            <w:webHidden/>
          </w:rPr>
          <w:fldChar w:fldCharType="end"/>
        </w:r>
      </w:hyperlink>
    </w:p>
    <w:p w14:paraId="1A7BEDB4" w14:textId="5614F898" w:rsidR="00B03437"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525805240" w:history="1">
        <w:r w:rsidR="00B03437" w:rsidRPr="004C47C0">
          <w:rPr>
            <w:rStyle w:val="Hyperlink"/>
            <w:noProof/>
          </w:rPr>
          <w:t>Figure 4: Data completion rates for the complete case sample*</w:t>
        </w:r>
        <w:r w:rsidR="00B03437">
          <w:rPr>
            <w:noProof/>
            <w:webHidden/>
          </w:rPr>
          <w:tab/>
        </w:r>
        <w:r w:rsidR="00B03437">
          <w:rPr>
            <w:noProof/>
            <w:webHidden/>
          </w:rPr>
          <w:fldChar w:fldCharType="begin"/>
        </w:r>
        <w:r w:rsidR="00B03437">
          <w:rPr>
            <w:noProof/>
            <w:webHidden/>
          </w:rPr>
          <w:instrText xml:space="preserve"> PAGEREF _Toc525805240 \h </w:instrText>
        </w:r>
        <w:r w:rsidR="00B03437">
          <w:rPr>
            <w:noProof/>
            <w:webHidden/>
          </w:rPr>
        </w:r>
        <w:r w:rsidR="00B03437">
          <w:rPr>
            <w:noProof/>
            <w:webHidden/>
          </w:rPr>
          <w:fldChar w:fldCharType="separate"/>
        </w:r>
        <w:r w:rsidR="00120FF8">
          <w:rPr>
            <w:noProof/>
            <w:webHidden/>
          </w:rPr>
          <w:t>102</w:t>
        </w:r>
        <w:r w:rsidR="00B03437">
          <w:rPr>
            <w:noProof/>
            <w:webHidden/>
          </w:rPr>
          <w:fldChar w:fldCharType="end"/>
        </w:r>
      </w:hyperlink>
    </w:p>
    <w:p w14:paraId="1F5AC4D2" w14:textId="3C204C01" w:rsidR="00B03437"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525805241" w:history="1">
        <w:r w:rsidR="00B03437" w:rsidRPr="004C47C0">
          <w:rPr>
            <w:rStyle w:val="Hyperlink"/>
            <w:noProof/>
          </w:rPr>
          <w:t>Figure 5: Cost-effectiveness plane</w:t>
        </w:r>
        <w:r w:rsidR="00B03437">
          <w:rPr>
            <w:noProof/>
            <w:webHidden/>
          </w:rPr>
          <w:tab/>
        </w:r>
        <w:r w:rsidR="00B03437">
          <w:rPr>
            <w:noProof/>
            <w:webHidden/>
          </w:rPr>
          <w:fldChar w:fldCharType="begin"/>
        </w:r>
        <w:r w:rsidR="00B03437">
          <w:rPr>
            <w:noProof/>
            <w:webHidden/>
          </w:rPr>
          <w:instrText xml:space="preserve"> PAGEREF _Toc525805241 \h </w:instrText>
        </w:r>
        <w:r w:rsidR="00B03437">
          <w:rPr>
            <w:noProof/>
            <w:webHidden/>
          </w:rPr>
        </w:r>
        <w:r w:rsidR="00B03437">
          <w:rPr>
            <w:noProof/>
            <w:webHidden/>
          </w:rPr>
          <w:fldChar w:fldCharType="separate"/>
        </w:r>
        <w:r w:rsidR="00120FF8">
          <w:rPr>
            <w:noProof/>
            <w:webHidden/>
          </w:rPr>
          <w:t>109</w:t>
        </w:r>
        <w:r w:rsidR="00B03437">
          <w:rPr>
            <w:noProof/>
            <w:webHidden/>
          </w:rPr>
          <w:fldChar w:fldCharType="end"/>
        </w:r>
      </w:hyperlink>
    </w:p>
    <w:p w14:paraId="783D6921" w14:textId="5105C561" w:rsidR="00B03437"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525805242" w:history="1">
        <w:r w:rsidR="00B03437" w:rsidRPr="004C47C0">
          <w:rPr>
            <w:rStyle w:val="Hyperlink"/>
            <w:noProof/>
          </w:rPr>
          <w:t>Figure 6: Cost-effectiveness acceptability curve</w:t>
        </w:r>
        <w:r w:rsidR="00B03437">
          <w:rPr>
            <w:noProof/>
            <w:webHidden/>
          </w:rPr>
          <w:tab/>
        </w:r>
        <w:r w:rsidR="00B03437">
          <w:rPr>
            <w:noProof/>
            <w:webHidden/>
          </w:rPr>
          <w:fldChar w:fldCharType="begin"/>
        </w:r>
        <w:r w:rsidR="00B03437">
          <w:rPr>
            <w:noProof/>
            <w:webHidden/>
          </w:rPr>
          <w:instrText xml:space="preserve"> PAGEREF _Toc525805242 \h </w:instrText>
        </w:r>
        <w:r w:rsidR="00B03437">
          <w:rPr>
            <w:noProof/>
            <w:webHidden/>
          </w:rPr>
        </w:r>
        <w:r w:rsidR="00B03437">
          <w:rPr>
            <w:noProof/>
            <w:webHidden/>
          </w:rPr>
          <w:fldChar w:fldCharType="separate"/>
        </w:r>
        <w:r w:rsidR="00120FF8">
          <w:rPr>
            <w:noProof/>
            <w:webHidden/>
          </w:rPr>
          <w:t>109</w:t>
        </w:r>
        <w:r w:rsidR="00B03437">
          <w:rPr>
            <w:noProof/>
            <w:webHidden/>
          </w:rPr>
          <w:fldChar w:fldCharType="end"/>
        </w:r>
      </w:hyperlink>
    </w:p>
    <w:p w14:paraId="66F703B5" w14:textId="711EFDE3" w:rsidR="00B03437"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525805243" w:history="1">
        <w:r w:rsidR="00B03437" w:rsidRPr="004C47C0">
          <w:rPr>
            <w:rStyle w:val="Hyperlink"/>
            <w:noProof/>
          </w:rPr>
          <w:t>Figure 7 Time</w:t>
        </w:r>
        <w:r w:rsidR="00B03437" w:rsidRPr="004C47C0">
          <w:rPr>
            <w:rStyle w:val="Hyperlink"/>
            <w:rFonts w:eastAsia="Calibri"/>
            <w:noProof/>
          </w:rPr>
          <w:t xml:space="preserve"> between CH randomisation and briefing sessions</w:t>
        </w:r>
        <w:r w:rsidR="00B03437">
          <w:rPr>
            <w:noProof/>
            <w:webHidden/>
          </w:rPr>
          <w:tab/>
        </w:r>
        <w:r w:rsidR="00B03437">
          <w:rPr>
            <w:noProof/>
            <w:webHidden/>
          </w:rPr>
          <w:fldChar w:fldCharType="begin"/>
        </w:r>
        <w:r w:rsidR="00B03437">
          <w:rPr>
            <w:noProof/>
            <w:webHidden/>
          </w:rPr>
          <w:instrText xml:space="preserve"> PAGEREF _Toc525805243 \h </w:instrText>
        </w:r>
        <w:r w:rsidR="00B03437">
          <w:rPr>
            <w:noProof/>
            <w:webHidden/>
          </w:rPr>
        </w:r>
        <w:r w:rsidR="00B03437">
          <w:rPr>
            <w:noProof/>
            <w:webHidden/>
          </w:rPr>
          <w:fldChar w:fldCharType="separate"/>
        </w:r>
        <w:r w:rsidR="00120FF8">
          <w:rPr>
            <w:noProof/>
            <w:webHidden/>
          </w:rPr>
          <w:t>183</w:t>
        </w:r>
        <w:r w:rsidR="00B03437">
          <w:rPr>
            <w:noProof/>
            <w:webHidden/>
          </w:rPr>
          <w:fldChar w:fldCharType="end"/>
        </w:r>
      </w:hyperlink>
    </w:p>
    <w:p w14:paraId="2D56262C" w14:textId="0BE678A5" w:rsidR="00B03437"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525805244" w:history="1">
        <w:r w:rsidR="00B03437" w:rsidRPr="004C47C0">
          <w:rPr>
            <w:rStyle w:val="Hyperlink"/>
            <w:noProof/>
          </w:rPr>
          <w:t>Figure 8 Graphical depiction of change in average CMAI scores in care homes (cross-sectional) by treatment arms (16 months-baseline)</w:t>
        </w:r>
        <w:r w:rsidR="00B03437">
          <w:rPr>
            <w:noProof/>
            <w:webHidden/>
          </w:rPr>
          <w:tab/>
        </w:r>
        <w:r w:rsidR="00B03437">
          <w:rPr>
            <w:noProof/>
            <w:webHidden/>
          </w:rPr>
          <w:fldChar w:fldCharType="begin"/>
        </w:r>
        <w:r w:rsidR="00B03437">
          <w:rPr>
            <w:noProof/>
            <w:webHidden/>
          </w:rPr>
          <w:instrText xml:space="preserve"> PAGEREF _Toc525805244 \h </w:instrText>
        </w:r>
        <w:r w:rsidR="00B03437">
          <w:rPr>
            <w:noProof/>
            <w:webHidden/>
          </w:rPr>
        </w:r>
        <w:r w:rsidR="00B03437">
          <w:rPr>
            <w:noProof/>
            <w:webHidden/>
          </w:rPr>
          <w:fldChar w:fldCharType="separate"/>
        </w:r>
        <w:r w:rsidR="00120FF8">
          <w:rPr>
            <w:noProof/>
            <w:webHidden/>
          </w:rPr>
          <w:t>191</w:t>
        </w:r>
        <w:r w:rsidR="00B03437">
          <w:rPr>
            <w:noProof/>
            <w:webHidden/>
          </w:rPr>
          <w:fldChar w:fldCharType="end"/>
        </w:r>
      </w:hyperlink>
    </w:p>
    <w:p w14:paraId="5D0343A5" w14:textId="033F5F6F" w:rsidR="00B03437"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525805245" w:history="1">
        <w:r w:rsidR="00B03437" w:rsidRPr="004C47C0">
          <w:rPr>
            <w:rStyle w:val="Hyperlink"/>
            <w:noProof/>
          </w:rPr>
          <w:t>Figure 9 Graphical depiction of change in CMAI scores (closed-cohort) by treatment arms (16 months-baseline and 6 months-baseline)</w:t>
        </w:r>
        <w:r w:rsidR="00B03437">
          <w:rPr>
            <w:noProof/>
            <w:webHidden/>
          </w:rPr>
          <w:tab/>
        </w:r>
        <w:r w:rsidR="00B03437">
          <w:rPr>
            <w:noProof/>
            <w:webHidden/>
          </w:rPr>
          <w:fldChar w:fldCharType="begin"/>
        </w:r>
        <w:r w:rsidR="00B03437">
          <w:rPr>
            <w:noProof/>
            <w:webHidden/>
          </w:rPr>
          <w:instrText xml:space="preserve"> PAGEREF _Toc525805245 \h </w:instrText>
        </w:r>
        <w:r w:rsidR="00B03437">
          <w:rPr>
            <w:noProof/>
            <w:webHidden/>
          </w:rPr>
        </w:r>
        <w:r w:rsidR="00B03437">
          <w:rPr>
            <w:noProof/>
            <w:webHidden/>
          </w:rPr>
          <w:fldChar w:fldCharType="separate"/>
        </w:r>
        <w:r w:rsidR="00120FF8">
          <w:rPr>
            <w:noProof/>
            <w:webHidden/>
          </w:rPr>
          <w:t>192</w:t>
        </w:r>
        <w:r w:rsidR="00B03437">
          <w:rPr>
            <w:noProof/>
            <w:webHidden/>
          </w:rPr>
          <w:fldChar w:fldCharType="end"/>
        </w:r>
      </w:hyperlink>
    </w:p>
    <w:p w14:paraId="6146ECBA" w14:textId="52549D70" w:rsidR="00B03437"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525805246" w:history="1">
        <w:r w:rsidR="00B03437" w:rsidRPr="004C47C0">
          <w:rPr>
            <w:rStyle w:val="Hyperlink"/>
            <w:rFonts w:eastAsia="Calibri"/>
            <w:noProof/>
          </w:rPr>
          <w:t>Figure 10: Predicted loss to follow-up</w:t>
        </w:r>
        <w:r w:rsidR="00B03437">
          <w:rPr>
            <w:noProof/>
            <w:webHidden/>
          </w:rPr>
          <w:tab/>
        </w:r>
        <w:r w:rsidR="00B03437">
          <w:rPr>
            <w:noProof/>
            <w:webHidden/>
          </w:rPr>
          <w:fldChar w:fldCharType="begin"/>
        </w:r>
        <w:r w:rsidR="00B03437">
          <w:rPr>
            <w:noProof/>
            <w:webHidden/>
          </w:rPr>
          <w:instrText xml:space="preserve"> PAGEREF _Toc525805246 \h </w:instrText>
        </w:r>
        <w:r w:rsidR="00B03437">
          <w:rPr>
            <w:noProof/>
            <w:webHidden/>
          </w:rPr>
        </w:r>
        <w:r w:rsidR="00B03437">
          <w:rPr>
            <w:noProof/>
            <w:webHidden/>
          </w:rPr>
          <w:fldChar w:fldCharType="separate"/>
        </w:r>
        <w:r w:rsidR="00120FF8">
          <w:rPr>
            <w:noProof/>
            <w:webHidden/>
          </w:rPr>
          <w:t>233</w:t>
        </w:r>
        <w:r w:rsidR="00B03437">
          <w:rPr>
            <w:noProof/>
            <w:webHidden/>
          </w:rPr>
          <w:fldChar w:fldCharType="end"/>
        </w:r>
      </w:hyperlink>
    </w:p>
    <w:p w14:paraId="78F488F6" w14:textId="76715119" w:rsidR="00B03437" w:rsidRDefault="00D53D38">
      <w:pPr>
        <w:pStyle w:val="TableofFigures"/>
        <w:tabs>
          <w:tab w:val="right" w:leader="dot" w:pos="9016"/>
        </w:tabs>
        <w:rPr>
          <w:rFonts w:asciiTheme="minorHAnsi" w:eastAsiaTheme="minorEastAsia" w:hAnsiTheme="minorHAnsi" w:cstheme="minorBidi"/>
          <w:noProof/>
          <w:sz w:val="22"/>
          <w:szCs w:val="22"/>
          <w:lang w:eastAsia="en-GB"/>
        </w:rPr>
      </w:pPr>
      <w:hyperlink w:anchor="_Toc525805247" w:history="1">
        <w:r w:rsidR="00B03437" w:rsidRPr="004C47C0">
          <w:rPr>
            <w:rStyle w:val="Hyperlink"/>
            <w:rFonts w:eastAsia="Calibri"/>
            <w:noProof/>
          </w:rPr>
          <w:t>Figure 11: Kaplan-Meier Survival Curve stratified by the length of care home in the trial</w:t>
        </w:r>
        <w:r w:rsidR="00B03437">
          <w:rPr>
            <w:noProof/>
            <w:webHidden/>
          </w:rPr>
          <w:tab/>
        </w:r>
        <w:r w:rsidR="00B03437">
          <w:rPr>
            <w:noProof/>
            <w:webHidden/>
          </w:rPr>
          <w:fldChar w:fldCharType="begin"/>
        </w:r>
        <w:r w:rsidR="00B03437">
          <w:rPr>
            <w:noProof/>
            <w:webHidden/>
          </w:rPr>
          <w:instrText xml:space="preserve"> PAGEREF _Toc525805247 \h </w:instrText>
        </w:r>
        <w:r w:rsidR="00B03437">
          <w:rPr>
            <w:noProof/>
            <w:webHidden/>
          </w:rPr>
        </w:r>
        <w:r w:rsidR="00B03437">
          <w:rPr>
            <w:noProof/>
            <w:webHidden/>
          </w:rPr>
          <w:fldChar w:fldCharType="separate"/>
        </w:r>
        <w:r w:rsidR="00120FF8">
          <w:rPr>
            <w:noProof/>
            <w:webHidden/>
          </w:rPr>
          <w:t>233</w:t>
        </w:r>
        <w:r w:rsidR="00B03437">
          <w:rPr>
            <w:noProof/>
            <w:webHidden/>
          </w:rPr>
          <w:fldChar w:fldCharType="end"/>
        </w:r>
      </w:hyperlink>
    </w:p>
    <w:p w14:paraId="3594EE43" w14:textId="41BB0A9E" w:rsidR="00B501E2" w:rsidRPr="00563AD3" w:rsidRDefault="00F236DE" w:rsidP="009B13F3">
      <w:pPr>
        <w:pStyle w:val="Figure"/>
      </w:pPr>
      <w:r w:rsidRPr="00563AD3">
        <w:rPr>
          <w:rFonts w:eastAsiaTheme="minorHAnsi"/>
          <w:sz w:val="24"/>
          <w:szCs w:val="24"/>
          <w:lang w:eastAsia="en-US"/>
        </w:rPr>
        <w:fldChar w:fldCharType="end"/>
      </w:r>
    </w:p>
    <w:p w14:paraId="6D722001" w14:textId="19856C02" w:rsidR="00DA0920" w:rsidRPr="00563AD3" w:rsidRDefault="00DA0920" w:rsidP="009B13F3">
      <w:pPr>
        <w:autoSpaceDE/>
        <w:autoSpaceDN/>
        <w:adjustRightInd/>
      </w:pPr>
      <w:r w:rsidRPr="00563AD3">
        <w:br w:type="page"/>
      </w:r>
    </w:p>
    <w:p w14:paraId="588BE8AD" w14:textId="77777777" w:rsidR="00A97BB1" w:rsidRPr="00563AD3" w:rsidRDefault="00A97BB1" w:rsidP="00A97BB1">
      <w:pPr>
        <w:pStyle w:val="Heading1"/>
        <w:spacing w:line="360" w:lineRule="auto"/>
      </w:pPr>
      <w:bookmarkStart w:id="7" w:name="_Toc525543931"/>
      <w:r w:rsidRPr="00563AD3">
        <w:t>Glossary</w:t>
      </w:r>
      <w:bookmarkEnd w:id="7"/>
    </w:p>
    <w:p w14:paraId="0A6A0C25" w14:textId="77777777" w:rsidR="00A97BB1" w:rsidRPr="00563AD3" w:rsidRDefault="00A97BB1" w:rsidP="00A97BB1"/>
    <w:p w14:paraId="21608C02" w14:textId="77777777" w:rsidR="00A97BB1" w:rsidRPr="00563AD3" w:rsidRDefault="00A97BB1" w:rsidP="00A97BB1">
      <w:r w:rsidRPr="00563AD3">
        <w:t>Agency staff: Temporary staff who are provided by an external organisation (Agency) to cover staff shortages/absences when these cannot be met by the care home’s own staff pool.</w:t>
      </w:r>
    </w:p>
    <w:p w14:paraId="0FE7F4C8" w14:textId="77777777" w:rsidR="00A97BB1" w:rsidRPr="00563AD3" w:rsidRDefault="00A97BB1" w:rsidP="00A97BB1">
      <w:r w:rsidRPr="00563AD3">
        <w:t>Bank staff: A pool of staff employed by the care home on non- substantive contracts and who are drawn on when the care home is unable to cover absences or shortages with staff who have contracted hours.</w:t>
      </w:r>
    </w:p>
    <w:p w14:paraId="50A65E25" w14:textId="77777777" w:rsidR="00A97BB1" w:rsidRPr="00563AD3" w:rsidRDefault="00A97BB1" w:rsidP="00A97BB1">
      <w:r w:rsidRPr="00563AD3">
        <w:t>DCM™ intervention lead: Member of the trial team who is responsible for oversight and leadership of DCM™ implementation across the intervention care homes and co-ordination of the DCM™ expert mappers.</w:t>
      </w:r>
    </w:p>
    <w:p w14:paraId="197681D8" w14:textId="77777777" w:rsidR="00A97BB1" w:rsidRPr="00563AD3" w:rsidRDefault="00A97BB1" w:rsidP="00A97BB1">
      <w:r w:rsidRPr="00563AD3">
        <w:t xml:space="preserve">DCM™ expert mapper: Experienced User of DCM™ appointed by the trial to support trial mappers in completing cycle 1 of DCM™ in each intervention home. </w:t>
      </w:r>
    </w:p>
    <w:p w14:paraId="725FEB1F" w14:textId="77777777" w:rsidR="00A97BB1" w:rsidRPr="00563AD3" w:rsidRDefault="00A97BB1" w:rsidP="00A97BB1">
      <w:r w:rsidRPr="00563AD3">
        <w:t>Independent researcher: A member of the research team who is independent of the care home by virtue of not having previously collected any outcomes data there.</w:t>
      </w:r>
    </w:p>
    <w:p w14:paraId="64CBF22E" w14:textId="77777777" w:rsidR="00A97BB1" w:rsidRPr="00563AD3" w:rsidRDefault="00A97BB1" w:rsidP="00A97BB1">
      <w:r w:rsidRPr="00563AD3">
        <w:t>Mapper: Member of care home staff trained to use DCM™.</w:t>
      </w:r>
    </w:p>
    <w:p w14:paraId="7674D977" w14:textId="77777777" w:rsidR="00A97BB1" w:rsidRDefault="00A97BB1" w:rsidP="00A97BB1">
      <w:pPr>
        <w:rPr>
          <w:rFonts w:eastAsia="Times New Roman"/>
          <w:b/>
          <w:color w:val="333333"/>
          <w:sz w:val="32"/>
          <w:szCs w:val="32"/>
        </w:rPr>
      </w:pPr>
    </w:p>
    <w:p w14:paraId="4EB14B8F" w14:textId="77777777" w:rsidR="00A97BB1" w:rsidRDefault="00A97BB1">
      <w:pPr>
        <w:autoSpaceDE/>
        <w:autoSpaceDN/>
        <w:adjustRightInd/>
        <w:spacing w:line="259" w:lineRule="auto"/>
      </w:pPr>
      <w:r>
        <w:br w:type="page"/>
      </w:r>
    </w:p>
    <w:p w14:paraId="27591FD9" w14:textId="505568AE" w:rsidR="00A97BB1" w:rsidRDefault="00A97BB1" w:rsidP="00A97BB1">
      <w:pPr>
        <w:pStyle w:val="Heading1"/>
      </w:pPr>
      <w:bookmarkStart w:id="8" w:name="_Toc525543932"/>
      <w:r w:rsidRPr="00563AD3">
        <w:t>List of abbreviations</w:t>
      </w:r>
      <w:bookmarkEnd w:id="8"/>
    </w:p>
    <w:p w14:paraId="779DB832" w14:textId="77777777" w:rsidR="00A97BB1" w:rsidRPr="00A97BB1" w:rsidRDefault="00A97BB1" w:rsidP="00A97BB1"/>
    <w:p w14:paraId="212791B7" w14:textId="77777777" w:rsidR="00A97BB1" w:rsidRPr="00563AD3" w:rsidRDefault="00A97BB1" w:rsidP="00A97BB1">
      <w:r w:rsidRPr="00563AD3">
        <w:t>BSC: Behaviours staff may find challenging to support</w:t>
      </w:r>
    </w:p>
    <w:p w14:paraId="060DE7B6" w14:textId="77777777" w:rsidR="00A97BB1" w:rsidRPr="00563AD3" w:rsidRDefault="00A97BB1" w:rsidP="00A97BB1">
      <w:r w:rsidRPr="00563AD3">
        <w:t xml:space="preserve">CACE: Complier-Average Causal Effect </w:t>
      </w:r>
    </w:p>
    <w:p w14:paraId="5E7ED681" w14:textId="77777777" w:rsidR="00A97BB1" w:rsidRPr="00563AD3" w:rsidRDefault="00A97BB1" w:rsidP="00A97BB1">
      <w:r w:rsidRPr="00563AD3">
        <w:t>CCA: Complete Case Analysis</w:t>
      </w:r>
    </w:p>
    <w:p w14:paraId="42F80534" w14:textId="77777777" w:rsidR="00A97BB1" w:rsidRPr="00563AD3" w:rsidRDefault="00A97BB1" w:rsidP="00A97BB1">
      <w:r w:rsidRPr="00563AD3">
        <w:t>CDR: Clinical Dementia Rating Scale</w:t>
      </w:r>
    </w:p>
    <w:p w14:paraId="3FEC7CC6" w14:textId="77777777" w:rsidR="00A97BB1" w:rsidRPr="00563AD3" w:rsidRDefault="00A97BB1" w:rsidP="00A97BB1">
      <w:r w:rsidRPr="00563AD3">
        <w:t>CEAC: Cost Effectiveness Acceptability Curve</w:t>
      </w:r>
    </w:p>
    <w:p w14:paraId="6E7B8C72" w14:textId="77777777" w:rsidR="00A97BB1" w:rsidRPr="00563AD3" w:rsidRDefault="00A97BB1" w:rsidP="00A97BB1">
      <w:r w:rsidRPr="00563AD3">
        <w:t xml:space="preserve">CI: </w:t>
      </w:r>
      <w:r>
        <w:t>Confidence Interval</w:t>
      </w:r>
    </w:p>
    <w:p w14:paraId="14C7ED6C" w14:textId="77777777" w:rsidR="00A97BB1" w:rsidRPr="00563AD3" w:rsidRDefault="00A97BB1" w:rsidP="00A97BB1">
      <w:r w:rsidRPr="00563AD3">
        <w:t>CMAI: Cohen Mansfield Agitation Inventory</w:t>
      </w:r>
    </w:p>
    <w:p w14:paraId="54EC1363" w14:textId="77777777" w:rsidR="00A97BB1" w:rsidRPr="00563AD3" w:rsidRDefault="00A97BB1" w:rsidP="00A97BB1">
      <w:r w:rsidRPr="00563AD3">
        <w:t>CMAI-O: Cohen-Mansfield Agitation Inventory - Observational</w:t>
      </w:r>
    </w:p>
    <w:p w14:paraId="7FB09DEB" w14:textId="77777777" w:rsidR="00A97BB1" w:rsidRPr="00563AD3" w:rsidRDefault="00A97BB1" w:rsidP="00A97BB1">
      <w:r w:rsidRPr="00563AD3">
        <w:t>CQC: Care Quality Commission</w:t>
      </w:r>
    </w:p>
    <w:p w14:paraId="35A74239" w14:textId="77777777" w:rsidR="00A97BB1" w:rsidRPr="00563AD3" w:rsidRDefault="00A97BB1" w:rsidP="00A97BB1">
      <w:r w:rsidRPr="00563AD3">
        <w:t>CRF: Case Report Form</w:t>
      </w:r>
    </w:p>
    <w:p w14:paraId="6CA4564D" w14:textId="77777777" w:rsidR="00A97BB1" w:rsidRPr="00563AD3" w:rsidRDefault="00A97BB1" w:rsidP="00A97BB1">
      <w:r w:rsidRPr="00563AD3">
        <w:t>CTRU: Clinical Trials Research Unit</w:t>
      </w:r>
    </w:p>
    <w:p w14:paraId="778FC0C1" w14:textId="77777777" w:rsidR="00A97BB1" w:rsidRPr="00563AD3" w:rsidRDefault="00A97BB1" w:rsidP="00A97BB1">
      <w:r w:rsidRPr="00563AD3">
        <w:t>DAT: Dementia Awareness Training</w:t>
      </w:r>
    </w:p>
    <w:p w14:paraId="60E2A4D2" w14:textId="77777777" w:rsidR="00A97BB1" w:rsidRPr="00563AD3" w:rsidRDefault="00A97BB1" w:rsidP="00A97BB1">
      <w:r w:rsidRPr="00563AD3">
        <w:t>DCM™: Dementia Care Mapping™</w:t>
      </w:r>
    </w:p>
    <w:p w14:paraId="71D9FE1A" w14:textId="77777777" w:rsidR="00A97BB1" w:rsidRPr="00563AD3" w:rsidRDefault="00A97BB1" w:rsidP="00A97BB1">
      <w:r w:rsidRPr="00563AD3">
        <w:t>DEMQOL-proxy: Dementia Quality of Life measure – proxy version</w:t>
      </w:r>
    </w:p>
    <w:p w14:paraId="52F62846" w14:textId="77777777" w:rsidR="00A97BB1" w:rsidRPr="00563AD3" w:rsidRDefault="00A97BB1" w:rsidP="00A97BB1">
      <w:r w:rsidRPr="00563AD3">
        <w:t>DMEC: Data Monitoring and Ethics Committee</w:t>
      </w:r>
    </w:p>
    <w:p w14:paraId="4873F6F2" w14:textId="77777777" w:rsidR="00A97BB1" w:rsidRPr="00563AD3" w:rsidRDefault="00A97BB1" w:rsidP="00A97BB1">
      <w:r w:rsidRPr="00563AD3">
        <w:t>EAT: Environmental Audit Tool</w:t>
      </w:r>
    </w:p>
    <w:p w14:paraId="23D582E0" w14:textId="77777777" w:rsidR="00A97BB1" w:rsidRPr="00563AD3" w:rsidRDefault="00A97BB1" w:rsidP="00A97BB1">
      <w:r w:rsidRPr="00563AD3">
        <w:t>EPIC: Enhancing Person-centred care In Care homes</w:t>
      </w:r>
    </w:p>
    <w:p w14:paraId="510A8080" w14:textId="77777777" w:rsidR="00A97BB1" w:rsidRPr="00563AD3" w:rsidRDefault="00A97BB1" w:rsidP="00A97BB1">
      <w:r w:rsidRPr="00563AD3">
        <w:t>FAST: Functional Assessment Staging of Alzheimer's Disease</w:t>
      </w:r>
    </w:p>
    <w:p w14:paraId="1AF08006" w14:textId="77777777" w:rsidR="00A97BB1" w:rsidRPr="00563AD3" w:rsidRDefault="00A97BB1" w:rsidP="00A97BB1">
      <w:r w:rsidRPr="00563AD3">
        <w:t>GHQ-12: General Health Questionnaire – 12 item</w:t>
      </w:r>
    </w:p>
    <w:p w14:paraId="176C31A3" w14:textId="77777777" w:rsidR="00A97BB1" w:rsidRPr="00563AD3" w:rsidRDefault="00A97BB1" w:rsidP="00A97BB1">
      <w:r w:rsidRPr="00563AD3">
        <w:t>GLHC: Group Living Home Characteristics</w:t>
      </w:r>
    </w:p>
    <w:p w14:paraId="2CB8EA52" w14:textId="77777777" w:rsidR="00A97BB1" w:rsidRPr="00563AD3" w:rsidRDefault="00A97BB1" w:rsidP="00A97BB1">
      <w:r w:rsidRPr="00563AD3">
        <w:t>ICC: Intracluster Correlation Coefficient</w:t>
      </w:r>
    </w:p>
    <w:p w14:paraId="4D0216CB" w14:textId="77777777" w:rsidR="00A97BB1" w:rsidRPr="00563AD3" w:rsidRDefault="00A97BB1" w:rsidP="00A97BB1">
      <w:r w:rsidRPr="00563AD3">
        <w:t>ICER: Incremental cost-effectiveness ratio</w:t>
      </w:r>
    </w:p>
    <w:p w14:paraId="64313CC4" w14:textId="77777777" w:rsidR="00A97BB1" w:rsidRPr="00563AD3" w:rsidRDefault="00A97BB1" w:rsidP="00A97BB1">
      <w:r w:rsidRPr="00563AD3">
        <w:t>LAG: Lay Advisory Group</w:t>
      </w:r>
    </w:p>
    <w:p w14:paraId="4FF50EEF" w14:textId="77777777" w:rsidR="00A97BB1" w:rsidRPr="00563AD3" w:rsidRDefault="00A97BB1" w:rsidP="00A97BB1">
      <w:r w:rsidRPr="00563AD3">
        <w:t>MAR: Missing at Random</w:t>
      </w:r>
    </w:p>
    <w:p w14:paraId="074AB79A" w14:textId="77777777" w:rsidR="00A97BB1" w:rsidRPr="00563AD3" w:rsidRDefault="00A97BB1" w:rsidP="00A97BB1">
      <w:r w:rsidRPr="00563AD3">
        <w:t>MICE: Multiple Imputations by Chained Equations</w:t>
      </w:r>
    </w:p>
    <w:p w14:paraId="58723B14" w14:textId="77777777" w:rsidR="00A97BB1" w:rsidRPr="00563AD3" w:rsidRDefault="00A97BB1" w:rsidP="00A97BB1">
      <w:r w:rsidRPr="00563AD3">
        <w:t>MNAR: Missing Not at Random</w:t>
      </w:r>
    </w:p>
    <w:p w14:paraId="31514795" w14:textId="77777777" w:rsidR="00A97BB1" w:rsidRPr="00563AD3" w:rsidRDefault="00A97BB1" w:rsidP="00A97BB1">
      <w:r w:rsidRPr="00563AD3">
        <w:t>MMSE: Mini–Mental State Examination</w:t>
      </w:r>
    </w:p>
    <w:p w14:paraId="1633E663" w14:textId="77777777" w:rsidR="00A97BB1" w:rsidRPr="00563AD3" w:rsidRDefault="00A97BB1" w:rsidP="00A97BB1">
      <w:r w:rsidRPr="00563AD3">
        <w:t>N: Number</w:t>
      </w:r>
    </w:p>
    <w:p w14:paraId="601A33D6" w14:textId="77777777" w:rsidR="00A97BB1" w:rsidRPr="00563AD3" w:rsidRDefault="00A97BB1" w:rsidP="00A97BB1">
      <w:r w:rsidRPr="00563AD3">
        <w:t>NICE: National Institute for Health and Care Excellence</w:t>
      </w:r>
    </w:p>
    <w:p w14:paraId="68438AB5" w14:textId="77777777" w:rsidR="00A97BB1" w:rsidRPr="00563AD3" w:rsidRDefault="00A97BB1" w:rsidP="00A97BB1">
      <w:r w:rsidRPr="00563AD3">
        <w:t>NMB: Net monetary benefit</w:t>
      </w:r>
    </w:p>
    <w:p w14:paraId="022D2629" w14:textId="77777777" w:rsidR="00A97BB1" w:rsidRPr="00563AD3" w:rsidRDefault="00A97BB1" w:rsidP="00A97BB1">
      <w:r w:rsidRPr="00563AD3">
        <w:t>NPI: Neuropsychiatric Inventory</w:t>
      </w:r>
    </w:p>
    <w:p w14:paraId="191DB5A9" w14:textId="77777777" w:rsidR="00A97BB1" w:rsidRPr="00563AD3" w:rsidRDefault="00A97BB1" w:rsidP="00A97BB1">
      <w:r w:rsidRPr="00563AD3">
        <w:t>PAS: Pittsburgh Agitation Scale</w:t>
      </w:r>
    </w:p>
    <w:p w14:paraId="23CEC1CE" w14:textId="77777777" w:rsidR="00A97BB1" w:rsidRPr="00563AD3" w:rsidRDefault="00A97BB1" w:rsidP="00A97BB1">
      <w:r w:rsidRPr="00563AD3">
        <w:t>PCCT: Person-centred Care Training</w:t>
      </w:r>
    </w:p>
    <w:p w14:paraId="4DEDC929" w14:textId="77777777" w:rsidR="00A97BB1" w:rsidRPr="00563AD3" w:rsidRDefault="00A97BB1" w:rsidP="00A97BB1">
      <w:r w:rsidRPr="00563AD3">
        <w:t xml:space="preserve">PPI: Patient and Public Involvement </w:t>
      </w:r>
    </w:p>
    <w:p w14:paraId="364B151E" w14:textId="77777777" w:rsidR="00A97BB1" w:rsidRPr="00563AD3" w:rsidRDefault="00A97BB1" w:rsidP="00A97BB1">
      <w:r w:rsidRPr="00563AD3">
        <w:t>QALY: Quality-adjusted life year</w:t>
      </w:r>
    </w:p>
    <w:p w14:paraId="7975F6F6" w14:textId="77777777" w:rsidR="00A97BB1" w:rsidRPr="00563AD3" w:rsidRDefault="00A97BB1" w:rsidP="00A97BB1">
      <w:r w:rsidRPr="00563AD3">
        <w:t>QoL: Quality of life</w:t>
      </w:r>
    </w:p>
    <w:p w14:paraId="3D903E1E" w14:textId="77777777" w:rsidR="00A97BB1" w:rsidRPr="00563AD3" w:rsidRDefault="00A97BB1" w:rsidP="00A97BB1">
      <w:r w:rsidRPr="00563AD3">
        <w:t>QOL-AD: Quality of Life in Alzheimer’s disease measure</w:t>
      </w:r>
    </w:p>
    <w:p w14:paraId="61ABDD63" w14:textId="77777777" w:rsidR="00A97BB1" w:rsidRPr="00563AD3" w:rsidRDefault="00A97BB1" w:rsidP="00A97BB1">
      <w:r w:rsidRPr="00563AD3">
        <w:t>QUALID: Quality of Life in Late-Stage Dementia</w:t>
      </w:r>
    </w:p>
    <w:p w14:paraId="19590CAA" w14:textId="77777777" w:rsidR="00A97BB1" w:rsidRPr="00563AD3" w:rsidRDefault="00A97BB1" w:rsidP="00A97BB1">
      <w:r w:rsidRPr="00563AD3">
        <w:t>QUIS: Quality of Interactions Schedule</w:t>
      </w:r>
    </w:p>
    <w:p w14:paraId="0847863D" w14:textId="77777777" w:rsidR="00A97BB1" w:rsidRPr="00563AD3" w:rsidRDefault="00A97BB1" w:rsidP="00A97BB1">
      <w:r w:rsidRPr="00563AD3">
        <w:t>RCT: Randomised controlled trial</w:t>
      </w:r>
    </w:p>
    <w:p w14:paraId="3AF599A4" w14:textId="77777777" w:rsidR="00A97BB1" w:rsidRPr="00563AD3" w:rsidRDefault="00A97BB1" w:rsidP="00A97BB1">
      <w:r w:rsidRPr="00563AD3">
        <w:t>RUSAE: Related Unexpected Serious Adverse Event</w:t>
      </w:r>
    </w:p>
    <w:p w14:paraId="7B140D5A" w14:textId="77777777" w:rsidR="00A97BB1" w:rsidRDefault="00A97BB1" w:rsidP="00A97BB1">
      <w:r>
        <w:t>SD: Standard Deviation</w:t>
      </w:r>
    </w:p>
    <w:p w14:paraId="4B5141A9" w14:textId="77777777" w:rsidR="00A97BB1" w:rsidRPr="00563AD3" w:rsidRDefault="00A97BB1" w:rsidP="00A97BB1">
      <w:r w:rsidRPr="00563AD3">
        <w:t>SAE: Serious Adverse Event</w:t>
      </w:r>
    </w:p>
    <w:p w14:paraId="0750D5ED" w14:textId="77777777" w:rsidR="00A97BB1" w:rsidRPr="00563AD3" w:rsidRDefault="00A97BB1" w:rsidP="00A97BB1">
      <w:r w:rsidRPr="00563AD3">
        <w:t>SCIDS: Sense of Competence in Dementia Care Staff Scale</w:t>
      </w:r>
    </w:p>
    <w:p w14:paraId="432B9D4B" w14:textId="77777777" w:rsidR="00A97BB1" w:rsidRPr="00563AD3" w:rsidRDefault="00A97BB1" w:rsidP="00A97BB1">
      <w:r w:rsidRPr="00563AD3">
        <w:t>SCIE: Social Care Institute for Excellence</w:t>
      </w:r>
    </w:p>
    <w:p w14:paraId="7B3E28EC" w14:textId="77777777" w:rsidR="00A97BB1" w:rsidRPr="00563AD3" w:rsidRDefault="00A97BB1" w:rsidP="00A97BB1">
      <w:r w:rsidRPr="00563AD3">
        <w:t>UC: Usual Care</w:t>
      </w:r>
    </w:p>
    <w:p w14:paraId="1AB4EE68" w14:textId="77777777" w:rsidR="00A97BB1" w:rsidRPr="00563AD3" w:rsidRDefault="00A97BB1" w:rsidP="00A97BB1">
      <w:r w:rsidRPr="00563AD3">
        <w:t>All abbreviations that have been used in this report are listed here unless the abbreviation is well known (e.g. NHS), or it has been used only once, or it is a non-standard abbreviation used only in figures/tables/appendices, in which case the abbreviation is defined in the figure legend or in the notes at the end of the table</w:t>
      </w:r>
    </w:p>
    <w:p w14:paraId="2A2ACB3F" w14:textId="77777777" w:rsidR="00A97BB1" w:rsidRPr="00563AD3" w:rsidRDefault="00A97BB1" w:rsidP="00A97BB1"/>
    <w:p w14:paraId="4A10002C" w14:textId="77777777" w:rsidR="00A97BB1" w:rsidRPr="00563AD3" w:rsidRDefault="00A97BB1" w:rsidP="00A97BB1">
      <w:pPr>
        <w:pStyle w:val="Heading1"/>
        <w:spacing w:line="360" w:lineRule="auto"/>
      </w:pPr>
      <w:bookmarkStart w:id="9" w:name="_Toc525543933"/>
      <w:r w:rsidRPr="00563AD3">
        <w:t>Plain English Summary</w:t>
      </w:r>
      <w:bookmarkEnd w:id="9"/>
    </w:p>
    <w:p w14:paraId="62E37C9C" w14:textId="77777777" w:rsidR="00A97BB1" w:rsidRPr="00563AD3" w:rsidRDefault="00A97BB1" w:rsidP="00A97BB1"/>
    <w:p w14:paraId="4C306AB3" w14:textId="61095EC2" w:rsidR="00A97BB1" w:rsidRPr="00563AD3" w:rsidRDefault="00A97BB1" w:rsidP="00A97BB1">
      <w:r w:rsidRPr="00563AD3">
        <w:t>Agitation is common in care home residents and may result from care that does not meet individual needs. Dementia Care Mapping (</w:t>
      </w:r>
      <w:r w:rsidRPr="00563AD3">
        <w:rPr>
          <w:lang w:eastAsia="en-US"/>
        </w:rPr>
        <w:t>DCM</w:t>
      </w:r>
      <w:r w:rsidRPr="00563AD3">
        <w:t xml:space="preserve">™) is a tool used within care homes to improve the delivery of person-centred care, which may help reduce agitation. This randomised controlled trial aimed to understand whether </w:t>
      </w:r>
      <w:r w:rsidRPr="00563AD3">
        <w:rPr>
          <w:lang w:eastAsia="en-US"/>
        </w:rPr>
        <w:t>DCM</w:t>
      </w:r>
      <w:r w:rsidRPr="00563AD3">
        <w:t xml:space="preserve">™ is better than usual care at reducing </w:t>
      </w:r>
      <w:r>
        <w:t xml:space="preserve">resident </w:t>
      </w:r>
      <w:r w:rsidRPr="00563AD3">
        <w:t>agitation, behaviours staff may find difficult to support</w:t>
      </w:r>
      <w:r>
        <w:t xml:space="preserve">, </w:t>
      </w:r>
      <w:r w:rsidRPr="00563AD3">
        <w:t xml:space="preserve">anti-psychotic </w:t>
      </w:r>
      <w:r>
        <w:t xml:space="preserve">medicines </w:t>
      </w:r>
      <w:r w:rsidRPr="00563AD3">
        <w:t>use</w:t>
      </w:r>
      <w:r>
        <w:t xml:space="preserve"> and for </w:t>
      </w:r>
      <w:r w:rsidRPr="00563AD3">
        <w:t xml:space="preserve">improving </w:t>
      </w:r>
      <w:r>
        <w:t xml:space="preserve">their </w:t>
      </w:r>
      <w:r w:rsidRPr="00563AD3">
        <w:t>quality of life</w:t>
      </w:r>
      <w:r>
        <w:t xml:space="preserve"> and</w:t>
      </w:r>
      <w:r w:rsidRPr="00563AD3">
        <w:t xml:space="preserve"> staff communication</w:t>
      </w:r>
      <w:r>
        <w:t>. It also assessed</w:t>
      </w:r>
      <w:r w:rsidRPr="00563AD3">
        <w:t xml:space="preserve"> it</w:t>
      </w:r>
      <w:r>
        <w:t>s</w:t>
      </w:r>
      <w:r w:rsidR="00623B3C">
        <w:t xml:space="preserve"> </w:t>
      </w:r>
      <w:r w:rsidRPr="00563AD3">
        <w:t>value for money.</w:t>
      </w:r>
    </w:p>
    <w:p w14:paraId="787A42CB" w14:textId="7EA5CAA6" w:rsidR="00A97BB1" w:rsidRPr="00563AD3" w:rsidRDefault="00A97BB1" w:rsidP="00A97BB1">
      <w:r w:rsidRPr="00563AD3">
        <w:t xml:space="preserve">We recruited 726 residents with dementia from 50 care homes. After initial data collection, care homes were randomly assigned to </w:t>
      </w:r>
      <w:r w:rsidRPr="00563AD3">
        <w:rPr>
          <w:lang w:eastAsia="en-US"/>
        </w:rPr>
        <w:t>DCM</w:t>
      </w:r>
      <w:r w:rsidRPr="00563AD3">
        <w:t>™ (31/50) or continue with usual care (19/50), and data were collected again after 6- and 16-months. A further 261 residents were recruited at 16-months.</w:t>
      </w:r>
      <w:r w:rsidRPr="009219BB">
        <w:t xml:space="preserve"> </w:t>
      </w:r>
      <w:r w:rsidRPr="00563AD3">
        <w:t xml:space="preserve">We </w:t>
      </w:r>
      <w:r>
        <w:t xml:space="preserve">also </w:t>
      </w:r>
      <w:r w:rsidRPr="00563AD3">
        <w:t xml:space="preserve">interviewed staff, relatives and residents about use of </w:t>
      </w:r>
      <w:r w:rsidRPr="00563AD3">
        <w:rPr>
          <w:lang w:eastAsia="en-US"/>
        </w:rPr>
        <w:t>DCM</w:t>
      </w:r>
      <w:r w:rsidRPr="00563AD3">
        <w:t>™</w:t>
      </w:r>
      <w:r>
        <w:t xml:space="preserve"> after final data collection had taken place.</w:t>
      </w:r>
    </w:p>
    <w:p w14:paraId="056169EC" w14:textId="67F2DEA0" w:rsidR="00A97BB1" w:rsidRPr="00563AD3" w:rsidRDefault="00A97BB1" w:rsidP="00A97BB1">
      <w:r w:rsidRPr="00563AD3">
        <w:t xml:space="preserve">Two staff in each </w:t>
      </w:r>
      <w:r w:rsidRPr="00563AD3">
        <w:rPr>
          <w:lang w:eastAsia="en-US"/>
        </w:rPr>
        <w:t>DCM</w:t>
      </w:r>
      <w:r w:rsidRPr="00563AD3">
        <w:t xml:space="preserve">™ home were trained to use </w:t>
      </w:r>
      <w:r w:rsidRPr="00563AD3">
        <w:rPr>
          <w:lang w:eastAsia="en-US"/>
        </w:rPr>
        <w:t>DCM</w:t>
      </w:r>
      <w:r w:rsidRPr="00563AD3">
        <w:t>™</w:t>
      </w:r>
      <w:r>
        <w:t xml:space="preserve"> </w:t>
      </w:r>
      <w:r w:rsidRPr="00563AD3">
        <w:t>and were helped by a</w:t>
      </w:r>
      <w:r>
        <w:t>n</w:t>
      </w:r>
      <w:r w:rsidRPr="00563AD3">
        <w:t xml:space="preserve"> expert to </w:t>
      </w:r>
      <w:r>
        <w:t>use it for the</w:t>
      </w:r>
      <w:r w:rsidRPr="00563AD3">
        <w:t xml:space="preserve"> first </w:t>
      </w:r>
      <w:r>
        <w:rPr>
          <w:lang w:eastAsia="en-US"/>
        </w:rPr>
        <w:t>time</w:t>
      </w:r>
      <w:r w:rsidRPr="00563AD3">
        <w:t xml:space="preserve">. They were asked to </w:t>
      </w:r>
      <w:r>
        <w:t>use it again a</w:t>
      </w:r>
      <w:r w:rsidRPr="00563AD3">
        <w:t xml:space="preserve"> further </w:t>
      </w:r>
      <w:r>
        <w:t>twice</w:t>
      </w:r>
      <w:r w:rsidRPr="00563AD3">
        <w:t xml:space="preserve"> without support.  Results showed that </w:t>
      </w:r>
      <w:r w:rsidRPr="00563AD3">
        <w:rPr>
          <w:lang w:eastAsia="en-US"/>
        </w:rPr>
        <w:t>DCM</w:t>
      </w:r>
      <w:r w:rsidRPr="00563AD3">
        <w:t>™ was no better than usual care on any of the outcomes. It was also not shown to be value for money. Only one-quarter of care homes use</w:t>
      </w:r>
      <w:r>
        <w:t>d</w:t>
      </w:r>
      <w:r w:rsidRPr="00563AD3">
        <w:t xml:space="preserve"> </w:t>
      </w:r>
      <w:r w:rsidRPr="00563AD3">
        <w:rPr>
          <w:lang w:eastAsia="en-US"/>
        </w:rPr>
        <w:t>DCM</w:t>
      </w:r>
      <w:r w:rsidRPr="00563AD3">
        <w:t xml:space="preserve">™ more than </w:t>
      </w:r>
      <w:r>
        <w:t>once</w:t>
      </w:r>
      <w:r w:rsidRPr="00563AD3">
        <w:t xml:space="preserve">. </w:t>
      </w:r>
      <w:r>
        <w:t>Care staff interviewed said</w:t>
      </w:r>
      <w:r w:rsidRPr="00563AD3">
        <w:t xml:space="preserve"> benefits </w:t>
      </w:r>
      <w:r>
        <w:t xml:space="preserve">of using </w:t>
      </w:r>
      <w:r w:rsidRPr="00563AD3">
        <w:rPr>
          <w:lang w:eastAsia="en-US"/>
        </w:rPr>
        <w:t>DCM</w:t>
      </w:r>
      <w:r w:rsidRPr="00563AD3">
        <w:t>™</w:t>
      </w:r>
      <w:r>
        <w:t xml:space="preserve"> </w:t>
      </w:r>
      <w:r w:rsidRPr="00563AD3">
        <w:t>includ</w:t>
      </w:r>
      <w:r>
        <w:t>ed</w:t>
      </w:r>
      <w:r w:rsidRPr="00563AD3">
        <w:t xml:space="preserve">, reduced </w:t>
      </w:r>
      <w:r>
        <w:t>resident</w:t>
      </w:r>
      <w:r w:rsidRPr="00563AD3">
        <w:t xml:space="preserve"> boredom and increased staff confidence. </w:t>
      </w:r>
      <w:r>
        <w:t>T</w:t>
      </w:r>
      <w:r w:rsidRPr="00563AD3">
        <w:t xml:space="preserve">here were also many challenges, including the time needed to complete </w:t>
      </w:r>
      <w:r w:rsidRPr="00563AD3">
        <w:rPr>
          <w:lang w:eastAsia="en-US"/>
        </w:rPr>
        <w:t>DCM</w:t>
      </w:r>
      <w:r w:rsidRPr="00563AD3">
        <w:t xml:space="preserve">™, lack of managerial support and problems with staffing levels. </w:t>
      </w:r>
    </w:p>
    <w:p w14:paraId="05294619" w14:textId="77777777" w:rsidR="00A97BB1" w:rsidRPr="00563AD3" w:rsidRDefault="00A97BB1" w:rsidP="00A97BB1">
      <w:r w:rsidRPr="00563AD3">
        <w:t xml:space="preserve">Putting </w:t>
      </w:r>
      <w:r w:rsidRPr="00563AD3">
        <w:rPr>
          <w:lang w:eastAsia="en-US"/>
        </w:rPr>
        <w:t>DCM</w:t>
      </w:r>
      <w:r w:rsidRPr="00563AD3">
        <w:t xml:space="preserve">™ into practice in care homes was difficult, even with expert support, and most care homes did not complete 3 </w:t>
      </w:r>
      <w:r w:rsidRPr="00563AD3">
        <w:rPr>
          <w:lang w:eastAsia="en-US"/>
        </w:rPr>
        <w:t>DCM</w:t>
      </w:r>
      <w:r w:rsidRPr="00563AD3">
        <w:t xml:space="preserve">™ cycles. Future research should explore models of implementing </w:t>
      </w:r>
      <w:r w:rsidRPr="00563AD3">
        <w:rPr>
          <w:lang w:eastAsia="en-US"/>
        </w:rPr>
        <w:t>DCM</w:t>
      </w:r>
      <w:r w:rsidRPr="00563AD3">
        <w:t>™ that do not rely on care home staff to lead them.</w:t>
      </w:r>
    </w:p>
    <w:p w14:paraId="6A4510BA" w14:textId="2FAD8F72" w:rsidR="00A97BB1" w:rsidRPr="00767428" w:rsidRDefault="00A97BB1" w:rsidP="00A97BB1">
      <w:pPr>
        <w:rPr>
          <w:rFonts w:eastAsia="Times New Roman"/>
          <w:b/>
          <w:color w:val="333333"/>
        </w:rPr>
      </w:pPr>
    </w:p>
    <w:p w14:paraId="69C45128" w14:textId="77777777" w:rsidR="00A97BB1" w:rsidRDefault="00A97BB1">
      <w:pPr>
        <w:autoSpaceDE/>
        <w:autoSpaceDN/>
        <w:adjustRightInd/>
        <w:spacing w:line="259" w:lineRule="auto"/>
        <w:rPr>
          <w:rFonts w:eastAsia="Times New Roman"/>
          <w:b/>
          <w:color w:val="333333"/>
          <w:sz w:val="28"/>
          <w:szCs w:val="28"/>
        </w:rPr>
      </w:pPr>
      <w:r>
        <w:br w:type="page"/>
      </w:r>
    </w:p>
    <w:p w14:paraId="769F93BF" w14:textId="6A7D737C" w:rsidR="00A97BB1" w:rsidRPr="00563AD3" w:rsidRDefault="00A97BB1" w:rsidP="00A97BB1">
      <w:pPr>
        <w:pStyle w:val="Heading1"/>
        <w:spacing w:line="360" w:lineRule="auto"/>
      </w:pPr>
      <w:bookmarkStart w:id="10" w:name="_Toc525543934"/>
      <w:r w:rsidRPr="00563AD3">
        <w:t>Scientific Summary</w:t>
      </w:r>
      <w:bookmarkEnd w:id="10"/>
    </w:p>
    <w:p w14:paraId="62F400F8" w14:textId="77777777" w:rsidR="00A97BB1" w:rsidRPr="00563AD3" w:rsidRDefault="00A97BB1" w:rsidP="00A97BB1">
      <w:pPr>
        <w:pStyle w:val="Heading2"/>
      </w:pPr>
      <w:bookmarkStart w:id="11" w:name="_Toc525543935"/>
      <w:r w:rsidRPr="00563AD3">
        <w:t>Background</w:t>
      </w:r>
      <w:bookmarkEnd w:id="11"/>
    </w:p>
    <w:p w14:paraId="45D60A3A" w14:textId="7E2D18A0" w:rsidR="00A97BB1" w:rsidRPr="00563AD3" w:rsidRDefault="00A97BB1" w:rsidP="00A97BB1">
      <w:r w:rsidRPr="00563AD3">
        <w:t xml:space="preserve">At least 80% of people living in care homes have dementia. Concerns have consistently been raised about care home quality and improvement in this area has been a UK </w:t>
      </w:r>
      <w:r w:rsidR="00066AB6">
        <w:t xml:space="preserve">wide </w:t>
      </w:r>
      <w:r w:rsidRPr="00563AD3">
        <w:t xml:space="preserve">government research and practice development priority for over a decade. </w:t>
      </w:r>
      <w:r w:rsidR="00637463" w:rsidRPr="00637463">
        <w:t>Poor quality care is associated with poor outcomes for people with dementia including an increase in behaviours staff may find challenging to support (BSC) (with the most common of these being agitation) reduced resident quality of life and increased prescribing and administration of anti-psychotic and other tranquillising medications. Person-centred care is a recommended approach to delivery of good quality care.</w:t>
      </w:r>
    </w:p>
    <w:p w14:paraId="3F532EA2" w14:textId="77777777" w:rsidR="00A97BB1" w:rsidRPr="00563AD3" w:rsidRDefault="00A97BB1" w:rsidP="00A97BB1">
      <w:r w:rsidRPr="00563AD3">
        <w:t>Dementia Care Mapping™ (DCM™) is a whole home, practice development intervention, that has been widely used in health and social care settings nationally and internationally, to support the embedding of person-centred care in practice. There is good evidence of its use in practice settings as a quality audit and improvement tool. This trial was designed to provide robust evidence on the clinical and cost effectiveness of DCM™ as an intervention to support care homes to sustainably transfer learning from person-centred care training (PCCT) into care practice. The trial aimed to determine whether DCM™ could provide a solution for achieving widespread implementation of an approach to training and practice development, which is practical for use in routine health and social care</w:t>
      </w:r>
      <w:r>
        <w:t xml:space="preserve"> and which improves care quality and outcomes for people living with dementia</w:t>
      </w:r>
      <w:r w:rsidRPr="00563AD3">
        <w:t>.</w:t>
      </w:r>
    </w:p>
    <w:p w14:paraId="7530D557" w14:textId="77777777" w:rsidR="00A97BB1" w:rsidRPr="00563AD3" w:rsidRDefault="00A97BB1" w:rsidP="00A97BB1">
      <w:pPr>
        <w:pStyle w:val="Heading2"/>
      </w:pPr>
      <w:bookmarkStart w:id="12" w:name="_Toc525543936"/>
      <w:r w:rsidRPr="00563AD3">
        <w:t>Objectives</w:t>
      </w:r>
      <w:bookmarkEnd w:id="12"/>
    </w:p>
    <w:p w14:paraId="6D75584C" w14:textId="77777777" w:rsidR="00A97BB1" w:rsidRPr="00563AD3" w:rsidRDefault="00A97BB1" w:rsidP="00A97BB1">
      <w:r w:rsidRPr="00563AD3">
        <w:t xml:space="preserve">The primary objective of the </w:t>
      </w:r>
      <w:r w:rsidRPr="00563AD3">
        <w:rPr>
          <w:lang w:eastAsia="en-US"/>
        </w:rPr>
        <w:t>DCM</w:t>
      </w:r>
      <w:r w:rsidRPr="00563AD3">
        <w:t>™ EPIC (Enhancing Person-centred care In Care homes) trial was to determine whether the intervention is more effective in reducing agitation in residents with dementia as measured by the total Cohen-Mansfield Agitation Inventory (CMAI) score</w:t>
      </w:r>
      <w:r>
        <w:t>,</w:t>
      </w:r>
      <w:r w:rsidRPr="00563AD3">
        <w:t xml:space="preserve"> and more cost-effective than the control </w:t>
      </w:r>
      <w:r>
        <w:t xml:space="preserve">(usual care) </w:t>
      </w:r>
      <w:r w:rsidRPr="00563AD3">
        <w:t xml:space="preserve">at 16-months post-randomisation. The secondary objectives were to determine whether the intervention is more effective at reducing </w:t>
      </w:r>
      <w:r>
        <w:t>behaviours that staff my find challenging to support (</w:t>
      </w:r>
      <w:r w:rsidRPr="00563AD3">
        <w:t>BSC</w:t>
      </w:r>
      <w:r>
        <w:t>)</w:t>
      </w:r>
      <w:r w:rsidRPr="00563AD3">
        <w:t>, use of antipsychotic and other psychotropic drugs, and improving mood and quality of life of residents with dementia, care home staff well-being and role efficacy</w:t>
      </w:r>
      <w:r>
        <w:t>,</w:t>
      </w:r>
      <w:r w:rsidRPr="00563AD3">
        <w:t xml:space="preserve"> and the quality of staff/resident interactions at 6- and 16-months. </w:t>
      </w:r>
    </w:p>
    <w:p w14:paraId="49C958D0" w14:textId="77777777" w:rsidR="00A97BB1" w:rsidRPr="00563AD3" w:rsidRDefault="00A97BB1" w:rsidP="00A97BB1">
      <w:r w:rsidRPr="00563AD3">
        <w:t>Other questions the trial sought to explore included the safety profile of the intervention, any differential predictors of the effects of the intervention, and the process, challenges, benefits and impact of implementing the intervention.</w:t>
      </w:r>
    </w:p>
    <w:p w14:paraId="4C61117B" w14:textId="77777777" w:rsidR="00A97BB1" w:rsidRDefault="00A97BB1" w:rsidP="00A97BB1"/>
    <w:p w14:paraId="42E8876E" w14:textId="77777777" w:rsidR="00A97BB1" w:rsidRPr="00563AD3" w:rsidRDefault="00A97BB1" w:rsidP="00A97BB1">
      <w:pPr>
        <w:pStyle w:val="Heading2"/>
      </w:pPr>
      <w:bookmarkStart w:id="13" w:name="_Toc525543937"/>
      <w:r w:rsidRPr="00563AD3">
        <w:t>Methods</w:t>
      </w:r>
      <w:bookmarkEnd w:id="13"/>
    </w:p>
    <w:p w14:paraId="6DA06871" w14:textId="77777777" w:rsidR="00A97BB1" w:rsidRPr="00EA5047" w:rsidRDefault="00A97BB1" w:rsidP="00A97BB1">
      <w:pPr>
        <w:rPr>
          <w:i/>
        </w:rPr>
      </w:pPr>
      <w:r>
        <w:rPr>
          <w:i/>
        </w:rPr>
        <w:t>Design</w:t>
      </w:r>
    </w:p>
    <w:p w14:paraId="3DD39CF4" w14:textId="77777777" w:rsidR="00A97BB1" w:rsidRPr="00563AD3" w:rsidRDefault="00A97BB1" w:rsidP="00A97BB1">
      <w:r w:rsidRPr="00563AD3">
        <w:t xml:space="preserve">The </w:t>
      </w:r>
      <w:r w:rsidRPr="00563AD3">
        <w:rPr>
          <w:lang w:eastAsia="en-US"/>
        </w:rPr>
        <w:t>DCM</w:t>
      </w:r>
      <w:r w:rsidRPr="00563AD3">
        <w:t>™ EPIC trial was a pragmatic, multicentre, cluster randomised controlled trial utilising an open-cohort design</w:t>
      </w:r>
      <w:r>
        <w:t xml:space="preserve"> with embedded cost-effectiveness and process evaluation analyses</w:t>
      </w:r>
      <w:r w:rsidRPr="00563AD3">
        <w:t>.</w:t>
      </w:r>
    </w:p>
    <w:p w14:paraId="7A3917AD" w14:textId="77777777" w:rsidR="00A97BB1" w:rsidRPr="00563AD3" w:rsidRDefault="00A97BB1" w:rsidP="00A97BB1">
      <w:pPr>
        <w:rPr>
          <w:i/>
        </w:rPr>
      </w:pPr>
      <w:r w:rsidRPr="00563AD3">
        <w:rPr>
          <w:i/>
        </w:rPr>
        <w:t>Setting</w:t>
      </w:r>
    </w:p>
    <w:p w14:paraId="7B4E3C48" w14:textId="77777777" w:rsidR="00A97BB1" w:rsidRPr="00563AD3" w:rsidRDefault="00A97BB1" w:rsidP="00A97BB1">
      <w:r w:rsidRPr="00563AD3">
        <w:t xml:space="preserve">Fifty residential, nursing and dementia care homes across West Yorkshire, Oxfordshire and South London, </w:t>
      </w:r>
      <w:r>
        <w:t xml:space="preserve">providing care </w:t>
      </w:r>
      <w:r w:rsidRPr="00563AD3">
        <w:t>for people with dementia</w:t>
      </w:r>
      <w:r>
        <w:t>,</w:t>
      </w:r>
      <w:r w:rsidRPr="00563AD3">
        <w:t xml:space="preserve"> were recruited using a random sampling method. Homes were eligible if they could recruit a minimum of 10 residents, had no improvement notices and were not taking part in any conflicting research. </w:t>
      </w:r>
    </w:p>
    <w:p w14:paraId="036BA0DA" w14:textId="77777777" w:rsidR="00A97BB1" w:rsidRPr="00563AD3" w:rsidRDefault="00A97BB1" w:rsidP="00A97BB1">
      <w:pPr>
        <w:rPr>
          <w:i/>
        </w:rPr>
      </w:pPr>
      <w:r w:rsidRPr="00563AD3">
        <w:rPr>
          <w:i/>
        </w:rPr>
        <w:t>Participants</w:t>
      </w:r>
    </w:p>
    <w:p w14:paraId="53068710" w14:textId="77777777" w:rsidR="00A97BB1" w:rsidRPr="00563AD3" w:rsidRDefault="00A97BB1" w:rsidP="00A97BB1">
      <w:r w:rsidRPr="00563AD3">
        <w:t xml:space="preserve">Residents recruited at baseline were registered after care home recruitment, confirmation of eligibility, informed consent and collection of baseline data, but prior to care home randomisation. At baseline residents were eligible for the trial if they were a permanent resident in the care home, had a formal diagnosis of dementia or a score of 4+ on the Functional Assessment Staging of Alzheimer’s Disease (FAST) and had sufficient proficiency in English to </w:t>
      </w:r>
      <w:r>
        <w:t>understand what the research involved, if able to do so</w:t>
      </w:r>
      <w:r w:rsidRPr="00563AD3">
        <w:t xml:space="preserve">. Residents were not eligible if they were known to be terminally ill, permanently bed-bound/cared for in bed or were taking part in other conflicting research. </w:t>
      </w:r>
    </w:p>
    <w:p w14:paraId="3C784FAC" w14:textId="77777777" w:rsidR="00A97BB1" w:rsidRPr="00563AD3" w:rsidRDefault="00A97BB1" w:rsidP="00A97BB1">
      <w:r w:rsidRPr="00563AD3">
        <w:t>Following a design-change to an open-cohort design, due to greater than expected loss to follow up</w:t>
      </w:r>
      <w:r>
        <w:t xml:space="preserve"> amongst residents</w:t>
      </w:r>
      <w:r w:rsidRPr="00563AD3">
        <w:t>, further residents were recruited at 16-months. In addition to the baseline eligibility criteria</w:t>
      </w:r>
      <w:r>
        <w:t>,</w:t>
      </w:r>
      <w:r w:rsidRPr="00563AD3">
        <w:t xml:space="preserve"> residents recruited at 16-months were not eligible if they had declined trial participation at baseline or moved into the home or participating unit less than three-months prior to screening. </w:t>
      </w:r>
    </w:p>
    <w:p w14:paraId="6E9551AC" w14:textId="77777777" w:rsidR="00A97BB1" w:rsidRPr="00563AD3" w:rsidRDefault="00A97BB1" w:rsidP="00A97BB1">
      <w:pPr>
        <w:rPr>
          <w:i/>
        </w:rPr>
      </w:pPr>
      <w:r w:rsidRPr="00563AD3">
        <w:rPr>
          <w:i/>
        </w:rPr>
        <w:t>Randomisation</w:t>
      </w:r>
    </w:p>
    <w:p w14:paraId="716B2BAB" w14:textId="77777777" w:rsidR="00A97BB1" w:rsidRPr="00563AD3" w:rsidRDefault="00A97BB1" w:rsidP="00A97BB1">
      <w:r w:rsidRPr="00563AD3">
        <w:t>Care homes were randomised on a ratio of 3:2 to intervention or control. Treatment arms were balanced for home/unit type (general residential/nursing, specialist dementia care), size (large≥40 beds, medium/small&lt;40 beds), provision of dementia awareness training by research team (yes, no) and recruiting hub (West Yorkshire, London, Oxford).</w:t>
      </w:r>
    </w:p>
    <w:p w14:paraId="37772673" w14:textId="77777777" w:rsidR="00A97BB1" w:rsidRPr="00563AD3" w:rsidRDefault="00A97BB1" w:rsidP="00A97BB1">
      <w:pPr>
        <w:rPr>
          <w:i/>
        </w:rPr>
      </w:pPr>
      <w:r w:rsidRPr="00563AD3">
        <w:rPr>
          <w:i/>
        </w:rPr>
        <w:t>Intervention</w:t>
      </w:r>
    </w:p>
    <w:p w14:paraId="710ACFD5" w14:textId="77777777" w:rsidR="00A97BB1" w:rsidRPr="00563AD3" w:rsidRDefault="00A97BB1" w:rsidP="00A97BB1">
      <w:r w:rsidRPr="00563AD3">
        <w:t xml:space="preserve">The intervention followed standard procedures as set out in the DCM™ manual and guidance. Two staff members from each intervention care home were trained to use DCM™, followed by implementation of three standard DCM™ cycles (each comprising of briefing; observation; data analysis, reporting and feedback; and action planning). The first cycle was supported by an external </w:t>
      </w:r>
      <w:r w:rsidRPr="00563AD3">
        <w:rPr>
          <w:lang w:eastAsia="en-US"/>
        </w:rPr>
        <w:t>DCM</w:t>
      </w:r>
      <w:r w:rsidRPr="00563AD3">
        <w:t>™ expert mapper provided by the research team</w:t>
      </w:r>
      <w:r>
        <w:t>, who attended the first cycle and provide additional support remotely</w:t>
      </w:r>
      <w:r w:rsidRPr="00563AD3">
        <w:t xml:space="preserve">. </w:t>
      </w:r>
      <w:r>
        <w:t xml:space="preserve">This is a higher degree of support that mappers would usually receive post-training, but was required to support standardised intervention implementation across all intervention care homes. </w:t>
      </w:r>
      <w:r w:rsidRPr="00563AD3">
        <w:t>To support intervention fidelity</w:t>
      </w:r>
      <w:r>
        <w:t xml:space="preserve"> and its measurement,</w:t>
      </w:r>
      <w:r w:rsidRPr="00563AD3">
        <w:t xml:space="preserve"> care homes were provided with guidelines which included standardised templates for recording attendance at briefing and feedback sessions and for DCM™ reporting and action planning. Additional mechanisms for supporting intervention adherence included sending SMS reminders and hard copies of all paperwork to mappers ahead of each cycle, and provision of telephone support from the </w:t>
      </w:r>
      <w:r w:rsidRPr="00563AD3">
        <w:rPr>
          <w:lang w:eastAsia="en-US"/>
        </w:rPr>
        <w:t>DCM</w:t>
      </w:r>
      <w:r w:rsidRPr="00563AD3">
        <w:t xml:space="preserve">™ intervention lead. Intervention homes were asked to complete </w:t>
      </w:r>
      <w:r w:rsidRPr="00563AD3">
        <w:rPr>
          <w:lang w:eastAsia="en-US"/>
        </w:rPr>
        <w:t>DCM</w:t>
      </w:r>
      <w:r w:rsidRPr="00563AD3">
        <w:t>™ alongside usual care.</w:t>
      </w:r>
    </w:p>
    <w:p w14:paraId="46D41836" w14:textId="77777777" w:rsidR="00A97BB1" w:rsidRPr="00563AD3" w:rsidRDefault="00A97BB1" w:rsidP="00A97BB1">
      <w:pPr>
        <w:rPr>
          <w:i/>
        </w:rPr>
      </w:pPr>
      <w:r w:rsidRPr="00563AD3">
        <w:rPr>
          <w:i/>
        </w:rPr>
        <w:t>Control</w:t>
      </w:r>
    </w:p>
    <w:p w14:paraId="51B1B6F1" w14:textId="77777777" w:rsidR="00A97BB1" w:rsidRPr="00563AD3" w:rsidRDefault="00A97BB1" w:rsidP="00A97BB1">
      <w:r w:rsidRPr="00563AD3">
        <w:t>Control homes were asked to continue with usual care.</w:t>
      </w:r>
    </w:p>
    <w:p w14:paraId="29C427E6" w14:textId="77777777" w:rsidR="00A97BB1" w:rsidRPr="00563AD3" w:rsidRDefault="00A97BB1" w:rsidP="00A97BB1">
      <w:pPr>
        <w:rPr>
          <w:i/>
        </w:rPr>
      </w:pPr>
      <w:r w:rsidRPr="00563AD3">
        <w:rPr>
          <w:i/>
        </w:rPr>
        <w:t>Outcome measures</w:t>
      </w:r>
    </w:p>
    <w:p w14:paraId="653B6F0E" w14:textId="77777777" w:rsidR="00A97BB1" w:rsidRPr="00563AD3" w:rsidRDefault="00A97BB1" w:rsidP="00A97BB1">
      <w:r w:rsidRPr="00563AD3">
        <w:t xml:space="preserve">The primary outcome was agitation at 16-months measured by the Cohen-Mansfield Agitation Inventory. Other resident outcomes included: </w:t>
      </w:r>
      <w:r>
        <w:t>BSC</w:t>
      </w:r>
      <w:r w:rsidRPr="00563AD3">
        <w:t xml:space="preserve"> and mood measured by the Neuropsychiatric Inventory (NPI); </w:t>
      </w:r>
      <w:r>
        <w:t>q</w:t>
      </w:r>
      <w:r w:rsidRPr="00563AD3">
        <w:t>uality of life measured by the QUALID, QoL-AD, DEMQOL, DEMQOL-proxy, the ED-5D-5L and ED-5D-5L-proxy; prescribed and administered medications and safety</w:t>
      </w:r>
      <w:r>
        <w:t xml:space="preserve"> data (e.g. hospitalisations, deaths)</w:t>
      </w:r>
      <w:r w:rsidRPr="00563AD3">
        <w:t xml:space="preserve">. Staff outcomes </w:t>
      </w:r>
      <w:r>
        <w:t>were</w:t>
      </w:r>
      <w:r w:rsidRPr="00563AD3">
        <w:t xml:space="preserve"> sense of competence in caring for people with dementia using the Sense of Competence in Dementia Care Staff (SCIDS) Scale. Care home outcomes </w:t>
      </w:r>
      <w:r>
        <w:t>were</w:t>
      </w:r>
      <w:r w:rsidRPr="00563AD3">
        <w:t xml:space="preserve"> the quality of staff interactions with residents measured using the Quality of Interactions Schedule (QUIS).</w:t>
      </w:r>
    </w:p>
    <w:p w14:paraId="34205762" w14:textId="77777777" w:rsidR="00A97BB1" w:rsidRPr="00563AD3" w:rsidRDefault="00A97BB1" w:rsidP="00A97BB1">
      <w:pPr>
        <w:rPr>
          <w:i/>
        </w:rPr>
      </w:pPr>
      <w:r w:rsidRPr="00563AD3">
        <w:rPr>
          <w:i/>
        </w:rPr>
        <w:t>Sample size</w:t>
      </w:r>
    </w:p>
    <w:p w14:paraId="57C528A3" w14:textId="77777777" w:rsidR="00A97BB1" w:rsidRPr="00563AD3" w:rsidRDefault="00A97BB1" w:rsidP="00A97BB1">
      <w:r w:rsidRPr="00563AD3">
        <w:t>The sample size was calculated to detect a moderate standardised effect size of 0.4 on the primary outcome: the between-arm difference in mean CMAI scores at 16-months. Fifty care homes, each recruiting 15 participants provide</w:t>
      </w:r>
      <w:r>
        <w:t>d</w:t>
      </w:r>
      <w:r w:rsidRPr="00563AD3">
        <w:t xml:space="preserve"> 90% power at a 5% significance level to detect a clini</w:t>
      </w:r>
      <w:r>
        <w:t>cally important difference of 3-</w:t>
      </w:r>
      <w:r w:rsidRPr="00563AD3">
        <w:t>points (</w:t>
      </w:r>
      <w:r>
        <w:t>standard deviation (</w:t>
      </w:r>
      <w:r w:rsidRPr="00563AD3">
        <w:t>SD</w:t>
      </w:r>
      <w:r>
        <w:t>)</w:t>
      </w:r>
      <w:r w:rsidRPr="00563AD3">
        <w:t xml:space="preserve"> 7.5 points), assuming 25% loss to follow-up and an inflation factor of 2.0 (i.e. cluster size of 11 participants available for analysis after loss to follow-up) and an intracluster correlation coefficient (ICC) no greater than 0.1. As the ICC was anticipated to be higher in the intervention arm, an allocation ratio of 3:2 was used, giving 30 (450) and 20 (300) care homes (residents) in the intervention and control arms respectively, </w:t>
      </w:r>
      <w:r>
        <w:t xml:space="preserve">equating to </w:t>
      </w:r>
      <w:r w:rsidRPr="00563AD3">
        <w:t xml:space="preserve">50 </w:t>
      </w:r>
      <w:r>
        <w:t xml:space="preserve">care homes </w:t>
      </w:r>
      <w:r w:rsidRPr="00563AD3">
        <w:t>(750) overall.</w:t>
      </w:r>
    </w:p>
    <w:p w14:paraId="41B4CD7B" w14:textId="77777777" w:rsidR="00A97BB1" w:rsidRPr="00563AD3" w:rsidRDefault="00A97BB1" w:rsidP="00A97BB1">
      <w:pPr>
        <w:rPr>
          <w:highlight w:val="yellow"/>
        </w:rPr>
      </w:pPr>
      <w:r w:rsidRPr="00563AD3">
        <w:t>During the trial loss to follow-up was higher than the anticipated maximum of 25%, mainly due to death rates. In order to preserve statistical power close to 90%, and our ability to detect a moderate standardised effect size of 0.4, maintain validity and increase the generalisability of the trial, we recruited additional, newly-eligible, consenting residents from the randomised care homes at 16-months post randomisation and performed a cross-sectional analysis of the data.</w:t>
      </w:r>
    </w:p>
    <w:p w14:paraId="503BC079" w14:textId="77777777" w:rsidR="00A97BB1" w:rsidRPr="00563AD3" w:rsidRDefault="00A97BB1" w:rsidP="00A97BB1">
      <w:pPr>
        <w:pStyle w:val="Heading2"/>
      </w:pPr>
      <w:bookmarkStart w:id="14" w:name="_Toc525543938"/>
      <w:r w:rsidRPr="00563AD3">
        <w:t>Results</w:t>
      </w:r>
      <w:bookmarkEnd w:id="14"/>
    </w:p>
    <w:p w14:paraId="1F53C52A" w14:textId="77777777" w:rsidR="00A97BB1" w:rsidRPr="00563AD3" w:rsidRDefault="00A97BB1" w:rsidP="00A97BB1">
      <w:pPr>
        <w:rPr>
          <w:rFonts w:eastAsia="Times New Roman"/>
        </w:rPr>
      </w:pPr>
      <w:r w:rsidRPr="00563AD3">
        <w:rPr>
          <w:rFonts w:eastAsia="Times New Roman"/>
        </w:rPr>
        <w:t>Out of 335 screened care homes, 241 randomly sampled care homes were approached, 94 formally expressed interest and were assessed for eligibility. Of the 63 eligible care home</w:t>
      </w:r>
      <w:r>
        <w:rPr>
          <w:rFonts w:eastAsia="Times New Roman"/>
        </w:rPr>
        <w:t xml:space="preserve">s, 50 consented to take part, were able to recruit a minimum of ten resident participants and </w:t>
      </w:r>
      <w:r w:rsidRPr="00563AD3">
        <w:rPr>
          <w:rFonts w:eastAsia="Times New Roman"/>
        </w:rPr>
        <w:t xml:space="preserve">were randomised into the trial; 19 to control and 31 to intervention. </w:t>
      </w:r>
    </w:p>
    <w:p w14:paraId="6BBFA29D" w14:textId="77777777" w:rsidR="00A97BB1" w:rsidRPr="00563AD3" w:rsidRDefault="00A97BB1" w:rsidP="00A97BB1">
      <w:pPr>
        <w:autoSpaceDE/>
        <w:autoSpaceDN/>
        <w:adjustRightInd/>
        <w:spacing w:after="165"/>
        <w:rPr>
          <w:rFonts w:eastAsia="Times New Roman"/>
          <w:color w:val="000000"/>
          <w:sz w:val="21"/>
          <w:szCs w:val="21"/>
        </w:rPr>
      </w:pPr>
      <w:r w:rsidRPr="00563AD3">
        <w:t>A</w:t>
      </w:r>
      <w:r>
        <w:t>t baseline, a</w:t>
      </w:r>
      <w:r w:rsidRPr="00563AD3">
        <w:t xml:space="preserve"> total of 1564 residents were screened for eligibility, 1069 were eligible, 781 consented, 743 registered</w:t>
      </w:r>
      <w:r>
        <w:t xml:space="preserve"> and</w:t>
      </w:r>
      <w:r w:rsidRPr="00563AD3">
        <w:t xml:space="preserve"> </w:t>
      </w:r>
      <w:r w:rsidRPr="00563AD3">
        <w:rPr>
          <w:rFonts w:eastAsia="Times New Roman"/>
          <w:color w:val="000000"/>
          <w:sz w:val="21"/>
          <w:szCs w:val="21"/>
        </w:rPr>
        <w:t xml:space="preserve">726 residents </w:t>
      </w:r>
      <w:r>
        <w:rPr>
          <w:rFonts w:eastAsia="Times New Roman"/>
          <w:color w:val="000000"/>
          <w:sz w:val="21"/>
          <w:szCs w:val="21"/>
        </w:rPr>
        <w:t>were</w:t>
      </w:r>
      <w:r w:rsidRPr="00563AD3">
        <w:rPr>
          <w:rFonts w:eastAsia="Times New Roman"/>
          <w:color w:val="000000"/>
          <w:sz w:val="21"/>
          <w:szCs w:val="21"/>
        </w:rPr>
        <w:t xml:space="preserve"> registered at the point of care home randomisation. </w:t>
      </w:r>
      <w:r w:rsidRPr="00563AD3">
        <w:t xml:space="preserve">Following the approved design change, a further 1444 residents were screened from 48 care homes at 16-months post-randomisation. Of those, 421 were eligible, 266 consented and </w:t>
      </w:r>
      <w:r w:rsidRPr="00B47536">
        <w:t>261 residents were subsequently registered (99 residents in control homes and 162 in intervention homes</w:t>
      </w:r>
      <w:r w:rsidRPr="00563AD3">
        <w:t>).</w:t>
      </w:r>
    </w:p>
    <w:p w14:paraId="31CE5061" w14:textId="77777777" w:rsidR="00A97BB1" w:rsidRPr="00B47536" w:rsidRDefault="00A97BB1" w:rsidP="00A97BB1">
      <w:pPr>
        <w:autoSpaceDE/>
        <w:autoSpaceDN/>
        <w:adjustRightInd/>
        <w:spacing w:after="165"/>
      </w:pPr>
      <w:r w:rsidRPr="00563AD3">
        <w:t xml:space="preserve">Overall at 16-months, a total </w:t>
      </w:r>
      <w:r w:rsidRPr="00B47536">
        <w:t>of 675 residents were included in the cross-sectional sample: 414 residents from the original cohort who reached 16-months and 261 additionally-recruited residents.</w:t>
      </w:r>
    </w:p>
    <w:p w14:paraId="52EE7014" w14:textId="77777777" w:rsidR="00A97BB1" w:rsidRPr="00563AD3" w:rsidRDefault="00A97BB1" w:rsidP="00A97BB1">
      <w:pPr>
        <w:autoSpaceDE/>
        <w:autoSpaceDN/>
        <w:adjustRightInd/>
        <w:spacing w:after="165"/>
      </w:pPr>
      <w:r w:rsidRPr="00563AD3">
        <w:t xml:space="preserve">Primary analysis was conducted on the cross-sectional </w:t>
      </w:r>
      <w:r w:rsidRPr="00B47536">
        <w:t xml:space="preserve">sample. All 675 residents in the cross-sectional sample at 16-months were included in the primary analysis, 666 of which had complete data. No evidence of a clinical or statistical difference was found between treatment arms in the primary outcome of agitation at 16-months. The mean adjusted difference in total CMAI score was -2.11 points lower in the intervention arm, than in the control (adjusted means 45.47 points in control; 43.35 points in intervention, 95% confidence interval (CI) -4.66 to 0.44, p=0.104). The adjusted ICC was </w:t>
      </w:r>
      <w:r w:rsidRPr="00563AD3">
        <w:t xml:space="preserve">zero in the control and 0.001 in the intervention arm. </w:t>
      </w:r>
    </w:p>
    <w:p w14:paraId="204E9D1D" w14:textId="77777777" w:rsidR="00A97BB1" w:rsidRPr="00563AD3" w:rsidRDefault="00A97BB1" w:rsidP="00A97BB1">
      <w:pPr>
        <w:autoSpaceDE/>
        <w:autoSpaceDN/>
        <w:adjustRightInd/>
        <w:spacing w:after="165"/>
      </w:pPr>
      <w:r w:rsidRPr="00563AD3">
        <w:t>A complier average causal effect (CACE) analysis of the cross-sectional sample, comparing care homes in the intervention arm that completed at least one cycle to an acceptable level</w:t>
      </w:r>
      <w:r>
        <w:t>,</w:t>
      </w:r>
      <w:r w:rsidRPr="00563AD3">
        <w:t xml:space="preserve"> with care homes that would have completed at least one cycle </w:t>
      </w:r>
      <w:r>
        <w:t xml:space="preserve">to an acceptable level </w:t>
      </w:r>
      <w:r w:rsidRPr="00563AD3">
        <w:t>had the intervention been offered to them</w:t>
      </w:r>
      <w:r>
        <w:t>,</w:t>
      </w:r>
      <w:r w:rsidRPr="00563AD3">
        <w:t xml:space="preserve"> gave a mean</w:t>
      </w:r>
      <w:r>
        <w:t xml:space="preserve"> difference in CMAI score at 16-months of -2.5 points (95% CI </w:t>
      </w:r>
      <w:r w:rsidRPr="00563AD3">
        <w:t xml:space="preserve">-5.4 to 0.4, p=0.089) lower in ‘compliers’ compared to ‘non-compliers’. </w:t>
      </w:r>
    </w:p>
    <w:p w14:paraId="02EE1FF4" w14:textId="77777777" w:rsidR="00A97BB1" w:rsidRPr="00563AD3" w:rsidRDefault="00A97BB1" w:rsidP="00A97BB1">
      <w:pPr>
        <w:autoSpaceDE/>
        <w:autoSpaceDN/>
        <w:adjustRightInd/>
        <w:spacing w:after="165"/>
      </w:pPr>
      <w:r w:rsidRPr="00563AD3">
        <w:t>The sensitivity analyses and the CACE analysis supported the results found in the primary analysis that the intervention is not superior to the control.</w:t>
      </w:r>
    </w:p>
    <w:p w14:paraId="044C92E2" w14:textId="77777777" w:rsidR="00A97BB1" w:rsidRPr="00563AD3" w:rsidRDefault="00A97BB1" w:rsidP="00A97BB1">
      <w:pPr>
        <w:rPr>
          <w:rFonts w:eastAsia="Calibri"/>
          <w:lang w:eastAsia="en-US"/>
        </w:rPr>
      </w:pPr>
      <w:r w:rsidRPr="00563AD3">
        <w:rPr>
          <w:rFonts w:eastAsia="Calibri"/>
          <w:lang w:eastAsia="en-US"/>
        </w:rPr>
        <w:t xml:space="preserve">Analyses of </w:t>
      </w:r>
      <w:r>
        <w:rPr>
          <w:rFonts w:eastAsia="Calibri"/>
          <w:lang w:eastAsia="en-US"/>
        </w:rPr>
        <w:t>BSC</w:t>
      </w:r>
      <w:r w:rsidRPr="00563AD3">
        <w:rPr>
          <w:rFonts w:eastAsia="Calibri"/>
          <w:lang w:eastAsia="en-US"/>
        </w:rPr>
        <w:t xml:space="preserve">, mood, quality of life, PRN prescription medications and quality of staff interactions were conducted on closed-cohort at 6-months and on the cross-sectional sample (primary) and the closed-cohort (supportive) at 16-months. </w:t>
      </w:r>
      <w:r w:rsidRPr="00B47536">
        <w:t>No statistically significant differences were found in the closed-cohort between arms on any resident-level or care-home level secondary outcome at 6-months.</w:t>
      </w:r>
      <w:r w:rsidRPr="00563AD3">
        <w:t xml:space="preserve"> </w:t>
      </w:r>
      <w:r w:rsidRPr="00563AD3">
        <w:rPr>
          <w:rFonts w:eastAsia="Calibri"/>
          <w:lang w:eastAsia="en-US"/>
        </w:rPr>
        <w:t>Although no statistically significant differences were found between arms in the primary cross-sectional sample at 16-months, trends in favour of the intervention in behaviours staff find challenging and mood were found in the closed-cohort</w:t>
      </w:r>
      <w:r>
        <w:rPr>
          <w:rFonts w:eastAsia="Calibri"/>
          <w:lang w:eastAsia="en-US"/>
        </w:rPr>
        <w:t xml:space="preserve"> at 16-</w:t>
      </w:r>
      <w:r w:rsidRPr="00563AD3">
        <w:rPr>
          <w:rFonts w:eastAsia="Calibri"/>
          <w:lang w:eastAsia="en-US"/>
        </w:rPr>
        <w:t>months.</w:t>
      </w:r>
    </w:p>
    <w:p w14:paraId="08ABA746" w14:textId="77777777" w:rsidR="00A97BB1" w:rsidRPr="00563AD3" w:rsidRDefault="00A97BB1" w:rsidP="00A97BB1">
      <w:pPr>
        <w:autoSpaceDE/>
        <w:autoSpaceDN/>
        <w:adjustRightInd/>
        <w:spacing w:after="165"/>
        <w:rPr>
          <w:rFonts w:eastAsia="Times New Roman"/>
          <w:color w:val="000000"/>
          <w:sz w:val="21"/>
          <w:szCs w:val="21"/>
        </w:rPr>
      </w:pPr>
      <w:r w:rsidRPr="00563AD3">
        <w:rPr>
          <w:rFonts w:eastAsia="Calibri"/>
          <w:lang w:eastAsia="en-US"/>
        </w:rPr>
        <w:t>There were no reported unexpected serious adverse events (RUSAE).</w:t>
      </w:r>
    </w:p>
    <w:p w14:paraId="3C3CD142" w14:textId="77777777" w:rsidR="00A97BB1" w:rsidRPr="00563AD3" w:rsidRDefault="00A97BB1" w:rsidP="00A97BB1">
      <w:pPr>
        <w:rPr>
          <w:bCs/>
        </w:rPr>
      </w:pPr>
      <w:r w:rsidRPr="00563AD3">
        <w:t xml:space="preserve">In the health economic base case cost-utility analysis, the intervention was more costly (by £1,479) and more effective (.024 QALYs) than control. This yielded an ICER of </w:t>
      </w:r>
      <w:r w:rsidRPr="00563AD3">
        <w:rPr>
          <w:bCs/>
        </w:rPr>
        <w:t xml:space="preserve">£60,627; well above the £20,000 NICE threshold, indicating that </w:t>
      </w:r>
      <w:r w:rsidRPr="00563AD3">
        <w:rPr>
          <w:lang w:eastAsia="en-US"/>
        </w:rPr>
        <w:t>DCM</w:t>
      </w:r>
      <w:r w:rsidRPr="00563AD3">
        <w:t>™</w:t>
      </w:r>
      <w:r w:rsidRPr="00563AD3">
        <w:rPr>
          <w:bCs/>
        </w:rPr>
        <w:t xml:space="preserve"> is not cost-effective. The cost-effectiveness analyses based on improvement in CMAI indicate that while the intervention was more costly, it was also more effective. Incremental cost per unit improvement in CMAI was £289 </w:t>
      </w:r>
      <w:r>
        <w:rPr>
          <w:bCs/>
        </w:rPr>
        <w:t>for intervention versus</w:t>
      </w:r>
      <w:r w:rsidRPr="00563AD3">
        <w:rPr>
          <w:bCs/>
        </w:rPr>
        <w:t xml:space="preserve"> £67 </w:t>
      </w:r>
      <w:r>
        <w:rPr>
          <w:bCs/>
        </w:rPr>
        <w:t xml:space="preserve">for </w:t>
      </w:r>
      <w:r w:rsidRPr="00563AD3">
        <w:rPr>
          <w:bCs/>
        </w:rPr>
        <w:t>control</w:t>
      </w:r>
      <w:r>
        <w:rPr>
          <w:bCs/>
        </w:rPr>
        <w:t>,</w:t>
      </w:r>
      <w:r w:rsidRPr="00563AD3">
        <w:rPr>
          <w:bCs/>
        </w:rPr>
        <w:t xml:space="preserve"> for the imputed and complete case samples, respectively. However, all cost-effectiveness plane simulations lie above the willingness to pay threshold suggesting that, using the base case analysis, </w:t>
      </w:r>
      <w:r w:rsidRPr="00563AD3">
        <w:rPr>
          <w:lang w:eastAsia="en-US"/>
        </w:rPr>
        <w:t>DCM</w:t>
      </w:r>
      <w:r w:rsidRPr="00563AD3">
        <w:t>™</w:t>
      </w:r>
      <w:r w:rsidRPr="00563AD3">
        <w:rPr>
          <w:bCs/>
        </w:rPr>
        <w:t xml:space="preserve"> is unlikely to be cost-effective. The CEAC confirmed this and indicated that, where λ= £20,000, there is a very low probability that the intervention will be cost-effective.</w:t>
      </w:r>
    </w:p>
    <w:p w14:paraId="04349B56" w14:textId="77777777" w:rsidR="00A97BB1" w:rsidRPr="00563AD3" w:rsidRDefault="00A97BB1" w:rsidP="00A97BB1">
      <w:pPr>
        <w:rPr>
          <w:bCs/>
          <w:highlight w:val="yellow"/>
        </w:rPr>
      </w:pPr>
      <w:r w:rsidRPr="00563AD3">
        <w:rPr>
          <w:bCs/>
        </w:rPr>
        <w:t xml:space="preserve">The process evaluation identified that </w:t>
      </w:r>
      <w:r w:rsidRPr="00563AD3">
        <w:rPr>
          <w:lang w:eastAsia="en-US"/>
        </w:rPr>
        <w:t>DCM</w:t>
      </w:r>
      <w:r w:rsidRPr="00563AD3">
        <w:t>™</w:t>
      </w:r>
      <w:r w:rsidRPr="00563AD3">
        <w:rPr>
          <w:bCs/>
        </w:rPr>
        <w:t xml:space="preserve"> implementation was poorer than expected, with 22.6% (n=7) </w:t>
      </w:r>
      <w:r>
        <w:rPr>
          <w:bCs/>
        </w:rPr>
        <w:t xml:space="preserve">of care homes </w:t>
      </w:r>
      <w:r w:rsidRPr="00563AD3">
        <w:rPr>
          <w:bCs/>
        </w:rPr>
        <w:t>not completing one full cycle, 51.6% (n=16) of homes completing only their first expert mapper supported cycle, 12.9% (n=4) completing two full cycles and only 12.9% (n=4) completing the three full, per protocol, cycles to an acceptable level. Mappers, managers</w:t>
      </w:r>
      <w:r>
        <w:rPr>
          <w:bCs/>
        </w:rPr>
        <w:t>, residents, relatives</w:t>
      </w:r>
      <w:r w:rsidRPr="00563AD3">
        <w:rPr>
          <w:bCs/>
        </w:rPr>
        <w:t xml:space="preserve"> and staff interviewed were able to identify a range of benefits of using </w:t>
      </w:r>
      <w:r w:rsidRPr="00563AD3">
        <w:rPr>
          <w:lang w:eastAsia="en-US"/>
        </w:rPr>
        <w:t>DCM</w:t>
      </w:r>
      <w:r w:rsidRPr="00563AD3">
        <w:t>™</w:t>
      </w:r>
      <w:r w:rsidRPr="00563AD3">
        <w:rPr>
          <w:bCs/>
        </w:rPr>
        <w:t xml:space="preserve"> for residents, staff and for care home practices</w:t>
      </w:r>
      <w:r>
        <w:rPr>
          <w:bCs/>
        </w:rPr>
        <w:t xml:space="preserve"> including improved communication, staff being abler to identify resident needs and provision of more activities</w:t>
      </w:r>
      <w:r w:rsidRPr="00563AD3">
        <w:rPr>
          <w:bCs/>
        </w:rPr>
        <w:t xml:space="preserve">. A range of care home level (context, manager support, staff motivation and engagement, mapper skills and qualities), intervention level (understanding of tool and process, complexity and time demands) and trial level (expectations of </w:t>
      </w:r>
      <w:r w:rsidRPr="00563AD3">
        <w:rPr>
          <w:lang w:eastAsia="en-US"/>
        </w:rPr>
        <w:t>DCM</w:t>
      </w:r>
      <w:r w:rsidRPr="00563AD3">
        <w:t>™</w:t>
      </w:r>
      <w:r w:rsidRPr="00563AD3">
        <w:rPr>
          <w:bCs/>
        </w:rPr>
        <w:t xml:space="preserve"> and trial, expert mapper support) barriers and facilitators to implementation were also identified.  </w:t>
      </w:r>
    </w:p>
    <w:p w14:paraId="7137F454" w14:textId="77777777" w:rsidR="00A97BB1" w:rsidRPr="00563AD3" w:rsidRDefault="00A97BB1" w:rsidP="00A97BB1">
      <w:pPr>
        <w:pStyle w:val="Heading2"/>
      </w:pPr>
      <w:bookmarkStart w:id="15" w:name="_Toc525543939"/>
      <w:r w:rsidRPr="00563AD3">
        <w:t>Conclusions</w:t>
      </w:r>
      <w:bookmarkEnd w:id="15"/>
    </w:p>
    <w:p w14:paraId="0AA51C4D" w14:textId="77777777" w:rsidR="00A97BB1" w:rsidRPr="00563AD3" w:rsidRDefault="00A97BB1" w:rsidP="00A97BB1">
      <w:pPr>
        <w:rPr>
          <w:highlight w:val="yellow"/>
        </w:rPr>
      </w:pPr>
      <w:r w:rsidRPr="00563AD3">
        <w:t xml:space="preserve">This trial indicates that as a care home staff led intervention, </w:t>
      </w:r>
      <w:r w:rsidRPr="00563AD3">
        <w:rPr>
          <w:lang w:eastAsia="en-US"/>
        </w:rPr>
        <w:t>DCM</w:t>
      </w:r>
      <w:r w:rsidRPr="00563AD3">
        <w:t>™ is not effective or cost effective at reducing agitation or improving quality of life and other care outcomes for residents with dementia living in care home settings. This outcome may be associated with the poor intervention fidelity we experienced during the trial, despite efforts to support implementation</w:t>
      </w:r>
      <w:r>
        <w:t>, which went beyond standard DCM practice/implementation structures</w:t>
      </w:r>
      <w:r w:rsidRPr="00563AD3">
        <w:t xml:space="preserve">. This suggests the majority of care homes may not provide the right setting conditions for a costly intervention like </w:t>
      </w:r>
      <w:r w:rsidRPr="00563AD3">
        <w:rPr>
          <w:lang w:eastAsia="en-US"/>
        </w:rPr>
        <w:t>DCM</w:t>
      </w:r>
      <w:r w:rsidRPr="00563AD3">
        <w:t xml:space="preserve">™ and that externally led models may provide a more practical and resource effective method of implementation. However, further research is needed to evaluate this. Future research should more carefully consider the setting conditions needed for effective psychosocial intervention implementation and appropriate models for delivering interventions, given the available resources and cultural and organisational </w:t>
      </w:r>
      <w:r>
        <w:t xml:space="preserve">challenges of implementing complex interventions in </w:t>
      </w:r>
      <w:r w:rsidRPr="00563AD3">
        <w:t>care home settings.</w:t>
      </w:r>
    </w:p>
    <w:p w14:paraId="7B3B6B18" w14:textId="77777777" w:rsidR="00A97BB1" w:rsidRPr="00563AD3" w:rsidRDefault="00A97BB1" w:rsidP="00A97BB1">
      <w:pPr>
        <w:pStyle w:val="Heading2"/>
      </w:pPr>
      <w:bookmarkStart w:id="16" w:name="_Toc525543940"/>
      <w:r w:rsidRPr="00563AD3">
        <w:t>Trial registration</w:t>
      </w:r>
      <w:bookmarkEnd w:id="16"/>
    </w:p>
    <w:p w14:paraId="31886F9B" w14:textId="77777777" w:rsidR="00A97BB1" w:rsidRPr="00563AD3" w:rsidRDefault="00A97BB1" w:rsidP="00A97BB1">
      <w:r w:rsidRPr="00563AD3">
        <w:t>This trial is registered as ISRCTN82288852</w:t>
      </w:r>
    </w:p>
    <w:p w14:paraId="5A2E58C3" w14:textId="77777777" w:rsidR="00A97BB1" w:rsidRPr="00563AD3" w:rsidRDefault="00A97BB1" w:rsidP="00A97BB1">
      <w:pPr>
        <w:pStyle w:val="Heading2"/>
      </w:pPr>
      <w:bookmarkStart w:id="17" w:name="_Toc525543941"/>
      <w:r w:rsidRPr="00563AD3">
        <w:t>Funding</w:t>
      </w:r>
      <w:bookmarkEnd w:id="17"/>
    </w:p>
    <w:p w14:paraId="3F10074F" w14:textId="77777777" w:rsidR="00A97BB1" w:rsidRPr="00563AD3" w:rsidRDefault="00A97BB1" w:rsidP="00A97BB1">
      <w:r w:rsidRPr="00563AD3">
        <w:t>This project was funded by the National Institute for Health Research Health Technology Assessment programme (project number 11/15/13). The views and opinions expressed therein are those of the authors and do not necessarily reflect those of the HTA, NIHR, NHS or the Department of Health and Social Care.</w:t>
      </w:r>
    </w:p>
    <w:p w14:paraId="64F52CB3" w14:textId="77777777" w:rsidR="00A97BB1" w:rsidRPr="00563AD3" w:rsidRDefault="00A97BB1" w:rsidP="00A97BB1"/>
    <w:p w14:paraId="2CC0C86A" w14:textId="77777777" w:rsidR="00A97BB1" w:rsidRPr="00563AD3" w:rsidRDefault="00A97BB1" w:rsidP="00A97BB1">
      <w:r w:rsidRPr="00563AD3">
        <w:br w:type="page"/>
      </w:r>
    </w:p>
    <w:p w14:paraId="533C0E60" w14:textId="6578FC40" w:rsidR="004765FE" w:rsidRPr="00563AD3" w:rsidRDefault="004277D5" w:rsidP="009B13F3">
      <w:pPr>
        <w:pStyle w:val="Heading1"/>
        <w:spacing w:line="360" w:lineRule="auto"/>
      </w:pPr>
      <w:bookmarkStart w:id="18" w:name="_Toc525543942"/>
      <w:r w:rsidRPr="00563AD3">
        <w:t>Chapter 1</w:t>
      </w:r>
      <w:r w:rsidR="008D5BBA" w:rsidRPr="00563AD3">
        <w:t xml:space="preserve">: </w:t>
      </w:r>
      <w:r w:rsidR="004765FE" w:rsidRPr="00563AD3">
        <w:t>Introduction</w:t>
      </w:r>
      <w:bookmarkEnd w:id="18"/>
      <w:r w:rsidR="004765FE" w:rsidRPr="00563AD3">
        <w:t xml:space="preserve"> </w:t>
      </w:r>
    </w:p>
    <w:p w14:paraId="22CAF8A3" w14:textId="503AE6E9" w:rsidR="002C413C" w:rsidRPr="00563AD3" w:rsidRDefault="008D5BBA" w:rsidP="009B13F3">
      <w:pPr>
        <w:pStyle w:val="Heading2"/>
      </w:pPr>
      <w:bookmarkStart w:id="19" w:name="_Toc525543943"/>
      <w:r w:rsidRPr="00563AD3">
        <w:t>1.1.</w:t>
      </w:r>
      <w:r w:rsidR="001927C1" w:rsidRPr="00563AD3">
        <w:t xml:space="preserve"> </w:t>
      </w:r>
      <w:r w:rsidR="004277D5" w:rsidRPr="00563AD3">
        <w:t>Scientific b</w:t>
      </w:r>
      <w:r w:rsidR="002C413C" w:rsidRPr="00563AD3">
        <w:t>ackground</w:t>
      </w:r>
      <w:bookmarkEnd w:id="19"/>
      <w:r w:rsidR="002C413C" w:rsidRPr="00563AD3">
        <w:t xml:space="preserve"> </w:t>
      </w:r>
    </w:p>
    <w:p w14:paraId="0FAEB757" w14:textId="3A0481B3" w:rsidR="009F1284" w:rsidRPr="00563AD3" w:rsidRDefault="006B7E91" w:rsidP="009B13F3">
      <w:r w:rsidRPr="00563AD3">
        <w:t>Of those living with</w:t>
      </w:r>
      <w:r w:rsidR="001927C1" w:rsidRPr="00563AD3">
        <w:t xml:space="preserve"> dementia </w:t>
      </w:r>
      <w:r w:rsidRPr="00563AD3">
        <w:t xml:space="preserve">in the UK, 38% </w:t>
      </w:r>
      <w:r w:rsidR="001927C1" w:rsidRPr="00563AD3">
        <w:t xml:space="preserve">reside in a care home </w:t>
      </w:r>
      <w:r w:rsidRPr="00563AD3">
        <w:fldChar w:fldCharType="begin"/>
      </w:r>
      <w:r w:rsidR="00411708">
        <w:instrText xml:space="preserve"> ADDIN EN.CITE &lt;EndNote&gt;&lt;Cite&gt;&lt;Author&gt;Prince&lt;/Author&gt;&lt;Year&gt;2014&lt;/Year&gt;&lt;RecNum&gt;1524&lt;/RecNum&gt;&lt;DisplayText&gt;&lt;style face="superscript"&gt;1&lt;/style&gt;&lt;/DisplayText&gt;&lt;record&gt;&lt;rec-number&gt;1524&lt;/rec-number&gt;&lt;foreign-keys&gt;&lt;key app="EN" db-id="wprxwptv75dtdree0t5x2ptmvadptw5fr2ww" timestamp="1475835127"&gt;1524&lt;/key&gt;&lt;/foreign-keys&gt;&lt;ref-type name="Book"&gt;6&lt;/ref-type&gt;&lt;contributors&gt;&lt;authors&gt;&lt;author&gt;Prince, M. &lt;/author&gt;&lt;author&gt;Knapp, M. &lt;/author&gt;&lt;author&gt;Guerchet, M.&lt;/author&gt;&lt;author&gt;McCrone, P. &lt;/author&gt;&lt;author&gt;Prina, M. &lt;/author&gt;&lt;author&gt;Comas-Herrera, A. &lt;/author&gt;&lt;author&gt;Wittenberg, R.&lt;/author&gt;&lt;author&gt;Adelaja, B.&lt;/author&gt;&lt;author&gt;Hu, B.&lt;/author&gt;&lt;author&gt;King, D. &lt;/author&gt;&lt;author&gt;Rehill, A.&lt;/author&gt;&lt;author&gt;Salimkumar, D.&lt;/author&gt;&lt;/authors&gt;&lt;/contributors&gt;&lt;titles&gt;&lt;title&gt;Dementia UK: update&lt;/title&gt;&lt;/titles&gt;&lt;dates&gt;&lt;year&gt;2014&lt;/year&gt;&lt;/dates&gt;&lt;pub-location&gt;London&lt;/pub-location&gt;&lt;publisher&gt;Alzheimer&amp;apos;s Society&lt;/publisher&gt;&lt;urls&gt;&lt;/urls&gt;&lt;/record&gt;&lt;/Cite&gt;&lt;/EndNote&gt;</w:instrText>
      </w:r>
      <w:r w:rsidRPr="00563AD3">
        <w:fldChar w:fldCharType="separate"/>
      </w:r>
      <w:r w:rsidR="00637463" w:rsidRPr="00637463">
        <w:rPr>
          <w:noProof/>
          <w:vertAlign w:val="superscript"/>
        </w:rPr>
        <w:t>1</w:t>
      </w:r>
      <w:r w:rsidRPr="00563AD3">
        <w:fldChar w:fldCharType="end"/>
      </w:r>
      <w:r w:rsidR="001927C1" w:rsidRPr="00563AD3">
        <w:t xml:space="preserve"> and at least </w:t>
      </w:r>
      <w:r w:rsidRPr="00563AD3">
        <w:t>80%</w:t>
      </w:r>
      <w:r w:rsidR="001927C1" w:rsidRPr="00563AD3">
        <w:t xml:space="preserve"> of people living in care homes have dementia</w:t>
      </w:r>
      <w:r w:rsidR="00741AF3">
        <w:t>.</w:t>
      </w:r>
      <w:r w:rsidR="002D32D8">
        <w:t xml:space="preserve"> </w:t>
      </w:r>
      <w:r w:rsidR="001927C1" w:rsidRPr="00563AD3">
        <w:fldChar w:fldCharType="begin"/>
      </w:r>
      <w:r w:rsidR="00637463">
        <w:instrText xml:space="preserve"> ADDIN EN.CITE &lt;EndNote&gt;&lt;Cite&gt;&lt;Author&gt;Alzheimer&amp;apos;s Society&lt;/Author&gt;&lt;Year&gt;2013&lt;/Year&gt;&lt;RecNum&gt;1334&lt;/RecNum&gt;&lt;DisplayText&gt;&lt;style face="superscript"&gt;2&lt;/style&gt;&lt;/DisplayText&gt;&lt;record&gt;&lt;rec-number&gt;1334&lt;/rec-number&gt;&lt;foreign-keys&gt;&lt;key app="EN" db-id="wprxwptv75dtdree0t5x2ptmvadptw5fr2ww" timestamp="1363099068"&gt;1334&lt;/key&gt;&lt;/foreign-keys&gt;&lt;ref-type name="Report"&gt;27&lt;/ref-type&gt;&lt;contributors&gt;&lt;authors&gt;&lt;author&gt;Alzheimer&amp;apos;s Society,&lt;/author&gt;&lt;/authors&gt;&lt;/contributors&gt;&lt;titles&gt;&lt;title&gt;Low expectations. Attitudes on choice, care and community for people with dementia in care homes&lt;/title&gt;&lt;/titles&gt;&lt;dates&gt;&lt;year&gt;2013&lt;/year&gt;&lt;/dates&gt;&lt;pub-location&gt;London&lt;/pub-location&gt;&lt;publisher&gt;Alzheimer&amp;apos;s Society&lt;/publisher&gt;&lt;urls&gt;&lt;/urls&gt;&lt;/record&gt;&lt;/Cite&gt;&lt;/EndNote&gt;</w:instrText>
      </w:r>
      <w:r w:rsidR="001927C1" w:rsidRPr="00563AD3">
        <w:fldChar w:fldCharType="separate"/>
      </w:r>
      <w:r w:rsidR="00637463" w:rsidRPr="00637463">
        <w:rPr>
          <w:noProof/>
          <w:vertAlign w:val="superscript"/>
        </w:rPr>
        <w:t>2</w:t>
      </w:r>
      <w:r w:rsidR="001927C1" w:rsidRPr="00563AD3">
        <w:fldChar w:fldCharType="end"/>
      </w:r>
      <w:r w:rsidR="001927C1" w:rsidRPr="00563AD3">
        <w:t xml:space="preserve"> In </w:t>
      </w:r>
      <w:r w:rsidR="00254B07" w:rsidRPr="00563AD3">
        <w:t>2017 there were</w:t>
      </w:r>
      <w:r w:rsidR="001927C1" w:rsidRPr="00563AD3">
        <w:t xml:space="preserve"> </w:t>
      </w:r>
      <w:r w:rsidR="00254B07" w:rsidRPr="00563AD3">
        <w:t xml:space="preserve">over 16000 care homes registered </w:t>
      </w:r>
      <w:r w:rsidR="001927C1" w:rsidRPr="00563AD3">
        <w:t xml:space="preserve">in England, </w:t>
      </w:r>
      <w:r w:rsidR="00254B07" w:rsidRPr="00563AD3">
        <w:t xml:space="preserve">including around 11,900 residential homes, 4500 nursing homes and </w:t>
      </w:r>
      <w:r w:rsidR="00192C3F" w:rsidRPr="00563AD3">
        <w:fldChar w:fldCharType="begin"/>
      </w:r>
      <w:r w:rsidR="00637463">
        <w:instrText xml:space="preserve"> ADDIN EN.CITE &lt;EndNote&gt;&lt;Cite&gt;&lt;Author&gt;Care Quality Commission&lt;/Author&gt;&lt;Year&gt;2017&lt;/Year&gt;&lt;RecNum&gt;1812&lt;/RecNum&gt;&lt;DisplayText&gt;&lt;style face="superscript"&gt;3&lt;/style&gt;&lt;/DisplayText&gt;&lt;record&gt;&lt;rec-number&gt;1812&lt;/rec-number&gt;&lt;foreign-keys&gt;&lt;key app="EN" db-id="wprxwptv75dtdree0t5x2ptmvadptw5fr2ww" timestamp="1518963447"&gt;1812&lt;/key&gt;&lt;/foreign-keys&gt;&lt;ref-type name="Report"&gt;27&lt;/ref-type&gt;&lt;contributors&gt;&lt;authors&gt;&lt;author&gt;Care Quality Commission,&lt;/author&gt;&lt;/authors&gt;&lt;/contributors&gt;&lt;titles&gt;&lt;title&gt;The state of adult social care services 2014 to 2017&lt;/title&gt;&lt;/titles&gt;&lt;dates&gt;&lt;year&gt;2017&lt;/year&gt;&lt;/dates&gt;&lt;pub-location&gt;Newcastle&lt;/pub-location&gt;&lt;publisher&gt;Care Quality Commission&lt;/publisher&gt;&lt;urls&gt;&lt;related-urls&gt;&lt;url&gt;http://www.cqc.org.uk/sites/default/files/20170703_ASC_end_of_programme_FINAL2.pdf&lt;/url&gt;&lt;/related-urls&gt;&lt;/urls&gt;&lt;/record&gt;&lt;/Cite&gt;&lt;/EndNote&gt;</w:instrText>
      </w:r>
      <w:r w:rsidR="00192C3F" w:rsidRPr="00563AD3">
        <w:fldChar w:fldCharType="separate"/>
      </w:r>
      <w:r w:rsidR="00637463" w:rsidRPr="00637463">
        <w:rPr>
          <w:noProof/>
          <w:vertAlign w:val="superscript"/>
        </w:rPr>
        <w:t>3</w:t>
      </w:r>
      <w:r w:rsidR="00192C3F" w:rsidRPr="00563AD3">
        <w:fldChar w:fldCharType="end"/>
      </w:r>
      <w:r w:rsidR="00214742" w:rsidRPr="00563AD3">
        <w:t xml:space="preserve">, </w:t>
      </w:r>
      <w:r w:rsidR="001927C1" w:rsidRPr="00563AD3">
        <w:t>the majority of which provide care for older people. Concerns have consistently been raised about care home quality</w:t>
      </w:r>
      <w:r w:rsidR="00741AF3">
        <w:t>.</w:t>
      </w:r>
      <w:r w:rsidR="002D32D8">
        <w:t xml:space="preserve"> </w:t>
      </w:r>
      <w:r w:rsidR="001927C1" w:rsidRPr="00563AD3">
        <w:fldChar w:fldCharType="begin"/>
      </w:r>
      <w:r w:rsidR="00637463">
        <w:instrText xml:space="preserve"> ADDIN EN.CITE &lt;EndNote&gt;&lt;Cite&gt;&lt;Author&gt;All-Party Parliamentary Group on Dementia&lt;/Author&gt;&lt;Year&gt;2008&lt;/Year&gt;&lt;RecNum&gt;1101&lt;/RecNum&gt;&lt;DisplayText&gt;&lt;style face="superscript"&gt;4, 5&lt;/style&gt;&lt;/DisplayText&gt;&lt;record&gt;&lt;rec-number&gt;1101&lt;/rec-number&gt;&lt;foreign-keys&gt;&lt;key app="EN" db-id="wprxwptv75dtdree0t5x2ptmvadptw5fr2ww" timestamp="1300358115"&gt;1101&lt;/key&gt;&lt;/foreign-keys&gt;&lt;ref-type name="Book"&gt;6&lt;/ref-type&gt;&lt;contributors&gt;&lt;authors&gt;&lt;author&gt;All-Party Parliamentary Group on Dementia,&lt;/author&gt;&lt;/authors&gt;&lt;/contributors&gt;&lt;titles&gt;&lt;title&gt;Always a last resort. Inquiry into the prescription of antipsychotic drugs to people with dementia living in care homes&lt;/title&gt;&lt;/titles&gt;&lt;dates&gt;&lt;year&gt;2008&lt;/year&gt;&lt;/dates&gt;&lt;pub-location&gt;London&lt;/pub-location&gt;&lt;publisher&gt;The Stationary Office&lt;/publisher&gt;&lt;urls&gt;&lt;/urls&gt;&lt;/record&gt;&lt;/Cite&gt;&lt;Cite&gt;&lt;Author&gt;Department of Health&lt;/Author&gt;&lt;Year&gt;2010&lt;/Year&gt;&lt;RecNum&gt;1124&lt;/RecNum&gt;&lt;record&gt;&lt;rec-number&gt;1124&lt;/rec-number&gt;&lt;foreign-keys&gt;&lt;key app="EN" db-id="wprxwptv75dtdree0t5x2ptmvadptw5fr2ww" timestamp="1301047272"&gt;1124&lt;/key&gt;&lt;/foreign-keys&gt;&lt;ref-type name="Book"&gt;6&lt;/ref-type&gt;&lt;contributors&gt;&lt;authors&gt;&lt;author&gt;Department of Health,&lt;/author&gt;&lt;/authors&gt;&lt;/contributors&gt;&lt;titles&gt;&lt;title&gt;Quality outcomes for people with dementia: building on the work of the National Dementia Strategy&lt;/title&gt;&lt;/titles&gt;&lt;dates&gt;&lt;year&gt;2010&lt;/year&gt;&lt;/dates&gt;&lt;pub-location&gt;London&lt;/pub-location&gt;&lt;publisher&gt;Department of Health&lt;/publisher&gt;&lt;urls&gt;&lt;related-urls&gt;&lt;url&gt;http://www.dh.gov.uk/prod_consum_dh/groups/dh_digitalassets/@dh/@en/@ps/documents/digitalasset/dh_119828.pdf&lt;/url&gt;&lt;/related-urls&gt;&lt;/urls&gt;&lt;/record&gt;&lt;/Cite&gt;&lt;/EndNote&gt;</w:instrText>
      </w:r>
      <w:r w:rsidR="001927C1" w:rsidRPr="00563AD3">
        <w:fldChar w:fldCharType="separate"/>
      </w:r>
      <w:r w:rsidR="00637463" w:rsidRPr="00637463">
        <w:rPr>
          <w:noProof/>
          <w:vertAlign w:val="superscript"/>
        </w:rPr>
        <w:t>4, 5</w:t>
      </w:r>
      <w:r w:rsidR="001927C1" w:rsidRPr="00563AD3">
        <w:fldChar w:fldCharType="end"/>
      </w:r>
      <w:r w:rsidR="001927C1" w:rsidRPr="00563AD3">
        <w:t xml:space="preserve"> Improvement in care quality and staff knowledge and skills </w:t>
      </w:r>
      <w:r w:rsidR="00192C3F" w:rsidRPr="00563AD3">
        <w:t>has been a consistent UK government research and practice development priority for nearly a decade</w:t>
      </w:r>
      <w:r w:rsidR="001927C1" w:rsidRPr="00563AD3">
        <w:t xml:space="preserve"> </w:t>
      </w:r>
      <w:r w:rsidR="001927C1" w:rsidRPr="00563AD3">
        <w:fldChar w:fldCharType="begin">
          <w:fldData xml:space="preserve">PEVuZE5vdGU+PENpdGU+PEF1dGhvcj5EZXBhcnRtZW50IG9mIEhlYWx0aDwvQXV0aG9yPjxZZWFy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</w:fldData>
        </w:fldChar>
      </w:r>
      <w:r w:rsidR="0038669D">
        <w:instrText xml:space="preserve"> ADDIN EN.CITE </w:instrText>
      </w:r>
      <w:r w:rsidR="0038669D">
        <w:fldChar w:fldCharType="begin">
          <w:fldData xml:space="preserve">PEVuZE5vdGU+PENpdGU+PEF1dGhvcj5EZXBhcnRtZW50IG9mIEhlYWx0aDwvQXV0aG9yPjxZZWFy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</w:fldData>
        </w:fldChar>
      </w:r>
      <w:r w:rsidR="0038669D">
        <w:instrText xml:space="preserve"> ADDIN EN.CITE.DATA </w:instrText>
      </w:r>
      <w:r w:rsidR="0038669D">
        <w:fldChar w:fldCharType="end"/>
      </w:r>
      <w:r w:rsidR="001927C1" w:rsidRPr="00563AD3">
        <w:fldChar w:fldCharType="separate"/>
      </w:r>
      <w:r w:rsidR="00637463" w:rsidRPr="00637463">
        <w:rPr>
          <w:noProof/>
          <w:vertAlign w:val="superscript"/>
        </w:rPr>
        <w:t>6-9</w:t>
      </w:r>
      <w:r w:rsidR="001927C1" w:rsidRPr="00563AD3">
        <w:fldChar w:fldCharType="end"/>
      </w:r>
      <w:r w:rsidR="001927C1" w:rsidRPr="00563AD3">
        <w:t xml:space="preserve"> . Poor quality care is associated with poor outcomes for people with dementia including an increase in behaviours staff find challenging (BSC)</w:t>
      </w:r>
      <w:r w:rsidR="00741AF3">
        <w:t>.</w:t>
      </w:r>
      <w:r w:rsidR="001927C1" w:rsidRPr="00563AD3">
        <w:fldChar w:fldCharType="begin">
          <w:fldData xml:space="preserve">PEVuZE5vdGU+PENpdGU+PEF1dGhvcj5Cb3dpZTwvQXV0aG9yPjxZZWFyPjE5OTc8L1llYXI+PFJl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</w:fldData>
        </w:fldChar>
      </w:r>
      <w:r w:rsidR="008C7FD1">
        <w:instrText xml:space="preserve"> ADDIN EN.CITE </w:instrText>
      </w:r>
      <w:r w:rsidR="008C7FD1">
        <w:fldChar w:fldCharType="begin">
          <w:fldData xml:space="preserve">PEVuZE5vdGU+PENpdGU+PEF1dGhvcj5Cb3dpZTwvQXV0aG9yPjxZZWFyPjE5OTc8L1llYXI+PFJl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</w:fldData>
        </w:fldChar>
      </w:r>
      <w:r w:rsidR="008C7FD1">
        <w:instrText xml:space="preserve"> ADDIN EN.CITE.DATA </w:instrText>
      </w:r>
      <w:r w:rsidR="008C7FD1">
        <w:fldChar w:fldCharType="end"/>
      </w:r>
      <w:r w:rsidR="001927C1" w:rsidRPr="00563AD3">
        <w:fldChar w:fldCharType="separate"/>
      </w:r>
      <w:r w:rsidR="00637463" w:rsidRPr="00637463">
        <w:rPr>
          <w:noProof/>
          <w:vertAlign w:val="superscript"/>
        </w:rPr>
        <w:t>10, 11</w:t>
      </w:r>
      <w:r w:rsidR="001927C1" w:rsidRPr="00563AD3">
        <w:fldChar w:fldCharType="end"/>
      </w:r>
      <w:r w:rsidR="001927C1" w:rsidRPr="00563AD3">
        <w:t xml:space="preserve"> Developing an informed and effective care homes workforce is a strategic component of improving care quality</w:t>
      </w:r>
      <w:r w:rsidR="00741AF3">
        <w:t>,</w:t>
      </w:r>
      <w:r w:rsidR="001927C1" w:rsidRPr="00563AD3">
        <w:t xml:space="preserve"> </w:t>
      </w:r>
      <w:r w:rsidR="001927C1" w:rsidRPr="00563AD3">
        <w:fldChar w:fldCharType="begin"/>
      </w:r>
      <w:r w:rsidR="00637463">
        <w:instrText xml:space="preserve"> ADDIN EN.CITE &lt;EndNote&gt;&lt;Cite&gt;&lt;Author&gt;Department of Health&lt;/Author&gt;&lt;Year&gt;2009&lt;/Year&gt;&lt;RecNum&gt;1063&lt;/RecNum&gt;&lt;DisplayText&gt;&lt;style face="superscript"&gt;6, 12&lt;/style&gt;&lt;/DisplayText&gt;&lt;record&gt;&lt;rec-number&gt;1063&lt;/rec-number&gt;&lt;foreign-keys&gt;&lt;key app="EN" db-id="wprxwptv75dtdree0t5x2ptmvadptw5fr2ww" timestamp="1269348634"&gt;1063&lt;/key&gt;&lt;/foreign-keys&gt;&lt;ref-type name="Book"&gt;6&lt;/ref-type&gt;&lt;contributors&gt;&lt;authors&gt;&lt;author&gt;Department of Health,&lt;/author&gt;&lt;/authors&gt;&lt;/contributors&gt;&lt;titles&gt;&lt;title&gt;Living well with dementia: A National Dementia Strategy&lt;/title&gt;&lt;/titles&gt;&lt;dates&gt;&lt;year&gt;2009&lt;/year&gt;&lt;/dates&gt;&lt;pub-location&gt;London&lt;/pub-location&gt;&lt;publisher&gt;Department of Health&lt;/publisher&gt;&lt;urls&gt;&lt;/urls&gt;&lt;/record&gt;&lt;/Cite&gt;&lt;Cite&gt;&lt;Author&gt;All-Party Parliamentary Group on Dementia&lt;/Author&gt;&lt;Year&gt;2009&lt;/Year&gt;&lt;RecNum&gt;1102&lt;/RecNum&gt;&lt;record&gt;&lt;rec-number&gt;1102&lt;/rec-number&gt;&lt;foreign-keys&gt;&lt;key app="EN" db-id="wprxwptv75dtdree0t5x2ptmvadptw5fr2ww" timestamp="1300358457"&gt;1102&lt;/key&gt;&lt;/foreign-keys&gt;&lt;ref-type name="Book"&gt;6&lt;/ref-type&gt;&lt;contributors&gt;&lt;authors&gt;&lt;author&gt;All-Party Parliamentary Group on Dementia,&lt;/author&gt;&lt;/authors&gt;&lt;/contributors&gt;&lt;titles&gt;&lt;title&gt;Prepared to Care. Challenging the dementia skills gap&lt;/title&gt;&lt;/titles&gt;&lt;dates&gt;&lt;year&gt;2009&lt;/year&gt;&lt;/dates&gt;&lt;pub-location&gt;London&lt;/pub-location&gt;&lt;publisher&gt;The Stationary Office&lt;/publisher&gt;&lt;urls&gt;&lt;/urls&gt;&lt;/record&gt;&lt;/Cite&gt;&lt;/EndNote&gt;</w:instrText>
      </w:r>
      <w:r w:rsidR="001927C1" w:rsidRPr="00563AD3">
        <w:fldChar w:fldCharType="separate"/>
      </w:r>
      <w:r w:rsidR="00637463" w:rsidRPr="00637463">
        <w:rPr>
          <w:noProof/>
          <w:vertAlign w:val="superscript"/>
        </w:rPr>
        <w:t>6, 12</w:t>
      </w:r>
      <w:r w:rsidR="001927C1" w:rsidRPr="00563AD3">
        <w:fldChar w:fldCharType="end"/>
      </w:r>
      <w:r w:rsidR="001927C1" w:rsidRPr="00563AD3">
        <w:t xml:space="preserve"> however, there remains limited robust evidence regarding effective evidence-based staff training </w:t>
      </w:r>
      <w:r w:rsidR="00607724" w:rsidRPr="00563AD3">
        <w:t xml:space="preserve">and practice development </w:t>
      </w:r>
      <w:r w:rsidR="001927C1" w:rsidRPr="00563AD3">
        <w:t>interventions for care homes providing care for people with dementia</w:t>
      </w:r>
      <w:r w:rsidR="00741AF3">
        <w:t>.</w:t>
      </w:r>
      <w:r w:rsidR="002D32D8">
        <w:t xml:space="preserve"> </w:t>
      </w:r>
      <w:r w:rsidR="001927C1" w:rsidRPr="00563AD3">
        <w:fldChar w:fldCharType="begin"/>
      </w:r>
      <w:r w:rsidR="008C7FD1">
        <w:instrText xml:space="preserve"> ADDIN EN.CITE &lt;EndNote&gt;&lt;Cite&gt;&lt;Author&gt;Kuske&lt;/Author&gt;&lt;Year&gt;2007&lt;/Year&gt;&lt;RecNum&gt;1010&lt;/RecNum&gt;&lt;DisplayText&gt;&lt;style face="superscript"&gt;13, 14&lt;/style&gt;&lt;/DisplayText&gt;&lt;record&gt;&lt;rec-number&gt;1010&lt;/rec-number&gt;&lt;foreign-keys&gt;&lt;key app="EN" db-id="wprxwptv75dtdree0t5x2ptmvadptw5fr2ww" timestamp="1269348634"&gt;1010&lt;/key&gt;&lt;/foreign-keys&gt;&lt;ref-type name="Journal Article"&gt;17&lt;/ref-type&gt;&lt;contributors&gt;&lt;authors&gt;&lt;author&gt;Kuske, B.&lt;/author&gt;&lt;author&gt;Hanns, S.&lt;/author&gt;&lt;author&gt;Luck, T.&lt;/author&gt;&lt;author&gt;Angermeyer, M.C.&lt;/author&gt;&lt;author&gt;Behrens, J.&lt;/author&gt;&lt;author&gt;Riedel-Heller, S.G.&lt;/author&gt;&lt;/authors&gt;&lt;/contributors&gt;&lt;titles&gt;&lt;title&gt;Nursing home staff training in dementia care: a systematic review of evaluated programmes&lt;/title&gt;&lt;secondary-title&gt;International Psychogeriatrics&lt;/secondary-title&gt;&lt;/titles&gt;&lt;periodical&gt;&lt;full-title&gt;International Psychogeriatrics&lt;/full-title&gt;&lt;/periodical&gt;&lt;pages&gt;818-41&lt;/pages&gt;&lt;volume&gt;19&lt;/volume&gt;&lt;number&gt;5&lt;/number&gt;&lt;dates&gt;&lt;year&gt;2007&lt;/year&gt;&lt;/dates&gt;&lt;urls&gt;&lt;/urls&gt;&lt;/record&gt;&lt;/Cite&gt;&lt;Cite&gt;&lt;Author&gt;Surr&lt;/Author&gt;&lt;Year&gt;2017&lt;/Year&gt;&lt;RecNum&gt;1730&lt;/RecNum&gt;&lt;record&gt;&lt;rec-number&gt;1730&lt;/rec-number&gt;&lt;foreign-keys&gt;&lt;key app="EN" db-id="wprxwptv75dtdree0t5x2ptmvadptw5fr2ww" timestamp="1511164700"&gt;1730&lt;/key&gt;&lt;/foreign-keys&gt;&lt;ref-type name="Journal Article"&gt;17&lt;/ref-type&gt;&lt;contributors&gt;&lt;authors&gt;&lt;author&gt;Surr, C.&lt;/author&gt;&lt;author&gt;Gates, C.&lt;/author&gt;&lt;author&gt;Irving, D.&lt;/author&gt;&lt;author&gt;Oyebode, J.&lt;/author&gt;&lt;author&gt;Smith, S.J.&lt;/author&gt;&lt;author&gt;Parveen, S.&lt;/author&gt;&lt;author&gt;Drury, M. &lt;/author&gt;&lt;author&gt;Dennison, A. &lt;/author&gt;&lt;/authors&gt;&lt;/contributors&gt;&lt;titles&gt;&lt;title&gt;Effective dementia education and training for the health and social care workforce: A systematic review of the literature&lt;/title&gt;&lt;secondary-title&gt;Review of Educational Research&lt;/secondary-title&gt;&lt;/titles&gt;&lt;pages&gt;966-1002&lt;/pages&gt;&lt;volume&gt;87&lt;/volume&gt;&lt;number&gt;5&lt;/number&gt;&lt;dates&gt;&lt;year&gt;2017&lt;/year&gt;&lt;/dates&gt;&lt;urls&gt;&lt;/urls&gt;&lt;/record&gt;&lt;/Cite&gt;&lt;/EndNote&gt;</w:instrText>
      </w:r>
      <w:r w:rsidR="001927C1" w:rsidRPr="00563AD3">
        <w:fldChar w:fldCharType="separate"/>
      </w:r>
      <w:r w:rsidR="007301D7" w:rsidRPr="007301D7">
        <w:rPr>
          <w:noProof/>
          <w:vertAlign w:val="superscript"/>
        </w:rPr>
        <w:t>13, 14</w:t>
      </w:r>
      <w:r w:rsidR="001927C1" w:rsidRPr="00563AD3">
        <w:fldChar w:fldCharType="end"/>
      </w:r>
      <w:r w:rsidR="001927C1" w:rsidRPr="00563AD3">
        <w:t xml:space="preserve"> Furthermore, </w:t>
      </w:r>
      <w:r w:rsidR="00314654" w:rsidRPr="00563AD3">
        <w:t>it is often difficult</w:t>
      </w:r>
      <w:r w:rsidR="001927C1" w:rsidRPr="00563AD3">
        <w:t xml:space="preserve"> to achieve the widespread implementation into real-world practice, of evidence-based training interventions developed in the context of research</w:t>
      </w:r>
      <w:r w:rsidR="00741AF3">
        <w:t>.</w:t>
      </w:r>
      <w:r w:rsidR="009C62E3" w:rsidRPr="00563AD3">
        <w:t xml:space="preserve"> </w:t>
      </w:r>
      <w:r w:rsidR="009C62E3" w:rsidRPr="00563AD3">
        <w:fldChar w:fldCharType="begin"/>
      </w:r>
      <w:r w:rsidR="008C7FD1">
        <w:instrText xml:space="preserve"> ADDIN EN.CITE &lt;EndNote&gt;&lt;Cite&gt;&lt;Author&gt;Fossey&lt;/Author&gt;&lt;Year&gt;2014&lt;/Year&gt;&lt;RecNum&gt;1741&lt;/RecNum&gt;&lt;DisplayText&gt;&lt;style face="superscript"&gt;14, 15&lt;/style&gt;&lt;/DisplayText&gt;&lt;record&gt;&lt;rec-number&gt;1741&lt;/rec-number&gt;&lt;foreign-keys&gt;&lt;key app="EN" db-id="wprxwptv75dtdree0t5x2ptmvadptw5fr2ww" timestamp="1511786203"&gt;1741&lt;/key&gt;&lt;/foreign-keys&gt;&lt;ref-type name="Journal Article"&gt;17&lt;/ref-type&gt;&lt;contributors&gt;&lt;authors&gt;&lt;author&gt;Fossey, J.&lt;/author&gt;&lt;author&gt;Masson, S.&lt;/author&gt;&lt;author&gt;Stafford, J.&lt;/author&gt;&lt;author&gt;Lawrence, V.&lt;/author&gt;&lt;author&gt;Corbett, A.&lt;/author&gt;&lt;author&gt;Ballard, C.&lt;/author&gt;&lt;/authors&gt;&lt;/contributors&gt;&lt;titles&gt;&lt;title&gt;The disconnect between evidence and practice: a systematic review of person-centred interventions and training manuals for care home staff working with people with dementia&lt;/title&gt;&lt;secondary-title&gt;International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797-807&lt;/pages&gt;&lt;volume&gt;29&lt;/volume&gt;&lt;number&gt;8&lt;/number&gt;&lt;dates&gt;&lt;year&gt;2014&lt;/year&gt;&lt;/dates&gt;&lt;urls&gt;&lt;/urls&gt;&lt;/record&gt;&lt;/Cite&gt;&lt;Cite&gt;&lt;Author&gt;Surr&lt;/Author&gt;&lt;Year&gt;2017&lt;/Year&gt;&lt;RecNum&gt;1730&lt;/RecNum&gt;&lt;record&gt;&lt;rec-number&gt;1730&lt;/rec-number&gt;&lt;foreign-keys&gt;&lt;key app="EN" db-id="wprxwptv75dtdree0t5x2ptmvadptw5fr2ww" timestamp="1511164700"&gt;1730&lt;/key&gt;&lt;/foreign-keys&gt;&lt;ref-type name="Journal Article"&gt;17&lt;/ref-type&gt;&lt;contributors&gt;&lt;authors&gt;&lt;author&gt;Surr, C.&lt;/author&gt;&lt;author&gt;Gates, C.&lt;/author&gt;&lt;author&gt;Irving, D.&lt;/author&gt;&lt;author&gt;Oyebode, J.&lt;/author&gt;&lt;author&gt;Smith, S.J.&lt;/author&gt;&lt;author&gt;Parveen, S.&lt;/author&gt;&lt;author&gt;Drury, M. &lt;/author&gt;&lt;author&gt;Dennison, A. &lt;/author&gt;&lt;/authors&gt;&lt;/contributors&gt;&lt;titles&gt;&lt;title&gt;Effective dementia education and training for the health and social care workforce: A systematic review of the literature&lt;/title&gt;&lt;secondary-title&gt;Review of Educational Research&lt;/secondary-title&gt;&lt;/titles&gt;&lt;pages&gt;966-1002&lt;/pages&gt;&lt;volume&gt;87&lt;/volume&gt;&lt;number&gt;5&lt;/number&gt;&lt;dates&gt;&lt;year&gt;2017&lt;/year&gt;&lt;/dates&gt;&lt;urls&gt;&lt;/urls&gt;&lt;/record&gt;&lt;/Cite&gt;&lt;/EndNote&gt;</w:instrText>
      </w:r>
      <w:r w:rsidR="009C62E3" w:rsidRPr="00563AD3">
        <w:fldChar w:fldCharType="separate"/>
      </w:r>
      <w:r w:rsidR="007301D7" w:rsidRPr="007301D7">
        <w:rPr>
          <w:noProof/>
          <w:vertAlign w:val="superscript"/>
        </w:rPr>
        <w:t>14, 15</w:t>
      </w:r>
      <w:r w:rsidR="009C62E3" w:rsidRPr="00563AD3">
        <w:fldChar w:fldCharType="end"/>
      </w:r>
      <w:r w:rsidR="001927C1" w:rsidRPr="00563AD3">
        <w:t xml:space="preserve"> </w:t>
      </w:r>
    </w:p>
    <w:p w14:paraId="7F002139" w14:textId="3CA808D4" w:rsidR="001927C1" w:rsidRPr="00563AD3" w:rsidRDefault="001927C1" w:rsidP="009B13F3">
      <w:r w:rsidRPr="00563AD3">
        <w:t>Dementia Care Mapping™  (</w:t>
      </w:r>
      <w:r w:rsidR="00A61329" w:rsidRPr="00563AD3">
        <w:t>DCM™</w:t>
      </w:r>
      <w:r w:rsidRPr="00563AD3">
        <w:t>)</w:t>
      </w:r>
      <w:r w:rsidR="002D32D8">
        <w:t xml:space="preserve"> </w:t>
      </w:r>
      <w:r w:rsidRPr="00563AD3">
        <w:fldChar w:fldCharType="begin"/>
      </w:r>
      <w:r w:rsidR="007301D7">
        <w:instrText xml:space="preserve"> ADDIN EN.CITE &lt;EndNote&gt;&lt;Cite&gt;&lt;Author&gt;Bradford Dementia Group&lt;/Author&gt;&lt;Year&gt;1997&lt;/Year&gt;&lt;RecNum&gt;315&lt;/RecNum&gt;&lt;DisplayText&gt;&lt;style face="superscript"&gt;16, 17&lt;/style&gt;&lt;/DisplayText&gt;&lt;record&gt;&lt;rec-number&gt;315&lt;/rec-number&gt;&lt;foreign-keys&gt;&lt;key app="EN" db-id="wprxwptv75dtdree0t5x2ptmvadptw5fr2ww" timestamp="1269348632"&gt;315&lt;/key&gt;&lt;/foreign-keys&gt;&lt;ref-type name="Book"&gt;6&lt;/ref-type&gt;&lt;contributors&gt;&lt;authors&gt;&lt;author&gt;Bradford Dementia Group,&lt;/author&gt;&lt;/authors&gt;&lt;/contributors&gt;&lt;titles&gt;&lt;title&gt;Evaluating Dementia Care. The DCM Method. 7th Edition.&lt;/title&gt;&lt;/titles&gt;&lt;dates&gt;&lt;year&gt;1997&lt;/year&gt;&lt;/dates&gt;&lt;pub-location&gt;Bradford&lt;/pub-location&gt;&lt;publisher&gt;University of Bradford&lt;/publisher&gt;&lt;urls&gt;&lt;/urls&gt;&lt;/record&gt;&lt;/Cite&gt;&lt;Cite&gt;&lt;Author&gt;Bradford Dementia Group&lt;/Author&gt;&lt;Year&gt;2005&lt;/Year&gt;&lt;RecNum&gt;844&lt;/RecNum&gt;&lt;record&gt;&lt;rec-number&gt;844&lt;/rec-number&gt;&lt;foreign-keys&gt;&lt;key app="EN" db-id="wprxwptv75dtdree0t5x2ptmvadptw5fr2ww" timestamp="1269348633"&gt;844&lt;/key&gt;&lt;/foreign-keys&gt;&lt;ref-type name="Book"&gt;6&lt;/ref-type&gt;&lt;contributors&gt;&lt;authors&gt;&lt;author&gt;Bradford Dementia Group,&lt;/author&gt;&lt;/authors&gt;&lt;/contributors&gt;&lt;titles&gt;&lt;title&gt;DCM 8 User&amp;apos;s Manual&lt;/title&gt;&lt;/titles&gt;&lt;dates&gt;&lt;year&gt;2005&lt;/year&gt;&lt;/dates&gt;&lt;pub-location&gt;Bradford&lt;/pub-location&gt;&lt;publisher&gt;University of Bradford&lt;/publisher&gt;&lt;urls&gt;&lt;/urls&gt;&lt;/record&gt;&lt;/Cite&gt;&lt;/EndNote&gt;</w:instrText>
      </w:r>
      <w:r w:rsidRPr="00563AD3">
        <w:fldChar w:fldCharType="separate"/>
      </w:r>
      <w:r w:rsidR="007301D7" w:rsidRPr="007301D7">
        <w:rPr>
          <w:noProof/>
          <w:vertAlign w:val="superscript"/>
        </w:rPr>
        <w:t>16, 17</w:t>
      </w:r>
      <w:r w:rsidRPr="00563AD3">
        <w:fldChar w:fldCharType="end"/>
      </w:r>
      <w:r w:rsidRPr="00563AD3">
        <w:t xml:space="preserve"> </w:t>
      </w:r>
      <w:r w:rsidR="00314654" w:rsidRPr="00563AD3">
        <w:t xml:space="preserve">is a </w:t>
      </w:r>
      <w:r w:rsidR="00607724" w:rsidRPr="00563AD3">
        <w:t>whole home,</w:t>
      </w:r>
      <w:r w:rsidRPr="00563AD3">
        <w:t xml:space="preserve"> practice development intervention, that has been widely used in health and social care settings nationally</w:t>
      </w:r>
      <w:r w:rsidR="002D32D8">
        <w:t xml:space="preserve"> </w:t>
      </w:r>
      <w:r w:rsidRPr="00563AD3">
        <w:fldChar w:fldCharType="begin"/>
      </w:r>
      <w:r w:rsidR="007301D7">
        <w:instrText xml:space="preserve"> ADDIN EN.CITE &lt;EndNote&gt;&lt;Cite&gt;&lt;Author&gt;Cox&lt;/Author&gt;&lt;Year&gt;2001&lt;/Year&gt;&lt;RecNum&gt;282&lt;/RecNum&gt;&lt;DisplayText&gt;&lt;style face="superscript"&gt;18&lt;/style&gt;&lt;/DisplayText&gt;&lt;record&gt;&lt;rec-number&gt;282&lt;/rec-number&gt;&lt;foreign-keys&gt;&lt;key app="EN" db-id="wprxwptv75dtdree0t5x2ptmvadptw5fr2ww" timestamp="1269348632"&gt;282&lt;/key&gt;&lt;/foreign-keys&gt;&lt;ref-type name="Book Section"&gt;5&lt;/ref-type&gt;&lt;contributors&gt;&lt;authors&gt;&lt;author&gt;Cox, S.&lt;/author&gt;&lt;/authors&gt;&lt;secondary-authors&gt;&lt;author&gt;Cantley, C.&lt;/author&gt;&lt;/secondary-authors&gt;&lt;/contributors&gt;&lt;titles&gt;&lt;title&gt;Developing quality in services&lt;/title&gt;&lt;secondary-title&gt;A Handbook of Dementia Care&lt;/secondary-title&gt;&lt;/titles&gt;&lt;dates&gt;&lt;year&gt;2001&lt;/year&gt;&lt;/dates&gt;&lt;pub-location&gt;Buckinghamshire&lt;/pub-location&gt;&lt;publisher&gt;Open University Press&lt;/publisher&gt;&lt;urls&gt;&lt;/urls&gt;&lt;/record&gt;&lt;/Cite&gt;&lt;/EndNote&gt;</w:instrText>
      </w:r>
      <w:r w:rsidRPr="00563AD3">
        <w:fldChar w:fldCharType="separate"/>
      </w:r>
      <w:r w:rsidR="007301D7" w:rsidRPr="007301D7">
        <w:rPr>
          <w:noProof/>
          <w:vertAlign w:val="superscript"/>
        </w:rPr>
        <w:t>18</w:t>
      </w:r>
      <w:r w:rsidRPr="00563AD3">
        <w:fldChar w:fldCharType="end"/>
      </w:r>
      <w:r w:rsidRPr="00563AD3">
        <w:t xml:space="preserve"> and internationally</w:t>
      </w:r>
      <w:r w:rsidR="002D32D8">
        <w:t xml:space="preserve">, </w:t>
      </w:r>
      <w:r w:rsidRPr="00563AD3">
        <w:fldChar w:fldCharType="begin"/>
      </w:r>
      <w:r w:rsidR="007301D7">
        <w:instrText xml:space="preserve"> ADDIN EN.CITE &lt;EndNote&gt;&lt;Cite&gt;&lt;Author&gt;Innes&lt;/Author&gt;&lt;Year&gt;2003&lt;/Year&gt;&lt;RecNum&gt;1122&lt;/RecNum&gt;&lt;DisplayText&gt;&lt;style face="superscript"&gt;19&lt;/style&gt;&lt;/DisplayText&gt;&lt;record&gt;&lt;rec-number&gt;1122&lt;/rec-number&gt;&lt;foreign-keys&gt;&lt;key app="EN" db-id="wprxwptv75dtdree0t5x2ptmvadptw5fr2ww" timestamp="1300722699"&gt;1122&lt;/key&gt;&lt;/foreign-keys&gt;&lt;ref-type name="Book"&gt;6&lt;/ref-type&gt;&lt;contributors&gt;&lt;authors&gt;&lt;author&gt;Innes, A&lt;/author&gt;&lt;/authors&gt;&lt;/contributors&gt;&lt;titles&gt;&lt;title&gt;Dementia Care Mapping: Applications across cultures&lt;/title&gt;&lt;/titles&gt;&lt;dates&gt;&lt;year&gt;2003&lt;/year&gt;&lt;/dates&gt;&lt;pub-location&gt;Maryland&lt;/pub-location&gt;&lt;publisher&gt;Health Professions Press&lt;/publisher&gt;&lt;urls&gt;&lt;/urls&gt;&lt;/record&gt;&lt;/Cite&gt;&lt;/EndNote&gt;</w:instrText>
      </w:r>
      <w:r w:rsidRPr="00563AD3">
        <w:fldChar w:fldCharType="separate"/>
      </w:r>
      <w:r w:rsidR="007301D7" w:rsidRPr="007301D7">
        <w:rPr>
          <w:noProof/>
          <w:vertAlign w:val="superscript"/>
        </w:rPr>
        <w:t>19</w:t>
      </w:r>
      <w:r w:rsidRPr="00563AD3">
        <w:fldChar w:fldCharType="end"/>
      </w:r>
      <w:r w:rsidRPr="00563AD3">
        <w:t xml:space="preserve"> to support the embedding of person-centred care in practice. There is good evidence of its use in practice settings as a quality audit and improvement tool</w:t>
      </w:r>
      <w:r w:rsidR="00741AF3">
        <w:t>.</w:t>
      </w:r>
      <w:r w:rsidR="002D32D8">
        <w:t xml:space="preserve"> </w:t>
      </w:r>
      <w:r w:rsidRPr="00563AD3">
        <w:fldChar w:fldCharType="begin">
          <w:fldData xml:space="preserve">PEVuZE5vdGU+PENpdGU+PEF1dGhvcj5CcmVkaW48L0F1dGhvcj48WWVhcj4xOTk1PC9ZZWFyPjxS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</w:fldData>
        </w:fldChar>
      </w:r>
      <w:r w:rsidR="008C7FD1">
        <w:instrText xml:space="preserve"> ADDIN EN.CITE </w:instrText>
      </w:r>
      <w:r w:rsidR="008C7FD1">
        <w:fldChar w:fldCharType="begin">
          <w:fldData xml:space="preserve">PEVuZE5vdGU+PENpdGU+PEF1dGhvcj5CcmVkaW48L0F1dGhvcj48WWVhcj4xOTk1PC9ZZWFyPjxS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</w:fldData>
        </w:fldChar>
      </w:r>
      <w:r w:rsidR="008C7FD1">
        <w:instrText xml:space="preserve"> ADDIN EN.CITE.DATA </w:instrText>
      </w:r>
      <w:r w:rsidR="008C7FD1">
        <w:fldChar w:fldCharType="end"/>
      </w:r>
      <w:r w:rsidRPr="00563AD3">
        <w:fldChar w:fldCharType="separate"/>
      </w:r>
      <w:r w:rsidR="007301D7" w:rsidRPr="007301D7">
        <w:rPr>
          <w:noProof/>
          <w:vertAlign w:val="superscript"/>
        </w:rPr>
        <w:t>20-29</w:t>
      </w:r>
      <w:r w:rsidRPr="00563AD3">
        <w:fldChar w:fldCharType="end"/>
      </w:r>
      <w:r w:rsidRPr="00563AD3">
        <w:t xml:space="preserve"> Th</w:t>
      </w:r>
      <w:r w:rsidR="009F1284" w:rsidRPr="00563AD3">
        <w:t>is</w:t>
      </w:r>
      <w:r w:rsidRPr="00563AD3">
        <w:t xml:space="preserve"> trial </w:t>
      </w:r>
      <w:r w:rsidR="009F1284" w:rsidRPr="00563AD3">
        <w:t>was designed to provide</w:t>
      </w:r>
      <w:r w:rsidRPr="00563AD3">
        <w:t xml:space="preserve"> robust evidence, on the effectiveness and cost effectiveness of </w:t>
      </w:r>
      <w:r w:rsidR="00A61329" w:rsidRPr="00563AD3">
        <w:t>DCM™</w:t>
      </w:r>
      <w:r w:rsidRPr="00563AD3">
        <w:t xml:space="preserve"> as an intervention to support care homes to sustainably transfer learning from person-centred care training (PCCT) into care practice. The outcomes of the trial </w:t>
      </w:r>
      <w:r w:rsidR="009F1284" w:rsidRPr="00563AD3">
        <w:t>aimed to determine</w:t>
      </w:r>
      <w:r w:rsidRPr="00563AD3">
        <w:t xml:space="preserve"> whether </w:t>
      </w:r>
      <w:r w:rsidR="00A61329" w:rsidRPr="00563AD3">
        <w:t>DCM™</w:t>
      </w:r>
      <w:r w:rsidRPr="00563AD3">
        <w:t xml:space="preserve"> could provide a solution for achieving widespread implementation of an approach to training and practice development, which is practical for use in routine health and social care.</w:t>
      </w:r>
    </w:p>
    <w:p w14:paraId="1268EDCE" w14:textId="3D0BDDEF" w:rsidR="001927C1" w:rsidRPr="00563AD3" w:rsidRDefault="008D5BBA" w:rsidP="009B13F3">
      <w:pPr>
        <w:pStyle w:val="Heading3"/>
      </w:pPr>
      <w:bookmarkStart w:id="20" w:name="_Toc455576259"/>
      <w:bookmarkStart w:id="21" w:name="_Toc525543944"/>
      <w:r w:rsidRPr="00563AD3">
        <w:t>1.1.1</w:t>
      </w:r>
      <w:r w:rsidR="001927C1" w:rsidRPr="00563AD3">
        <w:t xml:space="preserve"> Behaviours staff </w:t>
      </w:r>
      <w:r w:rsidR="009F1284" w:rsidRPr="00563AD3">
        <w:t xml:space="preserve">may </w:t>
      </w:r>
      <w:r w:rsidR="001927C1" w:rsidRPr="00563AD3">
        <w:t>find challenging (BSC)</w:t>
      </w:r>
      <w:bookmarkEnd w:id="20"/>
      <w:bookmarkEnd w:id="21"/>
    </w:p>
    <w:p w14:paraId="5E77C2EA" w14:textId="328D424F" w:rsidR="001927C1" w:rsidRPr="00563AD3" w:rsidRDefault="009F1284" w:rsidP="009B13F3">
      <w:r w:rsidRPr="00563AD3">
        <w:t>The behaviours that may be expressed by people with dementia in care home settings such as agitation, aggression, restlessness, hallucinations, delusions, depression, anxiety and apathy, may be experienced by staff as challenging to support</w:t>
      </w:r>
      <w:r w:rsidR="00741AF3">
        <w:t>.</w:t>
      </w:r>
      <w:r w:rsidR="002D32D8">
        <w:t xml:space="preserve"> </w:t>
      </w:r>
      <w:r w:rsidRPr="00563AD3">
        <w:fldChar w:fldCharType="begin"/>
      </w:r>
      <w:r w:rsidR="008C7FD1">
        <w:instrText xml:space="preserve"> ADDIN EN.CITE &lt;EndNote&gt;&lt;Cite&gt;&lt;Author&gt;Ballard&lt;/Author&gt;&lt;Year&gt;2010&lt;/Year&gt;&lt;RecNum&gt;1152&lt;/RecNum&gt;&lt;DisplayText&gt;&lt;style face="superscript"&gt;30&lt;/style&gt;&lt;/DisplayText&gt;&lt;record&gt;&lt;rec-number&gt;1152&lt;/rec-number&gt;&lt;foreign-keys&gt;&lt;key app="EN" db-id="wprxwptv75dtdree0t5x2ptmvadptw5fr2ww" timestamp="1320701088"&gt;1152&lt;/key&gt;&lt;/foreign-keys&gt;&lt;ref-type name="Journal Article"&gt;17&lt;/ref-type&gt;&lt;contributors&gt;&lt;authors&gt;&lt;author&gt;Ballard, C.&lt;/author&gt;&lt;author&gt;Corbett, A.&lt;/author&gt;&lt;/authors&gt;&lt;/contributors&gt;&lt;titles&gt;&lt;title&gt;Management of neuropsychiatric symptoms in people with dementia&lt;/title&gt;&lt;secondary-title&gt;CNS drugs&lt;/secondary-title&gt;&lt;/titles&gt;&lt;pages&gt;729-39&lt;/pages&gt;&lt;volume&gt;24&lt;/volume&gt;&lt;number&gt;9&lt;/number&gt;&lt;dates&gt;&lt;year&gt;2010&lt;/year&gt;&lt;/dates&gt;&lt;urls&gt;&lt;/urls&gt;&lt;/record&gt;&lt;/Cite&gt;&lt;/EndNote&gt;</w:instrText>
      </w:r>
      <w:r w:rsidRPr="00563AD3">
        <w:fldChar w:fldCharType="separate"/>
      </w:r>
      <w:r w:rsidR="007301D7" w:rsidRPr="007301D7">
        <w:rPr>
          <w:noProof/>
          <w:vertAlign w:val="superscript"/>
        </w:rPr>
        <w:t>30</w:t>
      </w:r>
      <w:r w:rsidRPr="00563AD3">
        <w:fldChar w:fldCharType="end"/>
      </w:r>
      <w:r w:rsidRPr="00563AD3">
        <w:t xml:space="preserve"> These </w:t>
      </w:r>
      <w:r w:rsidR="001927C1" w:rsidRPr="00563AD3">
        <w:t xml:space="preserve">BSC </w:t>
      </w:r>
      <w:r w:rsidRPr="00563AD3">
        <w:t xml:space="preserve">are </w:t>
      </w:r>
      <w:r w:rsidR="001927C1" w:rsidRPr="00563AD3">
        <w:t>also known as ‘neuropsychiatric’ or ‘behavioural and psychological symptoms of dementia</w:t>
      </w:r>
      <w:r w:rsidR="00075E0E" w:rsidRPr="00563AD3">
        <w:t>’</w:t>
      </w:r>
      <w:r w:rsidR="001927C1" w:rsidRPr="00563AD3">
        <w:t xml:space="preserve"> (BPSD</w:t>
      </w:r>
      <w:r w:rsidR="00937239" w:rsidRPr="00563AD3">
        <w:t>)</w:t>
      </w:r>
      <w:r w:rsidR="001927C1" w:rsidRPr="00563AD3">
        <w:t>. We have chosen to use the term BSC rather than BPSD as it reflects a more person-centred terminology that better emphasises the bio-psycho-social causes of such behaviours</w:t>
      </w:r>
      <w:r w:rsidR="00FB521A" w:rsidRPr="00563AD3">
        <w:t>. It also</w:t>
      </w:r>
      <w:r w:rsidR="001927C1" w:rsidRPr="00563AD3">
        <w:t xml:space="preserve"> represents the terminology used by relatives and staff in care home settings. Up to 90% of people living with dementia experience one or more of these behaviours during the course of their condition </w:t>
      </w:r>
      <w:r w:rsidR="001927C1" w:rsidRPr="00563AD3">
        <w:fldChar w:fldCharType="begin"/>
      </w:r>
      <w:r w:rsidR="008C7FD1">
        <w:instrText xml:space="preserve"> ADDIN EN.CITE &lt;EndNote&gt;&lt;Cite&gt;&lt;Author&gt;Ballard&lt;/Author&gt;&lt;Year&gt;2010&lt;/Year&gt;&lt;RecNum&gt;1152&lt;/RecNum&gt;&lt;DisplayText&gt;&lt;style face="superscript"&gt;30&lt;/style&gt;&lt;/DisplayText&gt;&lt;record&gt;&lt;rec-number&gt;1152&lt;/rec-number&gt;&lt;foreign-keys&gt;&lt;key app="EN" db-id="wprxwptv75dtdree0t5x2ptmvadptw5fr2ww" timestamp="1320701088"&gt;1152&lt;/key&gt;&lt;/foreign-keys&gt;&lt;ref-type name="Journal Article"&gt;17&lt;/ref-type&gt;&lt;contributors&gt;&lt;authors&gt;&lt;author&gt;Ballard, C.&lt;/author&gt;&lt;author&gt;Corbett, A.&lt;/author&gt;&lt;/authors&gt;&lt;/contributors&gt;&lt;titles&gt;&lt;title&gt;Management of neuropsychiatric symptoms in people with dementia&lt;/title&gt;&lt;secondary-title&gt;CNS drugs&lt;/secondary-title&gt;&lt;/titles&gt;&lt;pages&gt;729-39&lt;/pages&gt;&lt;volume&gt;24&lt;/volume&gt;&lt;number&gt;9&lt;/number&gt;&lt;dates&gt;&lt;year&gt;2010&lt;/year&gt;&lt;/dates&gt;&lt;urls&gt;&lt;/urls&gt;&lt;/record&gt;&lt;/Cite&gt;&lt;/EndNote&gt;</w:instrText>
      </w:r>
      <w:r w:rsidR="001927C1" w:rsidRPr="00563AD3">
        <w:fldChar w:fldCharType="separate"/>
      </w:r>
      <w:r w:rsidR="007301D7" w:rsidRPr="007301D7">
        <w:rPr>
          <w:noProof/>
          <w:vertAlign w:val="superscript"/>
        </w:rPr>
        <w:t>30</w:t>
      </w:r>
      <w:r w:rsidR="001927C1" w:rsidRPr="00563AD3">
        <w:fldChar w:fldCharType="end"/>
      </w:r>
      <w:r w:rsidR="001927C1" w:rsidRPr="00563AD3">
        <w:t xml:space="preserve"> and BSC are reported in up to 79% of care home residents at any one time</w:t>
      </w:r>
      <w:r w:rsidR="002D32D8">
        <w:t>.</w:t>
      </w:r>
      <w:r w:rsidR="001927C1" w:rsidRPr="00563AD3">
        <w:t xml:space="preserve"> </w:t>
      </w:r>
      <w:r w:rsidR="001927C1" w:rsidRPr="00563AD3">
        <w:fldChar w:fldCharType="begin"/>
      </w:r>
      <w:r w:rsidR="008C7FD1">
        <w:instrText xml:space="preserve"> ADDIN EN.CITE &lt;EndNote&gt;&lt;Cite&gt;&lt;Author&gt;Margallo-Lana&lt;/Author&gt;&lt;Year&gt;2001&lt;/Year&gt;&lt;RecNum&gt;506&lt;/RecNum&gt;&lt;DisplayText&gt;&lt;style face="superscript"&gt;31&lt;/style&gt;&lt;/DisplayText&gt;&lt;record&gt;&lt;rec-number&gt;506&lt;/rec-number&gt;&lt;foreign-keys&gt;&lt;key app="EN" db-id="wprxwptv75dtdree0t5x2ptmvadptw5fr2ww" timestamp="1269348632"&gt;506&lt;/key&gt;&lt;/foreign-keys&gt;&lt;ref-type name="Journal Article"&gt;17&lt;/ref-type&gt;&lt;contributors&gt;&lt;authors&gt;&lt;author&gt;Margallo-Lana, M.&lt;/author&gt;&lt;author&gt;Swann, A.&lt;/author&gt;&lt;author&gt;O&amp;apos;Brien, J.&lt;/author&gt;&lt;author&gt;Fairburn, A.&lt;/author&gt;&lt;author&gt;Reichelt, K.&lt;/author&gt;&lt;author&gt;Potkins, D.&lt;/author&gt;&lt;author&gt;Mynt, P.&lt;/author&gt;&lt;author&gt;Ballard, C.&lt;/author&gt;&lt;/authors&gt;&lt;/contributors&gt;&lt;titles&gt;&lt;title&gt;Prevalence and Pharmacological Management of Behavioural and Psychological Symptoms Amongst Dementia Sufferers Living in Care Environments&lt;/title&gt;&lt;secondary-title&gt;International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Psychiatry&lt;/abbr-2&gt;&lt;/periodical&gt;&lt;pages&gt;39-44&lt;/pages&gt;&lt;volume&gt;16&lt;/volume&gt;&lt;number&gt;1&lt;/number&gt;&lt;dates&gt;&lt;year&gt;2001&lt;/year&gt;&lt;/dates&gt;&lt;urls&gt;&lt;/urls&gt;&lt;/record&gt;&lt;/Cite&gt;&lt;/EndNote&gt;</w:instrText>
      </w:r>
      <w:r w:rsidR="001927C1" w:rsidRPr="00563AD3">
        <w:fldChar w:fldCharType="separate"/>
      </w:r>
      <w:r w:rsidR="007301D7" w:rsidRPr="007301D7">
        <w:rPr>
          <w:noProof/>
          <w:vertAlign w:val="superscript"/>
        </w:rPr>
        <w:t>31</w:t>
      </w:r>
      <w:r w:rsidR="001927C1" w:rsidRPr="00563AD3">
        <w:fldChar w:fldCharType="end"/>
      </w:r>
      <w:r w:rsidR="001927C1" w:rsidRPr="00563AD3">
        <w:t xml:space="preserve"> BSC also cause distress to the people with dementia experiencing them</w:t>
      </w:r>
      <w:r w:rsidR="002D32D8">
        <w:t xml:space="preserve">, </w:t>
      </w:r>
      <w:r w:rsidR="001927C1" w:rsidRPr="00563AD3">
        <w:fldChar w:fldCharType="begin"/>
      </w:r>
      <w:r w:rsidR="008C7FD1">
        <w:instrText xml:space="preserve"> ADDIN EN.CITE &lt;EndNote&gt;&lt;Cite&gt;&lt;Author&gt;Davison&lt;/Author&gt;&lt;Year&gt;2007&lt;/Year&gt;&lt;RecNum&gt;1121&lt;/RecNum&gt;&lt;DisplayText&gt;&lt;style face="superscript"&gt;32&lt;/style&gt;&lt;/DisplayText&gt;&lt;record&gt;&lt;rec-number&gt;1121&lt;/rec-number&gt;&lt;foreign-keys&gt;&lt;key app="EN" db-id="wprxwptv75dtdree0t5x2ptmvadptw5fr2ww" timestamp="1300374273"&gt;1121&lt;/key&gt;&lt;/foreign-keys&gt;&lt;ref-type name="Journal Article"&gt;17&lt;/ref-type&gt;&lt;contributors&gt;&lt;authors&gt;&lt;author&gt;Davison, T.E.&lt;/author&gt;&lt;author&gt;Hudgson, C.&lt;/author&gt;&lt;author&gt;McCabe, M.P.&lt;/author&gt;&lt;author&gt;George, K.&lt;/author&gt;&lt;author&gt;Buchanan, G.&lt;/author&gt;&lt;/authors&gt;&lt;/contributors&gt;&lt;titles&gt;&lt;title&gt;An individualised psychosocial approach for &amp;apos;treatment resistent&amp;apos; behavioural symptoms of dementia among aged care residents&lt;/title&gt;&lt;secondary-title&gt;International Psychogeriatrics&lt;/secondary-title&gt;&lt;/titles&gt;&lt;periodical&gt;&lt;full-title&gt;International Psychogeriatrics&lt;/full-title&gt;&lt;abbr-1&gt;Int. Psychogeriatr.&lt;/abbr-1&gt;&lt;abbr-2&gt;Int Psychogeriatr&lt;/abbr-2&gt;&lt;/periodical&gt;&lt;pages&gt;859-873&lt;/pages&gt;&lt;volume&gt;19&lt;/volume&gt;&lt;number&gt;5&lt;/number&gt;&lt;dates&gt;&lt;year&gt;2007&lt;/year&gt;&lt;/dates&gt;&lt;urls&gt;&lt;/urls&gt;&lt;/record&gt;&lt;/Cite&gt;&lt;/EndNote&gt;</w:instrText>
      </w:r>
      <w:r w:rsidR="001927C1" w:rsidRPr="00563AD3">
        <w:fldChar w:fldCharType="separate"/>
      </w:r>
      <w:r w:rsidR="007301D7" w:rsidRPr="007301D7">
        <w:rPr>
          <w:noProof/>
          <w:vertAlign w:val="superscript"/>
        </w:rPr>
        <w:t>32</w:t>
      </w:r>
      <w:r w:rsidR="001927C1" w:rsidRPr="00563AD3">
        <w:fldChar w:fldCharType="end"/>
      </w:r>
      <w:r w:rsidR="001927C1" w:rsidRPr="00563AD3">
        <w:t xml:space="preserve"> are associated with reduced quality of life</w:t>
      </w:r>
      <w:r w:rsidR="002D32D8">
        <w:t xml:space="preserve"> </w:t>
      </w:r>
      <w:r w:rsidR="001927C1" w:rsidRPr="00563AD3">
        <w:fldChar w:fldCharType="begin">
          <w:fldData xml:space="preserve">PEVuZE5vdGU+PENpdGU+PEF1dGhvcj5CYW5lcmplZTwvQXV0aG9yPjxZZWFyPjIwMDY8L1llYXI+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==
</w:fldData>
        </w:fldChar>
      </w:r>
      <w:r w:rsidR="008C7FD1">
        <w:instrText xml:space="preserve"> ADDIN EN.CITE </w:instrText>
      </w:r>
      <w:r w:rsidR="008C7FD1">
        <w:fldChar w:fldCharType="begin">
          <w:fldData xml:space="preserve">PEVuZE5vdGU+PENpdGU+PEF1dGhvcj5CYW5lcmplZTwvQXV0aG9yPjxZZWFyPjIwMDY8L1llYXI+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==
</w:fldData>
        </w:fldChar>
      </w:r>
      <w:r w:rsidR="008C7FD1">
        <w:instrText xml:space="preserve"> ADDIN EN.CITE.DATA </w:instrText>
      </w:r>
      <w:r w:rsidR="008C7FD1">
        <w:fldChar w:fldCharType="end"/>
      </w:r>
      <w:r w:rsidR="001927C1" w:rsidRPr="00563AD3">
        <w:fldChar w:fldCharType="separate"/>
      </w:r>
      <w:r w:rsidR="007301D7" w:rsidRPr="007301D7">
        <w:rPr>
          <w:noProof/>
          <w:vertAlign w:val="superscript"/>
        </w:rPr>
        <w:t>33, 34</w:t>
      </w:r>
      <w:r w:rsidR="001927C1" w:rsidRPr="00563AD3">
        <w:fldChar w:fldCharType="end"/>
      </w:r>
      <w:r w:rsidR="001927C1" w:rsidRPr="00563AD3">
        <w:rPr>
          <w:rFonts w:eastAsia="Times New Roman"/>
          <w:snapToGrid w:val="0"/>
          <w:sz w:val="24"/>
          <w:szCs w:val="20"/>
          <w:lang w:eastAsia="en-US"/>
        </w:rPr>
        <w:fldChar w:fldCharType="begin"/>
      </w:r>
      <w:r w:rsidR="001927C1" w:rsidRPr="00563AD3">
        <w:rPr>
          <w:rFonts w:eastAsia="Times New Roman"/>
          <w:snapToGrid w:val="0"/>
          <w:sz w:val="24"/>
          <w:szCs w:val="20"/>
          <w:lang w:eastAsia="en-US"/>
        </w:rPr>
        <w:fldChar w:fldCharType="separate"/>
      </w:r>
      <w:r w:rsidR="001927C1" w:rsidRPr="00563AD3">
        <w:t>(14)</w:t>
      </w:r>
      <w:r w:rsidR="001927C1" w:rsidRPr="00563AD3">
        <w:fldChar w:fldCharType="end"/>
      </w:r>
      <w:r w:rsidR="001927C1" w:rsidRPr="00563AD3">
        <w:t xml:space="preserve"> and have a negative impact on the well-being of other residents</w:t>
      </w:r>
      <w:r w:rsidR="002D32D8">
        <w:t xml:space="preserve">. </w:t>
      </w:r>
      <w:r w:rsidR="001927C1" w:rsidRPr="00563AD3">
        <w:fldChar w:fldCharType="begin"/>
      </w:r>
      <w:r w:rsidR="008C7FD1">
        <w:instrText xml:space="preserve"> ADDIN EN.CITE &lt;EndNote&gt;&lt;Cite&gt;&lt;Author&gt;Deudon&lt;/Author&gt;&lt;Year&gt;2009&lt;/Year&gt;&lt;RecNum&gt;1156&lt;/RecNum&gt;&lt;DisplayText&gt;&lt;style face="superscript"&gt;35&lt;/style&gt;&lt;/DisplayText&gt;&lt;record&gt;&lt;rec-number&gt;1156&lt;/rec-number&gt;&lt;foreign-keys&gt;&lt;key app="EN" db-id="wprxwptv75dtdree0t5x2ptmvadptw5fr2ww" timestamp="1320785059"&gt;1156&lt;/key&gt;&lt;/foreign-keys&gt;&lt;ref-type name="Journal Article"&gt;17&lt;/ref-type&gt;&lt;contributors&gt;&lt;authors&gt;&lt;author&gt;Deudon, A.&lt;/author&gt;&lt;author&gt;Maubourguet, N.&lt;/author&gt;&lt;author&gt;Gervais, X.&lt;/author&gt;&lt;author&gt;Leone, E.&lt;/author&gt;&lt;author&gt;Broker, P.&lt;/author&gt;&lt;author&gt;Carcaillon, L.&lt;/author&gt;&lt;author&gt;Riff, S.&lt;/author&gt;&lt;author&gt;Lavallart, B.&lt;/author&gt;&lt;author&gt;Robert, P.H.&lt;/author&gt;&lt;/authors&gt;&lt;/contributors&gt;&lt;titles&gt;&lt;title&gt;Non-pharmacological management of behavioural symptoms in nursing homes&lt;/title&gt;&lt;secondary-title&gt;International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Psychiatry&lt;/abbr-2&gt;&lt;/periodical&gt;&lt;pages&gt;1386-1395&lt;/pages&gt;&lt;volume&gt;24&lt;/volume&gt;&lt;dates&gt;&lt;year&gt;2009&lt;/year&gt;&lt;/dates&gt;&lt;urls&gt;&lt;/urls&gt;&lt;/record&gt;&lt;/Cite&gt;&lt;/EndNote&gt;</w:instrText>
      </w:r>
      <w:r w:rsidR="001927C1" w:rsidRPr="00563AD3">
        <w:fldChar w:fldCharType="separate"/>
      </w:r>
      <w:r w:rsidR="007301D7" w:rsidRPr="007301D7">
        <w:rPr>
          <w:noProof/>
          <w:vertAlign w:val="superscript"/>
        </w:rPr>
        <w:t>35</w:t>
      </w:r>
      <w:r w:rsidR="001927C1" w:rsidRPr="00563AD3">
        <w:fldChar w:fldCharType="end"/>
      </w:r>
      <w:r w:rsidR="001927C1" w:rsidRPr="00563AD3">
        <w:t xml:space="preserve"> BSC also have significant associated costs</w:t>
      </w:r>
      <w:r w:rsidR="002D32D8">
        <w:t xml:space="preserve"> </w:t>
      </w:r>
      <w:r w:rsidR="001927C1" w:rsidRPr="00563AD3">
        <w:fldChar w:fldCharType="begin"/>
      </w:r>
      <w:r w:rsidR="008C7FD1">
        <w:instrText xml:space="preserve"> ADDIN EN.CITE &lt;EndNote&gt;&lt;Cite&gt;&lt;Author&gt;Herrmann&lt;/Author&gt;&lt;Year&gt;2006&lt;/Year&gt;&lt;RecNum&gt;1108&lt;/RecNum&gt;&lt;DisplayText&gt;&lt;style face="superscript"&gt;36, 37&lt;/style&gt;&lt;/DisplayText&gt;&lt;record&gt;&lt;rec-number&gt;1108&lt;/rec-number&gt;&lt;foreign-keys&gt;&lt;key app="EN" db-id="wprxwptv75dtdree0t5x2ptmvadptw5fr2ww" timestamp="1300363365"&gt;1108&lt;/key&gt;&lt;/foreign-keys&gt;&lt;ref-type name="Journal Article"&gt;17&lt;/ref-type&gt;&lt;contributors&gt;&lt;authors&gt;&lt;author&gt;Herrmann, N.&lt;/author&gt;&lt;author&gt;Lanctot, K.L.&lt;/author&gt;&lt;author&gt;Sambrook, R.&lt;/author&gt;&lt;author&gt;Lesnikova, N.&lt;/author&gt;&lt;author&gt;Hebert, R.&lt;/author&gt;&lt;author&gt;McCracken, P.&lt;/author&gt;&lt;author&gt;Robillard, A.&lt;/author&gt;&lt;author&gt;Nguyen, E.&lt;/author&gt;&lt;/authors&gt;&lt;/contributors&gt;&lt;titles&gt;&lt;title&gt;The contribution of neuropsychiatric symptoms to the cost of dementia care&lt;/title&gt;&lt;secondary-title&gt;International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972-976&lt;/pages&gt;&lt;volume&gt;21&lt;/volume&gt;&lt;number&gt;10&lt;/number&gt;&lt;dates&gt;&lt;year&gt;2006&lt;/year&gt;&lt;/dates&gt;&lt;urls&gt;&lt;/urls&gt;&lt;/record&gt;&lt;/Cite&gt;&lt;Cite&gt;&lt;Author&gt;Finkel&lt;/Author&gt;&lt;Year&gt;2000&lt;/Year&gt;&lt;RecNum&gt;1109&lt;/RecNum&gt;&lt;record&gt;&lt;rec-number&gt;1109&lt;/rec-number&gt;&lt;foreign-keys&gt;&lt;key app="EN" db-id="wprxwptv75dtdree0t5x2ptmvadptw5fr2ww" timestamp="1300363790"&gt;1109&lt;/key&gt;&lt;/foreign-keys&gt;&lt;ref-type name="Journal Article"&gt;17&lt;/ref-type&gt;&lt;contributors&gt;&lt;authors&gt;&lt;author&gt;Finkel, S.&lt;/author&gt;&lt;/authors&gt;&lt;/contributors&gt;&lt;titles&gt;&lt;title&gt;Introduction to behavioural and psychological symptoms of dementia (BPSD)&lt;/title&gt;&lt;secondary-title&gt;International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Psychiatry&lt;/abbr-2&gt;&lt;/periodical&gt;&lt;pages&gt;S2-S4&lt;/pages&gt;&lt;volume&gt;15&lt;/volume&gt;&lt;dates&gt;&lt;year&gt;2000&lt;/year&gt;&lt;/dates&gt;&lt;urls&gt;&lt;/urls&gt;&lt;/record&gt;&lt;/Cite&gt;&lt;/EndNote&gt;</w:instrText>
      </w:r>
      <w:r w:rsidR="001927C1" w:rsidRPr="00563AD3">
        <w:fldChar w:fldCharType="separate"/>
      </w:r>
      <w:r w:rsidR="007301D7" w:rsidRPr="007301D7">
        <w:rPr>
          <w:noProof/>
          <w:vertAlign w:val="superscript"/>
        </w:rPr>
        <w:t>36, 37</w:t>
      </w:r>
      <w:r w:rsidR="001927C1" w:rsidRPr="00563AD3">
        <w:fldChar w:fldCharType="end"/>
      </w:r>
      <w:r w:rsidR="001927C1" w:rsidRPr="00563AD3">
        <w:t xml:space="preserve"> including increased risk of hospitalisation</w:t>
      </w:r>
      <w:r w:rsidR="002D32D8">
        <w:t xml:space="preserve">, </w:t>
      </w:r>
      <w:r w:rsidR="001927C1" w:rsidRPr="00563AD3">
        <w:fldChar w:fldCharType="begin"/>
      </w:r>
      <w:r w:rsidR="008C7FD1">
        <w:instrText xml:space="preserve"> ADDIN EN.CITE &lt;EndNote&gt;&lt;Cite&gt;&lt;Author&gt;Majic&lt;/Author&gt;&lt;Year&gt;2010&lt;/Year&gt;&lt;RecNum&gt;1118&lt;/RecNum&gt;&lt;DisplayText&gt;&lt;style face="superscript"&gt;38, 39&lt;/style&gt;&lt;/DisplayText&gt;&lt;record&gt;&lt;rec-number&gt;1118&lt;/rec-number&gt;&lt;foreign-keys&gt;&lt;key app="EN" db-id="wprxwptv75dtdree0t5x2ptmvadptw5fr2ww" timestamp="1300373091"&gt;1118&lt;/key&gt;&lt;/foreign-keys&gt;&lt;ref-type name="Journal Article"&gt;17&lt;/ref-type&gt;&lt;contributors&gt;&lt;authors&gt;&lt;author&gt;Majic, T.&lt;/author&gt;&lt;author&gt;Pluta, J.P.&lt;/author&gt;&lt;author&gt;Mell, T.&lt;/author&gt;&lt;author&gt;Aichberger, M.C.&lt;/author&gt;&lt;author&gt;Treusch, Y.&lt;/author&gt;&lt;author&gt;Gutzmann, H.&lt;/author&gt;&lt;author&gt;Heinz, A.&lt;/author&gt;&lt;author&gt;Rapp, M.A.&lt;/author&gt;&lt;/authors&gt;&lt;/contributors&gt;&lt;titles&gt;&lt;title&gt;The pharmacotherapy of neuropsychiatric symptoms of dementia. A cross-sectional study in 18 homes for the elderly in Berlin&lt;/title&gt;&lt;secondary-title&gt;Deutsches Arzteblatt International&lt;/secondary-title&gt;&lt;/titles&gt;&lt;pages&gt;320-327&lt;/pages&gt;&lt;volume&gt;107&lt;/volume&gt;&lt;number&gt;18&lt;/number&gt;&lt;dates&gt;&lt;year&gt;2010&lt;/year&gt;&lt;/dates&gt;&lt;urls&gt;&lt;/urls&gt;&lt;/record&gt;&lt;/Cite&gt;&lt;Cite&gt;&lt;Author&gt;Tunis&lt;/Author&gt;&lt;Year&gt;2002&lt;/Year&gt;&lt;RecNum&gt;1117&lt;/RecNum&gt;&lt;record&gt;&lt;rec-number&gt;1117&lt;/rec-number&gt;&lt;foreign-keys&gt;&lt;key app="EN" db-id="wprxwptv75dtdree0t5x2ptmvadptw5fr2ww" timestamp="1300372507"&gt;1117&lt;/key&gt;&lt;/foreign-keys&gt;&lt;ref-type name="Journal Article"&gt;17&lt;/ref-type&gt;&lt;contributors&gt;&lt;authors&gt;&lt;author&gt;Tunis, S.L.&lt;/author&gt;&lt;author&gt;Edell, W.S.&lt;/author&gt;&lt;author&gt;Adams, B.E.&lt;/author&gt;&lt;author&gt;Kennedy, J.S.&lt;/author&gt;&lt;/authors&gt;&lt;/contributors&gt;&lt;titles&gt;&lt;title&gt;Characterizing behavioural and psychological symptoms of dementia (BPSD) among geropsychiatric inpatients&lt;/title&gt;&lt;secondary-title&gt;Journal of the American Medical Directos Association&lt;/secondary-title&gt;&lt;/titles&gt;&lt;pages&gt;146-51&lt;/pages&gt;&lt;volume&gt;3&lt;/volume&gt;&lt;number&gt;3&lt;/number&gt;&lt;dates&gt;&lt;year&gt;2002&lt;/year&gt;&lt;/dates&gt;&lt;urls&gt;&lt;/urls&gt;&lt;/record&gt;&lt;/Cite&gt;&lt;/EndNote&gt;</w:instrText>
      </w:r>
      <w:r w:rsidR="001927C1" w:rsidRPr="00563AD3">
        <w:fldChar w:fldCharType="separate"/>
      </w:r>
      <w:r w:rsidR="007301D7" w:rsidRPr="007301D7">
        <w:rPr>
          <w:noProof/>
          <w:vertAlign w:val="superscript"/>
        </w:rPr>
        <w:t>38, 39</w:t>
      </w:r>
      <w:r w:rsidR="001927C1" w:rsidRPr="00563AD3">
        <w:fldChar w:fldCharType="end"/>
      </w:r>
      <w:r w:rsidR="001927C1" w:rsidRPr="00563AD3">
        <w:t xml:space="preserve"> Accident and Emergency use</w:t>
      </w:r>
      <w:r w:rsidR="002D32D8">
        <w:t xml:space="preserve"> </w:t>
      </w:r>
      <w:r w:rsidR="001927C1" w:rsidRPr="00563AD3">
        <w:fldChar w:fldCharType="begin"/>
      </w:r>
      <w:r w:rsidR="008C7FD1">
        <w:instrText xml:space="preserve"> ADDIN EN.CITE &lt;EndNote&gt;&lt;Cite&gt;&lt;Author&gt;Finkel&lt;/Author&gt;&lt;Year&gt;2000&lt;/Year&gt;&lt;RecNum&gt;1109&lt;/RecNum&gt;&lt;DisplayText&gt;&lt;style face="superscript"&gt;37&lt;/style&gt;&lt;/DisplayText&gt;&lt;record&gt;&lt;rec-number&gt;1109&lt;/rec-number&gt;&lt;foreign-keys&gt;&lt;key app="EN" db-id="wprxwptv75dtdree0t5x2ptmvadptw5fr2ww" timestamp="1300363790"&gt;1109&lt;/key&gt;&lt;/foreign-keys&gt;&lt;ref-type name="Journal Article"&gt;17&lt;/ref-type&gt;&lt;contributors&gt;&lt;authors&gt;&lt;author&gt;Finkel, S.&lt;/author&gt;&lt;/authors&gt;&lt;/contributors&gt;&lt;titles&gt;&lt;title&gt;Introduction to behavioural and psychological symptoms of dementia (BPSD)&lt;/title&gt;&lt;secondary-title&gt;International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Psychiatry&lt;/abbr-2&gt;&lt;/periodical&gt;&lt;pages&gt;S2-S4&lt;/pages&gt;&lt;volume&gt;15&lt;/volume&gt;&lt;dates&gt;&lt;year&gt;2000&lt;/year&gt;&lt;/dates&gt;&lt;urls&gt;&lt;/urls&gt;&lt;/record&gt;&lt;/Cite&gt;&lt;/EndNote&gt;</w:instrText>
      </w:r>
      <w:r w:rsidR="001927C1" w:rsidRPr="00563AD3">
        <w:fldChar w:fldCharType="separate"/>
      </w:r>
      <w:r w:rsidR="007301D7" w:rsidRPr="007301D7">
        <w:rPr>
          <w:noProof/>
          <w:vertAlign w:val="superscript"/>
        </w:rPr>
        <w:t>37</w:t>
      </w:r>
      <w:r w:rsidR="001927C1" w:rsidRPr="00563AD3">
        <w:fldChar w:fldCharType="end"/>
      </w:r>
      <w:r w:rsidR="001927C1" w:rsidRPr="00563AD3">
        <w:t xml:space="preserve"> and production of excess disability; meaning functional abilities of people decline more quickly than is otherwise expected</w:t>
      </w:r>
      <w:r w:rsidR="00741AF3">
        <w:t>.</w:t>
      </w:r>
      <w:r w:rsidR="002D32D8">
        <w:t xml:space="preserve"> </w:t>
      </w:r>
      <w:r w:rsidR="001927C1" w:rsidRPr="00563AD3">
        <w:fldChar w:fldCharType="begin"/>
      </w:r>
      <w:r w:rsidR="008C7FD1">
        <w:instrText xml:space="preserve"> ADDIN EN.CITE &lt;EndNote&gt;&lt;Cite&gt;&lt;Author&gt;Finkel&lt;/Author&gt;&lt;Year&gt;2000&lt;/Year&gt;&lt;RecNum&gt;1109&lt;/RecNum&gt;&lt;DisplayText&gt;&lt;style face="superscript"&gt;37&lt;/style&gt;&lt;/DisplayText&gt;&lt;record&gt;&lt;rec-number&gt;1109&lt;/rec-number&gt;&lt;foreign-keys&gt;&lt;key app="EN" db-id="wprxwptv75dtdree0t5x2ptmvadptw5fr2ww" timestamp="1300363790"&gt;1109&lt;/key&gt;&lt;/foreign-keys&gt;&lt;ref-type name="Journal Article"&gt;17&lt;/ref-type&gt;&lt;contributors&gt;&lt;authors&gt;&lt;author&gt;Finkel, S.&lt;/author&gt;&lt;/authors&gt;&lt;/contributors&gt;&lt;titles&gt;&lt;title&gt;Introduction to behavioural and psychological symptoms of dementia (BPSD)&lt;/title&gt;&lt;secondary-title&gt;International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Psychiatry&lt;/abbr-2&gt;&lt;/periodical&gt;&lt;pages&gt;S2-S4&lt;/pages&gt;&lt;volume&gt;15&lt;/volume&gt;&lt;dates&gt;&lt;year&gt;2000&lt;/year&gt;&lt;/dates&gt;&lt;urls&gt;&lt;/urls&gt;&lt;/record&gt;&lt;/Cite&gt;&lt;/EndNote&gt;</w:instrText>
      </w:r>
      <w:r w:rsidR="001927C1" w:rsidRPr="00563AD3">
        <w:fldChar w:fldCharType="separate"/>
      </w:r>
      <w:r w:rsidR="007301D7" w:rsidRPr="007301D7">
        <w:rPr>
          <w:noProof/>
          <w:vertAlign w:val="superscript"/>
        </w:rPr>
        <w:t>37</w:t>
      </w:r>
      <w:r w:rsidR="001927C1" w:rsidRPr="00563AD3">
        <w:fldChar w:fldCharType="end"/>
      </w:r>
      <w:r w:rsidR="001927C1" w:rsidRPr="00563AD3">
        <w:t xml:space="preserve"> Therefore, reducing BSC has the potential to improve the quality of life of people with dementia living in care homes as well as reduce costs of providing care to this group.</w:t>
      </w:r>
    </w:p>
    <w:p w14:paraId="7AF4FB5C" w14:textId="0EEF4431" w:rsidR="007619F4" w:rsidRPr="00563AD3" w:rsidRDefault="001927C1" w:rsidP="009B13F3">
      <w:r w:rsidRPr="00563AD3">
        <w:t>Agitation is the most common</w:t>
      </w:r>
      <w:r w:rsidR="00741AF3">
        <w:t>,</w:t>
      </w:r>
      <w:r w:rsidR="002D32D8">
        <w:t xml:space="preserve"> </w:t>
      </w:r>
      <w:r w:rsidRPr="00563AD3">
        <w:fldChar w:fldCharType="begin">
          <w:fldData xml:space="preserve">PEVuZE5vdGU+PENpdGU+PEF1dGhvcj5NYXJnYWxsby1MYW5hPC9BdXRob3I+PFllYXI+MjAwMTwv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</w:fldData>
        </w:fldChar>
      </w:r>
      <w:r w:rsidR="008C7FD1">
        <w:instrText xml:space="preserve"> ADDIN EN.CITE </w:instrText>
      </w:r>
      <w:r w:rsidR="008C7FD1">
        <w:fldChar w:fldCharType="begin">
          <w:fldData xml:space="preserve">PEVuZE5vdGU+PENpdGU+PEF1dGhvcj5NYXJnYWxsby1MYW5hPC9BdXRob3I+PFllYXI+MjAwMTwv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</w:fldData>
        </w:fldChar>
      </w:r>
      <w:r w:rsidR="008C7FD1">
        <w:instrText xml:space="preserve"> ADDIN EN.CITE.DATA </w:instrText>
      </w:r>
      <w:r w:rsidR="008C7FD1">
        <w:fldChar w:fldCharType="end"/>
      </w:r>
      <w:r w:rsidRPr="00563AD3">
        <w:fldChar w:fldCharType="separate"/>
      </w:r>
      <w:r w:rsidR="007301D7" w:rsidRPr="007301D7">
        <w:rPr>
          <w:noProof/>
          <w:vertAlign w:val="superscript"/>
        </w:rPr>
        <w:t>31, 40</w:t>
      </w:r>
      <w:r w:rsidRPr="00563AD3">
        <w:fldChar w:fldCharType="end"/>
      </w:r>
      <w:r w:rsidRPr="00563AD3">
        <w:t xml:space="preserve"> distressing to the person with dementia</w:t>
      </w:r>
      <w:r w:rsidR="002D32D8">
        <w:t xml:space="preserve"> </w:t>
      </w:r>
      <w:r w:rsidRPr="00563AD3">
        <w:fldChar w:fldCharType="begin"/>
      </w:r>
      <w:r w:rsidR="008C7FD1">
        <w:instrText xml:space="preserve"> ADDIN EN.CITE &lt;EndNote&gt;&lt;Cite&gt;&lt;Author&gt;Davison&lt;/Author&gt;&lt;Year&gt;2007&lt;/Year&gt;&lt;RecNum&gt;1121&lt;/RecNum&gt;&lt;DisplayText&gt;&lt;style face="superscript"&gt;32&lt;/style&gt;&lt;/DisplayText&gt;&lt;record&gt;&lt;rec-number&gt;1121&lt;/rec-number&gt;&lt;foreign-keys&gt;&lt;key app="EN" db-id="wprxwptv75dtdree0t5x2ptmvadptw5fr2ww" timestamp="1300374273"&gt;1121&lt;/key&gt;&lt;/foreign-keys&gt;&lt;ref-type name="Journal Article"&gt;17&lt;/ref-type&gt;&lt;contributors&gt;&lt;authors&gt;&lt;author&gt;Davison, T.E.&lt;/author&gt;&lt;author&gt;Hudgson, C.&lt;/author&gt;&lt;author&gt;McCabe, M.P.&lt;/author&gt;&lt;author&gt;George, K.&lt;/author&gt;&lt;author&gt;Buchanan, G.&lt;/author&gt;&lt;/authors&gt;&lt;/contributors&gt;&lt;titles&gt;&lt;title&gt;An individualised psychosocial approach for &amp;apos;treatment resistent&amp;apos; behavioural symptoms of dementia among aged care residents&lt;/title&gt;&lt;secondary-title&gt;International Psychogeriatrics&lt;/secondary-title&gt;&lt;/titles&gt;&lt;periodical&gt;&lt;full-title&gt;International Psychogeriatrics&lt;/full-title&gt;&lt;abbr-1&gt;Int. Psychogeriatr.&lt;/abbr-1&gt;&lt;abbr-2&gt;Int Psychogeriatr&lt;/abbr-2&gt;&lt;/periodical&gt;&lt;pages&gt;859-873&lt;/pages&gt;&lt;volume&gt;19&lt;/volume&gt;&lt;number&gt;5&lt;/number&gt;&lt;dates&gt;&lt;year&gt;2007&lt;/year&gt;&lt;/dates&gt;&lt;urls&gt;&lt;/urls&gt;&lt;/record&gt;&lt;/Cite&gt;&lt;/EndNote&gt;</w:instrText>
      </w:r>
      <w:r w:rsidRPr="00563AD3">
        <w:fldChar w:fldCharType="separate"/>
      </w:r>
      <w:r w:rsidR="007301D7" w:rsidRPr="007301D7">
        <w:rPr>
          <w:noProof/>
          <w:vertAlign w:val="superscript"/>
        </w:rPr>
        <w:t>32</w:t>
      </w:r>
      <w:r w:rsidRPr="00563AD3">
        <w:fldChar w:fldCharType="end"/>
      </w:r>
      <w:r w:rsidRPr="00563AD3">
        <w:t xml:space="preserve"> and the most difficult to manage</w:t>
      </w:r>
      <w:r w:rsidR="002D32D8">
        <w:t xml:space="preserve"> </w:t>
      </w:r>
      <w:r w:rsidRPr="00563AD3">
        <w:fldChar w:fldCharType="begin"/>
      </w:r>
      <w:r w:rsidR="00411708">
        <w:instrText xml:space="preserve"> ADDIN EN.CITE &lt;EndNote&gt;&lt;Cite&gt;&lt;Author&gt;Husebo&lt;/Author&gt;&lt;Year&gt;2011&lt;/Year&gt;&lt;RecNum&gt;1163&lt;/RecNum&gt;&lt;DisplayText&gt;&lt;style face="superscript"&gt;41&lt;/style&gt;&lt;/DisplayText&gt;&lt;record&gt;&lt;rec-number&gt;1163&lt;/rec-number&gt;&lt;foreign-keys&gt;&lt;key app="EN" db-id="wprxwptv75dtdree0t5x2ptmvadptw5fr2ww" timestamp="1320786321"&gt;1163&lt;/key&gt;&lt;/foreign-keys&gt;&lt;ref-type name="Journal Article"&gt;17&lt;/ref-type&gt;&lt;contributors&gt;&lt;authors&gt;&lt;author&gt;Husebo, B.S.&lt;/author&gt;&lt;author&gt;Ballard, C.&lt;/author&gt;&lt;author&gt;Sandvik, R.&lt;/author&gt;&lt;author&gt;Nilsen, O.B.&lt;/author&gt;&lt;author&gt;Aarsland, D.&lt;/author&gt;&lt;/authors&gt;&lt;/contributors&gt;&lt;titles&gt;&lt;title&gt;Efficacy of treating pain to reduce behavioural disturbances in residents of nursing homes with dementia: cluster randomised clinical trial&lt;/title&gt;&lt;secondary-title&gt;BMJ&lt;/secondary-title&gt;&lt;/titles&gt;&lt;periodical&gt;&lt;full-title&gt;BMJ&lt;/full-title&gt;&lt;abbr-1&gt;BMJ&lt;/abbr-1&gt;&lt;abbr-2&gt;BMJ&lt;/abbr-2&gt;&lt;/periodical&gt;&lt;pages&gt;193&lt;/pages&gt;&lt;volume&gt;343&lt;/volume&gt;&lt;dates&gt;&lt;year&gt;2011&lt;/year&gt;&lt;/dates&gt;&lt;urls&gt;&lt;/urls&gt;&lt;/record&gt;&lt;/Cite&gt;&lt;/EndNote&gt;</w:instrText>
      </w:r>
      <w:r w:rsidRPr="00563AD3">
        <w:fldChar w:fldCharType="separate"/>
      </w:r>
      <w:r w:rsidR="007301D7" w:rsidRPr="007301D7">
        <w:rPr>
          <w:noProof/>
          <w:vertAlign w:val="superscript"/>
        </w:rPr>
        <w:t>41</w:t>
      </w:r>
      <w:r w:rsidRPr="00563AD3">
        <w:fldChar w:fldCharType="end"/>
      </w:r>
      <w:r w:rsidRPr="00563AD3">
        <w:t xml:space="preserve"> BSC in care home settings. Agitation includes aggressive behaviours, physically non-aggressive behaviours and verbal agitation</w:t>
      </w:r>
      <w:r w:rsidR="00741AF3">
        <w:t>,</w:t>
      </w:r>
      <w:r w:rsidR="002D32D8">
        <w:t xml:space="preserve"> </w:t>
      </w:r>
      <w:r w:rsidRPr="00563AD3">
        <w:fldChar w:fldCharType="begin"/>
      </w:r>
      <w:r w:rsidR="008C7FD1">
        <w:instrText xml:space="preserve"> ADDIN EN.CITE &lt;EndNote&gt;&lt;Cite&gt;&lt;Author&gt;Cohen-Mansfield&lt;/Author&gt;&lt;Year&gt;1989&lt;/Year&gt;&lt;RecNum&gt;1112&lt;/RecNum&gt;&lt;DisplayText&gt;&lt;style face="superscript"&gt;42&lt;/style&gt;&lt;/DisplayText&gt;&lt;record&gt;&lt;rec-number&gt;1112&lt;/rec-number&gt;&lt;foreign-keys&gt;&lt;key app="EN" db-id="wprxwptv75dtdree0t5x2ptmvadptw5fr2ww" timestamp="1300367013"&gt;1112&lt;/key&gt;&lt;/foreign-keys&gt;&lt;ref-type name="Journal Article"&gt;17&lt;/ref-type&gt;&lt;contributors&gt;&lt;authors&gt;&lt;author&gt;Cohen-Mansfield, J.&lt;/author&gt;&lt;author&gt;Marx, M.S.&lt;/author&gt;&lt;author&gt;Rosenthal, A.S.&lt;/author&gt;&lt;/authors&gt;&lt;/contributors&gt;&lt;titles&gt;&lt;title&gt;A description of agitation in a nursing home&lt;/title&gt;&lt;secondary-title&gt;The Journal of Gerontology&lt;/secondary-title&gt;&lt;/titles&gt;&lt;pages&gt;M77-M84&lt;/pages&gt;&lt;volume&gt;44&lt;/volume&gt;&lt;number&gt;3&lt;/number&gt;&lt;dates&gt;&lt;year&gt;1989&lt;/year&gt;&lt;/dates&gt;&lt;urls&gt;&lt;/urls&gt;&lt;/record&gt;&lt;/Cite&gt;&lt;/EndNote&gt;</w:instrText>
      </w:r>
      <w:r w:rsidRPr="00563AD3">
        <w:fldChar w:fldCharType="separate"/>
      </w:r>
      <w:r w:rsidR="007301D7" w:rsidRPr="007301D7">
        <w:rPr>
          <w:noProof/>
          <w:vertAlign w:val="superscript"/>
        </w:rPr>
        <w:t>42</w:t>
      </w:r>
      <w:r w:rsidRPr="00563AD3">
        <w:fldChar w:fldCharType="end"/>
      </w:r>
      <w:r w:rsidR="007B1099" w:rsidRPr="00563AD3">
        <w:t xml:space="preserve"> including </w:t>
      </w:r>
      <w:r w:rsidRPr="00563AD3">
        <w:t xml:space="preserve"> pacing, spitting, verbal aggression, constant requests for attention, hitting, kicking, pushing, throwing things, screaming, biting, scratching, intentional falling, hurting self and others, making sexual advances and restlessness</w:t>
      </w:r>
      <w:r w:rsidR="00741AF3">
        <w:t>.</w:t>
      </w:r>
      <w:r w:rsidR="002D32D8">
        <w:t xml:space="preserve"> </w:t>
      </w:r>
      <w:r w:rsidRPr="00563AD3">
        <w:fldChar w:fldCharType="begin"/>
      </w:r>
      <w:r w:rsidR="007301D7">
        <w:instrText xml:space="preserve"> ADDIN EN.CITE &lt;EndNote&gt;&lt;Cite&gt;&lt;Author&gt;Cohen-Mansfield&lt;/Author&gt;&lt;Year&gt;1991&lt;/Year&gt;&lt;RecNum&gt;1173&lt;/RecNum&gt;&lt;DisplayText&gt;&lt;style face="superscript"&gt;43&lt;/style&gt;&lt;/DisplayText&gt;&lt;record&gt;&lt;rec-number&gt;1173&lt;/rec-number&gt;&lt;foreign-keys&gt;&lt;key app="EN" db-id="wprxwptv75dtdree0t5x2ptmvadptw5fr2ww" timestamp="1320920056"&gt;1173&lt;/key&gt;&lt;/foreign-keys&gt;&lt;ref-type name="Report"&gt;27&lt;/ref-type&gt;&lt;contributors&gt;&lt;authors&gt;&lt;author&gt;Cohen-Mansfield, J.&lt;/author&gt;&lt;/authors&gt;&lt;/contributors&gt;&lt;titles&gt;&lt;title&gt;Instruction manual for the Cohen-Mansfield agitation inventory (CMAI)&lt;/title&gt;&lt;/titles&gt;&lt;dates&gt;&lt;year&gt;1991&lt;/year&gt;&lt;/dates&gt;&lt;pub-location&gt;Maryland&lt;/pub-location&gt;&lt;publisher&gt;The Research Institute of the Hebrew Home of Greater Washington&lt;/publisher&gt;&lt;urls&gt;&lt;/urls&gt;&lt;/record&gt;&lt;/Cite&gt;&lt;/EndNote&gt;</w:instrText>
      </w:r>
      <w:r w:rsidRPr="00563AD3">
        <w:fldChar w:fldCharType="separate"/>
      </w:r>
      <w:r w:rsidR="007301D7" w:rsidRPr="007301D7">
        <w:rPr>
          <w:noProof/>
          <w:vertAlign w:val="superscript"/>
        </w:rPr>
        <w:t>43</w:t>
      </w:r>
      <w:r w:rsidRPr="00563AD3">
        <w:fldChar w:fldCharType="end"/>
      </w:r>
      <w:r w:rsidRPr="00563AD3">
        <w:t xml:space="preserve"> The presence of these behaviours puts the person who is agitated at risk of triggering aggressive responses from other residents</w:t>
      </w:r>
      <w:r w:rsidR="002D32D8">
        <w:t xml:space="preserve"> </w:t>
      </w:r>
      <w:r w:rsidRPr="00563AD3">
        <w:fldChar w:fldCharType="begin"/>
      </w:r>
      <w:r w:rsidR="008C7FD1">
        <w:instrText xml:space="preserve"> ADDIN EN.CITE &lt;EndNote&gt;&lt;Cite&gt;&lt;Author&gt;Hindley&lt;/Author&gt;&lt;Year&gt;2000&lt;/Year&gt;&lt;RecNum&gt;1188&lt;/RecNum&gt;&lt;DisplayText&gt;&lt;style face="superscript"&gt;44&lt;/style&gt;&lt;/DisplayText&gt;&lt;record&gt;&lt;rec-number&gt;1188&lt;/rec-number&gt;&lt;foreign-keys&gt;&lt;key app="EN" db-id="wprxwptv75dtdree0t5x2ptmvadptw5fr2ww" timestamp="1320935637"&gt;1188&lt;/key&gt;&lt;/foreign-keys&gt;&lt;ref-type name="Journal Article"&gt;17&lt;/ref-type&gt;&lt;contributors&gt;&lt;authors&gt;&lt;author&gt;Hindley, N.&lt;/author&gt;&lt;author&gt;Gordon, H.&lt;/author&gt;&lt;/authors&gt;&lt;/contributors&gt;&lt;titles&gt;&lt;title&gt;The elderly, dementia, aggression and risk assessment&lt;/title&gt;&lt;secondary-title&gt;International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Psychiatry&lt;/abbr-2&gt;&lt;/periodical&gt;&lt;pages&gt;254-59&lt;/pages&gt;&lt;volume&gt;15&lt;/volume&gt;&lt;dates&gt;&lt;year&gt;2000&lt;/year&gt;&lt;/dates&gt;&lt;urls&gt;&lt;/urls&gt;&lt;/record&gt;&lt;/Cite&gt;&lt;/EndNote&gt;</w:instrText>
      </w:r>
      <w:r w:rsidRPr="00563AD3">
        <w:fldChar w:fldCharType="separate"/>
      </w:r>
      <w:r w:rsidR="007301D7" w:rsidRPr="007301D7">
        <w:rPr>
          <w:noProof/>
          <w:vertAlign w:val="superscript"/>
        </w:rPr>
        <w:t>44</w:t>
      </w:r>
      <w:r w:rsidRPr="00563AD3">
        <w:fldChar w:fldCharType="end"/>
      </w:r>
      <w:r w:rsidR="007B1099" w:rsidRPr="00563AD3">
        <w:t xml:space="preserve"> and causes distress for </w:t>
      </w:r>
      <w:r w:rsidRPr="00563AD3">
        <w:t>other residents</w:t>
      </w:r>
      <w:r w:rsidR="007B1099" w:rsidRPr="00563AD3">
        <w:t>, the person’s family</w:t>
      </w:r>
      <w:r w:rsidRPr="00563AD3">
        <w:t xml:space="preserve"> and staff. Rates of over 60% of nursing home residents with dementia displaying agitation are reported</w:t>
      </w:r>
      <w:r w:rsidR="00741AF3">
        <w:t>,</w:t>
      </w:r>
      <w:r w:rsidR="002D32D8">
        <w:t xml:space="preserve"> </w:t>
      </w:r>
      <w:r w:rsidRPr="00563AD3">
        <w:fldChar w:fldCharType="begin"/>
      </w:r>
      <w:r w:rsidR="008C7FD1">
        <w:instrText xml:space="preserve"> ADDIN EN.CITE &lt;EndNote&gt;&lt;Cite&gt;&lt;Author&gt;Burgio&lt;/Author&gt;&lt;Year&gt;2000&lt;/Year&gt;&lt;RecNum&gt;1131&lt;/RecNum&gt;&lt;DisplayText&gt;&lt;style face="superscript"&gt;45, 46&lt;/style&gt;&lt;/DisplayText&gt;&lt;record&gt;&lt;rec-number&gt;1131&lt;/rec-number&gt;&lt;foreign-keys&gt;&lt;key app="EN" db-id="wprxwptv75dtdree0t5x2ptmvadptw5fr2ww" timestamp="1304017394"&gt;1131&lt;/key&gt;&lt;/foreign-keys&gt;&lt;ref-type name="Journal Article"&gt;17&lt;/ref-type&gt;&lt;contributors&gt;&lt;authors&gt;&lt;author&gt;Burgio, L.D.&lt;/author&gt;&lt;author&gt;Butller, F.R.&lt;/author&gt;&lt;author&gt;Roth, D.L.&lt;/author&gt;&lt;author&gt;Hardin, J.M.&lt;/author&gt;&lt;author&gt;Hsu, C-C.&lt;/author&gt;&lt;author&gt;Ung, K.&lt;/author&gt;&lt;/authors&gt;&lt;/contributors&gt;&lt;titles&gt;&lt;title&gt;Agitation in nursing home residents: the role of gender and social context&lt;/title&gt;&lt;secondary-title&gt;International Psychogeriatrics&lt;/secondary-title&gt;&lt;/titles&gt;&lt;periodical&gt;&lt;full-title&gt;International Psychogeriatrics&lt;/full-title&gt;&lt;abbr-1&gt;Int. Psychogeriatr.&lt;/abbr-1&gt;&lt;abbr-2&gt;Int Psychogeriatr&lt;/abbr-2&gt;&lt;/periodical&gt;&lt;pages&gt;495-511&lt;/pages&gt;&lt;volume&gt;12&lt;/volume&gt;&lt;number&gt;4&lt;/number&gt;&lt;dates&gt;&lt;year&gt;2000&lt;/year&gt;&lt;/dates&gt;&lt;urls&gt;&lt;/urls&gt;&lt;/record&gt;&lt;/Cite&gt;&lt;Cite&gt;&lt;Author&gt;Zuidema&lt;/Author&gt;&lt;Year&gt;2007&lt;/Year&gt;&lt;RecNum&gt;1114&lt;/RecNum&gt;&lt;record&gt;&lt;rec-number&gt;1114&lt;/rec-number&gt;&lt;foreign-keys&gt;&lt;key app="EN" db-id="wprxwptv75dtdree0t5x2ptmvadptw5fr2ww" timestamp="1300369441"&gt;1114&lt;/key&gt;&lt;/foreign-keys&gt;&lt;ref-type name="Journal Article"&gt;17&lt;/ref-type&gt;&lt;contributors&gt;&lt;authors&gt;&lt;author&gt;Zuidema, S.&lt;/author&gt;&lt;author&gt;Koopmans, R.T.C.M.&lt;/author&gt;&lt;author&gt;Verhey, F.&lt;/author&gt;&lt;/authors&gt;&lt;/contributors&gt;&lt;titles&gt;&lt;title&gt;Prevalence and predictors of neuropsychiatric symptoms in cognitively impaired nursign home patients&lt;/title&gt;&lt;secondary-title&gt;Journal of Geriatric Psychiatry and Neurology&lt;/secondary-title&gt;&lt;/titles&gt;&lt;periodical&gt;&lt;full-title&gt;Journal of Geriatric Psychiatry and Neurology&lt;/full-title&gt;&lt;abbr-1&gt;J. Geriatr. Psychiatry Neurol.&lt;/abbr-1&gt;&lt;abbr-2&gt;J Geriatr Psychiatry Neurol&lt;/abbr-2&gt;&lt;abbr-3&gt;Journal of Geriatric Psychiatry &amp;amp; Neurology&lt;/abbr-3&gt;&lt;/periodical&gt;&lt;pages&gt;41-49&lt;/pages&gt;&lt;volume&gt;20&lt;/volume&gt;&lt;number&gt;1&lt;/number&gt;&lt;dates&gt;&lt;year&gt;2007&lt;/year&gt;&lt;/dates&gt;&lt;urls&gt;&lt;/urls&gt;&lt;/record&gt;&lt;/Cite&gt;&lt;/EndNote&gt;</w:instrText>
      </w:r>
      <w:r w:rsidRPr="00563AD3">
        <w:fldChar w:fldCharType="separate"/>
      </w:r>
      <w:r w:rsidR="007301D7" w:rsidRPr="007301D7">
        <w:rPr>
          <w:noProof/>
          <w:vertAlign w:val="superscript"/>
        </w:rPr>
        <w:t>45, 46</w:t>
      </w:r>
      <w:r w:rsidRPr="00563AD3">
        <w:fldChar w:fldCharType="end"/>
      </w:r>
      <w:r w:rsidRPr="00563AD3">
        <w:t xml:space="preserve">  making it an extremely common as well as potentially harmful BSC for the people experiencing it, other residents and staff. </w:t>
      </w:r>
    </w:p>
    <w:p w14:paraId="6C986A3E" w14:textId="364737B4" w:rsidR="001927C1" w:rsidRPr="00563AD3" w:rsidRDefault="001927C1" w:rsidP="009B13F3">
      <w:r w:rsidRPr="00563AD3">
        <w:t>The presence of agitation is reported as highly challenging, compared to other BSC</w:t>
      </w:r>
      <w:r w:rsidR="00FB521A" w:rsidRPr="00563AD3">
        <w:t>,</w:t>
      </w:r>
      <w:r w:rsidRPr="00563AD3">
        <w:t xml:space="preserve"> in terms of clinical management</w:t>
      </w:r>
      <w:r w:rsidR="00741AF3">
        <w:t>.</w:t>
      </w:r>
      <w:r w:rsidRPr="00563AD3">
        <w:fldChar w:fldCharType="begin"/>
      </w:r>
      <w:r w:rsidR="00411708">
        <w:instrText xml:space="preserve"> ADDIN EN.CITE &lt;EndNote&gt;&lt;Cite&gt;&lt;Author&gt;Husebo&lt;/Author&gt;&lt;Year&gt;2011&lt;/Year&gt;&lt;RecNum&gt;1163&lt;/RecNum&gt;&lt;DisplayText&gt;&lt;style face="superscript"&gt;41&lt;/style&gt;&lt;/DisplayText&gt;&lt;record&gt;&lt;rec-number&gt;1163&lt;/rec-number&gt;&lt;foreign-keys&gt;&lt;key app="EN" db-id="wprxwptv75dtdree0t5x2ptmvadptw5fr2ww" timestamp="1320786321"&gt;1163&lt;/key&gt;&lt;/foreign-keys&gt;&lt;ref-type name="Journal Article"&gt;17&lt;/ref-type&gt;&lt;contributors&gt;&lt;authors&gt;&lt;author&gt;Husebo, B.S.&lt;/author&gt;&lt;author&gt;Ballard, C.&lt;/author&gt;&lt;author&gt;Sandvik, R.&lt;/author&gt;&lt;author&gt;Nilsen, O.B.&lt;/author&gt;&lt;author&gt;Aarsland, D.&lt;/author&gt;&lt;/authors&gt;&lt;/contributors&gt;&lt;titles&gt;&lt;title&gt;Efficacy of treating pain to reduce behavioural disturbances in residents of nursing homes with dementia: cluster randomised clinical trial&lt;/title&gt;&lt;secondary-title&gt;BMJ&lt;/secondary-title&gt;&lt;/titles&gt;&lt;periodical&gt;&lt;full-title&gt;BMJ&lt;/full-title&gt;&lt;abbr-1&gt;BMJ&lt;/abbr-1&gt;&lt;abbr-2&gt;BMJ&lt;/abbr-2&gt;&lt;/periodical&gt;&lt;pages&gt;193&lt;/pages&gt;&lt;volume&gt;343&lt;/volume&gt;&lt;dates&gt;&lt;year&gt;2011&lt;/year&gt;&lt;/dates&gt;&lt;urls&gt;&lt;/urls&gt;&lt;/record&gt;&lt;/Cite&gt;&lt;/EndNote&gt;</w:instrText>
      </w:r>
      <w:r w:rsidRPr="00563AD3">
        <w:fldChar w:fldCharType="separate"/>
      </w:r>
      <w:r w:rsidR="007301D7" w:rsidRPr="007301D7">
        <w:rPr>
          <w:noProof/>
          <w:vertAlign w:val="superscript"/>
        </w:rPr>
        <w:t>41</w:t>
      </w:r>
      <w:r w:rsidRPr="00563AD3">
        <w:fldChar w:fldCharType="end"/>
      </w:r>
      <w:r w:rsidRPr="00563AD3">
        <w:t xml:space="preserve"> Agitation places increased burden on care staff </w:t>
      </w:r>
      <w:r w:rsidRPr="00563AD3">
        <w:fldChar w:fldCharType="begin"/>
      </w:r>
      <w:r w:rsidR="008C7FD1">
        <w:instrText xml:space="preserve"> ADDIN EN.CITE &lt;EndNote&gt;&lt;Cite&gt;&lt;Author&gt;Miyamoto&lt;/Author&gt;&lt;Year&gt;2010&lt;/Year&gt;&lt;RecNum&gt;1160&lt;/RecNum&gt;&lt;DisplayText&gt;&lt;style face="superscript"&gt;47, 48&lt;/style&gt;&lt;/DisplayText&gt;&lt;record&gt;&lt;rec-number&gt;1160&lt;/rec-number&gt;&lt;foreign-keys&gt;&lt;key app="EN" db-id="wprxwptv75dtdree0t5x2ptmvadptw5fr2ww" timestamp="1320785648"&gt;1160&lt;/key&gt;&lt;/foreign-keys&gt;&lt;ref-type name="Journal Article"&gt;17&lt;/ref-type&gt;&lt;contributors&gt;&lt;authors&gt;&lt;author&gt;Miyamoto, Y.&lt;/author&gt;&lt;author&gt;Hisatenr, T.&lt;/author&gt;&lt;author&gt;Hiroto, I.&lt;/author&gt;&lt;/authors&gt;&lt;/contributors&gt;&lt;titles&gt;&lt;title&gt;Formal caregiver burden in dementia: Impact of behavioral and psychological symptoms of dementia and activities of daily living&lt;/title&gt;&lt;secondary-title&gt;Geriatric Nursing&lt;/secondary-title&gt;&lt;/titles&gt;&lt;pages&gt;246-53&lt;/pages&gt;&lt;volume&gt;31&lt;/volume&gt;&lt;number&gt;4&lt;/number&gt;&lt;dates&gt;&lt;year&gt;2010&lt;/year&gt;&lt;/dates&gt;&lt;urls&gt;&lt;/urls&gt;&lt;/record&gt;&lt;/Cite&gt;&lt;Cite&gt;&lt;Author&gt;Cohen-Mansfield&lt;/Author&gt;&lt;Year&gt;2008&lt;/Year&gt;&lt;RecNum&gt;1161&lt;/RecNum&gt;&lt;record&gt;&lt;rec-number&gt;1161&lt;/rec-number&gt;&lt;foreign-keys&gt;&lt;key app="EN" db-id="wprxwptv75dtdree0t5x2ptmvadptw5fr2ww" timestamp="1320785792"&gt;1161&lt;/key&gt;&lt;/foreign-keys&gt;&lt;ref-type name="Journal Article"&gt;17&lt;/ref-type&gt;&lt;contributors&gt;&lt;authors&gt;&lt;author&gt;Cohen-Mansfield, J.&lt;/author&gt;&lt;/authors&gt;&lt;/contributors&gt;&lt;titles&gt;&lt;title&gt;Agitated behavior in persons with dementia: The relationship between type of behavior, its frequency, and its disruptiveness&lt;/title&gt;&lt;secondary-title&gt;Journal of Psychiatric Research&lt;/secondary-title&gt;&lt;/titles&gt;&lt;periodical&gt;&lt;full-title&gt;Journal of Psychiatric Research&lt;/full-title&gt;&lt;abbr-1&gt;J. Psychiatr. Res.&lt;/abbr-1&gt;&lt;abbr-2&gt;J Psychiatr Res&lt;/abbr-2&gt;&lt;/periodical&gt;&lt;pages&gt;64-69&lt;/pages&gt;&lt;volume&gt;43&lt;/volume&gt;&lt;dates&gt;&lt;year&gt;2008&lt;/year&gt;&lt;/dates&gt;&lt;urls&gt;&lt;/urls&gt;&lt;/record&gt;&lt;/Cite&gt;&lt;/EndNote&gt;</w:instrText>
      </w:r>
      <w:r w:rsidRPr="00563AD3">
        <w:fldChar w:fldCharType="separate"/>
      </w:r>
      <w:r w:rsidR="007301D7" w:rsidRPr="007301D7">
        <w:rPr>
          <w:noProof/>
          <w:vertAlign w:val="superscript"/>
        </w:rPr>
        <w:t>47, 48</w:t>
      </w:r>
      <w:r w:rsidRPr="00563AD3">
        <w:fldChar w:fldCharType="end"/>
      </w:r>
      <w:r w:rsidRPr="00563AD3">
        <w:t xml:space="preserve"> who feel less confident in dealing with situations where residents are agitated than in their management of other BSC</w:t>
      </w:r>
      <w:r w:rsidR="00741AF3">
        <w:t>.</w:t>
      </w:r>
      <w:r w:rsidR="002D32D8">
        <w:t xml:space="preserve"> </w:t>
      </w:r>
      <w:r w:rsidRPr="00563AD3">
        <w:fldChar w:fldCharType="begin"/>
      </w:r>
      <w:r w:rsidR="008C7FD1">
        <w:instrText xml:space="preserve"> ADDIN EN.CITE &lt;EndNote&gt;&lt;Cite&gt;&lt;Author&gt;Hughes&lt;/Author&gt;&lt;Year&gt;2008&lt;/Year&gt;&lt;RecNum&gt;1162&lt;/RecNum&gt;&lt;DisplayText&gt;&lt;style face="superscript"&gt;49&lt;/style&gt;&lt;/DisplayText&gt;&lt;record&gt;&lt;rec-number&gt;1162&lt;/rec-number&gt;&lt;foreign-keys&gt;&lt;key app="EN" db-id="wprxwptv75dtdree0t5x2ptmvadptw5fr2ww" timestamp="1320785929"&gt;1162&lt;/key&gt;&lt;/foreign-keys&gt;&lt;ref-type name="Journal Article"&gt;17&lt;/ref-type&gt;&lt;contributors&gt;&lt;authors&gt;&lt;author&gt;Hughes, J.&lt;/author&gt;&lt;author&gt;Bagley, H.&lt;/author&gt;&lt;author&gt;Reilly, S.&lt;/author&gt;&lt;author&gt;Burns, A.&lt;/author&gt;&lt;author&gt;Challis, D.&lt;/author&gt;&lt;/authors&gt;&lt;/contributors&gt;&lt;titles&gt;&lt;title&gt;Care staff working with people with dementia. Training, knowledge and confidence&lt;/title&gt;&lt;secondary-title&gt;Dementia&lt;/secondary-title&gt;&lt;/titles&gt;&lt;periodical&gt;&lt;full-title&gt;Dementia&lt;/full-title&gt;&lt;abbr-1&gt;Dementia&lt;/abbr-1&gt;&lt;abbr-2&gt;Dementia&lt;/abbr-2&gt;&lt;/periodical&gt;&lt;pages&gt;227-238&lt;/pages&gt;&lt;volume&gt;7&lt;/volume&gt;&lt;number&gt;2&lt;/number&gt;&lt;dates&gt;&lt;year&gt;2008&lt;/year&gt;&lt;/dates&gt;&lt;urls&gt;&lt;/urls&gt;&lt;/record&gt;&lt;/Cite&gt;&lt;/EndNote&gt;</w:instrText>
      </w:r>
      <w:r w:rsidRPr="00563AD3">
        <w:fldChar w:fldCharType="separate"/>
      </w:r>
      <w:r w:rsidR="007301D7" w:rsidRPr="007301D7">
        <w:rPr>
          <w:noProof/>
          <w:vertAlign w:val="superscript"/>
        </w:rPr>
        <w:t>49</w:t>
      </w:r>
      <w:r w:rsidRPr="00563AD3">
        <w:fldChar w:fldCharType="end"/>
      </w:r>
      <w:r w:rsidRPr="00563AD3">
        <w:t xml:space="preserve"> The</w:t>
      </w:r>
      <w:r w:rsidR="009C62E3" w:rsidRPr="00563AD3">
        <w:t>re is an association between a person with dementia experiencing</w:t>
      </w:r>
      <w:r w:rsidRPr="00563AD3">
        <w:t xml:space="preserve"> agitation </w:t>
      </w:r>
      <w:r w:rsidR="009C62E3" w:rsidRPr="00563AD3">
        <w:t xml:space="preserve">and </w:t>
      </w:r>
      <w:r w:rsidRPr="00563AD3">
        <w:t xml:space="preserve">fewer visits from relatives, </w:t>
      </w:r>
      <w:r w:rsidR="009C62E3" w:rsidRPr="00563AD3">
        <w:t>experiencing social isolation</w:t>
      </w:r>
      <w:r w:rsidR="002D32D8">
        <w:t xml:space="preserve"> </w:t>
      </w:r>
      <w:r w:rsidR="009C62E3" w:rsidRPr="00563AD3">
        <w:fldChar w:fldCharType="begin"/>
      </w:r>
      <w:r w:rsidR="008C7FD1">
        <w:instrText xml:space="preserve"> ADDIN EN.CITE &lt;EndNote&gt;&lt;Cite&gt;&lt;Author&gt;Cohen-Mansfield&lt;/Author&gt;&lt;Year&gt;2008&lt;/Year&gt;&lt;RecNum&gt;1161&lt;/RecNum&gt;&lt;DisplayText&gt;&lt;style face="superscript"&gt;48&lt;/style&gt;&lt;/DisplayText&gt;&lt;record&gt;&lt;rec-number&gt;1161&lt;/rec-number&gt;&lt;foreign-keys&gt;&lt;key app="EN" db-id="wprxwptv75dtdree0t5x2ptmvadptw5fr2ww" timestamp="1320785792"&gt;1161&lt;/key&gt;&lt;/foreign-keys&gt;&lt;ref-type name="Journal Article"&gt;17&lt;/ref-type&gt;&lt;contributors&gt;&lt;authors&gt;&lt;author&gt;Cohen-Mansfield, J.&lt;/author&gt;&lt;/authors&gt;&lt;/contributors&gt;&lt;titles&gt;&lt;title&gt;Agitated behavior in persons with dementia: The relationship between type of behavior, its frequency, and its disruptiveness&lt;/title&gt;&lt;secondary-title&gt;Journal of Psychiatric Research&lt;/secondary-title&gt;&lt;/titles&gt;&lt;periodical&gt;&lt;full-title&gt;Journal of Psychiatric Research&lt;/full-title&gt;&lt;abbr-1&gt;J. Psychiatr. Res.&lt;/abbr-1&gt;&lt;abbr-2&gt;J Psychiatr Res&lt;/abbr-2&gt;&lt;/periodical&gt;&lt;pages&gt;64-69&lt;/pages&gt;&lt;volume&gt;43&lt;/volume&gt;&lt;dates&gt;&lt;year&gt;2008&lt;/year&gt;&lt;/dates&gt;&lt;urls&gt;&lt;/urls&gt;&lt;/record&gt;&lt;/Cite&gt;&lt;/EndNote&gt;</w:instrText>
      </w:r>
      <w:r w:rsidR="009C62E3" w:rsidRPr="00563AD3">
        <w:fldChar w:fldCharType="separate"/>
      </w:r>
      <w:r w:rsidR="007301D7" w:rsidRPr="007301D7">
        <w:rPr>
          <w:noProof/>
          <w:vertAlign w:val="superscript"/>
        </w:rPr>
        <w:t>48</w:t>
      </w:r>
      <w:r w:rsidR="009C62E3" w:rsidRPr="00563AD3">
        <w:fldChar w:fldCharType="end"/>
      </w:r>
      <w:r w:rsidR="009C62E3" w:rsidRPr="00563AD3">
        <w:t xml:space="preserve"> and </w:t>
      </w:r>
      <w:r w:rsidRPr="00563AD3">
        <w:t>poorer quality of life</w:t>
      </w:r>
      <w:r w:rsidR="00741AF3">
        <w:t>.</w:t>
      </w:r>
      <w:r w:rsidR="002D32D8">
        <w:t xml:space="preserve"> </w:t>
      </w:r>
      <w:r w:rsidRPr="00563AD3">
        <w:fldChar w:fldCharType="begin"/>
      </w:r>
      <w:r w:rsidR="008C7FD1">
        <w:instrText xml:space="preserve"> ADDIN EN.CITE &lt;EndNote&gt;&lt;Cite&gt;&lt;Author&gt;Banerjee&lt;/Author&gt;&lt;Year&gt;2006&lt;/Year&gt;&lt;RecNum&gt;1153&lt;/RecNum&gt;&lt;DisplayText&gt;&lt;style face="superscript"&gt;33&lt;/style&gt;&lt;/DisplayText&gt;&lt;record&gt;&lt;rec-number&gt;1153&lt;/rec-number&gt;&lt;foreign-keys&gt;&lt;key app="EN" db-id="wprxwptv75dtdree0t5x2ptmvadptw5fr2ww" timestamp="1320701522"&gt;1153&lt;/key&gt;&lt;/foreign-keys&gt;&lt;ref-type name="Journal Article"&gt;17&lt;/ref-type&gt;&lt;contributors&gt;&lt;authors&gt;&lt;author&gt;Banerjee, S.&lt;/author&gt;&lt;author&gt;Smith, S.C. &lt;/author&gt;&lt;author&gt;Lamping, D.L.&lt;/author&gt;&lt;author&gt;Harwood, R.H.&lt;/author&gt;&lt;author&gt;Foley, B.&lt;/author&gt;&lt;author&gt;Smith, P.&lt;/author&gt;&lt;author&gt;Murray, J.&lt;/author&gt;&lt;author&gt;Prince, M.&lt;/author&gt;&lt;author&gt;Levin, E.&lt;/author&gt;&lt;author&gt;Mann, A. &lt;/author&gt;&lt;author&gt;Knapp, M.&lt;/author&gt;&lt;/authors&gt;&lt;/contributors&gt;&lt;titles&gt;&lt;title&gt;Quality of life in dementia: more than just cognition. An analysis of associations with quality of life in dementia&lt;/title&gt;&lt;secondary-title&gt;Journal of Neurology, Neurosurgery and Psychiatry&lt;/secondary-title&gt;&lt;/titles&gt;&lt;periodical&gt;&lt;full-title&gt;Journal of Neurology, Neurosurgery and Psychiatry&lt;/full-title&gt;&lt;abbr-1&gt;J. Neurol. Neurosurg. Psychiatry&lt;/abbr-1&gt;&lt;abbr-2&gt;J Neurol Neurosurg Psychiatry&lt;/abbr-2&gt;&lt;abbr-3&gt;Journal of Neurology, Neurosurgery &amp;amp; Psychiatry&lt;/abbr-3&gt;&lt;/periodical&gt;&lt;pages&gt;146-48&lt;/pages&gt;&lt;volume&gt;77&lt;/volume&gt;&lt;number&gt;2&lt;/number&gt;&lt;dates&gt;&lt;year&gt;2006&lt;/year&gt;&lt;/dates&gt;&lt;urls&gt;&lt;/urls&gt;&lt;/record&gt;&lt;/Cite&gt;&lt;/EndNote&gt;</w:instrText>
      </w:r>
      <w:r w:rsidRPr="00563AD3">
        <w:fldChar w:fldCharType="separate"/>
      </w:r>
      <w:r w:rsidR="007301D7" w:rsidRPr="007301D7">
        <w:rPr>
          <w:noProof/>
          <w:vertAlign w:val="superscript"/>
        </w:rPr>
        <w:t>33</w:t>
      </w:r>
      <w:r w:rsidRPr="00563AD3">
        <w:fldChar w:fldCharType="end"/>
      </w:r>
      <w:r w:rsidRPr="00563AD3">
        <w:t xml:space="preserve"> The frequency of agitated behaviours, the difficulties staff have in their management and the potential risks they pose to the person, other residents and staff, means that drug treatments such as antipsychotics and other psychotropic medications </w:t>
      </w:r>
      <w:r w:rsidR="007B1099" w:rsidRPr="00563AD3">
        <w:t>may frequently be</w:t>
      </w:r>
      <w:r w:rsidRPr="00563AD3">
        <w:t xml:space="preserve"> prescribed as a first line management approach. However, links of antipsychotics to stroke and excess deaths </w:t>
      </w:r>
      <w:r w:rsidRPr="00563AD3">
        <w:fldChar w:fldCharType="begin"/>
      </w:r>
      <w:r w:rsidR="007301D7">
        <w:instrText xml:space="preserve"> ADDIN EN.CITE &lt;EndNote&gt;&lt;Cite&gt;&lt;Author&gt;Banerjee&lt;/Author&gt;&lt;Year&gt;2009&lt;/Year&gt;&lt;RecNum&gt;1130&lt;/RecNum&gt;&lt;DisplayText&gt;&lt;style face="superscript"&gt;50&lt;/style&gt;&lt;/DisplayText&gt;&lt;record&gt;&lt;rec-number&gt;1130&lt;/rec-number&gt;&lt;foreign-keys&gt;&lt;key app="EN" db-id="wprxwptv75dtdree0t5x2ptmvadptw5fr2ww" timestamp="1302209457"&gt;1130&lt;/key&gt;&lt;/foreign-keys&gt;&lt;ref-type name="Report"&gt;27&lt;/ref-type&gt;&lt;contributors&gt;&lt;authors&gt;&lt;author&gt;Banerjee, S.&lt;/author&gt;&lt;/authors&gt;&lt;/contributors&gt;&lt;titles&gt;&lt;title&gt;The use of antipsychotic medication for people with dementia: Time for action&lt;/title&gt;&lt;/titles&gt;&lt;dates&gt;&lt;year&gt;2009&lt;/year&gt;&lt;/dates&gt;&lt;pub-location&gt;London&lt;/pub-location&gt;&lt;publisher&gt;Department of Health&lt;/publisher&gt;&lt;urls&gt;&lt;/urls&gt;&lt;/record&gt;&lt;/Cite&gt;&lt;/EndNote&gt;</w:instrText>
      </w:r>
      <w:r w:rsidRPr="00563AD3">
        <w:fldChar w:fldCharType="separate"/>
      </w:r>
      <w:r w:rsidR="007301D7" w:rsidRPr="007301D7">
        <w:rPr>
          <w:noProof/>
          <w:vertAlign w:val="superscript"/>
        </w:rPr>
        <w:t>50</w:t>
      </w:r>
      <w:r w:rsidRPr="00563AD3">
        <w:fldChar w:fldCharType="end"/>
      </w:r>
      <w:r w:rsidRPr="00563AD3">
        <w:t xml:space="preserve"> mean their reduced use is a</w:t>
      </w:r>
      <w:r w:rsidR="007B1099" w:rsidRPr="00563AD3">
        <w:t>n ongoing</w:t>
      </w:r>
      <w:r w:rsidRPr="00563AD3">
        <w:t xml:space="preserve"> priority</w:t>
      </w:r>
      <w:r w:rsidR="00741AF3">
        <w:t>.</w:t>
      </w:r>
      <w:r w:rsidR="002D32D8">
        <w:t xml:space="preserve"> </w:t>
      </w:r>
      <w:r w:rsidRPr="00563AD3">
        <w:fldChar w:fldCharType="begin"/>
      </w:r>
      <w:r w:rsidR="0038669D">
        <w:instrText xml:space="preserve"> ADDIN EN.CITE &lt;EndNote&gt;&lt;Cite&gt;&lt;Author&gt;Ministerial Advisory Group on Dementia Research&lt;/Author&gt;&lt;Year&gt;2011&lt;/Year&gt;&lt;RecNum&gt;1137&lt;/RecNum&gt;&lt;DisplayText&gt;&lt;style face="superscript"&gt;4, 9&lt;/style&gt;&lt;/DisplayText&gt;&lt;record&gt;&lt;rec-number&gt;1137&lt;/rec-number&gt;&lt;foreign-keys&gt;&lt;key app="EN" db-id="wprxwptv75dtdree0t5x2ptmvadptw5fr2ww" timestamp="1304175932"&gt;1137&lt;/key&gt;&lt;/foreign-keys&gt;&lt;ref-type name="Report"&gt;27&lt;/ref-type&gt;&lt;contributors&gt;&lt;authors&gt;&lt;author&gt;Ministerial Advisory Group on Dementia Research,&lt;/author&gt;&lt;/authors&gt;&lt;/contributors&gt;&lt;titles&gt;&lt;title&gt;The Ministerial Advisory Group on Dementia Research. Headline report&lt;/title&gt;&lt;/titles&gt;&lt;dates&gt;&lt;year&gt;2011&lt;/year&gt;&lt;/dates&gt;&lt;pub-location&gt;London&lt;/pub-location&gt;&lt;publisher&gt;Department of Health&lt;/publisher&gt;&lt;urls&gt;&lt;/urls&gt;&lt;/record&gt;&lt;/Cite&gt;&lt;Cite&gt;&lt;Author&gt;All-Party Parliamentary Group on Dementia&lt;/Author&gt;&lt;Year&gt;2008&lt;/Year&gt;&lt;RecNum&gt;1101&lt;/RecNum&gt;&lt;record&gt;&lt;rec-number&gt;1101&lt;/rec-number&gt;&lt;foreign-keys&gt;&lt;key app="EN" db-id="wprxwptv75dtdree0t5x2ptmvadptw5fr2ww" timestamp="1300358115"&gt;1101&lt;/key&gt;&lt;/foreign-keys&gt;&lt;ref-type name="Book"&gt;6&lt;/ref-type&gt;&lt;contributors&gt;&lt;authors&gt;&lt;author&gt;All-Party Parliamentary Group on Dementia,&lt;/author&gt;&lt;/authors&gt;&lt;/contributors&gt;&lt;titles&gt;&lt;title&gt;Always a last resort. Inquiry into the prescription of antipsychotic drugs to people with dementia living in care homes&lt;/title&gt;&lt;/titles&gt;&lt;dates&gt;&lt;year&gt;2008&lt;/year&gt;&lt;/dates&gt;&lt;pub-location&gt;London&lt;/pub-location&gt;&lt;publisher&gt;The Stationary Office&lt;/publisher&gt;&lt;urls&gt;&lt;/urls&gt;&lt;/record&gt;&lt;/Cite&gt;&lt;/EndNote&gt;</w:instrText>
      </w:r>
      <w:r w:rsidRPr="00563AD3">
        <w:fldChar w:fldCharType="separate"/>
      </w:r>
      <w:r w:rsidR="00637463" w:rsidRPr="00637463">
        <w:rPr>
          <w:noProof/>
          <w:vertAlign w:val="superscript"/>
        </w:rPr>
        <w:t>4, 9</w:t>
      </w:r>
      <w:r w:rsidRPr="00563AD3">
        <w:fldChar w:fldCharType="end"/>
      </w:r>
      <w:r w:rsidRPr="00563AD3">
        <w:t xml:space="preserve"> There is a concern that the mandated reduction in antipsychotic prescribing may in turn lead to the prescription of other psychotropic drugs as an alternative</w:t>
      </w:r>
      <w:r w:rsidR="00741AF3">
        <w:t>.</w:t>
      </w:r>
      <w:r w:rsidR="002D32D8">
        <w:t xml:space="preserve"> </w:t>
      </w:r>
      <w:r w:rsidRPr="00563AD3">
        <w:fldChar w:fldCharType="begin"/>
      </w:r>
      <w:r w:rsidR="008C7FD1">
        <w:instrText xml:space="preserve"> ADDIN EN.CITE &lt;EndNote&gt;&lt;Cite&gt;&lt;Author&gt;Bishara&lt;/Author&gt;&lt;Year&gt;2009&lt;/Year&gt;&lt;RecNum&gt;1127&lt;/RecNum&gt;&lt;DisplayText&gt;&lt;style face="superscript"&gt;51, 52&lt;/style&gt;&lt;/DisplayText&gt;&lt;record&gt;&lt;rec-number&gt;1127&lt;/rec-number&gt;&lt;foreign-keys&gt;&lt;key app="EN" db-id="wprxwptv75dtdree0t5x2ptmvadptw5fr2ww" timestamp="1301687330"&gt;1127&lt;/key&gt;&lt;/foreign-keys&gt;&lt;ref-type name="Journal Article"&gt;17&lt;/ref-type&gt;&lt;contributors&gt;&lt;authors&gt;&lt;author&gt;Bishara, D.&lt;/author&gt;&lt;author&gt;Taylor, D.&lt;/author&gt;&lt;author&gt;Howard, R.J.&lt;/author&gt;&lt;author&gt;Abdel-Tawab, R.&lt;/author&gt;&lt;/authors&gt;&lt;/contributors&gt;&lt;titles&gt;&lt;title&gt;Expert opinion on the management of behavioural and psychological symptoms of dementia (BPSD) and investigation into prescribing practices in the UK&lt;/title&gt;&lt;secondary-title&gt;International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944-954&lt;/pages&gt;&lt;volume&gt;24&lt;/volume&gt;&lt;dates&gt;&lt;year&gt;2009&lt;/year&gt;&lt;/dates&gt;&lt;urls&gt;&lt;/urls&gt;&lt;/record&gt;&lt;/Cite&gt;&lt;Cite&gt;&lt;Author&gt;Raju&lt;/Author&gt;&lt;Year&gt;2005&lt;/Year&gt;&lt;RecNum&gt;1167&lt;/RecNum&gt;&lt;record&gt;&lt;rec-number&gt;1167&lt;/rec-number&gt;&lt;foreign-keys&gt;&lt;key app="EN" db-id="wprxwptv75dtdree0t5x2ptmvadptw5fr2ww" timestamp="1320913618"&gt;1167&lt;/key&gt;&lt;/foreign-keys&gt;&lt;ref-type name="Journal Article"&gt;17&lt;/ref-type&gt;&lt;contributors&gt;&lt;authors&gt;&lt;author&gt;Raju, J.&lt;/author&gt;&lt;author&gt;Sikdar, S.&lt;/author&gt;&lt;author&gt;Krishna, T.&lt;/author&gt;&lt;/authors&gt;&lt;/contributors&gt;&lt;titles&gt;&lt;title&gt;What happened to patients with behavioural and psychological symptoms of dementia (BPSD) after the committee on safety of medicines (CSM) guidelines?&lt;/title&gt;&lt;secondary-title&gt;International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Psychiatry&lt;/abbr-2&gt;&lt;/periodical&gt;&lt;pages&gt;898-99&lt;/pages&gt;&lt;volume&gt;20&lt;/volume&gt;&lt;dates&gt;&lt;year&gt;2005&lt;/year&gt;&lt;/dates&gt;&lt;urls&gt;&lt;/urls&gt;&lt;/record&gt;&lt;/Cite&gt;&lt;/EndNote&gt;</w:instrText>
      </w:r>
      <w:r w:rsidRPr="00563AD3">
        <w:fldChar w:fldCharType="separate"/>
      </w:r>
      <w:r w:rsidR="007301D7" w:rsidRPr="007301D7">
        <w:rPr>
          <w:noProof/>
          <w:vertAlign w:val="superscript"/>
        </w:rPr>
        <w:t>51, 52</w:t>
      </w:r>
      <w:r w:rsidRPr="00563AD3">
        <w:fldChar w:fldCharType="end"/>
      </w:r>
      <w:r w:rsidRPr="00563AD3">
        <w:t xml:space="preserve"> despite lack of evidence of efficacy. </w:t>
      </w:r>
      <w:r w:rsidR="007B1099" w:rsidRPr="00563AD3">
        <w:t xml:space="preserve">Investigating </w:t>
      </w:r>
      <w:r w:rsidRPr="00563AD3">
        <w:t xml:space="preserve">psychosocial approaches to </w:t>
      </w:r>
      <w:r w:rsidR="00214742" w:rsidRPr="00563AD3">
        <w:t xml:space="preserve">reduce the incidence of agitation and to </w:t>
      </w:r>
      <w:r w:rsidRPr="00563AD3">
        <w:t xml:space="preserve">support staff with BSC is therefore a </w:t>
      </w:r>
      <w:r w:rsidR="007B1099" w:rsidRPr="00563AD3">
        <w:t>research priority</w:t>
      </w:r>
      <w:r w:rsidR="00741AF3">
        <w:t>.</w:t>
      </w:r>
      <w:r w:rsidR="002D32D8">
        <w:t xml:space="preserve"> </w:t>
      </w:r>
      <w:r w:rsidR="00741AF3">
        <w:fldChar w:fldCharType="begin"/>
      </w:r>
      <w:r w:rsidR="00637463">
        <w:instrText xml:space="preserve"> ADDIN EN.CITE &lt;EndNote&gt;&lt;Cite&gt;&lt;Author&gt;Department of Health&lt;/Author&gt;&lt;Year&gt;2010&lt;/Year&gt;&lt;RecNum&gt;1124&lt;/RecNum&gt;&lt;DisplayText&gt;&lt;style face="superscript"&gt;5&lt;/style&gt;&lt;/DisplayText&gt;&lt;record&gt;&lt;rec-number&gt;1124&lt;/rec-number&gt;&lt;foreign-keys&gt;&lt;key app="EN" db-id="wprxwptv75dtdree0t5x2ptmvadptw5fr2ww" timestamp="1301047272"&gt;1124&lt;/key&gt;&lt;/foreign-keys&gt;&lt;ref-type name="Book"&gt;6&lt;/ref-type&gt;&lt;contributors&gt;&lt;authors&gt;&lt;author&gt;Department of Health,&lt;/author&gt;&lt;/authors&gt;&lt;/contributors&gt;&lt;titles&gt;&lt;title&gt;Quality outcomes for people with dementia: building on the work of the National Dementia Strategy&lt;/title&gt;&lt;/titles&gt;&lt;dates&gt;&lt;year&gt;2010&lt;/year&gt;&lt;/dates&gt;&lt;pub-location&gt;London&lt;/pub-location&gt;&lt;publisher&gt;Department of Health&lt;/publisher&gt;&lt;urls&gt;&lt;related-urls&gt;&lt;url&gt;http://www.dh.gov.uk/prod_consum_dh/groups/dh_digitalassets/@dh/@en/@ps/documents/digitalasset/dh_119828.pdf&lt;/url&gt;&lt;/related-urls&gt;&lt;/urls&gt;&lt;/record&gt;&lt;/Cite&gt;&lt;/EndNote&gt;</w:instrText>
      </w:r>
      <w:r w:rsidR="00741AF3">
        <w:fldChar w:fldCharType="separate"/>
      </w:r>
      <w:r w:rsidR="00637463" w:rsidRPr="00637463">
        <w:rPr>
          <w:noProof/>
          <w:vertAlign w:val="superscript"/>
        </w:rPr>
        <w:t>5</w:t>
      </w:r>
      <w:r w:rsidR="00741AF3">
        <w:fldChar w:fldCharType="end"/>
      </w:r>
    </w:p>
    <w:p w14:paraId="1FDD5C52" w14:textId="7B44D131" w:rsidR="001927C1" w:rsidRPr="00563AD3" w:rsidRDefault="001927C1" w:rsidP="009B13F3">
      <w:r w:rsidRPr="00563AD3">
        <w:t xml:space="preserve">Agitation and other BSC are not an inevitable consequence of dementia. Agitation is often </w:t>
      </w:r>
      <w:r w:rsidR="00D46301" w:rsidRPr="00563AD3">
        <w:t>exacerbated</w:t>
      </w:r>
      <w:r w:rsidRPr="00563AD3">
        <w:t xml:space="preserve"> by the </w:t>
      </w:r>
      <w:r w:rsidR="00D46301" w:rsidRPr="00563AD3">
        <w:t xml:space="preserve">poor </w:t>
      </w:r>
      <w:r w:rsidRPr="00563AD3">
        <w:t xml:space="preserve">care practices and environment surrounding the person with dementia </w:t>
      </w:r>
      <w:r w:rsidRPr="00563AD3">
        <w:fldChar w:fldCharType="begin"/>
      </w:r>
      <w:r w:rsidR="008C7FD1">
        <w:instrText xml:space="preserve"> ADDIN EN.CITE &lt;EndNote&gt;&lt;Cite&gt;&lt;Author&gt;Cohen-Mansfield&lt;/Author&gt;&lt;Year&gt;1992&lt;/Year&gt;&lt;RecNum&gt;1132&lt;/RecNum&gt;&lt;DisplayText&gt;&lt;style face="superscript"&gt;53&lt;/style&gt;&lt;/DisplayText&gt;&lt;record&gt;&lt;rec-number&gt;1132&lt;/rec-number&gt;&lt;foreign-keys&gt;&lt;key app="EN" db-id="wprxwptv75dtdree0t5x2ptmvadptw5fr2ww" timestamp="1304017572"&gt;1132&lt;/key&gt;&lt;/foreign-keys&gt;&lt;ref-type name="Journal Article"&gt;17&lt;/ref-type&gt;&lt;contributors&gt;&lt;authors&gt;&lt;author&gt;Cohen-Mansfield, J.&lt;/author&gt;&lt;author&gt;Werner, P.&lt;/author&gt;&lt;author&gt;Marx, M.S.&lt;/author&gt;&lt;/authors&gt;&lt;/contributors&gt;&lt;titles&gt;&lt;title&gt;The social environment of the agitated nursing home resident&lt;/title&gt;&lt;secondary-title&gt;International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Psychiatry&lt;/abbr-2&gt;&lt;/periodical&gt;&lt;pages&gt;789-798&lt;/pages&gt;&lt;volume&gt;7&lt;/volume&gt;&lt;dates&gt;&lt;year&gt;1992&lt;/year&gt;&lt;/dates&gt;&lt;urls&gt;&lt;/urls&gt;&lt;/record&gt;&lt;/Cite&gt;&lt;/EndNote&gt;</w:instrText>
      </w:r>
      <w:r w:rsidRPr="00563AD3">
        <w:fldChar w:fldCharType="separate"/>
      </w:r>
      <w:r w:rsidR="007301D7" w:rsidRPr="007301D7">
        <w:rPr>
          <w:noProof/>
          <w:vertAlign w:val="superscript"/>
        </w:rPr>
        <w:t>53</w:t>
      </w:r>
      <w:r w:rsidRPr="00563AD3">
        <w:fldChar w:fldCharType="end"/>
      </w:r>
      <w:r w:rsidRPr="00563AD3">
        <w:t xml:space="preserve"> as well as by poorly managed physical health and pain</w:t>
      </w:r>
      <w:r w:rsidR="00741AF3">
        <w:t>.</w:t>
      </w:r>
      <w:r w:rsidR="002D32D8">
        <w:t xml:space="preserve"> </w:t>
      </w:r>
      <w:r w:rsidRPr="00563AD3">
        <w:fldChar w:fldCharType="begin"/>
      </w:r>
      <w:r w:rsidR="00411708">
        <w:instrText xml:space="preserve"> ADDIN EN.CITE &lt;EndNote&gt;&lt;Cite&gt;&lt;Author&gt;Testad&lt;/Author&gt;&lt;Year&gt;2010&lt;/Year&gt;&lt;RecNum&gt;1164&lt;/RecNum&gt;&lt;DisplayText&gt;&lt;style face="superscript"&gt;41, 54&lt;/style&gt;&lt;/DisplayText&gt;&lt;record&gt;&lt;rec-number&gt;1164&lt;/rec-number&gt;&lt;foreign-keys&gt;&lt;key app="EN" db-id="wprxwptv75dtdree0t5x2ptmvadptw5fr2ww" timestamp="1320786515"&gt;1164&lt;/key&gt;&lt;/foreign-keys&gt;&lt;ref-type name="Journal Article"&gt;17&lt;/ref-type&gt;&lt;contributors&gt;&lt;authors&gt;&lt;author&gt;Testad, I.&lt;/author&gt;&lt;author&gt;Auer, S.&lt;/author&gt;&lt;author&gt;Mittelman, M.&lt;/author&gt;&lt;author&gt;Ballard, C.&lt;/author&gt;&lt;author&gt;Fossey, J.&lt;/author&gt;&lt;author&gt;Donabauer, Y.&lt;/author&gt;&lt;author&gt;Aarsland, D.&lt;/author&gt;&lt;/authors&gt;&lt;/contributors&gt;&lt;titles&gt;&lt;title&gt;Nursing home structure and association with agitation and use of psychotropic drugs in nursing home residents in three countries: Norway, Austria and England&lt;/title&gt;&lt;secondary-title&gt;International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725-31&lt;/pages&gt;&lt;volume&gt;25&lt;/volume&gt;&lt;dates&gt;&lt;year&gt;2010&lt;/year&gt;&lt;/dates&gt;&lt;urls&gt;&lt;/urls&gt;&lt;/record&gt;&lt;/Cite&gt;&lt;Cite&gt;&lt;Author&gt;Husebo&lt;/Author&gt;&lt;Year&gt;2011&lt;/Year&gt;&lt;RecNum&gt;1163&lt;/RecNum&gt;&lt;record&gt;&lt;rec-number&gt;1163&lt;/rec-number&gt;&lt;foreign-keys&gt;&lt;key app="EN" db-id="wprxwptv75dtdree0t5x2ptmvadptw5fr2ww" timestamp="1320786321"&gt;1163&lt;/key&gt;&lt;/foreign-keys&gt;&lt;ref-type name="Journal Article"&gt;17&lt;/ref-type&gt;&lt;contributors&gt;&lt;authors&gt;&lt;author&gt;Husebo, B.S.&lt;/author&gt;&lt;author&gt;Ballard, C.&lt;/author&gt;&lt;author&gt;Sandvik, R.&lt;/author&gt;&lt;author&gt;Nilsen, O.B.&lt;/author&gt;&lt;author&gt;Aarsland, D.&lt;/author&gt;&lt;/authors&gt;&lt;/contributors&gt;&lt;titles&gt;&lt;title&gt;Efficacy of treating pain to reduce behavioural disturbances in residents of nursing homes with dementia: cluster randomised clinical trial&lt;/title&gt;&lt;secondary-title&gt;BMJ&lt;/secondary-title&gt;&lt;/titles&gt;&lt;periodical&gt;&lt;full-title&gt;BMJ&lt;/full-title&gt;&lt;abbr-1&gt;BMJ&lt;/abbr-1&gt;&lt;abbr-2&gt;BMJ&lt;/abbr-2&gt;&lt;/periodical&gt;&lt;pages&gt;193&lt;/pages&gt;&lt;volume&gt;343&lt;/volume&gt;&lt;dates&gt;&lt;year&gt;2011&lt;/year&gt;&lt;/dates&gt;&lt;urls&gt;&lt;/urls&gt;&lt;/record&gt;&lt;/Cite&gt;&lt;/EndNote&gt;</w:instrText>
      </w:r>
      <w:r w:rsidRPr="00563AD3">
        <w:fldChar w:fldCharType="separate"/>
      </w:r>
      <w:r w:rsidR="007301D7" w:rsidRPr="007301D7">
        <w:rPr>
          <w:noProof/>
          <w:vertAlign w:val="superscript"/>
        </w:rPr>
        <w:t>41, 54</w:t>
      </w:r>
      <w:r w:rsidRPr="00563AD3">
        <w:fldChar w:fldCharType="end"/>
      </w:r>
      <w:r w:rsidRPr="00563AD3">
        <w:t xml:space="preserve"> They </w:t>
      </w:r>
      <w:r w:rsidR="00214742" w:rsidRPr="00563AD3">
        <w:t xml:space="preserve">often </w:t>
      </w:r>
      <w:r w:rsidRPr="00563AD3">
        <w:t xml:space="preserve">reflect an expression of unmet needs by a person with dementia in response to </w:t>
      </w:r>
      <w:r w:rsidR="00214742" w:rsidRPr="00563AD3">
        <w:t xml:space="preserve">inadequate understanding of a person’s needs or </w:t>
      </w:r>
      <w:r w:rsidRPr="00563AD3">
        <w:t>poor quality care</w:t>
      </w:r>
      <w:r w:rsidR="00741AF3">
        <w:t>.</w:t>
      </w:r>
      <w:r w:rsidR="002D32D8">
        <w:t xml:space="preserve"> </w:t>
      </w:r>
      <w:r w:rsidRPr="00563AD3">
        <w:fldChar w:fldCharType="begin">
          <w:fldData xml:space="preserve">PEVuZE5vdGU+PENpdGU+PEF1dGhvcj5TdG9rZXM8L0F1dGhvcj48WWVhcj4xOTk2PC9ZZWFyPjxS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=
</w:fldData>
        </w:fldChar>
      </w:r>
      <w:r w:rsidR="008C7FD1">
        <w:instrText xml:space="preserve"> ADDIN EN.CITE </w:instrText>
      </w:r>
      <w:r w:rsidR="008C7FD1">
        <w:fldChar w:fldCharType="begin">
          <w:fldData xml:space="preserve">PEVuZE5vdGU+PENpdGU+PEF1dGhvcj5TdG9rZXM8L0F1dGhvcj48WWVhcj4xOTk2PC9ZZWFyPjxS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=
</w:fldData>
        </w:fldChar>
      </w:r>
      <w:r w:rsidR="008C7FD1">
        <w:instrText xml:space="preserve"> ADDIN EN.CITE.DATA </w:instrText>
      </w:r>
      <w:r w:rsidR="008C7FD1">
        <w:fldChar w:fldCharType="end"/>
      </w:r>
      <w:r w:rsidRPr="00563AD3">
        <w:fldChar w:fldCharType="separate"/>
      </w:r>
      <w:r w:rsidR="00637463" w:rsidRPr="00637463">
        <w:rPr>
          <w:noProof/>
          <w:vertAlign w:val="superscript"/>
        </w:rPr>
        <w:t>4, 54, 55</w:t>
      </w:r>
      <w:r w:rsidRPr="00563AD3">
        <w:fldChar w:fldCharType="end"/>
      </w:r>
      <w:r w:rsidRPr="00563AD3">
        <w:t xml:space="preserve"> This is often </w:t>
      </w:r>
      <w:r w:rsidR="00D46301" w:rsidRPr="00563AD3">
        <w:t>related to</w:t>
      </w:r>
      <w:r w:rsidRPr="00563AD3">
        <w:t xml:space="preserve"> lack of stimulation and engagement for the person with dementia</w:t>
      </w:r>
      <w:r w:rsidR="00741AF3">
        <w:t>.</w:t>
      </w:r>
      <w:r w:rsidR="002D32D8">
        <w:t xml:space="preserve"> </w:t>
      </w:r>
      <w:r w:rsidRPr="00563AD3">
        <w:fldChar w:fldCharType="begin"/>
      </w:r>
      <w:r w:rsidR="008C7FD1">
        <w:instrText xml:space="preserve"> ADDIN EN.CITE &lt;EndNote&gt;&lt;Cite&gt;&lt;Author&gt;Cohen-Mansfield&lt;/Author&gt;&lt;Year&gt;2010&lt;/Year&gt;&lt;RecNum&gt;1159&lt;/RecNum&gt;&lt;DisplayText&gt;&lt;style face="superscript"&gt;56&lt;/style&gt;&lt;/DisplayText&gt;&lt;record&gt;&lt;rec-number&gt;1159&lt;/rec-number&gt;&lt;foreign-keys&gt;&lt;key app="EN" db-id="wprxwptv75dtdree0t5x2ptmvadptw5fr2ww" timestamp="1320785409"&gt;1159&lt;/key&gt;&lt;/foreign-keys&gt;&lt;ref-type name="Journal Article"&gt;17&lt;/ref-type&gt;&lt;contributors&gt;&lt;authors&gt;&lt;author&gt;Cohen-Mansfield, J.&lt;/author&gt;&lt;author&gt;Marx, M.S.&lt;/author&gt;&lt;author&gt;Dakheel-Ali, M.&lt;/author&gt;&lt;author&gt;Regier, N.G.&lt;/author&gt;&lt;author&gt;Thein, K.&lt;/author&gt;&lt;author&gt;Freedman, L.&lt;/author&gt;&lt;/authors&gt;&lt;/contributors&gt;&lt;titles&gt;&lt;title&gt;Can agitated behavior of nursing home residents be prevented with the use of standardized stimuli?&lt;/title&gt;&lt;secondary-title&gt;Journal of the American Geriatrics Society&lt;/secondary-title&gt;&lt;/titles&gt;&lt;periodical&gt;&lt;full-title&gt;Journal of the American Geriatrics Society&lt;/full-title&gt;&lt;abbr-1&gt;J. Am. Geriatr. Soc.&lt;/abbr-1&gt;&lt;abbr-2&gt;J Am Geriatr Soc&lt;/abbr-2&gt;&lt;/periodical&gt;&lt;pages&gt;1459-1464&lt;/pages&gt;&lt;volume&gt;58&lt;/volume&gt;&lt;number&gt;8&lt;/number&gt;&lt;dates&gt;&lt;year&gt;2010&lt;/year&gt;&lt;/dates&gt;&lt;urls&gt;&lt;/urls&gt;&lt;/record&gt;&lt;/Cite&gt;&lt;/EndNote&gt;</w:instrText>
      </w:r>
      <w:r w:rsidRPr="00563AD3">
        <w:fldChar w:fldCharType="separate"/>
      </w:r>
      <w:r w:rsidR="007301D7" w:rsidRPr="007301D7">
        <w:rPr>
          <w:noProof/>
          <w:vertAlign w:val="superscript"/>
        </w:rPr>
        <w:t>56</w:t>
      </w:r>
      <w:r w:rsidRPr="00563AD3">
        <w:fldChar w:fldCharType="end"/>
      </w:r>
      <w:r w:rsidRPr="00563AD3">
        <w:t xml:space="preserve"> For example, Brodaty et al </w:t>
      </w:r>
      <w:r w:rsidRPr="00563AD3">
        <w:fldChar w:fldCharType="begin"/>
      </w:r>
      <w:r w:rsidR="008C7FD1">
        <w:instrText xml:space="preserve"> ADDIN EN.CITE &lt;EndNote&gt;&lt;Cite&gt;&lt;Author&gt;Brodaty&lt;/Author&gt;&lt;Year&gt;2001&lt;/Year&gt;&lt;RecNum&gt;1155&lt;/RecNum&gt;&lt;DisplayText&gt;&lt;style face="superscript"&gt;57&lt;/style&gt;&lt;/DisplayText&gt;&lt;record&gt;&lt;rec-number&gt;1155&lt;/rec-number&gt;&lt;foreign-keys&gt;&lt;key app="EN" db-id="wprxwptv75dtdree0t5x2ptmvadptw5fr2ww" timestamp="1320701992"&gt;1155&lt;/key&gt;&lt;/foreign-keys&gt;&lt;ref-type name="Journal Article"&gt;17&lt;/ref-type&gt;&lt;contributors&gt;&lt;authors&gt;&lt;author&gt;Brodaty, H.&lt;/author&gt;&lt;author&gt;Draper, B.&lt;/author&gt;&lt;author&gt;Saab, D.&lt;/author&gt;&lt;author&gt;Low, L.F.&lt;/author&gt;&lt;author&gt;Richards, V.&lt;/author&gt;&lt;author&gt;Paton, H.&lt;/author&gt;&lt;author&gt;Lie, D.&lt;/author&gt;&lt;/authors&gt;&lt;/contributors&gt;&lt;titles&gt;&lt;title&gt;Psychosis, depression and behavioural disturbances in Sydney nursing home residents: prevalence and predictors&lt;/title&gt;&lt;secondary-title&gt;International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Psychiatry&lt;/abbr-2&gt;&lt;/periodical&gt;&lt;pages&gt;504-512&lt;/pages&gt;&lt;volume&gt;16&lt;/volume&gt;&lt;dates&gt;&lt;year&gt;2001&lt;/year&gt;&lt;/dates&gt;&lt;urls&gt;&lt;/urls&gt;&lt;/record&gt;&lt;/Cite&gt;&lt;/EndNote&gt;</w:instrText>
      </w:r>
      <w:r w:rsidRPr="00563AD3">
        <w:fldChar w:fldCharType="separate"/>
      </w:r>
      <w:r w:rsidR="007301D7" w:rsidRPr="007301D7">
        <w:rPr>
          <w:noProof/>
          <w:vertAlign w:val="superscript"/>
        </w:rPr>
        <w:t>57</w:t>
      </w:r>
      <w:r w:rsidRPr="00563AD3">
        <w:fldChar w:fldCharType="end"/>
      </w:r>
      <w:r w:rsidRPr="00563AD3">
        <w:t xml:space="preserve"> found significant variability between care homes in terms of the proportions of residents within each setting who displayed BSC, indicating a care home level effect</w:t>
      </w:r>
      <w:r w:rsidR="00E31EF9" w:rsidRPr="00563AD3">
        <w:t xml:space="preserve"> that may include both admissions criteria and care </w:t>
      </w:r>
      <w:r w:rsidR="00D46301" w:rsidRPr="00563AD3">
        <w:t>practices</w:t>
      </w:r>
      <w:r w:rsidRPr="00563AD3">
        <w:t xml:space="preserve">. Likewise, Weber et al </w:t>
      </w:r>
      <w:r w:rsidRPr="00563AD3">
        <w:fldChar w:fldCharType="begin"/>
      </w:r>
      <w:r w:rsidR="008C7FD1">
        <w:instrText xml:space="preserve"> ADDIN EN.CITE &lt;EndNote&gt;&lt;Cite&gt;&lt;Author&gt;Weber&lt;/Author&gt;&lt;Year&gt;2009&lt;/Year&gt;&lt;RecNum&gt;1166&lt;/RecNum&gt;&lt;DisplayText&gt;&lt;style face="superscript"&gt;58&lt;/style&gt;&lt;/DisplayText&gt;&lt;record&gt;&lt;rec-number&gt;1166&lt;/rec-number&gt;&lt;foreign-keys&gt;&lt;key app="EN" db-id="wprxwptv75dtdree0t5x2ptmvadptw5fr2ww" timestamp="1320787039"&gt;1166&lt;/key&gt;&lt;/foreign-keys&gt;&lt;ref-type name="Journal Article"&gt;17&lt;/ref-type&gt;&lt;contributors&gt;&lt;authors&gt;&lt;author&gt;Weber, K.&lt;/author&gt;&lt;author&gt;Meiler-Mititelu, C.&lt;/author&gt;&lt;author&gt;Herrmann, F.R.&lt;/author&gt;&lt;author&gt;Dalaloye, C.&lt;/author&gt;&lt;author&gt;Giannakopoulos, P.&lt;/author&gt;&lt;author&gt;Canuto, A.&lt;/author&gt;&lt;/authors&gt;&lt;/contributors&gt;&lt;titles&gt;&lt;title&gt;Longitudinal assessment of psychotherapeutic day hospital treatment for neuropsychiatric symptoms in dementia&lt;/title&gt;&lt;secondary-title&gt;Aging and Mental Health&lt;/secondary-title&gt;&lt;/titles&gt;&lt;pages&gt;92-98&lt;/pages&gt;&lt;volume&gt;13&lt;/volume&gt;&lt;number&gt;1&lt;/number&gt;&lt;dates&gt;&lt;year&gt;2009&lt;/year&gt;&lt;/dates&gt;&lt;urls&gt;&lt;/urls&gt;&lt;/record&gt;&lt;/Cite&gt;&lt;/EndNote&gt;</w:instrText>
      </w:r>
      <w:r w:rsidRPr="00563AD3">
        <w:fldChar w:fldCharType="separate"/>
      </w:r>
      <w:r w:rsidR="007301D7" w:rsidRPr="007301D7">
        <w:rPr>
          <w:noProof/>
          <w:vertAlign w:val="superscript"/>
        </w:rPr>
        <w:t>58</w:t>
      </w:r>
      <w:r w:rsidRPr="00563AD3">
        <w:fldChar w:fldCharType="end"/>
      </w:r>
      <w:r w:rsidRPr="00563AD3">
        <w:t xml:space="preserve"> report a significant reduction in BSC when people with dementia attended a therapeutic day hospital programme compared to when at home, again indicating the impact of the psychosocial environment. </w:t>
      </w:r>
      <w:r w:rsidR="00F661FF" w:rsidRPr="00563AD3">
        <w:t>T</w:t>
      </w:r>
      <w:r w:rsidRPr="00563AD3">
        <w:t>he presence of agitation within individuals with dementia in care home settings is</w:t>
      </w:r>
      <w:r w:rsidR="00F661FF" w:rsidRPr="00563AD3">
        <w:t>, therefore, likely to be</w:t>
      </w:r>
      <w:r w:rsidRPr="00563AD3">
        <w:t xml:space="preserve"> associated with organisational aspects of care and the care culture</w:t>
      </w:r>
      <w:r w:rsidR="00741AF3">
        <w:t>.</w:t>
      </w:r>
      <w:r w:rsidR="002D32D8">
        <w:t xml:space="preserve"> </w:t>
      </w:r>
      <w:r w:rsidRPr="00563AD3">
        <w:fldChar w:fldCharType="begin"/>
      </w:r>
      <w:r w:rsidR="008C7FD1">
        <w:instrText xml:space="preserve"> ADDIN EN.CITE &lt;EndNote&gt;&lt;Cite&gt;&lt;Author&gt;Testad&lt;/Author&gt;&lt;Year&gt;2010&lt;/Year&gt;&lt;RecNum&gt;1164&lt;/RecNum&gt;&lt;DisplayText&gt;&lt;style face="superscript"&gt;54&lt;/style&gt;&lt;/DisplayText&gt;&lt;record&gt;&lt;rec-number&gt;1164&lt;/rec-number&gt;&lt;foreign-keys&gt;&lt;key app="EN" db-id="wprxwptv75dtdree0t5x2ptmvadptw5fr2ww" timestamp="1320786515"&gt;1164&lt;/key&gt;&lt;/foreign-keys&gt;&lt;ref-type name="Journal Article"&gt;17&lt;/ref-type&gt;&lt;contributors&gt;&lt;authors&gt;&lt;author&gt;Testad, I.&lt;/author&gt;&lt;author&gt;Auer, S.&lt;/author&gt;&lt;author&gt;Mittelman, M.&lt;/author&gt;&lt;author&gt;Ballard, C.&lt;/author&gt;&lt;author&gt;Fossey, J.&lt;/author&gt;&lt;author&gt;Donabauer, Y.&lt;/author&gt;&lt;author&gt;Aarsland, D.&lt;/author&gt;&lt;/authors&gt;&lt;/contributors&gt;&lt;titles&gt;&lt;title&gt;Nursing home structure and association with agitation and use of psychotropic drugs in nursing home residents in three countries: Norway, Austria and England&lt;/title&gt;&lt;secondary-title&gt;International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Psychiatry&lt;/abbr-2&gt;&lt;/periodical&gt;&lt;pages&gt;725-31&lt;/pages&gt;&lt;volume&gt;25&lt;/volume&gt;&lt;dates&gt;&lt;year&gt;2010&lt;/year&gt;&lt;/dates&gt;&lt;urls&gt;&lt;/urls&gt;&lt;/record&gt;&lt;/Cite&gt;&lt;/EndNote&gt;</w:instrText>
      </w:r>
      <w:r w:rsidRPr="00563AD3">
        <w:fldChar w:fldCharType="separate"/>
      </w:r>
      <w:r w:rsidR="007301D7" w:rsidRPr="007301D7">
        <w:rPr>
          <w:noProof/>
          <w:vertAlign w:val="superscript"/>
        </w:rPr>
        <w:t>54</w:t>
      </w:r>
      <w:r w:rsidRPr="00563AD3">
        <w:fldChar w:fldCharType="end"/>
      </w:r>
      <w:r w:rsidRPr="00563AD3">
        <w:t xml:space="preserve"> </w:t>
      </w:r>
      <w:r w:rsidR="00F661FF" w:rsidRPr="00563AD3">
        <w:t xml:space="preserve">Therefore, the use of </w:t>
      </w:r>
      <w:r w:rsidRPr="00563AD3">
        <w:t xml:space="preserve">psychosocial interventions that address the quality of care practice </w:t>
      </w:r>
      <w:r w:rsidRPr="00563AD3">
        <w:fldChar w:fldCharType="begin">
          <w:fldData xml:space="preserve">PEVuZE5vdGU+PENpdGU+PEF1dGhvcj5OSUNFL1NDSUU8L0F1dGhvcj48WWVhcj4yMDA2PC9ZZWFy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</w:fldData>
        </w:fldChar>
      </w:r>
      <w:r w:rsidR="008C7FD1">
        <w:instrText xml:space="preserve"> ADDIN EN.CITE </w:instrText>
      </w:r>
      <w:r w:rsidR="008C7FD1">
        <w:fldChar w:fldCharType="begin">
          <w:fldData xml:space="preserve">PEVuZE5vdGU+PENpdGU+PEF1dGhvcj5OSUNFL1NDSUU8L0F1dGhvcj48WWVhcj4yMDA2PC9ZZWFy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</w:fldData>
        </w:fldChar>
      </w:r>
      <w:r w:rsidR="008C7FD1">
        <w:instrText xml:space="preserve"> ADDIN EN.CITE.DATA </w:instrText>
      </w:r>
      <w:r w:rsidR="008C7FD1">
        <w:fldChar w:fldCharType="end"/>
      </w:r>
      <w:r w:rsidRPr="00563AD3">
        <w:fldChar w:fldCharType="separate"/>
      </w:r>
      <w:r w:rsidR="00637463" w:rsidRPr="00637463">
        <w:rPr>
          <w:noProof/>
          <w:vertAlign w:val="superscript"/>
        </w:rPr>
        <w:t>4, 59-61</w:t>
      </w:r>
      <w:r w:rsidRPr="00563AD3">
        <w:fldChar w:fldCharType="end"/>
      </w:r>
      <w:r w:rsidR="00F661FF" w:rsidRPr="00563AD3">
        <w:t xml:space="preserve"> are recommended, with agitation being </w:t>
      </w:r>
      <w:r w:rsidRPr="00563AD3">
        <w:t>a key treatment target area for people with dementia in care homes</w:t>
      </w:r>
      <w:r w:rsidR="002D32D8">
        <w:t>.</w:t>
      </w:r>
      <w:r w:rsidR="007943C4" w:rsidRPr="00563AD3">
        <w:t xml:space="preserve"> </w:t>
      </w:r>
      <w:r w:rsidR="007943C4" w:rsidRPr="00563AD3">
        <w:fldChar w:fldCharType="begin"/>
      </w:r>
      <w:r w:rsidR="008C7FD1">
        <w:instrText xml:space="preserve"> ADDIN EN.CITE &lt;EndNote&gt;&lt;Cite&gt;&lt;Author&gt;Livingston&lt;/Author&gt;&lt;Year&gt;2014&lt;/Year&gt;&lt;RecNum&gt;1782&lt;/RecNum&gt;&lt;DisplayText&gt;&lt;style face="superscript"&gt;62&lt;/style&gt;&lt;/DisplayText&gt;&lt;record&gt;&lt;rec-number&gt;1782&lt;/rec-number&gt;&lt;foreign-keys&gt;&lt;key app="EN" db-id="wprxwptv75dtdree0t5x2ptmvadptw5fr2ww" timestamp="1516647037"&gt;1782&lt;/key&gt;&lt;/foreign-keys&gt;&lt;ref-type name="Journal Article"&gt;17&lt;/ref-type&gt;&lt;contributors&gt;&lt;authors&gt;&lt;author&gt;Livingston, G.&lt;/author&gt;&lt;author&gt;Kelly, L.&lt;/author&gt;&lt;author&gt;Lewis-Holmes, E.&lt;/author&gt;&lt;author&gt;Baio, G.&lt;/author&gt;&lt;author&gt;Morris, S.&lt;/author&gt;&lt;author&gt;Patel, N.&lt;/author&gt;&lt;author&gt;Omar, R.Z.&lt;/author&gt;&lt;author&gt;Katona, C.&lt;/author&gt;&lt;author&gt;Cooper, C.&lt;/author&gt;&lt;/authors&gt;&lt;/contributors&gt;&lt;titles&gt;&lt;title&gt;Non-pharmacological interventions for agitation in dementia: systematic review of randomised controlled trials&lt;/title&gt;&lt;secondary-title&gt;British Journal of Psychiatry&lt;/secondary-title&gt;&lt;/titles&gt;&lt;periodical&gt;&lt;full-title&gt;British Journal of Psychiatry&lt;/full-title&gt;&lt;abbr-1&gt;Br. J. Psychiatry&lt;/abbr-1&gt;&lt;abbr-2&gt;Br J Psychiatry&lt;/abbr-2&gt;&lt;/periodical&gt;&lt;pages&gt;436-442&lt;/pages&gt;&lt;volume&gt;205&lt;/volume&gt;&lt;number&gt;6&lt;/number&gt;&lt;dates&gt;&lt;year&gt;2014&lt;/year&gt;&lt;/dates&gt;&lt;urls&gt;&lt;/urls&gt;&lt;/record&gt;&lt;/Cite&gt;&lt;/EndNote&gt;</w:instrText>
      </w:r>
      <w:r w:rsidR="007943C4" w:rsidRPr="00563AD3">
        <w:fldChar w:fldCharType="separate"/>
      </w:r>
      <w:r w:rsidR="007301D7" w:rsidRPr="007301D7">
        <w:rPr>
          <w:noProof/>
          <w:vertAlign w:val="superscript"/>
        </w:rPr>
        <w:t>62</w:t>
      </w:r>
      <w:r w:rsidR="007943C4" w:rsidRPr="00563AD3">
        <w:fldChar w:fldCharType="end"/>
      </w:r>
      <w:r w:rsidRPr="00563AD3">
        <w:t xml:space="preserve"> </w:t>
      </w:r>
    </w:p>
    <w:p w14:paraId="0A2B8178" w14:textId="77777777" w:rsidR="001927C1" w:rsidRPr="00563AD3" w:rsidRDefault="001927C1" w:rsidP="009B13F3"/>
    <w:p w14:paraId="42129D9A" w14:textId="2EA216F7" w:rsidR="001927C1" w:rsidRPr="00563AD3" w:rsidRDefault="008D5BBA" w:rsidP="009B13F3">
      <w:pPr>
        <w:pStyle w:val="Heading3"/>
      </w:pPr>
      <w:bookmarkStart w:id="22" w:name="_Toc455576260"/>
      <w:bookmarkStart w:id="23" w:name="_Toc525543945"/>
      <w:r w:rsidRPr="00563AD3">
        <w:t>1.1.2</w:t>
      </w:r>
      <w:r w:rsidR="001927C1" w:rsidRPr="00563AD3">
        <w:t xml:space="preserve"> Person-centred care</w:t>
      </w:r>
      <w:bookmarkEnd w:id="22"/>
      <w:bookmarkEnd w:id="23"/>
    </w:p>
    <w:p w14:paraId="5F3501F2" w14:textId="17ECD888" w:rsidR="001927C1" w:rsidRPr="00563AD3" w:rsidRDefault="001927C1" w:rsidP="009B13F3">
      <w:r w:rsidRPr="00563AD3">
        <w:t>Person-centred care is an effective psychosocial approach in dementia care</w:t>
      </w:r>
      <w:r w:rsidR="002D32D8">
        <w:t>,</w:t>
      </w:r>
      <w:r w:rsidRPr="00563AD3">
        <w:t xml:space="preserve"> </w:t>
      </w:r>
      <w:r w:rsidRPr="00563AD3">
        <w:fldChar w:fldCharType="begin"/>
      </w:r>
      <w:r w:rsidR="008C7FD1">
        <w:instrText xml:space="preserve"> ADDIN EN.CITE &lt;EndNote&gt;&lt;Cite&gt;&lt;Author&gt;Chenoweth&lt;/Author&gt;&lt;Year&gt;2009&lt;/Year&gt;&lt;RecNum&gt;1069&lt;/RecNum&gt;&lt;DisplayText&gt;&lt;style face="superscript"&gt;63&lt;/style&gt;&lt;/DisplayText&gt;&lt;record&gt;&lt;rec-number&gt;1069&lt;/rec-number&gt;&lt;foreign-keys&gt;&lt;key app="EN" db-id="wprxwptv75dtdree0t5x2ptmvadptw5fr2ww" timestamp="1269348634"&gt;1069&lt;/key&gt;&lt;/foreign-keys&gt;&lt;ref-type name="Journal Article"&gt;17&lt;/ref-type&gt;&lt;contributors&gt;&lt;authors&gt;&lt;author&gt;Chenoweth, L.&lt;/author&gt;&lt;author&gt;King, M.T.&lt;/author&gt;&lt;author&gt;Jeon, Y.H.&lt;/author&gt;&lt;author&gt;Brodaty, H.&lt;/author&gt;&lt;author&gt;Stein-Parbury, J.&lt;/author&gt;&lt;author&gt;Haas, M.&lt;/author&gt;&lt;author&gt;Luscombe, G.&lt;/author&gt;&lt;/authors&gt;&lt;/contributors&gt;&lt;titles&gt;&lt;title&gt;Caring for Aged Dementia Care Resident Study (CADRES) of person-centred dementia care, dementia-care mapping, and usual care in dementia: a cluster-randomised trial&lt;/title&gt;&lt;secondary-title&gt;The Lancet - Neurology&lt;/secondary-title&gt;&lt;/titles&gt;&lt;pages&gt;317-25&lt;/pages&gt;&lt;volume&gt;8&lt;/volume&gt;&lt;number&gt;April&lt;/number&gt;&lt;dates&gt;&lt;year&gt;2009&lt;/year&gt;&lt;/dates&gt;&lt;urls&gt;&lt;/urls&gt;&lt;/record&gt;&lt;/Cite&gt;&lt;/EndNote&gt;</w:instrText>
      </w:r>
      <w:r w:rsidRPr="00563AD3">
        <w:fldChar w:fldCharType="separate"/>
      </w:r>
      <w:r w:rsidR="007301D7" w:rsidRPr="007301D7">
        <w:rPr>
          <w:noProof/>
          <w:vertAlign w:val="superscript"/>
        </w:rPr>
        <w:t>63</w:t>
      </w:r>
      <w:r w:rsidRPr="00563AD3">
        <w:fldChar w:fldCharType="end"/>
      </w:r>
      <w:r w:rsidRPr="00563AD3">
        <w:t xml:space="preserve"> considered a best practice approach to reducing agitation and other BSC</w:t>
      </w:r>
      <w:r w:rsidR="002D32D8">
        <w:t>.</w:t>
      </w:r>
      <w:r w:rsidRPr="00563AD3">
        <w:t xml:space="preserve"> </w:t>
      </w:r>
      <w:r w:rsidRPr="00563AD3">
        <w:fldChar w:fldCharType="begin"/>
      </w:r>
      <w:r w:rsidR="007301D7">
        <w:instrText xml:space="preserve"> ADDIN EN.CITE &lt;EndNote&gt;&lt;Cite&gt;&lt;Author&gt;NICE/SCIE&lt;/Author&gt;&lt;Year&gt;2006&lt;/Year&gt;&lt;RecNum&gt;1128&lt;/RecNum&gt;&lt;DisplayText&gt;&lt;style face="superscript"&gt;59&lt;/style&gt;&lt;/DisplayText&gt;&lt;record&gt;&lt;rec-number&gt;1128&lt;/rec-number&gt;&lt;foreign-keys&gt;&lt;key app="EN" db-id="wprxwptv75dtdree0t5x2ptmvadptw5fr2ww" timestamp="1301900160"&gt;1128&lt;/key&gt;&lt;/foreign-keys&gt;&lt;ref-type name="Report"&gt;27&lt;/ref-type&gt;&lt;contributors&gt;&lt;authors&gt;&lt;author&gt;NICE/SCIE,&lt;/author&gt;&lt;/authors&gt;&lt;/contributors&gt;&lt;titles&gt;&lt;title&gt;Dementia. Supporting people with dementia and their carers in health and social care. NICE clinical guideline 42&lt;/title&gt;&lt;/titles&gt;&lt;dates&gt;&lt;year&gt;2006&lt;/year&gt;&lt;/dates&gt;&lt;pub-location&gt;London&lt;/pub-location&gt;&lt;publisher&gt;British Psychological Society and Royal College of Psychiatrists&lt;/publisher&gt;&lt;urls&gt;&lt;/urls&gt;&lt;/record&gt;&lt;/Cite&gt;&lt;/EndNote&gt;</w:instrText>
      </w:r>
      <w:r w:rsidRPr="00563AD3">
        <w:fldChar w:fldCharType="separate"/>
      </w:r>
      <w:r w:rsidR="007301D7" w:rsidRPr="007301D7">
        <w:rPr>
          <w:noProof/>
          <w:vertAlign w:val="superscript"/>
        </w:rPr>
        <w:t>59</w:t>
      </w:r>
      <w:r w:rsidRPr="00563AD3">
        <w:fldChar w:fldCharType="end"/>
      </w:r>
      <w:r w:rsidRPr="00563AD3">
        <w:t xml:space="preserve"> Person-centred care means providing a supportive social environment within a care setting where people with dementia are valued, treated as individuals, and staff are encouraged to see the world from </w:t>
      </w:r>
      <w:r w:rsidR="00214742" w:rsidRPr="00563AD3">
        <w:t>their</w:t>
      </w:r>
      <w:r w:rsidRPr="00563AD3">
        <w:t xml:space="preserve"> perspective</w:t>
      </w:r>
      <w:r w:rsidR="002D32D8">
        <w:t>.</w:t>
      </w:r>
      <w:r w:rsidRPr="00563AD3">
        <w:t xml:space="preserve"> </w:t>
      </w:r>
      <w:r w:rsidRPr="00563AD3">
        <w:fldChar w:fldCharType="begin"/>
      </w:r>
      <w:r w:rsidR="008C7FD1">
        <w:instrText xml:space="preserve"> ADDIN EN.CITE &lt;EndNote&gt;&lt;Cite&gt;&lt;Author&gt;Brooker&lt;/Author&gt;&lt;Year&gt;2004&lt;/Year&gt;&lt;RecNum&gt;346&lt;/RecNum&gt;&lt;DisplayText&gt;&lt;style face="superscript"&gt;59, 64&lt;/style&gt;&lt;/DisplayText&gt;&lt;record&gt;&lt;rec-number&gt;346&lt;/rec-number&gt;&lt;foreign-keys&gt;&lt;key app="EN" db-id="wprxwptv75dtdree0t5x2ptmvadptw5fr2ww" timestamp="1269348632"&gt;346&lt;/key&gt;&lt;/foreign-keys&gt;&lt;ref-type name="Journal Article"&gt;17&lt;/ref-type&gt;&lt;contributors&gt;&lt;authors&gt;&lt;author&gt;Brooker, D.&lt;/author&gt;&lt;/authors&gt;&lt;/contributors&gt;&lt;titles&gt;&lt;title&gt;What is Person Centred Care for people with Dementia?&lt;/title&gt;&lt;secondary-title&gt;Reviews in Clinical Gerontology&lt;/secondary-title&gt;&lt;/titles&gt;&lt;periodical&gt;&lt;full-title&gt;Reviews in Clinical Gerontology&lt;/full-title&gt;&lt;abbr-1&gt;Rev. Clin. Gerontol.&lt;/abbr-1&gt;&lt;abbr-2&gt;Rev Clin Gerontol&lt;/abbr-2&gt;&lt;/periodical&gt;&lt;pages&gt;215-222&lt;/pages&gt;&lt;volume&gt;13&lt;/volume&gt;&lt;number&gt;3&lt;/number&gt;&lt;dates&gt;&lt;year&gt;2004&lt;/year&gt;&lt;/dates&gt;&lt;urls&gt;&lt;/urls&gt;&lt;/record&gt;&lt;/Cite&gt;&lt;Cite&gt;&lt;Author&gt;NICE/SCIE&lt;/Author&gt;&lt;Year&gt;2006&lt;/Year&gt;&lt;RecNum&gt;1128&lt;/RecNum&gt;&lt;record&gt;&lt;rec-number&gt;1128&lt;/rec-number&gt;&lt;foreign-keys&gt;&lt;key app="EN" db-id="wprxwptv75dtdree0t5x2ptmvadptw5fr2ww" timestamp="1301900160"&gt;1128&lt;/key&gt;&lt;/foreign-keys&gt;&lt;ref-type name="Report"&gt;27&lt;/ref-type&gt;&lt;contributors&gt;&lt;authors&gt;&lt;author&gt;NICE/SCIE,&lt;/author&gt;&lt;/authors&gt;&lt;/contributors&gt;&lt;titles&gt;&lt;title&gt;Dementia. Supporting people with dementia and their carers in health and social care. NICE clinical guideline 42&lt;/title&gt;&lt;/titles&gt;&lt;dates&gt;&lt;year&gt;2006&lt;/year&gt;&lt;/dates&gt;&lt;pub-location&gt;London&lt;/pub-location&gt;&lt;publisher&gt;British Psychological Society and Royal College of Psychiatrists&lt;/publisher&gt;&lt;urls&gt;&lt;/urls&gt;&lt;/record&gt;&lt;/Cite&gt;&lt;/EndNote&gt;</w:instrText>
      </w:r>
      <w:r w:rsidRPr="00563AD3">
        <w:fldChar w:fldCharType="separate"/>
      </w:r>
      <w:r w:rsidR="007301D7" w:rsidRPr="007301D7">
        <w:rPr>
          <w:noProof/>
          <w:vertAlign w:val="superscript"/>
        </w:rPr>
        <w:t>59, 64</w:t>
      </w:r>
      <w:r w:rsidRPr="00563AD3">
        <w:fldChar w:fldCharType="end"/>
      </w:r>
      <w:r w:rsidRPr="00563AD3">
        <w:t xml:space="preserve"> Person-centred care, therefore, involves evaluating and responding to the unique needs of each person with dementia and offering an individualised approach. </w:t>
      </w:r>
      <w:r w:rsidR="00D46301" w:rsidRPr="00563AD3">
        <w:t>The National Institute for Health and Care Excellence</w:t>
      </w:r>
      <w:r w:rsidR="006D7B04" w:rsidRPr="00563AD3">
        <w:t xml:space="preserve"> and Social Care Institute for Excellence</w:t>
      </w:r>
      <w:r w:rsidR="00D46301" w:rsidRPr="00563AD3">
        <w:t xml:space="preserve"> (NICE</w:t>
      </w:r>
      <w:r w:rsidR="006D7B04" w:rsidRPr="00563AD3">
        <w:t>/SCIE</w:t>
      </w:r>
      <w:r w:rsidR="00D46301" w:rsidRPr="00563AD3">
        <w:t>) dementia guideline</w:t>
      </w:r>
      <w:r w:rsidRPr="00563AD3">
        <w:t xml:space="preserve"> </w:t>
      </w:r>
      <w:r w:rsidRPr="00563AD3">
        <w:fldChar w:fldCharType="begin"/>
      </w:r>
      <w:r w:rsidR="007301D7">
        <w:instrText xml:space="preserve"> ADDIN EN.CITE &lt;EndNote&gt;&lt;Cite&gt;&lt;Author&gt;NICE/SCIE&lt;/Author&gt;&lt;Year&gt;2006&lt;/Year&gt;&lt;RecNum&gt;1128&lt;/RecNum&gt;&lt;DisplayText&gt;&lt;style face="superscript"&gt;59&lt;/style&gt;&lt;/DisplayText&gt;&lt;record&gt;&lt;rec-number&gt;1128&lt;/rec-number&gt;&lt;foreign-keys&gt;&lt;key app="EN" db-id="wprxwptv75dtdree0t5x2ptmvadptw5fr2ww" timestamp="1301900160"&gt;1128&lt;/key&gt;&lt;/foreign-keys&gt;&lt;ref-type name="Report"&gt;27&lt;/ref-type&gt;&lt;contributors&gt;&lt;authors&gt;&lt;author&gt;NICE/SCIE,&lt;/author&gt;&lt;/authors&gt;&lt;/contributors&gt;&lt;titles&gt;&lt;title&gt;Dementia. Supporting people with dementia and their carers in health and social care. NICE clinical guideline 42&lt;/title&gt;&lt;/titles&gt;&lt;dates&gt;&lt;year&gt;2006&lt;/year&gt;&lt;/dates&gt;&lt;pub-location&gt;London&lt;/pub-location&gt;&lt;publisher&gt;British Psychological Society and Royal College of Psychiatrists&lt;/publisher&gt;&lt;urls&gt;&lt;/urls&gt;&lt;/record&gt;&lt;/Cite&gt;&lt;/EndNote&gt;</w:instrText>
      </w:r>
      <w:r w:rsidRPr="00563AD3">
        <w:fldChar w:fldCharType="separate"/>
      </w:r>
      <w:r w:rsidR="007301D7" w:rsidRPr="007301D7">
        <w:rPr>
          <w:noProof/>
          <w:vertAlign w:val="superscript"/>
        </w:rPr>
        <w:t>59</w:t>
      </w:r>
      <w:r w:rsidRPr="00563AD3">
        <w:fldChar w:fldCharType="end"/>
      </w:r>
      <w:r w:rsidR="00D46301" w:rsidRPr="00563AD3">
        <w:t xml:space="preserve"> </w:t>
      </w:r>
      <w:r w:rsidRPr="00563AD3">
        <w:t>recommend</w:t>
      </w:r>
      <w:r w:rsidR="00D46301" w:rsidRPr="00563AD3">
        <w:t>s</w:t>
      </w:r>
      <w:r w:rsidRPr="00563AD3">
        <w:t xml:space="preserve"> individualised, holistic or person-centred assessment and care planning, with regular review and individually tailored and monitored psychosocial interventions for BSC. Delivery of care that is person-centred is associated with a reduction in agitated behaviours </w:t>
      </w:r>
      <w:r w:rsidRPr="00563AD3">
        <w:fldChar w:fldCharType="begin"/>
      </w:r>
      <w:r w:rsidR="008C7FD1">
        <w:instrText xml:space="preserve"> ADDIN EN.CITE &lt;EndNote&gt;&lt;Cite&gt;&lt;Author&gt;Chrzescijanski&lt;/Author&gt;&lt;Year&gt;2007&lt;/Year&gt;&lt;RecNum&gt;1187&lt;/RecNum&gt;&lt;DisplayText&gt;&lt;style face="superscript"&gt;65&lt;/style&gt;&lt;/DisplayText&gt;&lt;record&gt;&lt;rec-number&gt;1187&lt;/rec-number&gt;&lt;foreign-keys&gt;&lt;key app="EN" db-id="wprxwptv75dtdree0t5x2ptmvadptw5fr2ww" timestamp="1320934514"&gt;1187&lt;/key&gt;&lt;/foreign-keys&gt;&lt;ref-type name="Journal Article"&gt;17&lt;/ref-type&gt;&lt;contributors&gt;&lt;authors&gt;&lt;author&gt;Chrzescijanski, C.&lt;/author&gt;&lt;author&gt;Moyle, W.&lt;/author&gt;&lt;author&gt;Creedy, D.&lt;/author&gt;&lt;/authors&gt;&lt;/contributors&gt;&lt;titles&gt;&lt;title&gt;Reducing dementia-related aggression through a staff education intervention&lt;/title&gt;&lt;secondary-title&gt;Dementia&lt;/secondary-title&gt;&lt;/titles&gt;&lt;periodical&gt;&lt;full-title&gt;Dementia&lt;/full-title&gt;&lt;abbr-1&gt;Dementia&lt;/abbr-1&gt;&lt;abbr-2&gt;Dementia&lt;/abbr-2&gt;&lt;/periodical&gt;&lt;pages&gt;271-86&lt;/pages&gt;&lt;volume&gt;6&lt;/volume&gt;&lt;number&gt;2&lt;/number&gt;&lt;dates&gt;&lt;year&gt;2007&lt;/year&gt;&lt;/dates&gt;&lt;urls&gt;&lt;/urls&gt;&lt;/record&gt;&lt;/Cite&gt;&lt;/EndNote&gt;</w:instrText>
      </w:r>
      <w:r w:rsidRPr="00563AD3">
        <w:fldChar w:fldCharType="separate"/>
      </w:r>
      <w:r w:rsidR="007301D7" w:rsidRPr="007301D7">
        <w:rPr>
          <w:noProof/>
          <w:vertAlign w:val="superscript"/>
        </w:rPr>
        <w:t>65</w:t>
      </w:r>
      <w:r w:rsidRPr="00563AD3">
        <w:fldChar w:fldCharType="end"/>
      </w:r>
      <w:r w:rsidRPr="00563AD3">
        <w:t xml:space="preserve"> and BSC more generally </w:t>
      </w:r>
      <w:r w:rsidRPr="00563AD3">
        <w:fldChar w:fldCharType="begin"/>
      </w:r>
      <w:r w:rsidR="008C7FD1">
        <w:instrText xml:space="preserve"> ADDIN EN.CITE &lt;EndNote&gt;&lt;Cite&gt;&lt;Author&gt;Moniz-Cook&lt;/Author&gt;&lt;Year&gt;2003&lt;/Year&gt;&lt;RecNum&gt;1169&lt;/RecNum&gt;&lt;DisplayText&gt;&lt;style face="superscript"&gt;61&lt;/style&gt;&lt;/DisplayText&gt;&lt;record&gt;&lt;rec-number&gt;1169&lt;/rec-number&gt;&lt;foreign-keys&gt;&lt;key app="EN" db-id="wprxwptv75dtdree0t5x2ptmvadptw5fr2ww" timestamp="1320913986"&gt;1169&lt;/key&gt;&lt;/foreign-keys&gt;&lt;ref-type name="Journal Article"&gt;17&lt;/ref-type&gt;&lt;contributors&gt;&lt;authors&gt;&lt;author&gt;Moniz-Cook, E.&lt;/author&gt;&lt;author&gt;Stokes, G&lt;/author&gt;&lt;author&gt;Agar, S.&lt;/author&gt;&lt;/authors&gt;&lt;/contributors&gt;&lt;titles&gt;&lt;title&gt;Difficult behaviour and dementia in nursing homes: five cases of psychosocial intervention&lt;/title&gt;&lt;secondary-title&gt;Clinical Psychology and Psychotherapy&lt;/secondary-title&gt;&lt;/titles&gt;&lt;pages&gt;197-208&lt;/pages&gt;&lt;volume&gt;10&lt;/volume&gt;&lt;dates&gt;&lt;year&gt;2003&lt;/year&gt;&lt;/dates&gt;&lt;urls&gt;&lt;/urls&gt;&lt;/record&gt;&lt;/Cite&gt;&lt;/EndNote&gt;</w:instrText>
      </w:r>
      <w:r w:rsidRPr="00563AD3">
        <w:fldChar w:fldCharType="separate"/>
      </w:r>
      <w:r w:rsidR="007301D7" w:rsidRPr="007301D7">
        <w:rPr>
          <w:noProof/>
          <w:vertAlign w:val="superscript"/>
        </w:rPr>
        <w:t>61</w:t>
      </w:r>
      <w:r w:rsidRPr="00563AD3">
        <w:fldChar w:fldCharType="end"/>
      </w:r>
      <w:r w:rsidRPr="00563AD3">
        <w:t xml:space="preserve"> and reduced use of anti-psychotics</w:t>
      </w:r>
      <w:r w:rsidR="002D32D8">
        <w:t>.</w:t>
      </w:r>
      <w:r w:rsidRPr="00563AD3">
        <w:t xml:space="preserve"> </w:t>
      </w:r>
      <w:r w:rsidRPr="00563AD3">
        <w:fldChar w:fldCharType="begin">
          <w:fldData xml:space="preserve">PEVuZE5vdGU+PENpdGU+PEF1dGhvcj5Gb3NzZXk8L0F1dGhvcj48WWVhcj4yMDA2PC9ZZWFyPjxS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</w:fldData>
        </w:fldChar>
      </w:r>
      <w:r w:rsidR="008C7FD1">
        <w:instrText xml:space="preserve"> ADDIN EN.CITE </w:instrText>
      </w:r>
      <w:r w:rsidR="008C7FD1">
        <w:fldChar w:fldCharType="begin">
          <w:fldData xml:space="preserve">PEVuZE5vdGU+PENpdGU+PEF1dGhvcj5Gb3NzZXk8L0F1dGhvcj48WWVhcj4yMDA2PC9ZZWFyPjxS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</w:fldData>
        </w:fldChar>
      </w:r>
      <w:r w:rsidR="008C7FD1">
        <w:instrText xml:space="preserve"> ADDIN EN.CITE.DATA </w:instrText>
      </w:r>
      <w:r w:rsidR="008C7FD1">
        <w:fldChar w:fldCharType="end"/>
      </w:r>
      <w:r w:rsidRPr="00563AD3">
        <w:fldChar w:fldCharType="separate"/>
      </w:r>
      <w:r w:rsidR="007301D7" w:rsidRPr="007301D7">
        <w:rPr>
          <w:noProof/>
          <w:vertAlign w:val="superscript"/>
        </w:rPr>
        <w:t>63, 66, 67</w:t>
      </w:r>
      <w:r w:rsidRPr="00563AD3">
        <w:fldChar w:fldCharType="end"/>
      </w:r>
      <w:r w:rsidRPr="00563AD3">
        <w:t xml:space="preserve"> Bird et al </w:t>
      </w:r>
      <w:r w:rsidRPr="00563AD3">
        <w:fldChar w:fldCharType="begin"/>
      </w:r>
      <w:r w:rsidR="00A126E7">
        <w:instrText xml:space="preserve"> ADDIN EN.CITE &lt;EndNote&gt;&lt;Cite&gt;&lt;Author&gt;Bird&lt;/Author&gt;&lt;Year&gt;2009&lt;/Year&gt;&lt;RecNum&gt;1092&lt;/RecNum&gt;&lt;DisplayText&gt;&lt;style face="superscript"&gt;68&lt;/style&gt;&lt;/DisplayText&gt;&lt;record&gt;&lt;rec-number&gt;1092&lt;/rec-number&gt;&lt;foreign-keys&gt;&lt;key app="EN" db-id="wprxwptv75dtdree0t5x2ptmvadptw5fr2ww" timestamp="1295969354"&gt;1092&lt;/key&gt;&lt;/foreign-keys&gt;&lt;ref-type name="Journal Article"&gt;17&lt;/ref-type&gt;&lt;contributors&gt;&lt;authors&gt;&lt;author&gt;Bird, M.&lt;/author&gt;&lt;author&gt;Llewellyn-Jones, R.H.&lt;/author&gt;&lt;author&gt;Korten, A. &lt;/author&gt;&lt;/authors&gt;&lt;/contributors&gt;&lt;titles&gt;&lt;title&gt;An evaluation of the effectiveness of a case-specific approach to challenging behaviour associated with dementia&lt;/title&gt;&lt;secondary-title&gt;Aging and Mental Health&lt;/secondary-title&gt;&lt;/titles&gt;&lt;pages&gt;73-83&lt;/pages&gt;&lt;volume&gt;13&lt;/volume&gt;&lt;number&gt;1&lt;/number&gt;&lt;dates&gt;&lt;year&gt;2009&lt;/year&gt;&lt;/dates&gt;&lt;urls&gt;&lt;/urls&gt;&lt;/record&gt;&lt;/Cite&gt;&lt;/EndNote&gt;</w:instrText>
      </w:r>
      <w:r w:rsidRPr="00563AD3">
        <w:fldChar w:fldCharType="separate"/>
      </w:r>
      <w:r w:rsidR="007301D7" w:rsidRPr="007301D7">
        <w:rPr>
          <w:noProof/>
          <w:vertAlign w:val="superscript"/>
        </w:rPr>
        <w:t>68</w:t>
      </w:r>
      <w:r w:rsidRPr="00563AD3">
        <w:fldChar w:fldCharType="end"/>
      </w:r>
      <w:r w:rsidRPr="00563AD3">
        <w:t xml:space="preserve"> found that multifaceted, individualised interventions lead to significant </w:t>
      </w:r>
      <w:r w:rsidR="00D46301" w:rsidRPr="00563AD3">
        <w:t>reductions</w:t>
      </w:r>
      <w:r w:rsidRPr="00563AD3">
        <w:t xml:space="preserve"> in BSC. </w:t>
      </w:r>
      <w:r w:rsidR="00660B4F" w:rsidRPr="00563AD3">
        <w:t>Therefore, the most useful interventions to effect change</w:t>
      </w:r>
      <w:r w:rsidRPr="00563AD3">
        <w:t xml:space="preserve"> identify individual causes of BSC and suggest appropriate person-centred solutions</w:t>
      </w:r>
      <w:r w:rsidR="002D32D8">
        <w:t>.</w:t>
      </w:r>
      <w:r w:rsidRPr="00563AD3">
        <w:t xml:space="preserve"> </w:t>
      </w:r>
      <w:r w:rsidRPr="00563AD3">
        <w:fldChar w:fldCharType="begin">
          <w:fldData xml:space="preserve">PEVuZE5vdGU+PENpdGU+PEF1dGhvcj5UdXJuZXI8L0F1dGhvcj48WWVhcj4yMDA5PC9ZZWFyPjxS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</w:fldData>
        </w:fldChar>
      </w:r>
      <w:r w:rsidR="00A126E7">
        <w:instrText xml:space="preserve"> ADDIN EN.CITE </w:instrText>
      </w:r>
      <w:r w:rsidR="00A126E7">
        <w:fldChar w:fldCharType="begin">
          <w:fldData xml:space="preserve">PEVuZE5vdGU+PENpdGU+PEF1dGhvcj5UdXJuZXI8L0F1dGhvcj48WWVhcj4yMDA5PC9ZZWFyPjxS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</w:fldData>
        </w:fldChar>
      </w:r>
      <w:r w:rsidR="00A126E7">
        <w:instrText xml:space="preserve"> ADDIN EN.CITE.DATA </w:instrText>
      </w:r>
      <w:r w:rsidR="00A126E7">
        <w:fldChar w:fldCharType="end"/>
      </w:r>
      <w:r w:rsidRPr="00563AD3">
        <w:fldChar w:fldCharType="separate"/>
      </w:r>
      <w:r w:rsidR="007301D7" w:rsidRPr="007301D7">
        <w:rPr>
          <w:noProof/>
          <w:vertAlign w:val="superscript"/>
        </w:rPr>
        <w:t>68-70</w:t>
      </w:r>
      <w:r w:rsidRPr="00563AD3">
        <w:fldChar w:fldCharType="end"/>
      </w:r>
      <w:r w:rsidRPr="00563AD3">
        <w:t xml:space="preserve"> This</w:t>
      </w:r>
      <w:r w:rsidR="00660B4F" w:rsidRPr="00563AD3">
        <w:t xml:space="preserve"> approach</w:t>
      </w:r>
      <w:r w:rsidRPr="00563AD3">
        <w:t xml:space="preserve"> is reliant on staff having the required knowledge, skills and confidence in delivery of person-centred care. Provision of person-centred support is an element of the common induction standards </w:t>
      </w:r>
      <w:r w:rsidRPr="00563AD3">
        <w:fldChar w:fldCharType="begin"/>
      </w:r>
      <w:r w:rsidR="007301D7">
        <w:instrText xml:space="preserve"> ADDIN EN.CITE &lt;EndNote&gt;&lt;Cite&gt;&lt;Author&gt;Skills for Care&lt;/Author&gt;&lt;Year&gt;2010&lt;/Year&gt;&lt;RecNum&gt;1170&lt;/RecNum&gt;&lt;DisplayText&gt;&lt;style face="superscript"&gt;71&lt;/style&gt;&lt;/DisplayText&gt;&lt;record&gt;&lt;rec-number&gt;1170&lt;/rec-number&gt;&lt;foreign-keys&gt;&lt;key app="EN" db-id="wprxwptv75dtdree0t5x2ptmvadptw5fr2ww" timestamp="1320914930"&gt;1170&lt;/key&gt;&lt;/foreign-keys&gt;&lt;ref-type name="Standard"&gt;58&lt;/ref-type&gt;&lt;contributors&gt;&lt;authors&gt;&lt;author&gt;Skills for Care,&lt;/author&gt;&lt;/authors&gt;&lt;/contributors&gt;&lt;titles&gt;&lt;title&gt;Common induction standards (2010 &amp;apos;refreshed&amp;apos; edition)&lt;/title&gt;&lt;/titles&gt;&lt;dates&gt;&lt;year&gt;2010&lt;/year&gt;&lt;/dates&gt;&lt;pub-location&gt;Leeds&lt;/pub-location&gt;&lt;publisher&gt;Skills for Care&lt;/publisher&gt;&lt;urls&gt;&lt;/urls&gt;&lt;/record&gt;&lt;/Cite&gt;&lt;/EndNote&gt;</w:instrText>
      </w:r>
      <w:r w:rsidRPr="00563AD3">
        <w:fldChar w:fldCharType="separate"/>
      </w:r>
      <w:r w:rsidR="007301D7" w:rsidRPr="007301D7">
        <w:rPr>
          <w:noProof/>
          <w:vertAlign w:val="superscript"/>
        </w:rPr>
        <w:t>71</w:t>
      </w:r>
      <w:r w:rsidRPr="00563AD3">
        <w:fldChar w:fldCharType="end"/>
      </w:r>
      <w:r w:rsidRPr="00563AD3">
        <w:t xml:space="preserve"> for all social care workers in England. </w:t>
      </w:r>
      <w:r w:rsidR="00D46301" w:rsidRPr="00563AD3">
        <w:t>P</w:t>
      </w:r>
      <w:r w:rsidRPr="00563AD3">
        <w:t xml:space="preserve">rovision of at least basic training to staff on person-centred care is expected within all care homes in England </w:t>
      </w:r>
      <w:r w:rsidRPr="00563AD3">
        <w:fldChar w:fldCharType="begin"/>
      </w:r>
      <w:r w:rsidR="007301D7">
        <w:instrText xml:space="preserve"> ADDIN EN.CITE &lt;EndNote&gt;&lt;Cite&gt;&lt;Author&gt;NICE/SCIE&lt;/Author&gt;&lt;Year&gt;2006&lt;/Year&gt;&lt;RecNum&gt;1128&lt;/RecNum&gt;&lt;DisplayText&gt;&lt;style face="superscript"&gt;59&lt;/style&gt;&lt;/DisplayText&gt;&lt;record&gt;&lt;rec-number&gt;1128&lt;/rec-number&gt;&lt;foreign-keys&gt;&lt;key app="EN" db-id="wprxwptv75dtdree0t5x2ptmvadptw5fr2ww" timestamp="1301900160"&gt;1128&lt;/key&gt;&lt;/foreign-keys&gt;&lt;ref-type name="Report"&gt;27&lt;/ref-type&gt;&lt;contributors&gt;&lt;authors&gt;&lt;author&gt;NICE/SCIE,&lt;/author&gt;&lt;/authors&gt;&lt;/contributors&gt;&lt;titles&gt;&lt;title&gt;Dementia. Supporting people with dementia and their carers in health and social care. NICE clinical guideline 42&lt;/title&gt;&lt;/titles&gt;&lt;dates&gt;&lt;year&gt;2006&lt;/year&gt;&lt;/dates&gt;&lt;pub-location&gt;London&lt;/pub-location&gt;&lt;publisher&gt;British Psychological Society and Royal College of Psychiatrists&lt;/publisher&gt;&lt;urls&gt;&lt;/urls&gt;&lt;/record&gt;&lt;/Cite&gt;&lt;/EndNote&gt;</w:instrText>
      </w:r>
      <w:r w:rsidRPr="00563AD3">
        <w:fldChar w:fldCharType="separate"/>
      </w:r>
      <w:r w:rsidR="007301D7" w:rsidRPr="007301D7">
        <w:rPr>
          <w:noProof/>
          <w:vertAlign w:val="superscript"/>
        </w:rPr>
        <w:t>59</w:t>
      </w:r>
      <w:r w:rsidRPr="00563AD3">
        <w:fldChar w:fldCharType="end"/>
      </w:r>
      <w:r w:rsidRPr="00563AD3">
        <w:t xml:space="preserve"> and is a regulatory requirement</w:t>
      </w:r>
      <w:r w:rsidR="002D32D8">
        <w:t>.</w:t>
      </w:r>
      <w:r w:rsidRPr="00563AD3">
        <w:t xml:space="preserve"> </w:t>
      </w:r>
      <w:r w:rsidRPr="00563AD3">
        <w:fldChar w:fldCharType="begin"/>
      </w:r>
      <w:r w:rsidR="007301D7">
        <w:instrText xml:space="preserve"> ADDIN EN.CITE &lt;EndNote&gt;&lt;Cite&gt;&lt;Author&gt;Care Quality Commission&lt;/Author&gt;&lt;Year&gt;2010&lt;/Year&gt;&lt;RecNum&gt;1129&lt;/RecNum&gt;&lt;DisplayText&gt;&lt;style face="superscript"&gt;72&lt;/style&gt;&lt;/DisplayText&gt;&lt;record&gt;&lt;rec-number&gt;1129&lt;/rec-number&gt;&lt;foreign-keys&gt;&lt;key app="EN" db-id="wprxwptv75dtdree0t5x2ptmvadptw5fr2ww" timestamp="1301902003"&gt;1129&lt;/key&gt;&lt;/foreign-keys&gt;&lt;ref-type name="Report"&gt;27&lt;/ref-type&gt;&lt;contributors&gt;&lt;authors&gt;&lt;author&gt;Care Quality Commission, &lt;/author&gt;&lt;/authors&gt;&lt;/contributors&gt;&lt;titles&gt;&lt;title&gt;Guidance about compliance. Essential standards of quality and safety&lt;/title&gt;&lt;/titles&gt;&lt;dates&gt;&lt;year&gt;2010&lt;/year&gt;&lt;/dates&gt;&lt;pub-location&gt;London&lt;/pub-location&gt;&lt;publisher&gt;Care Quality Commission&lt;/publisher&gt;&lt;urls&gt;&lt;/urls&gt;&lt;/record&gt;&lt;/Cite&gt;&lt;/EndNote&gt;</w:instrText>
      </w:r>
      <w:r w:rsidRPr="00563AD3">
        <w:fldChar w:fldCharType="separate"/>
      </w:r>
      <w:r w:rsidR="007301D7" w:rsidRPr="007301D7">
        <w:rPr>
          <w:noProof/>
          <w:vertAlign w:val="superscript"/>
        </w:rPr>
        <w:t>72</w:t>
      </w:r>
      <w:r w:rsidRPr="00563AD3">
        <w:fldChar w:fldCharType="end"/>
      </w:r>
      <w:r w:rsidRPr="00563AD3">
        <w:t xml:space="preserve"> </w:t>
      </w:r>
      <w:r w:rsidR="00214742" w:rsidRPr="00563AD3">
        <w:t>Currently</w:t>
      </w:r>
      <w:r w:rsidRPr="00563AD3">
        <w:t xml:space="preserve">, there are no widely </w:t>
      </w:r>
      <w:r w:rsidR="00214742" w:rsidRPr="00563AD3">
        <w:t>implemented</w:t>
      </w:r>
      <w:r w:rsidRPr="00563AD3">
        <w:t xml:space="preserve">, </w:t>
      </w:r>
      <w:r w:rsidR="00214742" w:rsidRPr="00563AD3">
        <w:t xml:space="preserve">quality criteria for </w:t>
      </w:r>
      <w:r w:rsidRPr="00563AD3">
        <w:t>person-centred care training (PCCT) and content, approaches, quality and efficacy of PCCT vary considerably across the sector</w:t>
      </w:r>
      <w:r w:rsidR="002D32D8">
        <w:t>.</w:t>
      </w:r>
      <w:r w:rsidRPr="00563AD3">
        <w:t xml:space="preserve"> </w:t>
      </w:r>
      <w:r w:rsidRPr="00563AD3">
        <w:fldChar w:fldCharType="begin"/>
      </w:r>
      <w:r w:rsidR="007301D7">
        <w:instrText xml:space="preserve"> ADDIN EN.CITE &lt;EndNote&gt;&lt;Cite&gt;&lt;Author&gt;CSCI&lt;/Author&gt;&lt;Year&gt;2008&lt;/Year&gt;&lt;RecNum&gt;1070&lt;/RecNum&gt;&lt;DisplayText&gt;&lt;style face="superscript"&gt;73&lt;/style&gt;&lt;/DisplayText&gt;&lt;record&gt;&lt;rec-number&gt;1070&lt;/rec-number&gt;&lt;foreign-keys&gt;&lt;key app="EN" db-id="wprxwptv75dtdree0t5x2ptmvadptw5fr2ww" timestamp="1269348634"&gt;1070&lt;/key&gt;&lt;/foreign-keys&gt;&lt;ref-type name="Report"&gt;27&lt;/ref-type&gt;&lt;contributors&gt;&lt;authors&gt;&lt;author&gt;CSCI,&lt;/author&gt;&lt;/authors&gt;&lt;/contributors&gt;&lt;titles&gt;&lt;title&gt;See me not just the dementia. Understanding people&amp;apos;s experiences of living in a care home&lt;/title&gt;&lt;/titles&gt;&lt;dates&gt;&lt;year&gt;2008&lt;/year&gt;&lt;/dates&gt;&lt;pub-location&gt;London&lt;/pub-location&gt;&lt;publisher&gt;CSCI&lt;/publisher&gt;&lt;urls&gt;&lt;related-urls&gt;&lt;url&gt;http://www.cqc.org.uk/_db/_documents/Dementia%20Report-web.pdf&lt;/url&gt;&lt;/related-urls&gt;&lt;/urls&gt;&lt;/record&gt;&lt;/Cite&gt;&lt;/EndNote&gt;</w:instrText>
      </w:r>
      <w:r w:rsidRPr="00563AD3">
        <w:fldChar w:fldCharType="separate"/>
      </w:r>
      <w:r w:rsidR="007301D7" w:rsidRPr="007301D7">
        <w:rPr>
          <w:noProof/>
          <w:vertAlign w:val="superscript"/>
        </w:rPr>
        <w:t>73</w:t>
      </w:r>
      <w:r w:rsidRPr="00563AD3">
        <w:fldChar w:fldCharType="end"/>
      </w:r>
      <w:r w:rsidRPr="00563AD3">
        <w:t xml:space="preserve"> Effective PCCT can produce immediate practice benefits</w:t>
      </w:r>
      <w:r w:rsidR="002D32D8">
        <w:t>,</w:t>
      </w:r>
      <w:r w:rsidRPr="00563AD3">
        <w:t xml:space="preserve"> </w:t>
      </w:r>
      <w:r w:rsidRPr="00563AD3">
        <w:fldChar w:fldCharType="begin"/>
      </w:r>
      <w:r w:rsidR="008C7FD1">
        <w:instrText xml:space="preserve"> ADDIN EN.CITE &lt;EndNote&gt;&lt;Cite&gt;&lt;Author&gt;Moniz-Cook&lt;/Author&gt;&lt;Year&gt;1998&lt;/Year&gt;&lt;RecNum&gt;1123&lt;/RecNum&gt;&lt;DisplayText&gt;&lt;style face="superscript"&gt;65, 67&lt;/style&gt;&lt;/DisplayText&gt;&lt;record&gt;&lt;rec-number&gt;1123&lt;/rec-number&gt;&lt;foreign-keys&gt;&lt;key app="EN" db-id="wprxwptv75dtdree0t5x2ptmvadptw5fr2ww" timestamp="1300725543"&gt;1123&lt;/key&gt;&lt;/foreign-keys&gt;&lt;ref-type name="Journal Article"&gt;17&lt;/ref-type&gt;&lt;contributors&gt;&lt;authors&gt;&lt;author&gt;Moniz-Cook, E.&lt;/author&gt;&lt;author&gt;Agar, S.&lt;/author&gt;&lt;author&gt;Silver, M.&lt;/author&gt;&lt;author&gt;Woods, R.T&lt;/author&gt;&lt;author&gt;Wang, M.&lt;/author&gt;&lt;author&gt;Elston, C&lt;/author&gt;&lt;author&gt;Win, T.&lt;/author&gt;&lt;/authors&gt;&lt;/contributors&gt;&lt;titles&gt;&lt;title&gt;Can staff training reduce behavioural problems in residential care for the elderly mentally ill?&lt;/title&gt;&lt;secondary-title&gt;International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149-158&lt;/pages&gt;&lt;volume&gt;13&lt;/volume&gt;&lt;dates&gt;&lt;year&gt;1998&lt;/year&gt;&lt;/dates&gt;&lt;urls&gt;&lt;/urls&gt;&lt;/record&gt;&lt;/Cite&gt;&lt;Cite&gt;&lt;Author&gt;Chrzescijanski&lt;/Author&gt;&lt;Year&gt;2007&lt;/Year&gt;&lt;RecNum&gt;1187&lt;/RecNum&gt;&lt;record&gt;&lt;rec-number&gt;1187&lt;/rec-number&gt;&lt;foreign-keys&gt;&lt;key app="EN" db-id="wprxwptv75dtdree0t5x2ptmvadptw5fr2ww" timestamp="1320934514"&gt;1187&lt;/key&gt;&lt;/foreign-keys&gt;&lt;ref-type name="Journal Article"&gt;17&lt;/ref-type&gt;&lt;contributors&gt;&lt;authors&gt;&lt;author&gt;Chrzescijanski, C.&lt;/author&gt;&lt;author&gt;Moyle, W.&lt;/author&gt;&lt;author&gt;Creedy, D.&lt;/author&gt;&lt;/authors&gt;&lt;/contributors&gt;&lt;titles&gt;&lt;title&gt;Reducing dementia-related aggression through a staff education intervention&lt;/title&gt;&lt;secondary-title&gt;Dementia&lt;/secondary-title&gt;&lt;/titles&gt;&lt;periodical&gt;&lt;full-title&gt;Dementia&lt;/full-title&gt;&lt;abbr-1&gt;Dementia&lt;/abbr-1&gt;&lt;abbr-2&gt;Dementia&lt;/abbr-2&gt;&lt;/periodical&gt;&lt;pages&gt;271-86&lt;/pages&gt;&lt;volume&gt;6&lt;/volume&gt;&lt;number&gt;2&lt;/number&gt;&lt;dates&gt;&lt;year&gt;2007&lt;/year&gt;&lt;/dates&gt;&lt;urls&gt;&lt;/urls&gt;&lt;/record&gt;&lt;/Cite&gt;&lt;/EndNote&gt;</w:instrText>
      </w:r>
      <w:r w:rsidRPr="00563AD3">
        <w:fldChar w:fldCharType="separate"/>
      </w:r>
      <w:r w:rsidR="007301D7" w:rsidRPr="007301D7">
        <w:rPr>
          <w:noProof/>
          <w:vertAlign w:val="superscript"/>
        </w:rPr>
        <w:t>65, 67</w:t>
      </w:r>
      <w:r w:rsidRPr="00563AD3">
        <w:fldChar w:fldCharType="end"/>
      </w:r>
      <w:r w:rsidRPr="00563AD3">
        <w:t xml:space="preserve"> however due to the variability of the amount, content and quality of PCCT staff receive across the sector, knowledge, skills and staff confidence levels in relation to delivery of person-centred care remain </w:t>
      </w:r>
      <w:r w:rsidR="00441760" w:rsidRPr="00563AD3">
        <w:t>a concern</w:t>
      </w:r>
      <w:r w:rsidR="002D32D8">
        <w:t>.</w:t>
      </w:r>
      <w:r w:rsidRPr="00563AD3">
        <w:t xml:space="preserve"> </w:t>
      </w:r>
      <w:r w:rsidRPr="00563AD3">
        <w:fldChar w:fldCharType="begin"/>
      </w:r>
      <w:r w:rsidR="008C7FD1">
        <w:instrText xml:space="preserve"> ADDIN EN.CITE &lt;EndNote&gt;&lt;Cite&gt;&lt;Author&gt;Furaker&lt;/Author&gt;&lt;Year&gt;2009&lt;/Year&gt;&lt;RecNum&gt;1189&lt;/RecNum&gt;&lt;DisplayText&gt;&lt;style face="superscript"&gt;49, 74&lt;/style&gt;&lt;/DisplayText&gt;&lt;record&gt;&lt;rec-number&gt;1189&lt;/rec-number&gt;&lt;foreign-keys&gt;&lt;key app="EN" db-id="wprxwptv75dtdree0t5x2ptmvadptw5fr2ww" timestamp="1320936614"&gt;1189&lt;/key&gt;&lt;/foreign-keys&gt;&lt;ref-type name="Journal Article"&gt;17&lt;/ref-type&gt;&lt;contributors&gt;&lt;authors&gt;&lt;author&gt;Furaker, C.&lt;/author&gt;&lt;author&gt;Nilsson, A.&lt;/author&gt;&lt;/authors&gt;&lt;/contributors&gt;&lt;titles&gt;&lt;title&gt;The competence of certified nurse assistants caring for persons with dementia diseases in residential facilities&lt;/title&gt;&lt;secondary-title&gt;Journal of Psychiatric and Mental Health Nursing&lt;/secondary-title&gt;&lt;/titles&gt;&lt;periodical&gt;&lt;full-title&gt;Journal of Psychiatric and Mental Health Nursing&lt;/full-title&gt;&lt;abbr-1&gt;J. Psychiatr. Ment. Health Nurs.&lt;/abbr-1&gt;&lt;abbr-2&gt;J Psychiatr Ment Health Nurs&lt;/abbr-2&gt;&lt;abbr-3&gt;Journal of Psychiatric &amp;amp; Mental Health Nursing&lt;/abbr-3&gt;&lt;/periodical&gt;&lt;pages&gt;146-52&lt;/pages&gt;&lt;volume&gt;16&lt;/volume&gt;&lt;dates&gt;&lt;year&gt;2009&lt;/year&gt;&lt;/dates&gt;&lt;urls&gt;&lt;/urls&gt;&lt;/record&gt;&lt;/Cite&gt;&lt;Cite&gt;&lt;Author&gt;Hughes&lt;/Author&gt;&lt;Year&gt;2008&lt;/Year&gt;&lt;RecNum&gt;1162&lt;/RecNum&gt;&lt;record&gt;&lt;rec-number&gt;1162&lt;/rec-number&gt;&lt;foreign-keys&gt;&lt;key app="EN" db-id="wprxwptv75dtdree0t5x2ptmvadptw5fr2ww" timestamp="1320785929"&gt;1162&lt;/key&gt;&lt;/foreign-keys&gt;&lt;ref-type name="Journal Article"&gt;17&lt;/ref-type&gt;&lt;contributors&gt;&lt;authors&gt;&lt;author&gt;Hughes, J.&lt;/author&gt;&lt;author&gt;Bagley, H.&lt;/author&gt;&lt;author&gt;Reilly, S.&lt;/author&gt;&lt;author&gt;Burns, A.&lt;/author&gt;&lt;author&gt;Challis, D.&lt;/author&gt;&lt;/authors&gt;&lt;/contributors&gt;&lt;titles&gt;&lt;title&gt;Care staff working with people with dementia. Training, knowledge and confidence&lt;/title&gt;&lt;secondary-title&gt;Dementia&lt;/secondary-title&gt;&lt;/titles&gt;&lt;periodical&gt;&lt;full-title&gt;Dementia&lt;/full-title&gt;&lt;abbr-1&gt;Dementia&lt;/abbr-1&gt;&lt;abbr-2&gt;Dementia&lt;/abbr-2&gt;&lt;/periodical&gt;&lt;pages&gt;227-238&lt;/pages&gt;&lt;volume&gt;7&lt;/volume&gt;&lt;number&gt;2&lt;/number&gt;&lt;dates&gt;&lt;year&gt;2008&lt;/year&gt;&lt;/dates&gt;&lt;urls&gt;&lt;/urls&gt;&lt;/record&gt;&lt;/Cite&gt;&lt;/EndNote&gt;</w:instrText>
      </w:r>
      <w:r w:rsidRPr="00563AD3">
        <w:fldChar w:fldCharType="separate"/>
      </w:r>
      <w:r w:rsidR="007301D7" w:rsidRPr="007301D7">
        <w:rPr>
          <w:noProof/>
          <w:vertAlign w:val="superscript"/>
        </w:rPr>
        <w:t>49, 74</w:t>
      </w:r>
      <w:r w:rsidRPr="00563AD3">
        <w:fldChar w:fldCharType="end"/>
      </w:r>
      <w:r w:rsidRPr="00563AD3">
        <w:t xml:space="preserve"> </w:t>
      </w:r>
      <w:r w:rsidR="00441760" w:rsidRPr="00563AD3">
        <w:t xml:space="preserve">Research indicates standardising PCCT is unlikely to address these issues </w:t>
      </w:r>
      <w:r w:rsidR="00EC2AA2">
        <w:fldChar w:fldCharType="begin"/>
      </w:r>
      <w:r w:rsidR="008C7FD1">
        <w:instrText xml:space="preserve"> ADDIN EN.CITE &lt;EndNote&gt;&lt;Cite&gt;&lt;Author&gt;Surr&lt;/Author&gt;&lt;Year&gt;2017&lt;/Year&gt;&lt;RecNum&gt;1730&lt;/RecNum&gt;&lt;DisplayText&gt;&lt;style face="superscript"&gt;14&lt;/style&gt;&lt;/DisplayText&gt;&lt;record&gt;&lt;rec-number&gt;1730&lt;/rec-number&gt;&lt;foreign-keys&gt;&lt;key app="EN" db-id="wprxwptv75dtdree0t5x2ptmvadptw5fr2ww" timestamp="1511164700"&gt;1730&lt;/key&gt;&lt;/foreign-keys&gt;&lt;ref-type name="Journal Article"&gt;17&lt;/ref-type&gt;&lt;contributors&gt;&lt;authors&gt;&lt;author&gt;Surr, C.&lt;/author&gt;&lt;author&gt;Gates, C.&lt;/author&gt;&lt;author&gt;Irving, D.&lt;/author&gt;&lt;author&gt;Oyebode, J.&lt;/author&gt;&lt;author&gt;Smith, S.J.&lt;/author&gt;&lt;author&gt;Parveen, S.&lt;/author&gt;&lt;author&gt;Drury, M. &lt;/author&gt;&lt;author&gt;Dennison, A. &lt;/author&gt;&lt;/authors&gt;&lt;/contributors&gt;&lt;titles&gt;&lt;title&gt;Effective dementia education and training for the health and social care workforce: A systematic review of the literature&lt;/title&gt;&lt;secondary-title&gt;Review of Educational Research&lt;/secondary-title&gt;&lt;/titles&gt;&lt;pages&gt;966-1002&lt;/pages&gt;&lt;volume&gt;87&lt;/volume&gt;&lt;number&gt;5&lt;/number&gt;&lt;dates&gt;&lt;year&gt;2017&lt;/year&gt;&lt;/dates&gt;&lt;urls&gt;&lt;/urls&gt;&lt;/record&gt;&lt;/Cite&gt;&lt;/EndNote&gt;</w:instrText>
      </w:r>
      <w:r w:rsidR="00EC2AA2">
        <w:fldChar w:fldCharType="separate"/>
      </w:r>
      <w:r w:rsidR="00EC2AA2" w:rsidRPr="00EC2AA2">
        <w:rPr>
          <w:noProof/>
          <w:vertAlign w:val="superscript"/>
        </w:rPr>
        <w:t>14</w:t>
      </w:r>
      <w:r w:rsidR="00EC2AA2">
        <w:fldChar w:fldCharType="end"/>
      </w:r>
      <w:r w:rsidR="00441760" w:rsidRPr="00563AD3">
        <w:t xml:space="preserve"> and therefore, evidence-based approaches to help staff sustainably embed PCCT into practice are required</w:t>
      </w:r>
      <w:r w:rsidR="002D32D8">
        <w:t>.</w:t>
      </w:r>
      <w:r w:rsidR="00441760" w:rsidRPr="00563AD3">
        <w:t xml:space="preserve"> </w:t>
      </w:r>
      <w:r w:rsidR="007F424F" w:rsidRPr="00563AD3">
        <w:fldChar w:fldCharType="begin"/>
      </w:r>
      <w:r w:rsidR="008C7FD1">
        <w:instrText xml:space="preserve"> ADDIN EN.CITE &lt;EndNote&gt;&lt;Cite&gt;&lt;Author&gt;Fossey&lt;/Author&gt;&lt;Year&gt;2014&lt;/Year&gt;&lt;RecNum&gt;1741&lt;/RecNum&gt;&lt;DisplayText&gt;&lt;style face="superscript"&gt;15&lt;/style&gt;&lt;/DisplayText&gt;&lt;record&gt;&lt;rec-number&gt;1741&lt;/rec-number&gt;&lt;foreign-keys&gt;&lt;key app="EN" db-id="wprxwptv75dtdree0t5x2ptmvadptw5fr2ww" timestamp="1511786203"&gt;1741&lt;/key&gt;&lt;/foreign-keys&gt;&lt;ref-type name="Journal Article"&gt;17&lt;/ref-type&gt;&lt;contributors&gt;&lt;authors&gt;&lt;author&gt;Fossey, J.&lt;/author&gt;&lt;author&gt;Masson, S.&lt;/author&gt;&lt;author&gt;Stafford, J.&lt;/author&gt;&lt;author&gt;Lawrence, V.&lt;/author&gt;&lt;author&gt;Corbett, A.&lt;/author&gt;&lt;author&gt;Ballard, C.&lt;/author&gt;&lt;/authors&gt;&lt;/contributors&gt;&lt;titles&gt;&lt;title&gt;The disconnect between evidence and practice: a systematic review of person-centred interventions and training manuals for care home staff working with people with dementia&lt;/title&gt;&lt;secondary-title&gt;International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Psychiatry&lt;/abbr-2&gt;&lt;/periodical&gt;&lt;pages&gt;797-807&lt;/pages&gt;&lt;volume&gt;29&lt;/volume&gt;&lt;number&gt;8&lt;/number&gt;&lt;dates&gt;&lt;year&gt;2014&lt;/year&gt;&lt;/dates&gt;&lt;urls&gt;&lt;/urls&gt;&lt;/record&gt;&lt;/Cite&gt;&lt;/EndNote&gt;</w:instrText>
      </w:r>
      <w:r w:rsidR="007F424F" w:rsidRPr="00563AD3">
        <w:fldChar w:fldCharType="separate"/>
      </w:r>
      <w:r w:rsidR="007301D7" w:rsidRPr="007301D7">
        <w:rPr>
          <w:noProof/>
          <w:vertAlign w:val="superscript"/>
        </w:rPr>
        <w:t>15</w:t>
      </w:r>
      <w:r w:rsidR="007F424F" w:rsidRPr="00563AD3">
        <w:fldChar w:fldCharType="end"/>
      </w:r>
      <w:r w:rsidR="00441760" w:rsidRPr="00563AD3">
        <w:t xml:space="preserve"> </w:t>
      </w:r>
    </w:p>
    <w:p w14:paraId="6C8F5766" w14:textId="372B58DA" w:rsidR="001927C1" w:rsidRPr="00563AD3" w:rsidRDefault="001927C1" w:rsidP="009B13F3">
      <w:r w:rsidRPr="00563AD3">
        <w:t xml:space="preserve">Whilst effective PCCT can produce immediate practice benefits, evidence suggests, that PCCT alone might not sustain change over time </w:t>
      </w:r>
      <w:r w:rsidRPr="00563AD3">
        <w:fldChar w:fldCharType="begin">
          <w:fldData xml:space="preserve">PEVuZE5vdGU+PENpdGU+PEF1dGhvcj5Nb25pei1Db29rPC9BdXRob3I+PFllYXI+MTk5ODwvWWVh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</w:fldData>
        </w:fldChar>
      </w:r>
      <w:r w:rsidR="008C7FD1">
        <w:instrText xml:space="preserve"> ADDIN EN.CITE </w:instrText>
      </w:r>
      <w:r w:rsidR="008C7FD1">
        <w:fldChar w:fldCharType="begin">
          <w:fldData xml:space="preserve">PEVuZE5vdGU+PENpdGU+PEF1dGhvcj5Nb25pei1Db29rPC9BdXRob3I+PFllYXI+MTk5ODwvWWVh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</w:fldData>
        </w:fldChar>
      </w:r>
      <w:r w:rsidR="008C7FD1">
        <w:instrText xml:space="preserve"> ADDIN EN.CITE.DATA </w:instrText>
      </w:r>
      <w:r w:rsidR="008C7FD1">
        <w:fldChar w:fldCharType="end"/>
      </w:r>
      <w:r w:rsidRPr="00563AD3">
        <w:fldChar w:fldCharType="separate"/>
      </w:r>
      <w:r w:rsidR="00EC2AA2" w:rsidRPr="00EC2AA2">
        <w:rPr>
          <w:noProof/>
          <w:vertAlign w:val="superscript"/>
        </w:rPr>
        <w:t>13, 65, 67, 75</w:t>
      </w:r>
      <w:r w:rsidRPr="00563AD3">
        <w:fldChar w:fldCharType="end"/>
      </w:r>
      <w:r w:rsidR="00D46301" w:rsidRPr="00563AD3">
        <w:t xml:space="preserve"> and</w:t>
      </w:r>
      <w:r w:rsidR="00084D0E" w:rsidRPr="00563AD3">
        <w:t xml:space="preserve"> that </w:t>
      </w:r>
      <w:r w:rsidRPr="00563AD3">
        <w:t xml:space="preserve">PCCT </w:t>
      </w:r>
      <w:r w:rsidR="00084D0E" w:rsidRPr="00563AD3">
        <w:t>needs to be</w:t>
      </w:r>
      <w:r w:rsidRPr="00563AD3">
        <w:t xml:space="preserve"> accompanied by an additional intervention to support ongoing change</w:t>
      </w:r>
      <w:r w:rsidR="0070364A">
        <w:t>.</w:t>
      </w:r>
      <w:r w:rsidR="00D46301" w:rsidRPr="00563AD3">
        <w:t xml:space="preserve"> </w:t>
      </w:r>
      <w:r w:rsidR="00D46301" w:rsidRPr="00563AD3">
        <w:fldChar w:fldCharType="begin">
          <w:fldData xml:space="preserve">PEVuZE5vdGU+PENpdGU+PEF1dGhvcj5CYWxsYXJkPC9BdXRob3I+PFllYXI+MjAxODwvWWVhcj48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</w:fldData>
        </w:fldChar>
      </w:r>
      <w:r w:rsidR="008C7FD1">
        <w:instrText xml:space="preserve"> ADDIN EN.CITE </w:instrText>
      </w:r>
      <w:r w:rsidR="008C7FD1">
        <w:fldChar w:fldCharType="begin">
          <w:fldData xml:space="preserve">PEVuZE5vdGU+PENpdGU+PEF1dGhvcj5CYWxsYXJkPC9BdXRob3I+PFllYXI+MjAxODwvWWVhcj48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</w:fldData>
        </w:fldChar>
      </w:r>
      <w:r w:rsidR="008C7FD1">
        <w:instrText xml:space="preserve"> ADDIN EN.CITE.DATA </w:instrText>
      </w:r>
      <w:r w:rsidR="008C7FD1">
        <w:fldChar w:fldCharType="end"/>
      </w:r>
      <w:r w:rsidR="00D46301" w:rsidRPr="00563AD3">
        <w:fldChar w:fldCharType="separate"/>
      </w:r>
      <w:r w:rsidR="00EC2AA2" w:rsidRPr="00EC2AA2">
        <w:rPr>
          <w:noProof/>
          <w:vertAlign w:val="superscript"/>
        </w:rPr>
        <w:t>66, 76</w:t>
      </w:r>
      <w:r w:rsidR="00D46301" w:rsidRPr="00563AD3">
        <w:fldChar w:fldCharType="end"/>
      </w:r>
      <w:r w:rsidRPr="00563AD3">
        <w:t xml:space="preserve"> For example, Fossey et al </w:t>
      </w:r>
      <w:r w:rsidRPr="00563AD3">
        <w:fldChar w:fldCharType="begin"/>
      </w:r>
      <w:r w:rsidR="008C7FD1">
        <w:instrText xml:space="preserve"> ADDIN EN.CITE &lt;EndNote&gt;&lt;Cite&gt;&lt;Author&gt;Fossey&lt;/Author&gt;&lt;Year&gt;2006&lt;/Year&gt;&lt;RecNum&gt;1015&lt;/RecNum&gt;&lt;DisplayText&gt;&lt;style face="superscript"&gt;66&lt;/style&gt;&lt;/DisplayText&gt;&lt;record&gt;&lt;rec-number&gt;1015&lt;/rec-number&gt;&lt;foreign-keys&gt;&lt;key app="EN" db-id="wprxwptv75dtdree0t5x2ptmvadptw5fr2ww" timestamp="1269348634"&gt;1015&lt;/key&gt;&lt;/foreign-keys&gt;&lt;ref-type name="Journal Article"&gt;17&lt;/ref-type&gt;&lt;contributors&gt;&lt;authors&gt;&lt;author&gt;Fossey, J.&lt;/author&gt;&lt;author&gt;Ballard, C.&lt;/author&gt;&lt;author&gt;Juszczak, E.&lt;/author&gt;&lt;author&gt;James, I.&lt;/author&gt;&lt;author&gt;Alder, N.&lt;/author&gt;&lt;author&gt;Jacoby, R.&lt;/author&gt;&lt;author&gt;Howard, R.&lt;/author&gt;&lt;/authors&gt;&lt;/contributors&gt;&lt;titles&gt;&lt;title&gt;Effect of enhanced psychosocial care on antipsychotic use in nursing home residents with dementia: cluster randomised controlled trial&lt;/title&gt;&lt;secondary-title&gt;BMJ&lt;/secondary-title&gt;&lt;/titles&gt;&lt;periodical&gt;&lt;full-title&gt;BMJ&lt;/full-title&gt;&lt;abbr-1&gt;BMJ&lt;/abbr-1&gt;&lt;abbr-2&gt;BMJ&lt;/abbr-2&gt;&lt;/periodical&gt;&lt;pages&gt;756-8&lt;/pages&gt;&lt;volume&gt;332&lt;/volume&gt;&lt;number&gt;7544&lt;/number&gt;&lt;dates&gt;&lt;year&gt;2006&lt;/year&gt;&lt;/dates&gt;&lt;urls&gt;&lt;/urls&gt;&lt;/record&gt;&lt;/Cite&gt;&lt;/EndNote&gt;</w:instrText>
      </w:r>
      <w:r w:rsidRPr="00563AD3">
        <w:fldChar w:fldCharType="separate"/>
      </w:r>
      <w:r w:rsidR="007301D7" w:rsidRPr="007301D7">
        <w:rPr>
          <w:noProof/>
          <w:vertAlign w:val="superscript"/>
        </w:rPr>
        <w:t>66</w:t>
      </w:r>
      <w:r w:rsidRPr="00563AD3">
        <w:fldChar w:fldCharType="end"/>
      </w:r>
      <w:r w:rsidRPr="00563AD3">
        <w:t xml:space="preserve"> employed PCCT alongside a comprehensive 10-month focussed intervention for training staff (FITS) including ongoing staff training and support. At post-test antipsychotic medication use had decreased by over 40% in the intervention group. Chenoweth et al </w:t>
      </w:r>
      <w:r w:rsidRPr="00563AD3">
        <w:fldChar w:fldCharType="begin"/>
      </w:r>
      <w:r w:rsidR="008C7FD1">
        <w:instrText xml:space="preserve"> ADDIN EN.CITE &lt;EndNote&gt;&lt;Cite&gt;&lt;Author&gt;Chenoweth&lt;/Author&gt;&lt;Year&gt;2009&lt;/Year&gt;&lt;RecNum&gt;1069&lt;/RecNum&gt;&lt;DisplayText&gt;&lt;style face="superscript"&gt;63&lt;/style&gt;&lt;/DisplayText&gt;&lt;record&gt;&lt;rec-number&gt;1069&lt;/rec-number&gt;&lt;foreign-keys&gt;&lt;key app="EN" db-id="wprxwptv75dtdree0t5x2ptmvadptw5fr2ww" timestamp="1269348634"&gt;1069&lt;/key&gt;&lt;/foreign-keys&gt;&lt;ref-type name="Journal Article"&gt;17&lt;/ref-type&gt;&lt;contributors&gt;&lt;authors&gt;&lt;author&gt;Chenoweth, L.&lt;/author&gt;&lt;author&gt;King, M.T.&lt;/author&gt;&lt;author&gt;Jeon, Y.H.&lt;/author&gt;&lt;author&gt;Brodaty, H.&lt;/author&gt;&lt;author&gt;Stein-Parbury, J.&lt;/author&gt;&lt;author&gt;Haas, M.&lt;/author&gt;&lt;author&gt;Luscombe, G.&lt;/author&gt;&lt;/authors&gt;&lt;/contributors&gt;&lt;titles&gt;&lt;title&gt;Caring for Aged Dementia Care Resident Study (CADRES) of person-centred dementia care, dementia-care mapping, and usual care in dementia: a cluster-randomised trial&lt;/title&gt;&lt;secondary-title&gt;The Lancet - Neurology&lt;/secondary-title&gt;&lt;/titles&gt;&lt;pages&gt;317-25&lt;/pages&gt;&lt;volume&gt;8&lt;/volume&gt;&lt;number&gt;April&lt;/number&gt;&lt;dates&gt;&lt;year&gt;2009&lt;/year&gt;&lt;/dates&gt;&lt;urls&gt;&lt;/urls&gt;&lt;/record&gt;&lt;/Cite&gt;&lt;/EndNote&gt;</w:instrText>
      </w:r>
      <w:r w:rsidRPr="00563AD3">
        <w:fldChar w:fldCharType="separate"/>
      </w:r>
      <w:r w:rsidR="007301D7" w:rsidRPr="007301D7">
        <w:rPr>
          <w:noProof/>
          <w:vertAlign w:val="superscript"/>
        </w:rPr>
        <w:t>63</w:t>
      </w:r>
      <w:r w:rsidRPr="00563AD3">
        <w:fldChar w:fldCharType="end"/>
      </w:r>
      <w:r w:rsidRPr="00563AD3">
        <w:t xml:space="preserve"> provided PCCT to two staff members who then disseminated person-centred care practice across the site. Researchers provided additional individualised care planning and ongoing telephone support during a 4-month intervention period. At 10-months post-randomisation, agitation levels were significantly lower than in the usual care control sites. A limitation of both of these studies is that it is unclear whether PCCT, additional support or both caused the effect. Evidence of efficacy of PCCT after a longer follow-up period is limited</w:t>
      </w:r>
      <w:r w:rsidR="0070364A">
        <w:t>,</w:t>
      </w:r>
      <w:r w:rsidRPr="00563AD3">
        <w:t xml:space="preserve"> </w:t>
      </w:r>
      <w:r w:rsidRPr="00563AD3">
        <w:fldChar w:fldCharType="begin"/>
      </w:r>
      <w:r w:rsidR="007301D7">
        <w:instrText xml:space="preserve"> ADDIN EN.CITE &lt;EndNote&gt;&lt;Cite&gt;&lt;Author&gt;Kuske&lt;/Author&gt;&lt;Year&gt;2007&lt;/Year&gt;&lt;RecNum&gt;1010&lt;/RecNum&gt;&lt;DisplayText&gt;&lt;style face="superscript"&gt;13&lt;/style&gt;&lt;/DisplayText&gt;&lt;record&gt;&lt;rec-number&gt;1010&lt;/rec-number&gt;&lt;foreign-keys&gt;&lt;key app="EN" db-id="wprxwptv75dtdree0t5x2ptmvadptw5fr2ww" timestamp="1269348634"&gt;1010&lt;/key&gt;&lt;/foreign-keys&gt;&lt;ref-type name="Journal Article"&gt;17&lt;/ref-type&gt;&lt;contributors&gt;&lt;authors&gt;&lt;author&gt;Kuske, B.&lt;/author&gt;&lt;author&gt;Hanns, S.&lt;/author&gt;&lt;author&gt;Luck, T.&lt;/author&gt;&lt;author&gt;Angermeyer, M.C.&lt;/author&gt;&lt;author&gt;Behrens, J.&lt;/author&gt;&lt;author&gt;Riedel-Heller, S.G.&lt;/author&gt;&lt;/authors&gt;&lt;/contributors&gt;&lt;titles&gt;&lt;title&gt;Nursing home staff training in dementia care: a systematic review of evaluated programmes&lt;/title&gt;&lt;secondary-title&gt;International Psychogeriatrics&lt;/secondary-title&gt;&lt;/titles&gt;&lt;periodical&gt;&lt;full-title&gt;International Psychogeriatrics&lt;/full-title&gt;&lt;/periodical&gt;&lt;pages&gt;818-41&lt;/pages&gt;&lt;volume&gt;19&lt;/volume&gt;&lt;number&gt;5&lt;/number&gt;&lt;dates&gt;&lt;year&gt;2007&lt;/year&gt;&lt;/dates&gt;&lt;urls&gt;&lt;/urls&gt;&lt;/record&gt;&lt;/Cite&gt;&lt;/EndNote&gt;</w:instrText>
      </w:r>
      <w:r w:rsidRPr="00563AD3">
        <w:fldChar w:fldCharType="separate"/>
      </w:r>
      <w:r w:rsidR="007301D7" w:rsidRPr="007301D7">
        <w:rPr>
          <w:noProof/>
          <w:vertAlign w:val="superscript"/>
        </w:rPr>
        <w:t>13</w:t>
      </w:r>
      <w:r w:rsidRPr="00563AD3">
        <w:fldChar w:fldCharType="end"/>
      </w:r>
      <w:r w:rsidRPr="00563AD3">
        <w:t xml:space="preserve"> however, Moniz-Cook et al. </w:t>
      </w:r>
      <w:r w:rsidRPr="00563AD3">
        <w:fldChar w:fldCharType="begin"/>
      </w:r>
      <w:r w:rsidR="008C7FD1">
        <w:instrText xml:space="preserve"> ADDIN EN.CITE &lt;EndNote&gt;&lt;Cite&gt;&lt;Author&gt;Moniz-Cook&lt;/Author&gt;&lt;Year&gt;1998&lt;/Year&gt;&lt;RecNum&gt;1123&lt;/RecNum&gt;&lt;DisplayText&gt;&lt;style face="superscript"&gt;67&lt;/style&gt;&lt;/DisplayText&gt;&lt;record&gt;&lt;rec-number&gt;1123&lt;/rec-number&gt;&lt;foreign-keys&gt;&lt;key app="EN" db-id="wprxwptv75dtdree0t5x2ptmvadptw5fr2ww" timestamp="1300725543"&gt;1123&lt;/key&gt;&lt;/foreign-keys&gt;&lt;ref-type name="Journal Article"&gt;17&lt;/ref-type&gt;&lt;contributors&gt;&lt;authors&gt;&lt;author&gt;Moniz-Cook, E.&lt;/author&gt;&lt;author&gt;Agar, S.&lt;/author&gt;&lt;author&gt;Silver, M.&lt;/author&gt;&lt;author&gt;Woods, R.T&lt;/author&gt;&lt;author&gt;Wang, M.&lt;/author&gt;&lt;author&gt;Elston, C&lt;/author&gt;&lt;author&gt;Win, T.&lt;/author&gt;&lt;/authors&gt;&lt;/contributors&gt;&lt;titles&gt;&lt;title&gt;Can staff training reduce behavioural problems in residential care for the elderly mentally ill?&lt;/title&gt;&lt;secondary-title&gt;International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Psychiatry&lt;/abbr-2&gt;&lt;/periodical&gt;&lt;pages&gt;149-158&lt;/pages&gt;&lt;volume&gt;13&lt;/volume&gt;&lt;dates&gt;&lt;year&gt;1998&lt;/year&gt;&lt;/dates&gt;&lt;urls&gt;&lt;/urls&gt;&lt;/record&gt;&lt;/Cite&gt;&lt;/EndNote&gt;</w:instrText>
      </w:r>
      <w:r w:rsidRPr="00563AD3">
        <w:fldChar w:fldCharType="separate"/>
      </w:r>
      <w:r w:rsidR="007301D7" w:rsidRPr="007301D7">
        <w:rPr>
          <w:noProof/>
          <w:vertAlign w:val="superscript"/>
        </w:rPr>
        <w:t>67</w:t>
      </w:r>
      <w:r w:rsidRPr="00563AD3">
        <w:fldChar w:fldCharType="end"/>
      </w:r>
      <w:r w:rsidRPr="00563AD3">
        <w:t xml:space="preserve"> found the benefits of PCCT </w:t>
      </w:r>
      <w:r w:rsidR="00084D0E" w:rsidRPr="00563AD3">
        <w:t>alone</w:t>
      </w:r>
      <w:r w:rsidRPr="00563AD3">
        <w:t xml:space="preserve"> were not sustained</w:t>
      </w:r>
      <w:r w:rsidR="00AB08D0" w:rsidRPr="00563AD3">
        <w:t xml:space="preserve"> at one</w:t>
      </w:r>
      <w:r w:rsidRPr="00563AD3">
        <w:t xml:space="preserve">-year. The PCCT programmes evaluated </w:t>
      </w:r>
      <w:r w:rsidR="00084D0E" w:rsidRPr="00563AD3">
        <w:t xml:space="preserve">thus </w:t>
      </w:r>
      <w:r w:rsidRPr="00563AD3">
        <w:t xml:space="preserve">far </w:t>
      </w:r>
      <w:r w:rsidR="00084D0E" w:rsidRPr="00563AD3">
        <w:t>indicate</w:t>
      </w:r>
      <w:r w:rsidRPr="00563AD3">
        <w:t xml:space="preserve"> that </w:t>
      </w:r>
      <w:r w:rsidR="00AB08D0" w:rsidRPr="00563AD3">
        <w:t xml:space="preserve">embedding </w:t>
      </w:r>
      <w:r w:rsidRPr="00563AD3">
        <w:t xml:space="preserve">additional support alongside the training intervention is required to </w:t>
      </w:r>
      <w:r w:rsidR="00084D0E" w:rsidRPr="00563AD3">
        <w:t xml:space="preserve">produce </w:t>
      </w:r>
      <w:r w:rsidRPr="00563AD3">
        <w:t>sustained benefits</w:t>
      </w:r>
      <w:r w:rsidR="00191950">
        <w:t>.</w:t>
      </w:r>
      <w:r w:rsidRPr="00563AD3">
        <w:t xml:space="preserve"> </w:t>
      </w:r>
      <w:r w:rsidRPr="00563AD3">
        <w:fldChar w:fldCharType="begin">
          <w:fldData xml:space="preserve">PEVuZE5vdGU+PENpdGU+PEF1dGhvcj5WaXNzZXI8L0F1dGhvcj48WWVhcj4yMDA4PC9ZZWFyPjxS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==
</w:fldData>
        </w:fldChar>
      </w:r>
      <w:r w:rsidR="008C7FD1">
        <w:instrText xml:space="preserve"> ADDIN EN.CITE </w:instrText>
      </w:r>
      <w:r w:rsidR="008C7FD1">
        <w:fldChar w:fldCharType="begin">
          <w:fldData xml:space="preserve">PEVuZE5vdGU+PENpdGU+PEF1dGhvcj5WaXNzZXI8L0F1dGhvcj48WWVhcj4yMDA4PC9ZZWFyPjxS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==
</w:fldData>
        </w:fldChar>
      </w:r>
      <w:r w:rsidR="008C7FD1">
        <w:instrText xml:space="preserve"> ADDIN EN.CITE.DATA </w:instrText>
      </w:r>
      <w:r w:rsidR="008C7FD1">
        <w:fldChar w:fldCharType="end"/>
      </w:r>
      <w:r w:rsidRPr="00563AD3">
        <w:fldChar w:fldCharType="separate"/>
      </w:r>
      <w:r w:rsidR="00EC2AA2" w:rsidRPr="00EC2AA2">
        <w:rPr>
          <w:noProof/>
          <w:vertAlign w:val="superscript"/>
        </w:rPr>
        <w:t>15, 77, 78</w:t>
      </w:r>
      <w:r w:rsidRPr="00563AD3">
        <w:fldChar w:fldCharType="end"/>
      </w:r>
      <w:r w:rsidRPr="00563AD3">
        <w:t xml:space="preserve"> Implementing evidence-based health care interventions in real world practice is a recognised challenge, with barriers to implementation of research</w:t>
      </w:r>
      <w:r w:rsidR="00B71FD3" w:rsidRPr="00563AD3">
        <w:t>-</w:t>
      </w:r>
      <w:r w:rsidRPr="00563AD3">
        <w:t>designed interventions reported across all areas of practice</w:t>
      </w:r>
      <w:r w:rsidR="00191950">
        <w:t>.</w:t>
      </w:r>
      <w:r w:rsidRPr="00563AD3">
        <w:t xml:space="preserve"> </w:t>
      </w:r>
      <w:r w:rsidRPr="00563AD3">
        <w:fldChar w:fldCharType="begin">
          <w:fldData xml:space="preserve">PEVuZE5vdGU+PENpdGU+PEF1dGhvcj5BbmRyZXdzPC9BdXRob3I+PFllYXI+MjAwOTwvWWVhcj48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</w:fldData>
        </w:fldChar>
      </w:r>
      <w:r w:rsidR="008C7FD1">
        <w:instrText xml:space="preserve"> ADDIN EN.CITE </w:instrText>
      </w:r>
      <w:r w:rsidR="008C7FD1">
        <w:fldChar w:fldCharType="begin">
          <w:fldData xml:space="preserve">PEVuZE5vdGU+PENpdGU+PEF1dGhvcj5BbmRyZXdzPC9BdXRob3I+PFllYXI+MjAwOTwvWWVhcj48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</w:fldData>
        </w:fldChar>
      </w:r>
      <w:r w:rsidR="008C7FD1">
        <w:instrText xml:space="preserve"> ADDIN EN.CITE.DATA </w:instrText>
      </w:r>
      <w:r w:rsidR="008C7FD1">
        <w:fldChar w:fldCharType="end"/>
      </w:r>
      <w:r w:rsidRPr="00563AD3">
        <w:fldChar w:fldCharType="separate"/>
      </w:r>
      <w:r w:rsidR="00EC2AA2" w:rsidRPr="00EC2AA2">
        <w:rPr>
          <w:noProof/>
          <w:vertAlign w:val="superscript"/>
        </w:rPr>
        <w:t>79-81</w:t>
      </w:r>
      <w:r w:rsidRPr="00563AD3">
        <w:fldChar w:fldCharType="end"/>
      </w:r>
      <w:r w:rsidRPr="00563AD3">
        <w:t xml:space="preserve"> Current successful interventions that combine staff training with ongoing support</w:t>
      </w:r>
      <w:r w:rsidR="00AB08D0" w:rsidRPr="00563AD3">
        <w:t>,</w:t>
      </w:r>
      <w:r w:rsidRPr="00563AD3">
        <w:t xml:space="preserve"> such as the FITS</w:t>
      </w:r>
      <w:r w:rsidR="00191950">
        <w:t>,</w:t>
      </w:r>
      <w:r w:rsidRPr="00563AD3">
        <w:t xml:space="preserve"> </w:t>
      </w:r>
      <w:r w:rsidRPr="00563AD3">
        <w:fldChar w:fldCharType="begin"/>
      </w:r>
      <w:r w:rsidR="008C7FD1">
        <w:instrText xml:space="preserve"> ADDIN EN.CITE &lt;EndNote&gt;&lt;Cite&gt;&lt;Author&gt;Fossey&lt;/Author&gt;&lt;Year&gt;2006&lt;/Year&gt;&lt;RecNum&gt;1015&lt;/RecNum&gt;&lt;DisplayText&gt;&lt;style face="superscript"&gt;66&lt;/style&gt;&lt;/DisplayText&gt;&lt;record&gt;&lt;rec-number&gt;1015&lt;/rec-number&gt;&lt;foreign-keys&gt;&lt;key app="EN" db-id="wprxwptv75dtdree0t5x2ptmvadptw5fr2ww" timestamp="1269348634"&gt;1015&lt;/key&gt;&lt;/foreign-keys&gt;&lt;ref-type name="Journal Article"&gt;17&lt;/ref-type&gt;&lt;contributors&gt;&lt;authors&gt;&lt;author&gt;Fossey, J.&lt;/author&gt;&lt;author&gt;Ballard, C.&lt;/author&gt;&lt;author&gt;Juszczak, E.&lt;/author&gt;&lt;author&gt;James, I.&lt;/author&gt;&lt;author&gt;Alder, N.&lt;/author&gt;&lt;author&gt;Jacoby, R.&lt;/author&gt;&lt;author&gt;Howard, R.&lt;/author&gt;&lt;/authors&gt;&lt;/contributors&gt;&lt;titles&gt;&lt;title&gt;Effect of enhanced psychosocial care on antipsychotic use in nursing home residents with dementia: cluster randomised controlled trial&lt;/title&gt;&lt;secondary-title&gt;BMJ&lt;/secondary-title&gt;&lt;/titles&gt;&lt;periodical&gt;&lt;full-title&gt;BMJ&lt;/full-title&gt;&lt;abbr-1&gt;BMJ&lt;/abbr-1&gt;&lt;abbr-2&gt;BMJ&lt;/abbr-2&gt;&lt;/periodical&gt;&lt;pages&gt;756-8&lt;/pages&gt;&lt;volume&gt;332&lt;/volume&gt;&lt;number&gt;7544&lt;/number&gt;&lt;dates&gt;&lt;year&gt;2006&lt;/year&gt;&lt;/dates&gt;&lt;urls&gt;&lt;/urls&gt;&lt;/record&gt;&lt;/Cite&gt;&lt;/EndNote&gt;</w:instrText>
      </w:r>
      <w:r w:rsidRPr="00563AD3">
        <w:fldChar w:fldCharType="separate"/>
      </w:r>
      <w:r w:rsidR="007301D7" w:rsidRPr="007301D7">
        <w:rPr>
          <w:noProof/>
          <w:vertAlign w:val="superscript"/>
        </w:rPr>
        <w:t>66</w:t>
      </w:r>
      <w:r w:rsidRPr="00563AD3">
        <w:fldChar w:fldCharType="end"/>
      </w:r>
      <w:r w:rsidRPr="00563AD3">
        <w:t xml:space="preserve"> are resource intensive requir</w:t>
      </w:r>
      <w:r w:rsidR="00AB08D0" w:rsidRPr="00563AD3">
        <w:t>ing</w:t>
      </w:r>
      <w:r w:rsidRPr="00563AD3">
        <w:t xml:space="preserve"> regular ongoing input from a specialist practitioner and have not yet been possible to implement widely in everyday practice</w:t>
      </w:r>
      <w:r w:rsidR="00191950">
        <w:t>.</w:t>
      </w:r>
      <w:r w:rsidR="00AB08D0" w:rsidRPr="00563AD3">
        <w:t xml:space="preserve"> </w:t>
      </w:r>
      <w:r w:rsidR="00AB08D0" w:rsidRPr="00563AD3">
        <w:fldChar w:fldCharType="begin"/>
      </w:r>
      <w:r w:rsidR="00411708">
        <w:instrText xml:space="preserve"> ADDIN EN.CITE &lt;EndNote&gt;&lt;Cite&gt;&lt;Author&gt;Brooker&lt;/Author&gt;&lt;Year&gt;2016&lt;/Year&gt;&lt;RecNum&gt;1813&lt;/RecNum&gt;&lt;DisplayText&gt;&lt;style face="superscript"&gt;82&lt;/style&gt;&lt;/DisplayText&gt;&lt;record&gt;&lt;rec-number&gt;1813&lt;/rec-number&gt;&lt;foreign-keys&gt;&lt;key app="EN" db-id="wprxwptv75dtdree0t5x2ptmvadptw5fr2ww" timestamp="1518964672"&gt;1813&lt;/key&gt;&lt;/foreign-keys&gt;&lt;ref-type name="Journal Article"&gt;17&lt;/ref-type&gt;&lt;contributors&gt;&lt;authors&gt;&lt;author&gt;Brooker, D.J.&lt;/author&gt;&lt;author&gt;Latham, I.&lt;/author&gt;&lt;author&gt;Evands, S.C.&lt;/author&gt;&lt;author&gt;Jacobson, N.&lt;/author&gt;&lt;author&gt;Perry, W.&lt;/author&gt;&lt;author&gt;Bray, J.&lt;/author&gt;&lt;author&gt;Ballard, C.&lt;/author&gt;&lt;author&gt;Fossey, J.&lt;/author&gt;&lt;author&gt;Pickett, J.&lt;/author&gt;&lt;/authors&gt;&lt;/contributors&gt;&lt;titles&gt;&lt;title&gt;FITS into practice: translating research into practice in reducing the use of anti-psychotic medication for people with dementia living in care homes&lt;/title&gt;&lt;secondary-title&gt;Aging &amp;amp; Mental Health&lt;/secondary-title&gt;&lt;/titles&gt;&lt;periodical&gt;&lt;full-title&gt;Aging &amp;amp; Mental Health&lt;/full-title&gt;&lt;/periodical&gt;&lt;pages&gt;709-718&lt;/pages&gt;&lt;volume&gt;20&lt;/volume&gt;&lt;number&gt;7&lt;/number&gt;&lt;dates&gt;&lt;year&gt;2016&lt;/year&gt;&lt;/dates&gt;&lt;urls&gt;&lt;/urls&gt;&lt;/record&gt;&lt;/Cite&gt;&lt;/EndNote&gt;</w:instrText>
      </w:r>
      <w:r w:rsidR="00AB08D0" w:rsidRPr="00563AD3">
        <w:fldChar w:fldCharType="separate"/>
      </w:r>
      <w:r w:rsidR="00EC2AA2" w:rsidRPr="00EC2AA2">
        <w:rPr>
          <w:noProof/>
          <w:vertAlign w:val="superscript"/>
        </w:rPr>
        <w:t>82</w:t>
      </w:r>
      <w:r w:rsidR="00AB08D0" w:rsidRPr="00563AD3">
        <w:fldChar w:fldCharType="end"/>
      </w:r>
      <w:r w:rsidRPr="00563AD3">
        <w:t xml:space="preserve"> </w:t>
      </w:r>
      <w:r w:rsidR="00AB08D0" w:rsidRPr="00563AD3">
        <w:t>I</w:t>
      </w:r>
      <w:r w:rsidRPr="00563AD3">
        <w:t xml:space="preserve">nterventions that provide staff with knowledge to support BSC that are cost-effective and </w:t>
      </w:r>
      <w:r w:rsidR="00B71FD3" w:rsidRPr="00563AD3">
        <w:t>feasible to implement</w:t>
      </w:r>
      <w:r w:rsidRPr="00563AD3">
        <w:t xml:space="preserve"> are required. Any such intervention will need to accommodate the varying amounts, content and quality of PCCT that is a feature of the sector.</w:t>
      </w:r>
      <w:r w:rsidR="00F4685D" w:rsidRPr="00563AD3">
        <w:t xml:space="preserve"> </w:t>
      </w:r>
      <w:r w:rsidR="00070560" w:rsidRPr="00563AD3">
        <w:t>DCM™</w:t>
      </w:r>
      <w:r w:rsidR="00F4685D" w:rsidRPr="00563AD3">
        <w:t xml:space="preserve"> is a</w:t>
      </w:r>
      <w:r w:rsidR="00AB08D0" w:rsidRPr="00563AD3">
        <w:t>n intervention</w:t>
      </w:r>
      <w:r w:rsidR="00F4685D" w:rsidRPr="00563AD3">
        <w:t xml:space="preserve"> that </w:t>
      </w:r>
      <w:r w:rsidR="003B3D41" w:rsidRPr="00563AD3">
        <w:t>may address this issue.</w:t>
      </w:r>
    </w:p>
    <w:p w14:paraId="2FDCCB77" w14:textId="77777777" w:rsidR="000F79ED" w:rsidRPr="00563AD3" w:rsidRDefault="000F79ED" w:rsidP="009B13F3"/>
    <w:p w14:paraId="2DB3DC7F" w14:textId="0451D702" w:rsidR="001927C1" w:rsidRPr="00563AD3" w:rsidRDefault="001927C1" w:rsidP="009B13F3">
      <w:pPr>
        <w:pStyle w:val="Heading3"/>
      </w:pPr>
      <w:bookmarkStart w:id="24" w:name="_Toc455576261"/>
      <w:bookmarkStart w:id="25" w:name="_Toc525543946"/>
      <w:r w:rsidRPr="00563AD3">
        <w:t>1.1.</w:t>
      </w:r>
      <w:r w:rsidR="008D5BBA" w:rsidRPr="00563AD3">
        <w:t>3</w:t>
      </w:r>
      <w:r w:rsidRPr="00563AD3">
        <w:t xml:space="preserve"> Dementia Care Mapping™ (</w:t>
      </w:r>
      <w:r w:rsidR="00A61329" w:rsidRPr="00563AD3">
        <w:t>DCM™</w:t>
      </w:r>
      <w:r w:rsidRPr="00563AD3">
        <w:t>)</w:t>
      </w:r>
      <w:bookmarkEnd w:id="24"/>
      <w:bookmarkEnd w:id="25"/>
    </w:p>
    <w:p w14:paraId="588FF6F1" w14:textId="6C83C03E" w:rsidR="000F79ED" w:rsidRPr="00563AD3" w:rsidRDefault="00070560" w:rsidP="009B13F3">
      <w:r w:rsidRPr="00563AD3">
        <w:t>DCM™</w:t>
      </w:r>
      <w:r w:rsidR="001927C1" w:rsidRPr="00563AD3">
        <w:t xml:space="preserve"> </w:t>
      </w:r>
      <w:r w:rsidR="001927C1" w:rsidRPr="00563AD3">
        <w:fldChar w:fldCharType="begin"/>
      </w:r>
      <w:r w:rsidR="007301D7">
        <w:instrText xml:space="preserve"> ADDIN EN.CITE &lt;EndNote&gt;&lt;Cite&gt;&lt;Author&gt;Bradford Dementia Group&lt;/Author&gt;&lt;Year&gt;1997&lt;/Year&gt;&lt;RecNum&gt;315&lt;/RecNum&gt;&lt;DisplayText&gt;&lt;style face="superscript"&gt;16, 17&lt;/style&gt;&lt;/DisplayText&gt;&lt;record&gt;&lt;rec-number&gt;315&lt;/rec-number&gt;&lt;foreign-keys&gt;&lt;key app="EN" db-id="wprxwptv75dtdree0t5x2ptmvadptw5fr2ww" timestamp="1269348632"&gt;315&lt;/key&gt;&lt;/foreign-keys&gt;&lt;ref-type name="Book"&gt;6&lt;/ref-type&gt;&lt;contributors&gt;&lt;authors&gt;&lt;author&gt;Bradford Dementia Group,&lt;/author&gt;&lt;/authors&gt;&lt;/contributors&gt;&lt;titles&gt;&lt;title&gt;Evaluating Dementia Care. The DCM Method. 7th Edition.&lt;/title&gt;&lt;/titles&gt;&lt;dates&gt;&lt;year&gt;1997&lt;/year&gt;&lt;/dates&gt;&lt;pub-location&gt;Bradford&lt;/pub-location&gt;&lt;publisher&gt;University of Bradford&lt;/publisher&gt;&lt;urls&gt;&lt;/urls&gt;&lt;/record&gt;&lt;/Cite&gt;&lt;Cite&gt;&lt;Author&gt;Bradford Dementia Group&lt;/Author&gt;&lt;Year&gt;2005&lt;/Year&gt;&lt;RecNum&gt;844&lt;/RecNum&gt;&lt;record&gt;&lt;rec-number&gt;844&lt;/rec-number&gt;&lt;foreign-keys&gt;&lt;key app="EN" db-id="wprxwptv75dtdree0t5x2ptmvadptw5fr2ww" timestamp="1269348633"&gt;844&lt;/key&gt;&lt;/foreign-keys&gt;&lt;ref-type name="Book"&gt;6&lt;/ref-type&gt;&lt;contributors&gt;&lt;authors&gt;&lt;author&gt;Bradford Dementia Group,&lt;/author&gt;&lt;/authors&gt;&lt;/contributors&gt;&lt;titles&gt;&lt;title&gt;DCM 8 User&amp;apos;s Manual&lt;/title&gt;&lt;/titles&gt;&lt;dates&gt;&lt;year&gt;2005&lt;/year&gt;&lt;/dates&gt;&lt;pub-location&gt;Bradford&lt;/pub-location&gt;&lt;publisher&gt;University of Bradford&lt;/publisher&gt;&lt;urls&gt;&lt;/urls&gt;&lt;/record&gt;&lt;/Cite&gt;&lt;/EndNote&gt;</w:instrText>
      </w:r>
      <w:r w:rsidR="001927C1" w:rsidRPr="00563AD3">
        <w:fldChar w:fldCharType="separate"/>
      </w:r>
      <w:r w:rsidR="007301D7" w:rsidRPr="007301D7">
        <w:rPr>
          <w:noProof/>
          <w:vertAlign w:val="superscript"/>
        </w:rPr>
        <w:t>16, 17</w:t>
      </w:r>
      <w:r w:rsidR="001927C1" w:rsidRPr="00563AD3">
        <w:fldChar w:fldCharType="end"/>
      </w:r>
      <w:r w:rsidR="001927C1" w:rsidRPr="00563AD3">
        <w:t xml:space="preserve"> is an established, routine care home/NHS practice development intervention, </w:t>
      </w:r>
      <w:r w:rsidR="00701654" w:rsidRPr="00563AD3">
        <w:t>r</w:t>
      </w:r>
      <w:r w:rsidR="00B71FD3" w:rsidRPr="00563AD3">
        <w:t xml:space="preserve">ecommended </w:t>
      </w:r>
      <w:r w:rsidR="007E5B8C" w:rsidRPr="00563AD3">
        <w:t>in the NICE</w:t>
      </w:r>
      <w:r w:rsidR="006D7B04" w:rsidRPr="00563AD3">
        <w:t>/SCIE</w:t>
      </w:r>
      <w:r w:rsidR="007E5B8C" w:rsidRPr="00563AD3">
        <w:t xml:space="preserve"> dementia guideline</w:t>
      </w:r>
      <w:r w:rsidR="00B71FD3" w:rsidRPr="00563AD3">
        <w:t xml:space="preserve"> </w:t>
      </w:r>
      <w:r w:rsidR="00B71FD3" w:rsidRPr="00563AD3">
        <w:fldChar w:fldCharType="begin"/>
      </w:r>
      <w:r w:rsidR="007301D7">
        <w:instrText xml:space="preserve"> ADDIN EN.CITE &lt;EndNote&gt;&lt;Cite&gt;&lt;Author&gt;NICE/SCIE&lt;/Author&gt;&lt;Year&gt;2006&lt;/Year&gt;&lt;RecNum&gt;1128&lt;/RecNum&gt;&lt;DisplayText&gt;&lt;style face="superscript"&gt;59&lt;/style&gt;&lt;/DisplayText&gt;&lt;record&gt;&lt;rec-number&gt;1128&lt;/rec-number&gt;&lt;foreign-keys&gt;&lt;key app="EN" db-id="wprxwptv75dtdree0t5x2ptmvadptw5fr2ww" timestamp="1301900160"&gt;1128&lt;/key&gt;&lt;/foreign-keys&gt;&lt;ref-type name="Report"&gt;27&lt;/ref-type&gt;&lt;contributors&gt;&lt;authors&gt;&lt;author&gt;NICE/SCIE,&lt;/author&gt;&lt;/authors&gt;&lt;/contributors&gt;&lt;titles&gt;&lt;title&gt;Dementia. Supporting people with dementia and their carers in health and social care. NICE clinical guideline 42&lt;/title&gt;&lt;/titles&gt;&lt;dates&gt;&lt;year&gt;2006&lt;/year&gt;&lt;/dates&gt;&lt;pub-location&gt;London&lt;/pub-location&gt;&lt;publisher&gt;British Psychological Society and Royal College of Psychiatrists&lt;/publisher&gt;&lt;urls&gt;&lt;/urls&gt;&lt;/record&gt;&lt;/Cite&gt;&lt;/EndNote&gt;</w:instrText>
      </w:r>
      <w:r w:rsidR="00B71FD3" w:rsidRPr="00563AD3">
        <w:fldChar w:fldCharType="separate"/>
      </w:r>
      <w:r w:rsidR="007301D7" w:rsidRPr="007301D7">
        <w:rPr>
          <w:noProof/>
          <w:vertAlign w:val="superscript"/>
        </w:rPr>
        <w:t>59</w:t>
      </w:r>
      <w:r w:rsidR="00B71FD3" w:rsidRPr="00563AD3">
        <w:fldChar w:fldCharType="end"/>
      </w:r>
      <w:r w:rsidR="00214742" w:rsidRPr="00563AD3">
        <w:t xml:space="preserve"> </w:t>
      </w:r>
      <w:r w:rsidR="001927C1" w:rsidRPr="00563AD3">
        <w:t>that is regularly used for ensuring a systematic approach to providing indiv</w:t>
      </w:r>
      <w:r w:rsidR="006D7B04" w:rsidRPr="00563AD3">
        <w:t xml:space="preserve">idualised person-centred care. </w:t>
      </w:r>
      <w:r w:rsidRPr="00563AD3">
        <w:t>DCM™</w:t>
      </w:r>
      <w:r w:rsidR="003B3D41" w:rsidRPr="00563AD3">
        <w:t xml:space="preserve"> is an observational tool, set within a practice development cycle </w:t>
      </w:r>
      <w:r w:rsidR="001927C1" w:rsidRPr="00563AD3">
        <w:t>used to support the sustained implementation of PCCT in dementia care practice</w:t>
      </w:r>
      <w:r w:rsidR="00191950">
        <w:t>.</w:t>
      </w:r>
      <w:r w:rsidR="001927C1" w:rsidRPr="00563AD3">
        <w:t xml:space="preserve"> </w:t>
      </w:r>
      <w:r w:rsidR="001927C1" w:rsidRPr="00563AD3">
        <w:fldChar w:fldCharType="begin"/>
      </w:r>
      <w:r w:rsidR="00EC2AA2">
        <w:instrText xml:space="preserve"> ADDIN EN.CITE &lt;EndNote&gt;&lt;Cite&gt;&lt;Author&gt;BSI&lt;/Author&gt;&lt;Year&gt;2010&lt;/Year&gt;&lt;RecNum&gt;1073&lt;/RecNum&gt;&lt;DisplayText&gt;&lt;style face="superscript"&gt;83&lt;/style&gt;&lt;/DisplayText&gt;&lt;record&gt;&lt;rec-number&gt;1073&lt;/rec-number&gt;&lt;foreign-keys&gt;&lt;key app="EN" db-id="wprxwptv75dtdree0t5x2ptmvadptw5fr2ww" timestamp="1269349134"&gt;1073&lt;/key&gt;&lt;/foreign-keys&gt;&lt;ref-type name="Standard"&gt;58&lt;/ref-type&gt;&lt;contributors&gt;&lt;authors&gt;&lt;author&gt;BSI&lt;/author&gt;&lt;/authors&gt;&lt;/contributors&gt;&lt;titles&gt;&lt;title&gt;PAS 800:2010. Use of Dementia Care Mapping for improved person-centred care in a care provider organization. Guide&lt;/title&gt;&lt;/titles&gt;&lt;dates&gt;&lt;year&gt;2010&lt;/year&gt;&lt;/dates&gt;&lt;pub-location&gt;London&lt;/pub-location&gt;&lt;publisher&gt;BSI&lt;/publisher&gt;&lt;urls&gt;&lt;/urls&gt;&lt;/record&gt;&lt;/Cite&gt;&lt;/EndNote&gt;</w:instrText>
      </w:r>
      <w:r w:rsidR="001927C1" w:rsidRPr="00563AD3">
        <w:fldChar w:fldCharType="separate"/>
      </w:r>
      <w:r w:rsidR="00EC2AA2" w:rsidRPr="00EC2AA2">
        <w:rPr>
          <w:noProof/>
          <w:vertAlign w:val="superscript"/>
        </w:rPr>
        <w:t>83</w:t>
      </w:r>
      <w:r w:rsidR="001927C1" w:rsidRPr="00563AD3">
        <w:fldChar w:fldCharType="end"/>
      </w:r>
      <w:r w:rsidR="00075E0E" w:rsidRPr="00563AD3">
        <w:t xml:space="preserve"> </w:t>
      </w:r>
      <w:r w:rsidR="00E31EF9" w:rsidRPr="00563AD3">
        <w:t xml:space="preserve">Following </w:t>
      </w:r>
      <w:r w:rsidRPr="00563AD3">
        <w:t xml:space="preserve">initial </w:t>
      </w:r>
      <w:r w:rsidR="00E31EF9" w:rsidRPr="00563AD3">
        <w:t xml:space="preserve">formal training of </w:t>
      </w:r>
      <w:r w:rsidRPr="00563AD3">
        <w:t>care staff</w:t>
      </w:r>
      <w:r w:rsidR="00E31EF9" w:rsidRPr="00563AD3">
        <w:t xml:space="preserve"> to use the tool, </w:t>
      </w:r>
      <w:r w:rsidR="003B3D41" w:rsidRPr="00563AD3">
        <w:t>application</w:t>
      </w:r>
      <w:r w:rsidR="001927C1" w:rsidRPr="00563AD3">
        <w:t xml:space="preserve"> includes five phases: briefing, observation, </w:t>
      </w:r>
      <w:r w:rsidR="00E31EF9" w:rsidRPr="00563AD3">
        <w:t xml:space="preserve">data </w:t>
      </w:r>
      <w:r w:rsidR="001927C1" w:rsidRPr="00563AD3">
        <w:t>analysis</w:t>
      </w:r>
      <w:r w:rsidR="00E31EF9" w:rsidRPr="00563AD3">
        <w:t xml:space="preserve"> and reporting</w:t>
      </w:r>
      <w:r w:rsidR="001927C1" w:rsidRPr="00563AD3">
        <w:t xml:space="preserve">, feedback and action planning. </w:t>
      </w:r>
      <w:r w:rsidR="007B62A3" w:rsidRPr="00563AD3">
        <w:t xml:space="preserve">A detailed overview of the </w:t>
      </w:r>
      <w:r w:rsidRPr="00563AD3">
        <w:t>DCM™</w:t>
      </w:r>
      <w:r w:rsidR="007B62A3" w:rsidRPr="00563AD3">
        <w:t xml:space="preserve"> intervention is provided in section 2.5.2. </w:t>
      </w:r>
      <w:r w:rsidR="001927C1" w:rsidRPr="00563AD3">
        <w:t xml:space="preserve">This cycle is repeated every 4-6 months to monitor and revise action plans. </w:t>
      </w:r>
      <w:r w:rsidRPr="00563AD3">
        <w:t>DCM™ implementation therefore,</w:t>
      </w:r>
      <w:r w:rsidR="001927C1" w:rsidRPr="00563AD3">
        <w:t xml:space="preserve"> requires no external input over the long term and is </w:t>
      </w:r>
      <w:r w:rsidRPr="00563AD3">
        <w:t xml:space="preserve">thus </w:t>
      </w:r>
      <w:r w:rsidR="001927C1" w:rsidRPr="00563AD3">
        <w:t>potentially less resource intensive and more closely aligned with real world dementia practice than other interventions</w:t>
      </w:r>
      <w:r w:rsidRPr="00563AD3">
        <w:t xml:space="preserve"> aiming to address BSC</w:t>
      </w:r>
      <w:r w:rsidR="00191950">
        <w:t>.</w:t>
      </w:r>
      <w:r w:rsidR="001927C1" w:rsidRPr="00563AD3">
        <w:t xml:space="preserve"> </w:t>
      </w:r>
      <w:r w:rsidR="001927C1" w:rsidRPr="00563AD3">
        <w:fldChar w:fldCharType="begin"/>
      </w:r>
      <w:r w:rsidR="008C7FD1">
        <w:instrText xml:space="preserve"> ADDIN EN.CITE &lt;EndNote&gt;&lt;Cite&gt;&lt;Author&gt;Fossey&lt;/Author&gt;&lt;Year&gt;2006&lt;/Year&gt;&lt;RecNum&gt;1015&lt;/RecNum&gt;&lt;DisplayText&gt;&lt;style face="superscript"&gt;66&lt;/style&gt;&lt;/DisplayText&gt;&lt;record&gt;&lt;rec-number&gt;1015&lt;/rec-number&gt;&lt;foreign-keys&gt;&lt;key app="EN" db-id="wprxwptv75dtdree0t5x2ptmvadptw5fr2ww" timestamp="1269348634"&gt;1015&lt;/key&gt;&lt;/foreign-keys&gt;&lt;ref-type name="Journal Article"&gt;17&lt;/ref-type&gt;&lt;contributors&gt;&lt;authors&gt;&lt;author&gt;Fossey, J.&lt;/author&gt;&lt;author&gt;Ballard, C.&lt;/author&gt;&lt;author&gt;Juszczak, E.&lt;/author&gt;&lt;author&gt;James, I.&lt;/author&gt;&lt;author&gt;Alder, N.&lt;/author&gt;&lt;author&gt;Jacoby, R.&lt;/author&gt;&lt;author&gt;Howard, R.&lt;/author&gt;&lt;/authors&gt;&lt;/contributors&gt;&lt;titles&gt;&lt;title&gt;Effect of enhanced psychosocial care on antipsychotic use in nursing home residents with dementia: cluster randomised controlled trial&lt;/title&gt;&lt;secondary-title&gt;BMJ&lt;/secondary-title&gt;&lt;/titles&gt;&lt;periodical&gt;&lt;full-title&gt;BMJ&lt;/full-title&gt;&lt;abbr-1&gt;BMJ&lt;/abbr-1&gt;&lt;abbr-2&gt;BMJ&lt;/abbr-2&gt;&lt;/periodical&gt;&lt;pages&gt;756-8&lt;/pages&gt;&lt;volume&gt;332&lt;/volume&gt;&lt;number&gt;7544&lt;/number&gt;&lt;dates&gt;&lt;year&gt;2006&lt;/year&gt;&lt;/dates&gt;&lt;urls&gt;&lt;/urls&gt;&lt;/record&gt;&lt;/Cite&gt;&lt;/EndNote&gt;</w:instrText>
      </w:r>
      <w:r w:rsidR="001927C1" w:rsidRPr="00563AD3">
        <w:fldChar w:fldCharType="separate"/>
      </w:r>
      <w:r w:rsidR="007301D7" w:rsidRPr="007301D7">
        <w:rPr>
          <w:noProof/>
          <w:vertAlign w:val="superscript"/>
        </w:rPr>
        <w:t>66</w:t>
      </w:r>
      <w:r w:rsidR="001927C1" w:rsidRPr="00563AD3">
        <w:fldChar w:fldCharType="end"/>
      </w:r>
      <w:r w:rsidR="001927C1" w:rsidRPr="00563AD3">
        <w:t xml:space="preserve"> </w:t>
      </w:r>
    </w:p>
    <w:p w14:paraId="681EC129" w14:textId="3241A45B" w:rsidR="001927C1" w:rsidRPr="00563AD3" w:rsidRDefault="001927C1" w:rsidP="009B13F3">
      <w:r w:rsidRPr="00563AD3">
        <w:t xml:space="preserve">Whilst </w:t>
      </w:r>
      <w:r w:rsidR="00A61329" w:rsidRPr="00563AD3">
        <w:t>DCM™</w:t>
      </w:r>
      <w:r w:rsidRPr="00563AD3">
        <w:t xml:space="preserve"> has been used in dementia care for nearly 20 years including in care home settings</w:t>
      </w:r>
      <w:r w:rsidR="00191950">
        <w:t>,</w:t>
      </w:r>
      <w:r w:rsidRPr="00563AD3">
        <w:t xml:space="preserve"> </w:t>
      </w:r>
      <w:r w:rsidRPr="00563AD3">
        <w:fldChar w:fldCharType="begin">
          <w:fldData xml:space="preserve">PEVuZE5vdGU+PENpdGU+PEF1dGhvcj5KYWNxdWVzPC9BdXRob3I+PFllYXI+MTk5NjwvWWVhcj48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</w:fldData>
        </w:fldChar>
      </w:r>
      <w:r w:rsidR="008C7FD1">
        <w:instrText xml:space="preserve"> ADDIN EN.CITE </w:instrText>
      </w:r>
      <w:r w:rsidR="008C7FD1">
        <w:fldChar w:fldCharType="begin">
          <w:fldData xml:space="preserve">PEVuZE5vdGU+PENpdGU+PEF1dGhvcj5KYWNxdWVzPC9BdXRob3I+PFllYXI+MTk5NjwvWWVhcj48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</w:fldData>
        </w:fldChar>
      </w:r>
      <w:r w:rsidR="008C7FD1">
        <w:instrText xml:space="preserve"> ADDIN EN.CITE.DATA </w:instrText>
      </w:r>
      <w:r w:rsidR="008C7FD1">
        <w:fldChar w:fldCharType="end"/>
      </w:r>
      <w:r w:rsidRPr="00563AD3">
        <w:fldChar w:fldCharType="separate"/>
      </w:r>
      <w:r w:rsidR="00EC2AA2" w:rsidRPr="00EC2AA2">
        <w:rPr>
          <w:noProof/>
          <w:vertAlign w:val="superscript"/>
        </w:rPr>
        <w:t>25, 84-87</w:t>
      </w:r>
      <w:r w:rsidRPr="00563AD3">
        <w:fldChar w:fldCharType="end"/>
      </w:r>
      <w:r w:rsidRPr="00563AD3">
        <w:t xml:space="preserve"> and has strong face validity within the practice field</w:t>
      </w:r>
      <w:r w:rsidR="00191950">
        <w:t>,</w:t>
      </w:r>
      <w:r w:rsidRPr="00563AD3">
        <w:t xml:space="preserve"> </w:t>
      </w:r>
      <w:r w:rsidRPr="00563AD3">
        <w:fldChar w:fldCharType="begin"/>
      </w:r>
      <w:r w:rsidR="008C7FD1">
        <w:instrText xml:space="preserve"> ADDIN EN.CITE &lt;EndNote&gt;&lt;Cite&gt;&lt;Author&gt;Beavis&lt;/Author&gt;&lt;Year&gt;2002&lt;/Year&gt;&lt;RecNum&gt;273&lt;/RecNum&gt;&lt;DisplayText&gt;&lt;style face="superscript"&gt;88&lt;/style&gt;&lt;/DisplayText&gt;&lt;record&gt;&lt;rec-number&gt;273&lt;/rec-number&gt;&lt;foreign-keys&gt;&lt;key app="EN" db-id="wprxwptv75dtdree0t5x2ptmvadptw5fr2ww" timestamp="1269348632"&gt;273&lt;/key&gt;&lt;/foreign-keys&gt;&lt;ref-type name="Journal Article"&gt;17&lt;/ref-type&gt;&lt;contributors&gt;&lt;authors&gt;&lt;author&gt;Beavis, D.&lt;/author&gt;&lt;author&gt;Simpson, S.&lt;/author&gt;&lt;author&gt;Graham, I.&lt;/author&gt;&lt;/authors&gt;&lt;/contributors&gt;&lt;titles&gt;&lt;title&gt;A literature review of Dementia Care Mapping: methodological considerations and efficacy&lt;/title&gt;&lt;secondary-title&gt;Journal of Psychiatric and Mental Health Nursing&lt;/secondary-title&gt;&lt;/titles&gt;&lt;periodical&gt;&lt;full-title&gt;Journal of Psychiatric and Mental Health Nursing&lt;/full-title&gt;&lt;abbr-1&gt;J. Psychiatr. Ment. Health Nurs.&lt;/abbr-1&gt;&lt;abbr-2&gt;J Psychiatr Ment Health Nurs&lt;/abbr-2&gt;&lt;abbr-3&gt;Journal of Psychiatric &amp;amp; Mental Health Nursing&lt;/abbr-3&gt;&lt;/periodical&gt;&lt;pages&gt;725-736&lt;/pages&gt;&lt;volume&gt;9&lt;/volume&gt;&lt;dates&gt;&lt;year&gt;2002&lt;/year&gt;&lt;/dates&gt;&lt;urls&gt;&lt;/urls&gt;&lt;/record&gt;&lt;/Cite&gt;&lt;/EndNote&gt;</w:instrText>
      </w:r>
      <w:r w:rsidRPr="00563AD3">
        <w:fldChar w:fldCharType="separate"/>
      </w:r>
      <w:r w:rsidR="00EC2AA2" w:rsidRPr="00EC2AA2">
        <w:rPr>
          <w:noProof/>
          <w:vertAlign w:val="superscript"/>
        </w:rPr>
        <w:t>88</w:t>
      </w:r>
      <w:r w:rsidRPr="00563AD3">
        <w:fldChar w:fldCharType="end"/>
      </w:r>
      <w:r w:rsidRPr="00563AD3">
        <w:t xml:space="preserve"> there is limited robust evidence of its eff</w:t>
      </w:r>
      <w:r w:rsidR="003356EE" w:rsidRPr="00563AD3">
        <w:t>ectiveness</w:t>
      </w:r>
      <w:r w:rsidRPr="00563AD3">
        <w:t xml:space="preserve"> in relation to clinical outcomes such as reduction of BSC. </w:t>
      </w:r>
      <w:r w:rsidR="005D2488" w:rsidRPr="00563AD3">
        <w:t>Reported</w:t>
      </w:r>
      <w:r w:rsidRPr="00563AD3">
        <w:t xml:space="preserve"> benefits of </w:t>
      </w:r>
      <w:r w:rsidR="00070560" w:rsidRPr="00563AD3">
        <w:t>DCM™</w:t>
      </w:r>
      <w:r w:rsidRPr="00563AD3">
        <w:t xml:space="preserve"> include the improvement of well-being</w:t>
      </w:r>
      <w:r w:rsidR="00070560" w:rsidRPr="00563AD3">
        <w:t xml:space="preserve"> in people with dementia</w:t>
      </w:r>
      <w:r w:rsidR="00191950">
        <w:t>,</w:t>
      </w:r>
      <w:r w:rsidRPr="00563AD3">
        <w:t xml:space="preserve"> </w:t>
      </w:r>
      <w:r w:rsidRPr="00563AD3">
        <w:fldChar w:fldCharType="begin">
          <w:fldData xml:space="preserve">PEVuZE5vdGU+PENpdGU+PEF1dGhvcj5Ccm9va2VyPC9BdXRob3I+PFllYXI+MjAwNTwvWWVhcj48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</w:fldData>
        </w:fldChar>
      </w:r>
      <w:r w:rsidR="008C7FD1">
        <w:instrText xml:space="preserve"> ADDIN EN.CITE </w:instrText>
      </w:r>
      <w:r w:rsidR="008C7FD1">
        <w:fldChar w:fldCharType="begin">
          <w:fldData xml:space="preserve">PEVuZE5vdGU+PENpdGU+PEF1dGhvcj5Ccm9va2VyPC9BdXRob3I+PFllYXI+MjAwNTwvWWVhcj48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</w:fldData>
        </w:fldChar>
      </w:r>
      <w:r w:rsidR="008C7FD1">
        <w:instrText xml:space="preserve"> ADDIN EN.CITE.DATA </w:instrText>
      </w:r>
      <w:r w:rsidR="008C7FD1">
        <w:fldChar w:fldCharType="end"/>
      </w:r>
      <w:r w:rsidRPr="00563AD3">
        <w:fldChar w:fldCharType="separate"/>
      </w:r>
      <w:r w:rsidR="00EC2AA2" w:rsidRPr="00EC2AA2">
        <w:rPr>
          <w:noProof/>
          <w:vertAlign w:val="superscript"/>
        </w:rPr>
        <w:t>22, 27, 89</w:t>
      </w:r>
      <w:r w:rsidRPr="00563AD3">
        <w:fldChar w:fldCharType="end"/>
      </w:r>
      <w:r w:rsidR="005D2488" w:rsidRPr="00563AD3">
        <w:t xml:space="preserve"> </w:t>
      </w:r>
      <w:r w:rsidRPr="00563AD3">
        <w:t xml:space="preserve">helping staff </w:t>
      </w:r>
      <w:r w:rsidR="00070560" w:rsidRPr="00563AD3">
        <w:t xml:space="preserve">consider </w:t>
      </w:r>
      <w:r w:rsidRPr="00563AD3">
        <w:t xml:space="preserve">care </w:t>
      </w:r>
      <w:r w:rsidR="00070560" w:rsidRPr="00563AD3">
        <w:t xml:space="preserve">delivery </w:t>
      </w:r>
      <w:r w:rsidRPr="00563AD3">
        <w:t>from the point of vi</w:t>
      </w:r>
      <w:r w:rsidR="00BE094B">
        <w:t xml:space="preserve">ew of the person with dementia, </w:t>
      </w:r>
      <w:r w:rsidR="005D2488" w:rsidRPr="00563AD3">
        <w:t xml:space="preserve">the production of </w:t>
      </w:r>
      <w:r w:rsidRPr="00563AD3">
        <w:t>evidence</w:t>
      </w:r>
      <w:r w:rsidR="005D2488" w:rsidRPr="00563AD3">
        <w:t xml:space="preserve"> to underpin</w:t>
      </w:r>
      <w:r w:rsidRPr="00563AD3">
        <w:t xml:space="preserve"> action planning that </w:t>
      </w:r>
      <w:r w:rsidR="00B86F2A" w:rsidRPr="00563AD3">
        <w:t xml:space="preserve">in turn </w:t>
      </w:r>
      <w:r w:rsidRPr="00563AD3">
        <w:t xml:space="preserve">motivates staff and </w:t>
      </w:r>
      <w:r w:rsidR="00B86F2A" w:rsidRPr="00563AD3">
        <w:t>increases their</w:t>
      </w:r>
      <w:r w:rsidR="00070560" w:rsidRPr="00563AD3">
        <w:t xml:space="preserve"> </w:t>
      </w:r>
      <w:r w:rsidRPr="00563AD3">
        <w:t>confiden</w:t>
      </w:r>
      <w:r w:rsidR="00070560" w:rsidRPr="00563AD3">
        <w:t>ce</w:t>
      </w:r>
      <w:r w:rsidRPr="00563AD3">
        <w:t xml:space="preserve"> to </w:t>
      </w:r>
      <w:r w:rsidR="00070560" w:rsidRPr="00563AD3">
        <w:t>deliver</w:t>
      </w:r>
      <w:r w:rsidRPr="00563AD3">
        <w:t xml:space="preserve"> person-centred care</w:t>
      </w:r>
      <w:r w:rsidR="00191950">
        <w:t>.</w:t>
      </w:r>
      <w:r w:rsidRPr="00563AD3">
        <w:t xml:space="preserve"> </w:t>
      </w:r>
      <w:r w:rsidRPr="00563AD3">
        <w:fldChar w:fldCharType="begin"/>
      </w:r>
      <w:r w:rsidR="008C7FD1">
        <w:instrText xml:space="preserve"> ADDIN EN.CITE &lt;EndNote&gt;&lt;Cite&gt;&lt;Author&gt;Beavis&lt;/Author&gt;&lt;Year&gt;2002&lt;/Year&gt;&lt;RecNum&gt;273&lt;/RecNum&gt;&lt;DisplayText&gt;&lt;style face="superscript"&gt;87, 88&lt;/style&gt;&lt;/DisplayText&gt;&lt;record&gt;&lt;rec-number&gt;273&lt;/rec-number&gt;&lt;foreign-keys&gt;&lt;key app="EN" db-id="wprxwptv75dtdree0t5x2ptmvadptw5fr2ww" timestamp="1269348632"&gt;273&lt;/key&gt;&lt;/foreign-keys&gt;&lt;ref-type name="Journal Article"&gt;17&lt;/ref-type&gt;&lt;contributors&gt;&lt;authors&gt;&lt;author&gt;Beavis, D.&lt;/author&gt;&lt;author&gt;Simpson, S.&lt;/author&gt;&lt;author&gt;Graham, I.&lt;/author&gt;&lt;/authors&gt;&lt;/contributors&gt;&lt;titles&gt;&lt;title&gt;A literature review of Dementia Care Mapping: methodological considerations and efficacy&lt;/title&gt;&lt;secondary-title&gt;Journal of Psychiatric and Mental Health Nursing&lt;/secondary-title&gt;&lt;/titles&gt;&lt;periodical&gt;&lt;full-title&gt;Journal of Psychiatric and Mental Health Nursing&lt;/full-title&gt;&lt;abbr-1&gt;J. Psychiatr. Ment. Health Nurs.&lt;/abbr-1&gt;&lt;abbr-2&gt;J Psychiatr Ment Health Nurs&lt;/abbr-2&gt;&lt;abbr-3&gt;Journal of Psychiatric &amp;amp; Mental Health Nursing&lt;/abbr-3&gt;&lt;/periodical&gt;&lt;pages&gt;725-736&lt;/pages&gt;&lt;volume&gt;9&lt;/volume&gt;&lt;dates&gt;&lt;year&gt;2002&lt;/year&gt;&lt;/dates&gt;&lt;urls&gt;&lt;/urls&gt;&lt;/record&gt;&lt;/Cite&gt;&lt;Cite&gt;&lt;Author&gt;Mansah&lt;/Author&gt;&lt;Year&gt;2008&lt;/Year&gt;&lt;RecNum&gt;1171&lt;/RecNum&gt;&lt;record&gt;&lt;rec-number&gt;1171&lt;/rec-number&gt;&lt;foreign-keys&gt;&lt;key app="EN" db-id="wprxwptv75dtdree0t5x2ptmvadptw5fr2ww" timestamp="1320916140"&gt;1171&lt;/key&gt;&lt;/foreign-keys&gt;&lt;ref-type name="Journal Article"&gt;17&lt;/ref-type&gt;&lt;contributors&gt;&lt;authors&gt;&lt;author&gt;Mansah, M.&lt;/author&gt;&lt;author&gt;Coulon, L.&lt;/author&gt;&lt;author&gt;Brown, P.&lt;/author&gt;&lt;/authors&gt;&lt;/contributors&gt;&lt;titles&gt;&lt;title&gt;A mapper&amp;apos;s reflection on Dementia Care Mapping with older residents living in a nursing home&lt;/title&gt;&lt;secondary-title&gt;International Journal of Older People Nursing&lt;/secondary-title&gt;&lt;/titles&gt;&lt;periodical&gt;&lt;full-title&gt;International Journal of Older People Nursing&lt;/full-title&gt;&lt;abbr-1&gt;Int. J. Older People Nurs.&lt;/abbr-1&gt;&lt;abbr-2&gt;Int J Older People Nurs&lt;/abbr-2&gt;&lt;/periodical&gt;&lt;pages&gt;113-20&lt;/pages&gt;&lt;volume&gt;3&lt;/volume&gt;&lt;dates&gt;&lt;year&gt;2008&lt;/year&gt;&lt;/dates&gt;&lt;urls&gt;&lt;/urls&gt;&lt;/record&gt;&lt;/Cite&gt;&lt;/EndNote&gt;</w:instrText>
      </w:r>
      <w:r w:rsidRPr="00563AD3">
        <w:fldChar w:fldCharType="separate"/>
      </w:r>
      <w:r w:rsidR="00EC2AA2" w:rsidRPr="00EC2AA2">
        <w:rPr>
          <w:noProof/>
          <w:vertAlign w:val="superscript"/>
        </w:rPr>
        <w:t>87, 88</w:t>
      </w:r>
      <w:r w:rsidRPr="00563AD3">
        <w:fldChar w:fldCharType="end"/>
      </w:r>
      <w:r w:rsidRPr="00563AD3">
        <w:t xml:space="preserve"> </w:t>
      </w:r>
    </w:p>
    <w:p w14:paraId="2D482FF5" w14:textId="77777777" w:rsidR="000B4E72" w:rsidRPr="00563AD3" w:rsidRDefault="000B4E72" w:rsidP="009B13F3"/>
    <w:p w14:paraId="46E818A0" w14:textId="12701223" w:rsidR="004277D5" w:rsidRPr="00563AD3" w:rsidRDefault="001927C1" w:rsidP="009B13F3">
      <w:pPr>
        <w:pStyle w:val="Heading2"/>
        <w:rPr>
          <w:vertAlign w:val="superscript"/>
        </w:rPr>
      </w:pPr>
      <w:bookmarkStart w:id="26" w:name="_Toc525543947"/>
      <w:r w:rsidRPr="00563AD3">
        <w:t xml:space="preserve">1.2 </w:t>
      </w:r>
      <w:r w:rsidR="004277D5" w:rsidRPr="00563AD3">
        <w:t xml:space="preserve">Evidence </w:t>
      </w:r>
      <w:r w:rsidRPr="00563AD3">
        <w:t>o</w:t>
      </w:r>
      <w:r w:rsidR="007709D7" w:rsidRPr="00563AD3">
        <w:t>f</w:t>
      </w:r>
      <w:r w:rsidRPr="00563AD3">
        <w:t xml:space="preserve"> the</w:t>
      </w:r>
      <w:r w:rsidR="004277D5" w:rsidRPr="00563AD3">
        <w:t xml:space="preserve"> eff</w:t>
      </w:r>
      <w:r w:rsidR="003356EE" w:rsidRPr="00563AD3">
        <w:t>ects</w:t>
      </w:r>
      <w:r w:rsidR="004277D5" w:rsidRPr="00563AD3">
        <w:t xml:space="preserve"> of Dementia Care Mapping</w:t>
      </w:r>
      <w:r w:rsidRPr="00563AD3">
        <w:rPr>
          <w:vertAlign w:val="superscript"/>
        </w:rPr>
        <w:t>TM</w:t>
      </w:r>
      <w:bookmarkEnd w:id="26"/>
    </w:p>
    <w:p w14:paraId="4E17FD39" w14:textId="6323E863" w:rsidR="00541046" w:rsidRPr="00563AD3" w:rsidRDefault="001927C1" w:rsidP="009B13F3">
      <w:r w:rsidRPr="00563AD3">
        <w:t xml:space="preserve">There are only </w:t>
      </w:r>
      <w:r w:rsidR="00A05DC2" w:rsidRPr="00563AD3">
        <w:t>six</w:t>
      </w:r>
      <w:r w:rsidRPr="00563AD3">
        <w:t xml:space="preserve"> published studies, which have examined the benefits of using </w:t>
      </w:r>
      <w:r w:rsidR="00070560" w:rsidRPr="00563AD3">
        <w:t>DCM™</w:t>
      </w:r>
      <w:r w:rsidRPr="00563AD3">
        <w:t xml:space="preserve"> for improving clinical outcomes</w:t>
      </w:r>
      <w:r w:rsidR="007E5B8C" w:rsidRPr="00563AD3">
        <w:t xml:space="preserve"> in care homes</w:t>
      </w:r>
      <w:r w:rsidR="00541046" w:rsidRPr="00563AD3">
        <w:t>; two pilot studies employing a pre</w:t>
      </w:r>
      <w:r w:rsidR="00B71FD3" w:rsidRPr="00563AD3">
        <w:t>-</w:t>
      </w:r>
      <w:r w:rsidR="00541046" w:rsidRPr="00563AD3">
        <w:t>test</w:t>
      </w:r>
      <w:r w:rsidR="00B71FD3" w:rsidRPr="00563AD3">
        <w:t>/</w:t>
      </w:r>
      <w:r w:rsidR="00541046" w:rsidRPr="00563AD3">
        <w:t>post</w:t>
      </w:r>
      <w:r w:rsidR="00B71FD3" w:rsidRPr="00563AD3">
        <w:t>-</w:t>
      </w:r>
      <w:r w:rsidR="00541046" w:rsidRPr="00563AD3">
        <w:t>test design</w:t>
      </w:r>
      <w:r w:rsidR="00191950">
        <w:t>,</w:t>
      </w:r>
      <w:r w:rsidR="00541046" w:rsidRPr="00563AD3">
        <w:t xml:space="preserve"> </w:t>
      </w:r>
      <w:r w:rsidR="00EE3FC6" w:rsidRPr="00563AD3">
        <w:fldChar w:fldCharType="begin"/>
      </w:r>
      <w:r w:rsidR="008C7FD1">
        <w:instrText xml:space="preserve"> ADDIN EN.CITE &lt;EndNote&gt;&lt;Cite&gt;&lt;Author&gt;Chenoweth&lt;/Author&gt;&lt;Year&gt;2007&lt;/Year&gt;&lt;RecNum&gt;1172&lt;/RecNum&gt;&lt;DisplayText&gt;&lt;style face="superscript"&gt;90, 91&lt;/style&gt;&lt;/DisplayText&gt;&lt;record&gt;&lt;rec-number&gt;1172&lt;/rec-number&gt;&lt;foreign-keys&gt;&lt;key app="EN" db-id="wprxwptv75dtdree0t5x2ptmvadptw5fr2ww" timestamp="1320916275"&gt;1172&lt;/key&gt;&lt;/foreign-keys&gt;&lt;ref-type name="Journal Article"&gt;17&lt;/ref-type&gt;&lt;contributors&gt;&lt;authors&gt;&lt;author&gt;Chenoweth, L.&lt;/author&gt;&lt;author&gt;Jeon, Y.H.&lt;/author&gt;&lt;/authors&gt;&lt;/contributors&gt;&lt;titles&gt;&lt;title&gt;Determining the efficacy of dementia Care Mapping as an outcome measure and process for change: A pilot study&lt;/title&gt;&lt;secondary-title&gt;Aging and Mental Health&lt;/secondary-title&gt;&lt;/titles&gt;&lt;pages&gt;237-45&lt;/pages&gt;&lt;volume&gt;11&lt;/volume&gt;&lt;number&gt;3&lt;/number&gt;&lt;dates&gt;&lt;year&gt;2007&lt;/year&gt;&lt;/dates&gt;&lt;urls&gt;&lt;/urls&gt;&lt;/record&gt;&lt;/Cite&gt;&lt;Cite&gt;&lt;Author&gt;Kuiper&lt;/Author&gt;&lt;Year&gt;2009&lt;/Year&gt;&lt;RecNum&gt;1141&lt;/RecNum&gt;&lt;record&gt;&lt;rec-number&gt;1141&lt;/rec-number&gt;&lt;foreign-keys&gt;&lt;key app="EN" db-id="wprxwptv75dtdree0t5x2ptmvadptw5fr2ww" timestamp="1304242734"&gt;1141&lt;/key&gt;&lt;/foreign-keys&gt;&lt;ref-type name="Journal Article"&gt;17&lt;/ref-type&gt;&lt;contributors&gt;&lt;authors&gt;&lt;author&gt;Kuiper, D.&lt;/author&gt;&lt;author&gt;Dijkstra, G.J.&lt;/author&gt;&lt;author&gt;Tuinstra, J.&lt;/author&gt;&lt;author&gt;Groothoff, J.W.&lt;/author&gt;&lt;/authors&gt;&lt;/contributors&gt;&lt;titles&gt;&lt;title&gt;The influence of Dementia Care Mapping (DCM) on behavioural problems of persons with dementia and the job satisfaction of caregivers: a pilot study&lt;/title&gt;&lt;secondary-title&gt;Tijdschrift voor Gerontologie en Geriatrie&lt;/secondary-title&gt;&lt;/titles&gt;&lt;periodical&gt;&lt;full-title&gt;Tijdschrift voor Gerontologie en Geriatrie&lt;/full-title&gt;&lt;abbr-1&gt;Tijdschr. Gerontol. Geriatr.&lt;/abbr-1&gt;&lt;abbr-2&gt;Tijdschr Gerontol Geriatr&lt;/abbr-2&gt;&lt;/periodical&gt;&lt;pages&gt;102-12&lt;/pages&gt;&lt;volume&gt;40&lt;/volume&gt;&lt;number&gt;3&lt;/number&gt;&lt;dates&gt;&lt;year&gt;2009&lt;/year&gt;&lt;/dates&gt;&lt;urls&gt;&lt;/urls&gt;&lt;/record&gt;&lt;/Cite&gt;&lt;/EndNote&gt;</w:instrText>
      </w:r>
      <w:r w:rsidR="00EE3FC6" w:rsidRPr="00563AD3">
        <w:fldChar w:fldCharType="separate"/>
      </w:r>
      <w:r w:rsidR="00EC2AA2" w:rsidRPr="00EC2AA2">
        <w:rPr>
          <w:noProof/>
          <w:vertAlign w:val="superscript"/>
        </w:rPr>
        <w:t>90, 91</w:t>
      </w:r>
      <w:r w:rsidR="00EE3FC6" w:rsidRPr="00563AD3">
        <w:fldChar w:fldCharType="end"/>
      </w:r>
      <w:r w:rsidR="00A05DC2" w:rsidRPr="00563AD3">
        <w:t xml:space="preserve"> one quasi-experimental controlled trial </w:t>
      </w:r>
      <w:r w:rsidR="00A05DC2" w:rsidRPr="00563AD3">
        <w:fldChar w:fldCharType="begin"/>
      </w:r>
      <w:r w:rsidR="008C7FD1">
        <w:instrText xml:space="preserve"> ADDIN EN.CITE &lt;EndNote&gt;&lt;Cite&gt;&lt;Author&gt;Dichter&lt;/Author&gt;&lt;Year&gt;2015&lt;/Year&gt;&lt;RecNum&gt;1796&lt;/RecNum&gt;&lt;DisplayText&gt;&lt;style face="superscript"&gt;92&lt;/style&gt;&lt;/DisplayText&gt;&lt;record&gt;&lt;rec-number&gt;1796&lt;/rec-number&gt;&lt;foreign-keys&gt;&lt;key app="EN" db-id="wprxwptv75dtdree0t5x2ptmvadptw5fr2ww" timestamp="1517314167"&gt;1796&lt;/key&gt;&lt;/foreign-keys&gt;&lt;ref-type name="Journal Article"&gt;17&lt;/ref-type&gt;&lt;contributors&gt;&lt;authors&gt;&lt;author&gt;Dichter, M.N.&lt;/author&gt;&lt;author&gt;Quasdorf, T.&lt;/author&gt;&lt;author&gt;Schwab, C.G.G.&lt;/author&gt;&lt;author&gt;Trutschel, D.&lt;/author&gt;&lt;author&gt;Haastert, B.&lt;/author&gt;&lt;author&gt;Riesner, C.&lt;/author&gt;&lt;author&gt;Bartholomeyczik, S.&lt;/author&gt;&lt;author&gt;Halek, M.&lt;/author&gt;&lt;/authors&gt;&lt;/contributors&gt;&lt;titles&gt;&lt;title&gt;Dementia care mapping: effects on residents’ quality of life and challenging behavior in German nursing homes. A quasi-experimental trial&lt;/title&gt;&lt;secondary-title&gt;International Psychogeriatrics&lt;/secondary-title&gt;&lt;/titles&gt;&lt;periodical&gt;&lt;full-title&gt;International Psychogeriatrics&lt;/full-title&gt;&lt;abbr-1&gt;Int. Psychogeriatr.&lt;/abbr-1&gt;&lt;abbr-2&gt;Int Psychogeriatr&lt;/abbr-2&gt;&lt;/periodical&gt;&lt;pages&gt;1875-1892&lt;/pages&gt;&lt;volume&gt;27&lt;/volume&gt;&lt;number&gt;11&lt;/number&gt;&lt;dates&gt;&lt;year&gt;2015&lt;/year&gt;&lt;/dates&gt;&lt;urls&gt;&lt;/urls&gt;&lt;/record&gt;&lt;/Cite&gt;&lt;/EndNote&gt;</w:instrText>
      </w:r>
      <w:r w:rsidR="00A05DC2" w:rsidRPr="00563AD3">
        <w:fldChar w:fldCharType="separate"/>
      </w:r>
      <w:r w:rsidR="00EC2AA2" w:rsidRPr="00EC2AA2">
        <w:rPr>
          <w:noProof/>
          <w:vertAlign w:val="superscript"/>
        </w:rPr>
        <w:t>92</w:t>
      </w:r>
      <w:r w:rsidR="00A05DC2" w:rsidRPr="00563AD3">
        <w:fldChar w:fldCharType="end"/>
      </w:r>
      <w:r w:rsidR="00EE3FC6" w:rsidRPr="00563AD3">
        <w:t xml:space="preserve"> </w:t>
      </w:r>
      <w:r w:rsidR="00541046" w:rsidRPr="00563AD3">
        <w:t>and three cluster RCTs</w:t>
      </w:r>
      <w:r w:rsidR="00191950">
        <w:t>.</w:t>
      </w:r>
      <w:r w:rsidR="00EE3FC6" w:rsidRPr="00563AD3">
        <w:t xml:space="preserve"> </w:t>
      </w:r>
      <w:r w:rsidR="00EE3FC6" w:rsidRPr="00563AD3">
        <w:fldChar w:fldCharType="begin">
          <w:fldData xml:space="preserve">PEVuZE5vdGU+PENpdGU+PEF1dGhvcj5DaGVub3dldGg8L0F1dGhvcj48WWVhcj4yMDA5PC9ZZWFy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</w:fldData>
        </w:fldChar>
      </w:r>
      <w:r w:rsidR="008C7FD1">
        <w:instrText xml:space="preserve"> ADDIN EN.CITE </w:instrText>
      </w:r>
      <w:r w:rsidR="008C7FD1">
        <w:fldChar w:fldCharType="begin">
          <w:fldData xml:space="preserve">PEVuZE5vdGU+PENpdGU+PEF1dGhvcj5DaGVub3dldGg8L0F1dGhvcj48WWVhcj4yMDA5PC9ZZWFy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</w:fldData>
        </w:fldChar>
      </w:r>
      <w:r w:rsidR="008C7FD1">
        <w:instrText xml:space="preserve"> ADDIN EN.CITE.DATA </w:instrText>
      </w:r>
      <w:r w:rsidR="008C7FD1">
        <w:fldChar w:fldCharType="end"/>
      </w:r>
      <w:r w:rsidR="00EE3FC6" w:rsidRPr="00563AD3">
        <w:fldChar w:fldCharType="separate"/>
      </w:r>
      <w:r w:rsidR="00EC2AA2" w:rsidRPr="00EC2AA2">
        <w:rPr>
          <w:noProof/>
          <w:vertAlign w:val="superscript"/>
        </w:rPr>
        <w:t>63, 93, 94</w:t>
      </w:r>
      <w:r w:rsidR="00EE3FC6" w:rsidRPr="00563AD3">
        <w:fldChar w:fldCharType="end"/>
      </w:r>
      <w:r w:rsidRPr="00563AD3">
        <w:t xml:space="preserve"> </w:t>
      </w:r>
      <w:r w:rsidR="00541046" w:rsidRPr="00563AD3">
        <w:t>None were carried out in the UK.</w:t>
      </w:r>
      <w:r w:rsidR="00EE3FC6" w:rsidRPr="00563AD3">
        <w:t xml:space="preserve"> At the time of submission of the grant application for this trial only the two pilot studies </w:t>
      </w:r>
      <w:r w:rsidR="00EE3FC6" w:rsidRPr="00563AD3">
        <w:fldChar w:fldCharType="begin"/>
      </w:r>
      <w:r w:rsidR="008C7FD1">
        <w:instrText xml:space="preserve"> ADDIN EN.CITE &lt;EndNote&gt;&lt;Cite&gt;&lt;Author&gt;Chenoweth&lt;/Author&gt;&lt;Year&gt;2007&lt;/Year&gt;&lt;RecNum&gt;1172&lt;/RecNum&gt;&lt;DisplayText&gt;&lt;style face="superscript"&gt;90, 91&lt;/style&gt;&lt;/DisplayText&gt;&lt;record&gt;&lt;rec-number&gt;1172&lt;/rec-number&gt;&lt;foreign-keys&gt;&lt;key app="EN" db-id="wprxwptv75dtdree0t5x2ptmvadptw5fr2ww" timestamp="1320916275"&gt;1172&lt;/key&gt;&lt;/foreign-keys&gt;&lt;ref-type name="Journal Article"&gt;17&lt;/ref-type&gt;&lt;contributors&gt;&lt;authors&gt;&lt;author&gt;Chenoweth, L.&lt;/author&gt;&lt;author&gt;Jeon, Y.H.&lt;/author&gt;&lt;/authors&gt;&lt;/contributors&gt;&lt;titles&gt;&lt;title&gt;Determining the efficacy of dementia Care Mapping as an outcome measure and process for change: A pilot study&lt;/title&gt;&lt;secondary-title&gt;Aging and Mental Health&lt;/secondary-title&gt;&lt;/titles&gt;&lt;pages&gt;237-45&lt;/pages&gt;&lt;volume&gt;11&lt;/volume&gt;&lt;number&gt;3&lt;/number&gt;&lt;dates&gt;&lt;year&gt;2007&lt;/year&gt;&lt;/dates&gt;&lt;urls&gt;&lt;/urls&gt;&lt;/record&gt;&lt;/Cite&gt;&lt;Cite&gt;&lt;Author&gt;Kuiper&lt;/Author&gt;&lt;Year&gt;2009&lt;/Year&gt;&lt;RecNum&gt;1141&lt;/RecNum&gt;&lt;record&gt;&lt;rec-number&gt;1141&lt;/rec-number&gt;&lt;foreign-keys&gt;&lt;key app="EN" db-id="wprxwptv75dtdree0t5x2ptmvadptw5fr2ww" timestamp="1304242734"&gt;1141&lt;/key&gt;&lt;/foreign-keys&gt;&lt;ref-type name="Journal Article"&gt;17&lt;/ref-type&gt;&lt;contributors&gt;&lt;authors&gt;&lt;author&gt;Kuiper, D.&lt;/author&gt;&lt;author&gt;Dijkstra, G.J.&lt;/author&gt;&lt;author&gt;Tuinstra, J.&lt;/author&gt;&lt;author&gt;Groothoff, J.W.&lt;/author&gt;&lt;/authors&gt;&lt;/contributors&gt;&lt;titles&gt;&lt;title&gt;The influence of Dementia Care Mapping (DCM) on behavioural problems of persons with dementia and the job satisfaction of caregivers: a pilot study&lt;/title&gt;&lt;secondary-title&gt;Tijdschrift voor Gerontologie en Geriatrie&lt;/secondary-title&gt;&lt;/titles&gt;&lt;periodical&gt;&lt;full-title&gt;Tijdschrift voor Gerontologie en Geriatrie&lt;/full-title&gt;&lt;abbr-1&gt;Tijdschr. Gerontol. Geriatr.&lt;/abbr-1&gt;&lt;abbr-2&gt;Tijdschr Gerontol Geriatr&lt;/abbr-2&gt;&lt;/periodical&gt;&lt;pages&gt;102-12&lt;/pages&gt;&lt;volume&gt;40&lt;/volume&gt;&lt;number&gt;3&lt;/number&gt;&lt;dates&gt;&lt;year&gt;2009&lt;/year&gt;&lt;/dates&gt;&lt;urls&gt;&lt;/urls&gt;&lt;/record&gt;&lt;/Cite&gt;&lt;/EndNote&gt;</w:instrText>
      </w:r>
      <w:r w:rsidR="00EE3FC6" w:rsidRPr="00563AD3">
        <w:fldChar w:fldCharType="separate"/>
      </w:r>
      <w:r w:rsidR="00EC2AA2" w:rsidRPr="00EC2AA2">
        <w:rPr>
          <w:noProof/>
          <w:vertAlign w:val="superscript"/>
        </w:rPr>
        <w:t>90, 91</w:t>
      </w:r>
      <w:r w:rsidR="00EE3FC6" w:rsidRPr="00563AD3">
        <w:fldChar w:fldCharType="end"/>
      </w:r>
      <w:r w:rsidR="00EE3FC6" w:rsidRPr="00563AD3">
        <w:t xml:space="preserve"> and one of the RCTs had been published</w:t>
      </w:r>
      <w:r w:rsidR="00191950">
        <w:t>.</w:t>
      </w:r>
      <w:r w:rsidR="00EE3FC6" w:rsidRPr="00563AD3">
        <w:t xml:space="preserve"> </w:t>
      </w:r>
      <w:r w:rsidR="00EE3FC6" w:rsidRPr="00563AD3">
        <w:fldChar w:fldCharType="begin"/>
      </w:r>
      <w:r w:rsidR="008C7FD1">
        <w:instrText xml:space="preserve"> ADDIN EN.CITE &lt;EndNote&gt;&lt;Cite&gt;&lt;Author&gt;Chenoweth&lt;/Author&gt;&lt;Year&gt;2009&lt;/Year&gt;&lt;RecNum&gt;1069&lt;/RecNum&gt;&lt;DisplayText&gt;&lt;style face="superscript"&gt;63&lt;/style&gt;&lt;/DisplayText&gt;&lt;record&gt;&lt;rec-number&gt;1069&lt;/rec-number&gt;&lt;foreign-keys&gt;&lt;key app="EN" db-id="wprxwptv75dtdree0t5x2ptmvadptw5fr2ww" timestamp="1269348634"&gt;1069&lt;/key&gt;&lt;/foreign-keys&gt;&lt;ref-type name="Journal Article"&gt;17&lt;/ref-type&gt;&lt;contributors&gt;&lt;authors&gt;&lt;author&gt;Chenoweth, L.&lt;/author&gt;&lt;author&gt;King, M.T.&lt;/author&gt;&lt;author&gt;Jeon, Y.H.&lt;/author&gt;&lt;author&gt;Brodaty, H.&lt;/author&gt;&lt;author&gt;Stein-Parbury, J.&lt;/author&gt;&lt;author&gt;Haas, M.&lt;/author&gt;&lt;author&gt;Luscombe, G.&lt;/author&gt;&lt;/authors&gt;&lt;/contributors&gt;&lt;titles&gt;&lt;title&gt;Caring for Aged Dementia Care Resident Study (CADRES) of person-centred dementia care, dementia-care mapping, and usual care in dementia: a cluster-randomised trial&lt;/title&gt;&lt;secondary-title&gt;The Lancet - Neurology&lt;/secondary-title&gt;&lt;/titles&gt;&lt;pages&gt;317-25&lt;/pages&gt;&lt;volume&gt;8&lt;/volume&gt;&lt;number&gt;April&lt;/number&gt;&lt;dates&gt;&lt;year&gt;2009&lt;/year&gt;&lt;/dates&gt;&lt;urls&gt;&lt;/urls&gt;&lt;/record&gt;&lt;/Cite&gt;&lt;/EndNote&gt;</w:instrText>
      </w:r>
      <w:r w:rsidR="00EE3FC6" w:rsidRPr="00563AD3">
        <w:fldChar w:fldCharType="separate"/>
      </w:r>
      <w:r w:rsidR="007301D7" w:rsidRPr="007301D7">
        <w:rPr>
          <w:noProof/>
          <w:vertAlign w:val="superscript"/>
        </w:rPr>
        <w:t>63</w:t>
      </w:r>
      <w:r w:rsidR="00EE3FC6" w:rsidRPr="00563AD3">
        <w:fldChar w:fldCharType="end"/>
      </w:r>
      <w:r w:rsidR="00EE3FC6" w:rsidRPr="00563AD3">
        <w:t xml:space="preserve"> </w:t>
      </w:r>
      <w:r w:rsidR="00541046" w:rsidRPr="00563AD3">
        <w:t xml:space="preserve"> </w:t>
      </w:r>
    </w:p>
    <w:p w14:paraId="077059C2" w14:textId="536C5D7D" w:rsidR="00541046" w:rsidRPr="00563AD3" w:rsidRDefault="001927C1" w:rsidP="009B13F3">
      <w:r w:rsidRPr="00563AD3">
        <w:t>A pilot study</w:t>
      </w:r>
      <w:r w:rsidR="00541046" w:rsidRPr="00563AD3">
        <w:t xml:space="preserve"> conducted in the Netherlands </w:t>
      </w:r>
      <w:r w:rsidRPr="00563AD3">
        <w:fldChar w:fldCharType="begin"/>
      </w:r>
      <w:r w:rsidR="008C7FD1">
        <w:instrText xml:space="preserve"> ADDIN EN.CITE &lt;EndNote&gt;&lt;Cite&gt;&lt;Author&gt;Kuiper&lt;/Author&gt;&lt;Year&gt;2009&lt;/Year&gt;&lt;RecNum&gt;1141&lt;/RecNum&gt;&lt;DisplayText&gt;&lt;style face="superscript"&gt;91&lt;/style&gt;&lt;/DisplayText&gt;&lt;record&gt;&lt;rec-number&gt;1141&lt;/rec-number&gt;&lt;foreign-keys&gt;&lt;key app="EN" db-id="wprxwptv75dtdree0t5x2ptmvadptw5fr2ww" timestamp="1304242734"&gt;1141&lt;/key&gt;&lt;/foreign-keys&gt;&lt;ref-type name="Journal Article"&gt;17&lt;/ref-type&gt;&lt;contributors&gt;&lt;authors&gt;&lt;author&gt;Kuiper, D.&lt;/author&gt;&lt;author&gt;Dijkstra, G.J.&lt;/author&gt;&lt;author&gt;Tuinstra, J.&lt;/author&gt;&lt;author&gt;Groothoff, J.W.&lt;/author&gt;&lt;/authors&gt;&lt;/contributors&gt;&lt;titles&gt;&lt;title&gt;The influence of Dementia Care Mapping (DCM) on behavioural problems of persons with dementia and the job satisfaction of caregivers: a pilot study&lt;/title&gt;&lt;secondary-title&gt;Tijdschrift voor Gerontologie en Geriatrie&lt;/secondary-title&gt;&lt;/titles&gt;&lt;periodical&gt;&lt;full-title&gt;Tijdschrift voor Gerontologie en Geriatrie&lt;/full-title&gt;&lt;abbr-1&gt;Tijdschr. Gerontol. Geriatr.&lt;/abbr-1&gt;&lt;abbr-2&gt;Tijdschr Gerontol Geriatr&lt;/abbr-2&gt;&lt;/periodical&gt;&lt;pages&gt;102-12&lt;/pages&gt;&lt;volume&gt;40&lt;/volume&gt;&lt;number&gt;3&lt;/number&gt;&lt;dates&gt;&lt;year&gt;2009&lt;/year&gt;&lt;/dates&gt;&lt;urls&gt;&lt;/urls&gt;&lt;/record&gt;&lt;/Cite&gt;&lt;/EndNote&gt;</w:instrText>
      </w:r>
      <w:r w:rsidRPr="00563AD3">
        <w:fldChar w:fldCharType="separate"/>
      </w:r>
      <w:r w:rsidR="00EC2AA2" w:rsidRPr="00EC2AA2">
        <w:rPr>
          <w:noProof/>
          <w:vertAlign w:val="superscript"/>
        </w:rPr>
        <w:t>91</w:t>
      </w:r>
      <w:r w:rsidRPr="00563AD3">
        <w:fldChar w:fldCharType="end"/>
      </w:r>
      <w:r w:rsidRPr="00563AD3">
        <w:t xml:space="preserve"> utilising a One-Group Pre</w:t>
      </w:r>
      <w:r w:rsidR="00B71FD3" w:rsidRPr="00563AD3">
        <w:t>-</w:t>
      </w:r>
      <w:r w:rsidRPr="00563AD3">
        <w:t>test</w:t>
      </w:r>
      <w:r w:rsidR="00B71FD3" w:rsidRPr="00563AD3">
        <w:t>/</w:t>
      </w:r>
      <w:r w:rsidRPr="00563AD3">
        <w:t>Post</w:t>
      </w:r>
      <w:r w:rsidR="00B71FD3" w:rsidRPr="00563AD3">
        <w:t>-</w:t>
      </w:r>
      <w:r w:rsidRPr="00563AD3">
        <w:t xml:space="preserve">test design found </w:t>
      </w:r>
      <w:r w:rsidR="00070560" w:rsidRPr="00563AD3">
        <w:t>DCM™</w:t>
      </w:r>
      <w:r w:rsidRPr="00563AD3">
        <w:t>, used alone, reduced verbal agitation and anxiety in people with dementia</w:t>
      </w:r>
      <w:r w:rsidR="00541046" w:rsidRPr="00563AD3">
        <w:t>. It also improved</w:t>
      </w:r>
      <w:r w:rsidRPr="00563AD3">
        <w:t xml:space="preserve"> care staff feelings of connection with clients</w:t>
      </w:r>
      <w:r w:rsidR="00541046" w:rsidRPr="00563AD3">
        <w:t>. A</w:t>
      </w:r>
      <w:r w:rsidRPr="00563AD3">
        <w:t xml:space="preserve"> </w:t>
      </w:r>
      <w:r w:rsidR="00541046" w:rsidRPr="00563AD3">
        <w:t>pre</w:t>
      </w:r>
      <w:r w:rsidR="00342465" w:rsidRPr="00563AD3">
        <w:t>-</w:t>
      </w:r>
      <w:r w:rsidR="00541046" w:rsidRPr="00563AD3">
        <w:t>test</w:t>
      </w:r>
      <w:r w:rsidR="00342465" w:rsidRPr="00563AD3">
        <w:t>/</w:t>
      </w:r>
      <w:r w:rsidR="00541046" w:rsidRPr="00563AD3">
        <w:t>post</w:t>
      </w:r>
      <w:r w:rsidR="00342465" w:rsidRPr="00563AD3">
        <w:t>-</w:t>
      </w:r>
      <w:r w:rsidR="00541046" w:rsidRPr="00563AD3">
        <w:t xml:space="preserve">test design </w:t>
      </w:r>
      <w:r w:rsidRPr="00563AD3">
        <w:t>pilot study</w:t>
      </w:r>
      <w:r w:rsidR="00AC1DF7" w:rsidRPr="00563AD3">
        <w:t xml:space="preserve"> </w:t>
      </w:r>
      <w:r w:rsidRPr="00563AD3">
        <w:fldChar w:fldCharType="begin"/>
      </w:r>
      <w:r w:rsidR="008C7FD1">
        <w:instrText xml:space="preserve"> ADDIN EN.CITE &lt;EndNote&gt;&lt;Cite&gt;&lt;Author&gt;Chenoweth&lt;/Author&gt;&lt;Year&gt;2007&lt;/Year&gt;&lt;RecNum&gt;1172&lt;/RecNum&gt;&lt;DisplayText&gt;&lt;style face="superscript"&gt;90&lt;/style&gt;&lt;/DisplayText&gt;&lt;record&gt;&lt;rec-number&gt;1172&lt;/rec-number&gt;&lt;foreign-keys&gt;&lt;key app="EN" db-id="wprxwptv75dtdree0t5x2ptmvadptw5fr2ww" timestamp="1320916275"&gt;1172&lt;/key&gt;&lt;/foreign-keys&gt;&lt;ref-type name="Journal Article"&gt;17&lt;/ref-type&gt;&lt;contributors&gt;&lt;authors&gt;&lt;author&gt;Chenoweth, L.&lt;/author&gt;&lt;author&gt;Jeon, Y.H.&lt;/author&gt;&lt;/authors&gt;&lt;/contributors&gt;&lt;titles&gt;&lt;title&gt;Determining the efficacy of dementia Care Mapping as an outcome measure and process for change: A pilot study&lt;/title&gt;&lt;secondary-title&gt;Aging and Mental Health&lt;/secondary-title&gt;&lt;/titles&gt;&lt;pages&gt;237-45&lt;/pages&gt;&lt;volume&gt;11&lt;/volume&gt;&lt;number&gt;3&lt;/number&gt;&lt;dates&gt;&lt;year&gt;2007&lt;/year&gt;&lt;/dates&gt;&lt;urls&gt;&lt;/urls&gt;&lt;/record&gt;&lt;/Cite&gt;&lt;/EndNote&gt;</w:instrText>
      </w:r>
      <w:r w:rsidRPr="00563AD3">
        <w:fldChar w:fldCharType="separate"/>
      </w:r>
      <w:r w:rsidR="00EC2AA2" w:rsidRPr="00EC2AA2">
        <w:rPr>
          <w:noProof/>
          <w:vertAlign w:val="superscript"/>
        </w:rPr>
        <w:t>90</w:t>
      </w:r>
      <w:r w:rsidRPr="00563AD3">
        <w:fldChar w:fldCharType="end"/>
      </w:r>
      <w:r w:rsidRPr="00563AD3">
        <w:t xml:space="preserve"> </w:t>
      </w:r>
      <w:r w:rsidR="00541046" w:rsidRPr="00563AD3">
        <w:t xml:space="preserve">conducted in three Australian </w:t>
      </w:r>
      <w:r w:rsidRPr="00563AD3">
        <w:t xml:space="preserve">care homes, found </w:t>
      </w:r>
      <w:r w:rsidR="00070560" w:rsidRPr="00563AD3">
        <w:t>DCM™</w:t>
      </w:r>
      <w:r w:rsidR="00541046" w:rsidRPr="00563AD3">
        <w:t xml:space="preserve"> led to </w:t>
      </w:r>
      <w:r w:rsidRPr="00563AD3">
        <w:t>improvements in the quality of staff interactions and reductions in agitation and depression</w:t>
      </w:r>
      <w:r w:rsidR="0071581D" w:rsidRPr="00563AD3">
        <w:t>, compared with three control homes</w:t>
      </w:r>
      <w:r w:rsidRPr="00563AD3">
        <w:t xml:space="preserve">. </w:t>
      </w:r>
      <w:r w:rsidR="00A05DC2" w:rsidRPr="00563AD3">
        <w:t>A quasi-experimental controlled trial conducted in Germany</w:t>
      </w:r>
      <w:r w:rsidR="00191950">
        <w:t>,</w:t>
      </w:r>
      <w:r w:rsidR="008C46DD" w:rsidRPr="00563AD3">
        <w:t xml:space="preserve"> </w:t>
      </w:r>
      <w:r w:rsidR="008C46DD" w:rsidRPr="00563AD3">
        <w:fldChar w:fldCharType="begin"/>
      </w:r>
      <w:r w:rsidR="008C7FD1">
        <w:instrText xml:space="preserve"> ADDIN EN.CITE &lt;EndNote&gt;&lt;Cite&gt;&lt;Author&gt;Dichter&lt;/Author&gt;&lt;Year&gt;2015&lt;/Year&gt;&lt;RecNum&gt;1796&lt;/RecNum&gt;&lt;DisplayText&gt;&lt;style face="superscript"&gt;92&lt;/style&gt;&lt;/DisplayText&gt;&lt;record&gt;&lt;rec-number&gt;1796&lt;/rec-number&gt;&lt;foreign-keys&gt;&lt;key app="EN" db-id="wprxwptv75dtdree0t5x2ptmvadptw5fr2ww" timestamp="1517314167"&gt;1796&lt;/key&gt;&lt;/foreign-keys&gt;&lt;ref-type name="Journal Article"&gt;17&lt;/ref-type&gt;&lt;contributors&gt;&lt;authors&gt;&lt;author&gt;Dichter, M.N.&lt;/author&gt;&lt;author&gt;Quasdorf, T.&lt;/author&gt;&lt;author&gt;Schwab, C.G.G.&lt;/author&gt;&lt;author&gt;Trutschel, D.&lt;/author&gt;&lt;author&gt;Haastert, B.&lt;/author&gt;&lt;author&gt;Riesner, C.&lt;/author&gt;&lt;author&gt;Bartholomeyczik, S.&lt;/author&gt;&lt;author&gt;Halek, M.&lt;/author&gt;&lt;/authors&gt;&lt;/contributors&gt;&lt;titles&gt;&lt;title&gt;Dementia care mapping: effects on residents’ quality of life and challenging behavior in German nursing homes. A quasi-experimental trial&lt;/title&gt;&lt;secondary-title&gt;International Psychogeriatrics&lt;/secondary-title&gt;&lt;/titles&gt;&lt;periodical&gt;&lt;full-title&gt;International Psychogeriatrics&lt;/full-title&gt;&lt;abbr-1&gt;Int. Psychogeriatr.&lt;/abbr-1&gt;&lt;abbr-2&gt;Int Psychogeriatr&lt;/abbr-2&gt;&lt;/periodical&gt;&lt;pages&gt;1875-1892&lt;/pages&gt;&lt;volume&gt;27&lt;/volume&gt;&lt;number&gt;11&lt;/number&gt;&lt;dates&gt;&lt;year&gt;2015&lt;/year&gt;&lt;/dates&gt;&lt;urls&gt;&lt;/urls&gt;&lt;/record&gt;&lt;/Cite&gt;&lt;/EndNote&gt;</w:instrText>
      </w:r>
      <w:r w:rsidR="008C46DD" w:rsidRPr="00563AD3">
        <w:fldChar w:fldCharType="separate"/>
      </w:r>
      <w:r w:rsidR="00EC2AA2" w:rsidRPr="00EC2AA2">
        <w:rPr>
          <w:noProof/>
          <w:vertAlign w:val="superscript"/>
        </w:rPr>
        <w:t>92</w:t>
      </w:r>
      <w:r w:rsidR="008C46DD" w:rsidRPr="00563AD3">
        <w:fldChar w:fldCharType="end"/>
      </w:r>
      <w:r w:rsidR="00A05DC2" w:rsidRPr="00563AD3">
        <w:t xml:space="preserve"> compar</w:t>
      </w:r>
      <w:r w:rsidR="001432A0" w:rsidRPr="00563AD3">
        <w:t xml:space="preserve">ed outcomes at 6- and 16-months to baseline. Nine nursing homes units, located in nine nursing homes owned by the same group were allocated </w:t>
      </w:r>
      <w:r w:rsidR="007E5B8C" w:rsidRPr="00563AD3">
        <w:t xml:space="preserve">not at random </w:t>
      </w:r>
      <w:r w:rsidR="001432A0" w:rsidRPr="00563AD3">
        <w:t xml:space="preserve">to one of three arms; no intervention control group (n=3), </w:t>
      </w:r>
      <w:r w:rsidR="008A5202" w:rsidRPr="00563AD3">
        <w:rPr>
          <w:lang w:eastAsia="en-US"/>
        </w:rPr>
        <w:t>DCM</w:t>
      </w:r>
      <w:r w:rsidR="008A5202" w:rsidRPr="00563AD3">
        <w:t>™</w:t>
      </w:r>
      <w:r w:rsidR="001432A0" w:rsidRPr="00563AD3">
        <w:t xml:space="preserve"> experienced intervention group (n=3) and </w:t>
      </w:r>
      <w:r w:rsidR="008A5202" w:rsidRPr="00563AD3">
        <w:rPr>
          <w:lang w:eastAsia="en-US"/>
        </w:rPr>
        <w:t>DCM</w:t>
      </w:r>
      <w:r w:rsidR="008A5202" w:rsidRPr="00563AD3">
        <w:t>™</w:t>
      </w:r>
      <w:r w:rsidR="001432A0" w:rsidRPr="00563AD3">
        <w:t xml:space="preserve"> intervention group (n=3). The </w:t>
      </w:r>
      <w:r w:rsidR="008A5202" w:rsidRPr="00563AD3">
        <w:rPr>
          <w:lang w:eastAsia="en-US"/>
        </w:rPr>
        <w:t>DCM</w:t>
      </w:r>
      <w:r w:rsidR="008A5202" w:rsidRPr="00563AD3">
        <w:t>™</w:t>
      </w:r>
      <w:r w:rsidR="001432A0" w:rsidRPr="00563AD3">
        <w:t xml:space="preserve"> experienced group had been exposed to two externally delivered </w:t>
      </w:r>
      <w:r w:rsidR="008A5202" w:rsidRPr="00563AD3">
        <w:rPr>
          <w:lang w:eastAsia="en-US"/>
        </w:rPr>
        <w:t>DCM</w:t>
      </w:r>
      <w:r w:rsidR="008A5202" w:rsidRPr="00563AD3">
        <w:t>™</w:t>
      </w:r>
      <w:r w:rsidR="001432A0" w:rsidRPr="00563AD3">
        <w:t xml:space="preserve"> cycles annually over a number of years. The </w:t>
      </w:r>
      <w:r w:rsidR="008A5202" w:rsidRPr="00563AD3">
        <w:rPr>
          <w:lang w:eastAsia="en-US"/>
        </w:rPr>
        <w:t>DCM</w:t>
      </w:r>
      <w:r w:rsidR="008A5202" w:rsidRPr="00563AD3">
        <w:t>™</w:t>
      </w:r>
      <w:r w:rsidR="001432A0" w:rsidRPr="00563AD3">
        <w:t xml:space="preserve"> intervention group had no previous exposure to </w:t>
      </w:r>
      <w:r w:rsidR="008A5202" w:rsidRPr="00563AD3">
        <w:rPr>
          <w:lang w:eastAsia="en-US"/>
        </w:rPr>
        <w:t>DCM</w:t>
      </w:r>
      <w:r w:rsidR="008A5202" w:rsidRPr="00563AD3">
        <w:t>™</w:t>
      </w:r>
      <w:r w:rsidR="00BE094B">
        <w:t>,</w:t>
      </w:r>
      <w:r w:rsidR="001432A0" w:rsidRPr="00563AD3">
        <w:t xml:space="preserve"> but had expressed an interest in undertaking the method. Two staff members from both intervention groups received </w:t>
      </w:r>
      <w:r w:rsidR="008A5202" w:rsidRPr="00563AD3">
        <w:rPr>
          <w:lang w:eastAsia="en-US"/>
        </w:rPr>
        <w:t>DCM</w:t>
      </w:r>
      <w:r w:rsidR="008A5202" w:rsidRPr="00563AD3">
        <w:t>™</w:t>
      </w:r>
      <w:r w:rsidR="001432A0" w:rsidRPr="00563AD3">
        <w:t xml:space="preserve"> training and </w:t>
      </w:r>
      <w:r w:rsidR="008C46DD" w:rsidRPr="00563AD3">
        <w:t xml:space="preserve">were requested to implement three </w:t>
      </w:r>
      <w:r w:rsidR="008A5202" w:rsidRPr="00563AD3">
        <w:rPr>
          <w:lang w:eastAsia="en-US"/>
        </w:rPr>
        <w:t>DCM</w:t>
      </w:r>
      <w:r w:rsidR="008A5202" w:rsidRPr="00563AD3">
        <w:t>™</w:t>
      </w:r>
      <w:r w:rsidR="008C46DD" w:rsidRPr="00563AD3">
        <w:t xml:space="preserve"> cycles over 18-months.</w:t>
      </w:r>
      <w:r w:rsidR="001432A0" w:rsidRPr="00563AD3">
        <w:t xml:space="preserve"> The control group received an intervention based on training staff about quality of life, followed by QoL assessment using a standardised tool, of all care home residents at least every 6-months. </w:t>
      </w:r>
      <w:r w:rsidR="008C46DD" w:rsidRPr="00563AD3">
        <w:t>The study found no significant differences between the two intervention groups and control, or the two intervention group</w:t>
      </w:r>
      <w:r w:rsidR="00BE094B">
        <w:t>s</w:t>
      </w:r>
      <w:r w:rsidR="008C46DD" w:rsidRPr="00563AD3">
        <w:t xml:space="preserve"> on QoL or BSC</w:t>
      </w:r>
      <w:r w:rsidR="00D91BF2" w:rsidRPr="00563AD3">
        <w:t>.</w:t>
      </w:r>
      <w:r w:rsidR="001432A0" w:rsidRPr="00563AD3">
        <w:t xml:space="preserve"> </w:t>
      </w:r>
    </w:p>
    <w:p w14:paraId="0D69406C" w14:textId="1A0D46CC" w:rsidR="00693CF8" w:rsidRPr="00563AD3" w:rsidRDefault="008D3C01" w:rsidP="009B13F3">
      <w:r w:rsidRPr="00563AD3">
        <w:t xml:space="preserve">The first </w:t>
      </w:r>
      <w:r w:rsidR="001927C1" w:rsidRPr="00563AD3">
        <w:t xml:space="preserve">cluster RCT </w:t>
      </w:r>
      <w:r w:rsidRPr="00563AD3">
        <w:t xml:space="preserve">evaluating the efficacy of </w:t>
      </w:r>
      <w:r w:rsidR="00070560" w:rsidRPr="00563AD3">
        <w:t>DCM™</w:t>
      </w:r>
      <w:r w:rsidRPr="00563AD3">
        <w:t xml:space="preserve"> was </w:t>
      </w:r>
      <w:r w:rsidR="001927C1" w:rsidRPr="00563AD3">
        <w:t xml:space="preserve">conducted </w:t>
      </w:r>
      <w:r w:rsidRPr="00563AD3">
        <w:t>in Australia</w:t>
      </w:r>
      <w:r w:rsidR="000F79ED" w:rsidRPr="00563AD3">
        <w:t xml:space="preserve"> </w:t>
      </w:r>
      <w:r w:rsidRPr="00563AD3">
        <w:fldChar w:fldCharType="begin"/>
      </w:r>
      <w:r w:rsidR="008C7FD1">
        <w:instrText xml:space="preserve"> ADDIN EN.CITE &lt;EndNote&gt;&lt;Cite&gt;&lt;Author&gt;Chenoweth&lt;/Author&gt;&lt;Year&gt;2009&lt;/Year&gt;&lt;RecNum&gt;1069&lt;/RecNum&gt;&lt;DisplayText&gt;&lt;style face="superscript"&gt;63&lt;/style&gt;&lt;/DisplayText&gt;&lt;record&gt;&lt;rec-number&gt;1069&lt;/rec-number&gt;&lt;foreign-keys&gt;&lt;key app="EN" db-id="wprxwptv75dtdree0t5x2ptmvadptw5fr2ww" timestamp="1269348634"&gt;1069&lt;/key&gt;&lt;/foreign-keys&gt;&lt;ref-type name="Journal Article"&gt;17&lt;/ref-type&gt;&lt;contributors&gt;&lt;authors&gt;&lt;author&gt;Chenoweth, L.&lt;/author&gt;&lt;author&gt;King, M.T.&lt;/author&gt;&lt;author&gt;Jeon, Y.H.&lt;/author&gt;&lt;author&gt;Brodaty, H.&lt;/author&gt;&lt;author&gt;Stein-Parbury, J.&lt;/author&gt;&lt;author&gt;Haas, M.&lt;/author&gt;&lt;author&gt;Luscombe, G.&lt;/author&gt;&lt;/authors&gt;&lt;/contributors&gt;&lt;titles&gt;&lt;title&gt;Caring for Aged Dementia Care Resident Study (CADRES) of person-centred dementia care, dementia-care mapping, and usual care in dementia: a cluster-randomised trial&lt;/title&gt;&lt;secondary-title&gt;The Lancet - Neurology&lt;/secondary-title&gt;&lt;/titles&gt;&lt;pages&gt;317-25&lt;/pages&gt;&lt;volume&gt;8&lt;/volume&gt;&lt;number&gt;April&lt;/number&gt;&lt;dates&gt;&lt;year&gt;2009&lt;/year&gt;&lt;/dates&gt;&lt;urls&gt;&lt;/urls&gt;&lt;/record&gt;&lt;/Cite&gt;&lt;/EndNote&gt;</w:instrText>
      </w:r>
      <w:r w:rsidRPr="00563AD3">
        <w:fldChar w:fldCharType="separate"/>
      </w:r>
      <w:r w:rsidR="007301D7" w:rsidRPr="007301D7">
        <w:rPr>
          <w:noProof/>
          <w:vertAlign w:val="superscript"/>
        </w:rPr>
        <w:t>63</w:t>
      </w:r>
      <w:r w:rsidRPr="00563AD3">
        <w:fldChar w:fldCharType="end"/>
      </w:r>
      <w:r w:rsidRPr="00563AD3">
        <w:t xml:space="preserve"> </w:t>
      </w:r>
      <w:r w:rsidR="001927C1" w:rsidRPr="00563AD3">
        <w:t>in 15 care homes</w:t>
      </w:r>
      <w:r w:rsidRPr="00563AD3">
        <w:t xml:space="preserve"> randomised </w:t>
      </w:r>
      <w:r w:rsidR="007E5B8C" w:rsidRPr="00563AD3">
        <w:t>equally between</w:t>
      </w:r>
      <w:r w:rsidRPr="00563AD3">
        <w:t xml:space="preserve"> three arms (</w:t>
      </w:r>
      <w:r w:rsidR="003356EE" w:rsidRPr="00563AD3">
        <w:t>usual care</w:t>
      </w:r>
      <w:r w:rsidRPr="00563AD3">
        <w:t xml:space="preserve"> </w:t>
      </w:r>
      <w:r w:rsidR="003356EE" w:rsidRPr="00563AD3">
        <w:t>(control)</w:t>
      </w:r>
      <w:r w:rsidRPr="00563AD3">
        <w:t xml:space="preserve">, </w:t>
      </w:r>
      <w:r w:rsidR="003356EE" w:rsidRPr="00563AD3">
        <w:t>person-centred care training</w:t>
      </w:r>
      <w:r w:rsidR="001258F3" w:rsidRPr="00563AD3">
        <w:t xml:space="preserve"> (PCCT)</w:t>
      </w:r>
      <w:r w:rsidRPr="00563AD3">
        <w:t xml:space="preserve">, </w:t>
      </w:r>
      <w:r w:rsidR="00070560" w:rsidRPr="00563AD3">
        <w:t>DCM™</w:t>
      </w:r>
      <w:r w:rsidRPr="00563AD3">
        <w:t>) and includ</w:t>
      </w:r>
      <w:r w:rsidR="007709D7" w:rsidRPr="00563AD3">
        <w:t>ed</w:t>
      </w:r>
      <w:r w:rsidRPr="00563AD3">
        <w:t xml:space="preserve"> </w:t>
      </w:r>
      <w:r w:rsidR="001927C1" w:rsidRPr="00563AD3">
        <w:t xml:space="preserve">289 </w:t>
      </w:r>
      <w:r w:rsidR="007709D7" w:rsidRPr="00563AD3">
        <w:t xml:space="preserve">people with dementia </w:t>
      </w:r>
      <w:r w:rsidR="001927C1" w:rsidRPr="00563AD3">
        <w:t>(</w:t>
      </w:r>
      <w:r w:rsidR="001258F3" w:rsidRPr="00563AD3">
        <w:t xml:space="preserve">18% </w:t>
      </w:r>
      <w:r w:rsidR="001927C1" w:rsidRPr="00563AD3">
        <w:t>loss to follow up at 10-months)</w:t>
      </w:r>
      <w:r w:rsidRPr="00563AD3">
        <w:t>. The trial</w:t>
      </w:r>
      <w:r w:rsidR="001927C1" w:rsidRPr="00563AD3">
        <w:t xml:space="preserve"> found that at 10-months post randomisation, </w:t>
      </w:r>
      <w:r w:rsidR="00070560" w:rsidRPr="00563AD3">
        <w:t>DCM™</w:t>
      </w:r>
      <w:r w:rsidR="001927C1" w:rsidRPr="00563AD3">
        <w:t xml:space="preserve">, when used alone, was associated with significantly reduced agitation and falls </w:t>
      </w:r>
      <w:r w:rsidRPr="00563AD3">
        <w:t>in</w:t>
      </w:r>
      <w:r w:rsidR="001927C1" w:rsidRPr="00563AD3">
        <w:t xml:space="preserve"> </w:t>
      </w:r>
      <w:r w:rsidR="007709D7" w:rsidRPr="00563AD3">
        <w:t xml:space="preserve">people </w:t>
      </w:r>
      <w:r w:rsidR="001927C1" w:rsidRPr="00563AD3">
        <w:t xml:space="preserve">with dementia compared to </w:t>
      </w:r>
      <w:r w:rsidR="00D82FF9" w:rsidRPr="00563AD3">
        <w:t>control</w:t>
      </w:r>
      <w:r w:rsidR="001258F3" w:rsidRPr="00563AD3">
        <w:t xml:space="preserve"> and PCCT and reduced</w:t>
      </w:r>
      <w:r w:rsidR="006A227F" w:rsidRPr="00563AD3">
        <w:t xml:space="preserve"> staff feelings of burnout</w:t>
      </w:r>
      <w:r w:rsidR="00191950">
        <w:t>.</w:t>
      </w:r>
      <w:r w:rsidR="006A227F" w:rsidRPr="00563AD3">
        <w:t xml:space="preserve"> </w:t>
      </w:r>
      <w:r w:rsidR="006A227F" w:rsidRPr="00563AD3">
        <w:fldChar w:fldCharType="begin"/>
      </w:r>
      <w:r w:rsidR="008C7FD1">
        <w:instrText xml:space="preserve"> ADDIN EN.CITE &lt;EndNote&gt;&lt;Cite&gt;&lt;Author&gt;Jeon&lt;/Author&gt;&lt;Year&gt;2012&lt;/Year&gt;&lt;RecNum&gt;1799&lt;/RecNum&gt;&lt;DisplayText&gt;&lt;style face="superscript"&gt;95&lt;/style&gt;&lt;/DisplayText&gt;&lt;record&gt;&lt;rec-number&gt;1799&lt;/rec-number&gt;&lt;foreign-keys&gt;&lt;key app="EN" db-id="wprxwptv75dtdree0t5x2ptmvadptw5fr2ww" timestamp="1517322304"&gt;1799&lt;/key&gt;&lt;/foreign-keys&gt;&lt;ref-type name="Journal Article"&gt;17&lt;/ref-type&gt;&lt;contributors&gt;&lt;authors&gt;&lt;author&gt;Jeon, Y.H.&lt;/author&gt;&lt;author&gt;Luscombe, G.&lt;/author&gt;&lt;author&gt;Chenoweth, L.&lt;/author&gt;&lt;author&gt;Stein-Parbury, J.&lt;/author&gt;&lt;author&gt;Brodaty, H.&lt;/author&gt;&lt;author&gt;King, M. &lt;/author&gt;&lt;author&gt;Haas, M.&lt;/author&gt;&lt;/authors&gt;&lt;/contributors&gt;&lt;titles&gt;&lt;title&gt;Staff outcomes from the Caring for Aged Dementia Care REsident Study CADRES): A cluster randomised trial&lt;/title&gt;&lt;secondary-title&gt;International Journal Nursing Studies&lt;/secondary-title&gt;&lt;/titles&gt;&lt;pages&gt;508-18&lt;/pages&gt;&lt;volume&gt;49&lt;/volume&gt;&lt;dates&gt;&lt;year&gt;2012&lt;/year&gt;&lt;/dates&gt;&lt;urls&gt;&lt;/urls&gt;&lt;/record&gt;&lt;/Cite&gt;&lt;/EndNote&gt;</w:instrText>
      </w:r>
      <w:r w:rsidR="006A227F" w:rsidRPr="00563AD3">
        <w:fldChar w:fldCharType="separate"/>
      </w:r>
      <w:r w:rsidR="00EC2AA2" w:rsidRPr="00EC2AA2">
        <w:rPr>
          <w:noProof/>
          <w:vertAlign w:val="superscript"/>
        </w:rPr>
        <w:t>95</w:t>
      </w:r>
      <w:r w:rsidR="006A227F" w:rsidRPr="00563AD3">
        <w:fldChar w:fldCharType="end"/>
      </w:r>
      <w:r w:rsidR="006A227F" w:rsidRPr="00563AD3">
        <w:t xml:space="preserve"> </w:t>
      </w:r>
      <w:r w:rsidR="001927C1" w:rsidRPr="00563AD3">
        <w:t xml:space="preserve">A </w:t>
      </w:r>
      <w:r w:rsidRPr="00563AD3">
        <w:t xml:space="preserve">three-arm </w:t>
      </w:r>
      <w:r w:rsidR="001927C1" w:rsidRPr="00563AD3">
        <w:t xml:space="preserve">cluster </w:t>
      </w:r>
      <w:r w:rsidR="00075E0E" w:rsidRPr="00563AD3">
        <w:t xml:space="preserve">RCT </w:t>
      </w:r>
      <w:r w:rsidR="001927C1" w:rsidRPr="00563AD3">
        <w:fldChar w:fldCharType="begin"/>
      </w:r>
      <w:r w:rsidR="008C7FD1">
        <w:instrText xml:space="preserve"> ADDIN EN.CITE &lt;EndNote&gt;&lt;Cite&gt;&lt;Author&gt;Rokstad&lt;/Author&gt;&lt;Year&gt;2013&lt;/Year&gt;&lt;RecNum&gt;1407&lt;/RecNum&gt;&lt;DisplayText&gt;&lt;style face="superscript"&gt;93&lt;/style&gt;&lt;/DisplayText&gt;&lt;record&gt;&lt;rec-number&gt;1407&lt;/rec-number&gt;&lt;foreign-keys&gt;&lt;key app="EN" db-id="wprxwptv75dtdree0t5x2ptmvadptw5fr2ww" timestamp="1395669898"&gt;1407&lt;/key&gt;&lt;/foreign-keys&gt;&lt;ref-type name="Journal Article"&gt;17&lt;/ref-type&gt;&lt;contributors&gt;&lt;authors&gt;&lt;author&gt;Rokstad, A.M.&lt;/author&gt;&lt;author&gt;Røsvik, J.&lt;/author&gt;&lt;author&gt;Kirkevold, Ø.&lt;/author&gt;&lt;author&gt;Selbæk, G.&lt;/author&gt;&lt;author&gt;Saltyte Benth, J.&lt;/author&gt;&lt;author&gt;Engedal, K.&lt;/author&gt;&lt;/authors&gt;&lt;/contributors&gt;&lt;titles&gt;&lt;title&gt;The Effect of Person-Centred Dementia Care to Prevent Agitation and Other Neuropsychiatric Symptoms and Enhance Quality of Life in Nursing Home Patients: A 10-Month Randomized Controlled Trial&lt;/title&gt;&lt;secondary-title&gt;Dementia and Geriatric Cognitive Disorders&lt;/secondary-title&gt;&lt;/titles&gt;&lt;periodical&gt;&lt;full-title&gt;Dementia and Geriatric Cognitive Disorders&lt;/full-title&gt;&lt;abbr-1&gt;Dement. Geriatr. Cogn. Disord.&lt;/abbr-1&gt;&lt;abbr-2&gt;Dement Geriatr Cogn Disord&lt;/abbr-2&gt;&lt;abbr-3&gt;Dementia &amp;amp; Geriatric Cognitive Disorders&lt;/abbr-3&gt;&lt;/periodical&gt;&lt;pages&gt;340-53&lt;/pages&gt;&lt;volume&gt;36&lt;/volume&gt;&lt;dates&gt;&lt;year&gt;2013&lt;/year&gt;&lt;/dates&gt;&lt;urls&gt;&lt;/urls&gt;&lt;/record&gt;&lt;/Cite&gt;&lt;/EndNote&gt;</w:instrText>
      </w:r>
      <w:r w:rsidR="001927C1" w:rsidRPr="00563AD3">
        <w:fldChar w:fldCharType="separate"/>
      </w:r>
      <w:r w:rsidR="00EC2AA2" w:rsidRPr="00EC2AA2">
        <w:rPr>
          <w:noProof/>
          <w:vertAlign w:val="superscript"/>
        </w:rPr>
        <w:t>93</w:t>
      </w:r>
      <w:r w:rsidR="001927C1" w:rsidRPr="00563AD3">
        <w:fldChar w:fldCharType="end"/>
      </w:r>
      <w:r w:rsidR="001927C1" w:rsidRPr="00563AD3">
        <w:t xml:space="preserve"> </w:t>
      </w:r>
      <w:r w:rsidRPr="00563AD3">
        <w:t xml:space="preserve">was also conducted </w:t>
      </w:r>
      <w:r w:rsidR="001927C1" w:rsidRPr="00563AD3">
        <w:t>in 15 care homes</w:t>
      </w:r>
      <w:r w:rsidR="000F79ED" w:rsidRPr="00563AD3">
        <w:t xml:space="preserve"> in Nor</w:t>
      </w:r>
      <w:r w:rsidRPr="00563AD3">
        <w:t>way</w:t>
      </w:r>
      <w:r w:rsidR="001258F3" w:rsidRPr="00563AD3">
        <w:t xml:space="preserve">, randomising equally between </w:t>
      </w:r>
      <w:r w:rsidR="006A227F" w:rsidRPr="00563AD3">
        <w:t xml:space="preserve">control group, </w:t>
      </w:r>
      <w:r w:rsidR="00075E0E" w:rsidRPr="00563AD3">
        <w:t>p</w:t>
      </w:r>
      <w:r w:rsidR="001927C1" w:rsidRPr="00563AD3">
        <w:t>erson-centred</w:t>
      </w:r>
      <w:r w:rsidR="001258F3" w:rsidRPr="00563AD3">
        <w:t xml:space="preserve"> care framework implementation and </w:t>
      </w:r>
      <w:r w:rsidR="00070560" w:rsidRPr="00563AD3">
        <w:t>DCM™</w:t>
      </w:r>
      <w:r w:rsidRPr="00563AD3">
        <w:t>. The study recruited</w:t>
      </w:r>
      <w:r w:rsidR="001927C1" w:rsidRPr="00563AD3">
        <w:t xml:space="preserve"> 446 </w:t>
      </w:r>
      <w:r w:rsidR="007709D7" w:rsidRPr="00563AD3">
        <w:t xml:space="preserve">people with dementia </w:t>
      </w:r>
      <w:r w:rsidR="003356EE" w:rsidRPr="00563AD3">
        <w:t>(</w:t>
      </w:r>
      <w:r w:rsidR="001258F3" w:rsidRPr="00563AD3">
        <w:t xml:space="preserve">29% </w:t>
      </w:r>
      <w:r w:rsidR="003356EE" w:rsidRPr="00563AD3">
        <w:t xml:space="preserve">loss to follow up </w:t>
      </w:r>
      <w:r w:rsidR="001927C1" w:rsidRPr="00563AD3">
        <w:t>at 10-months)</w:t>
      </w:r>
      <w:r w:rsidRPr="00563AD3">
        <w:t xml:space="preserve">. It </w:t>
      </w:r>
      <w:r w:rsidR="001927C1" w:rsidRPr="00563AD3">
        <w:t>found significant reduction</w:t>
      </w:r>
      <w:r w:rsidR="001258F3" w:rsidRPr="00563AD3">
        <w:t>s</w:t>
      </w:r>
      <w:r w:rsidR="001927C1" w:rsidRPr="00563AD3">
        <w:t xml:space="preserve"> in </w:t>
      </w:r>
      <w:r w:rsidRPr="00563AD3">
        <w:t xml:space="preserve">overall </w:t>
      </w:r>
      <w:r w:rsidR="001927C1" w:rsidRPr="00563AD3">
        <w:t>neuropsychiatric symptoms as measured by the Neuro</w:t>
      </w:r>
      <w:r w:rsidRPr="00563AD3">
        <w:t xml:space="preserve">psychiatric Inventory (NPI), in </w:t>
      </w:r>
      <w:r w:rsidR="001927C1" w:rsidRPr="00563AD3">
        <w:t xml:space="preserve">agitation and psychosis </w:t>
      </w:r>
      <w:r w:rsidRPr="00563AD3">
        <w:t>as measured by the NPI sub-scales and a significant improvement in quality of life c</w:t>
      </w:r>
      <w:r w:rsidR="001927C1" w:rsidRPr="00563AD3">
        <w:t xml:space="preserve">ompared to </w:t>
      </w:r>
      <w:r w:rsidRPr="00563AD3">
        <w:t xml:space="preserve">the </w:t>
      </w:r>
      <w:r w:rsidR="00D82FF9" w:rsidRPr="00563AD3">
        <w:t>usual care</w:t>
      </w:r>
      <w:r w:rsidRPr="00563AD3">
        <w:t xml:space="preserve"> control</w:t>
      </w:r>
      <w:r w:rsidR="001927C1" w:rsidRPr="00563AD3">
        <w:t xml:space="preserve">. </w:t>
      </w:r>
      <w:r w:rsidR="00C945F8" w:rsidRPr="00563AD3">
        <w:t>B</w:t>
      </w:r>
      <w:r w:rsidR="001927C1" w:rsidRPr="00563AD3">
        <w:t xml:space="preserve">oth trials had explanatory designs involving researcher-led cycles of </w:t>
      </w:r>
      <w:r w:rsidR="00070560" w:rsidRPr="00563AD3">
        <w:t>DCM™</w:t>
      </w:r>
      <w:r w:rsidR="001927C1" w:rsidRPr="00563AD3">
        <w:t xml:space="preserve"> with variable degrees of input from trained care home staff</w:t>
      </w:r>
      <w:r w:rsidRPr="00563AD3">
        <w:t xml:space="preserve">, restricting </w:t>
      </w:r>
      <w:r w:rsidR="001927C1" w:rsidRPr="00563AD3">
        <w:t>generalisability of the results</w:t>
      </w:r>
      <w:r w:rsidRPr="00563AD3">
        <w:t>, since u</w:t>
      </w:r>
      <w:r w:rsidR="001927C1" w:rsidRPr="00563AD3">
        <w:t xml:space="preserve">sual implementation of </w:t>
      </w:r>
      <w:r w:rsidR="00070560" w:rsidRPr="00563AD3">
        <w:t>DCM™</w:t>
      </w:r>
      <w:r w:rsidR="001927C1" w:rsidRPr="00563AD3">
        <w:t xml:space="preserve"> is practitioner-led. </w:t>
      </w:r>
      <w:r w:rsidRPr="00563AD3">
        <w:t xml:space="preserve">A Dutch </w:t>
      </w:r>
      <w:r w:rsidR="001927C1" w:rsidRPr="00563AD3">
        <w:t xml:space="preserve">cluster RCT </w:t>
      </w:r>
      <w:r w:rsidRPr="00563AD3">
        <w:t xml:space="preserve">conducted </w:t>
      </w:r>
      <w:r w:rsidR="001927C1" w:rsidRPr="00563AD3">
        <w:t xml:space="preserve">in 34 units, </w:t>
      </w:r>
      <w:r w:rsidRPr="00563AD3">
        <w:t>across 11 care ho</w:t>
      </w:r>
      <w:r w:rsidR="001258F3" w:rsidRPr="00563AD3">
        <w:t>mes compared</w:t>
      </w:r>
      <w:r w:rsidRPr="00563AD3">
        <w:t xml:space="preserve"> </w:t>
      </w:r>
      <w:r w:rsidR="00070560" w:rsidRPr="00563AD3">
        <w:t>DCM™</w:t>
      </w:r>
      <w:r w:rsidRPr="00563AD3">
        <w:t xml:space="preserve"> to </w:t>
      </w:r>
      <w:r w:rsidR="00075E0E" w:rsidRPr="00563AD3">
        <w:t>usual care</w:t>
      </w:r>
      <w:r w:rsidRPr="00563AD3">
        <w:t xml:space="preserve"> control</w:t>
      </w:r>
      <w:r w:rsidR="00191950">
        <w:t>.</w:t>
      </w:r>
      <w:r w:rsidR="001927C1" w:rsidRPr="00563AD3">
        <w:t xml:space="preserve"> </w:t>
      </w:r>
      <w:r w:rsidR="001927C1" w:rsidRPr="00563AD3">
        <w:fldChar w:fldCharType="begin"/>
      </w:r>
      <w:r w:rsidR="008C7FD1">
        <w:instrText xml:space="preserve"> ADDIN EN.CITE &lt;EndNote&gt;&lt;Cite&gt;&lt;Author&gt;van de Ven&lt;/Author&gt;&lt;Year&gt;2013&lt;/Year&gt;&lt;RecNum&gt;1408&lt;/RecNum&gt;&lt;DisplayText&gt;&lt;style face="superscript"&gt;94&lt;/style&gt;&lt;/DisplayText&gt;&lt;record&gt;&lt;rec-number&gt;1408&lt;/rec-number&gt;&lt;foreign-keys&gt;&lt;key app="EN" db-id="wprxwptv75dtdree0t5x2ptmvadptw5fr2ww" timestamp="1395670662"&gt;1408&lt;/key&gt;&lt;/foreign-keys&gt;&lt;ref-type name="Journal Article"&gt;17&lt;/ref-type&gt;&lt;contributors&gt;&lt;authors&gt;&lt;author&gt;van de Ven, G.&lt;/author&gt;&lt;author&gt;Drasovic, I.&lt;/author&gt;&lt;author&gt;Adang, E.M.M.&lt;/author&gt;&lt;author&gt;Donders, R.&lt;/author&gt;&lt;author&gt;Zuidema, S.&lt;/author&gt;&lt;author&gt;Koopmans, R.T.C.M.&lt;/author&gt;&lt;author&gt;Vernooij-Dassen, M.&lt;/author&gt;&lt;/authors&gt;&lt;/contributors&gt;&lt;titles&gt;&lt;title&gt;Effects of Dementia-Care Mapping on Residents and Staff of Care Homes: A Pragmatic Cluster-Randomised Controlled Trial.&lt;/title&gt;&lt;secondary-title&gt;PLoS ONE&lt;/secondary-title&gt;&lt;/titles&gt;&lt;periodical&gt;&lt;full-title&gt;PloS One&lt;/full-title&gt;&lt;abbr-1&gt;PLoS One&lt;/abbr-1&gt;&lt;abbr-2&gt;PLoS One&lt;/abbr-2&gt;&lt;/periodical&gt;&lt;pages&gt;e67325&lt;/pages&gt;&lt;volume&gt;8&lt;/volume&gt;&lt;number&gt;7&lt;/number&gt;&lt;dates&gt;&lt;year&gt;2013&lt;/year&gt;&lt;/dates&gt;&lt;urls&gt;&lt;/urls&gt;&lt;/record&gt;&lt;/Cite&gt;&lt;/EndNote&gt;</w:instrText>
      </w:r>
      <w:r w:rsidR="001927C1" w:rsidRPr="00563AD3">
        <w:fldChar w:fldCharType="separate"/>
      </w:r>
      <w:r w:rsidR="00EC2AA2" w:rsidRPr="00EC2AA2">
        <w:rPr>
          <w:noProof/>
          <w:vertAlign w:val="superscript"/>
        </w:rPr>
        <w:t>94</w:t>
      </w:r>
      <w:r w:rsidR="001927C1" w:rsidRPr="00563AD3">
        <w:fldChar w:fldCharType="end"/>
      </w:r>
      <w:r w:rsidRPr="00563AD3">
        <w:t xml:space="preserve"> It recruited </w:t>
      </w:r>
      <w:r w:rsidR="001927C1" w:rsidRPr="00563AD3">
        <w:t>434 residents (</w:t>
      </w:r>
      <w:r w:rsidR="001258F3" w:rsidRPr="00563AD3">
        <w:t xml:space="preserve">35% </w:t>
      </w:r>
      <w:r w:rsidR="001927C1" w:rsidRPr="00563AD3">
        <w:t xml:space="preserve">loss to follow up at 12-months) </w:t>
      </w:r>
      <w:r w:rsidRPr="00563AD3">
        <w:t xml:space="preserve">and </w:t>
      </w:r>
      <w:r w:rsidR="001927C1" w:rsidRPr="00563AD3">
        <w:t xml:space="preserve">found no difference in residents’ agitation between the </w:t>
      </w:r>
      <w:r w:rsidR="00070560" w:rsidRPr="00563AD3">
        <w:t>DCM™</w:t>
      </w:r>
      <w:r w:rsidR="001927C1" w:rsidRPr="00563AD3">
        <w:t xml:space="preserve"> intervention and control homes. </w:t>
      </w:r>
      <w:r w:rsidR="001258F3" w:rsidRPr="00563AD3">
        <w:t>P</w:t>
      </w:r>
      <w:r w:rsidRPr="00563AD3">
        <w:t xml:space="preserve">ositive </w:t>
      </w:r>
      <w:r w:rsidR="001927C1" w:rsidRPr="00563AD3">
        <w:t xml:space="preserve">staff </w:t>
      </w:r>
      <w:r w:rsidRPr="00563AD3">
        <w:t xml:space="preserve">outcomes were found in the </w:t>
      </w:r>
      <w:r w:rsidR="001927C1" w:rsidRPr="00563AD3">
        <w:t xml:space="preserve">intervention group </w:t>
      </w:r>
      <w:r w:rsidRPr="00563AD3">
        <w:t xml:space="preserve">including significantly fewer </w:t>
      </w:r>
      <w:r w:rsidR="001927C1" w:rsidRPr="00563AD3">
        <w:t xml:space="preserve">reported negative emotional reactions and significantly more positive reactions towards people with dementia. </w:t>
      </w:r>
      <w:r w:rsidRPr="00563AD3">
        <w:t>The trial authors identified</w:t>
      </w:r>
      <w:r w:rsidR="001927C1" w:rsidRPr="00563AD3">
        <w:t xml:space="preserve"> potential </w:t>
      </w:r>
      <w:r w:rsidR="00070560" w:rsidRPr="00563AD3">
        <w:t>DCM™</w:t>
      </w:r>
      <w:r w:rsidRPr="00563AD3">
        <w:t xml:space="preserve"> </w:t>
      </w:r>
      <w:r w:rsidR="001927C1" w:rsidRPr="00563AD3">
        <w:t xml:space="preserve">intervention fidelity issues, indicating less than desirable implementation in some clusters. </w:t>
      </w:r>
      <w:r w:rsidR="00C945F8" w:rsidRPr="00563AD3">
        <w:t>A</w:t>
      </w:r>
      <w:r w:rsidR="001927C1" w:rsidRPr="00563AD3">
        <w:t>ll three RCT</w:t>
      </w:r>
      <w:r w:rsidR="003356EE" w:rsidRPr="00563AD3">
        <w:t>s</w:t>
      </w:r>
      <w:r w:rsidR="001927C1" w:rsidRPr="00563AD3">
        <w:t xml:space="preserve"> were exploratory and each only included two full cycles of </w:t>
      </w:r>
      <w:r w:rsidR="00070560" w:rsidRPr="00563AD3">
        <w:t>DCM™</w:t>
      </w:r>
      <w:r w:rsidR="001927C1" w:rsidRPr="00563AD3">
        <w:t xml:space="preserve"> before final follow-up, </w:t>
      </w:r>
      <w:r w:rsidR="00C945F8" w:rsidRPr="00563AD3">
        <w:t xml:space="preserve">with follow-up periods of only 10-12 months post-randomisation, </w:t>
      </w:r>
      <w:r w:rsidR="001927C1" w:rsidRPr="00563AD3">
        <w:t xml:space="preserve">reducing the time for potential change and impact to be realised. </w:t>
      </w:r>
    </w:p>
    <w:p w14:paraId="3F3B3B9C" w14:textId="2884941F" w:rsidR="001927C1" w:rsidRPr="00563AD3" w:rsidRDefault="001258F3" w:rsidP="009B13F3">
      <w:pPr>
        <w:rPr>
          <w:color w:val="0070C0"/>
        </w:rPr>
      </w:pPr>
      <w:r w:rsidRPr="00563AD3">
        <w:t>R</w:t>
      </w:r>
      <w:r w:rsidR="003C3971" w:rsidRPr="00563AD3">
        <w:t xml:space="preserve">esults of </w:t>
      </w:r>
      <w:r w:rsidRPr="00563AD3">
        <w:t xml:space="preserve">these existing studies are </w:t>
      </w:r>
      <w:r w:rsidR="003C3971" w:rsidRPr="00563AD3">
        <w:t xml:space="preserve">mixed in terms of reported efficacy of </w:t>
      </w:r>
      <w:r w:rsidR="008A5202" w:rsidRPr="00563AD3">
        <w:rPr>
          <w:lang w:eastAsia="en-US"/>
        </w:rPr>
        <w:t>DCM</w:t>
      </w:r>
      <w:r w:rsidR="008A5202" w:rsidRPr="00563AD3">
        <w:t>™</w:t>
      </w:r>
      <w:r w:rsidR="003C3971" w:rsidRPr="00563AD3">
        <w:t xml:space="preserve">. The studies that included researcher-led cycles of </w:t>
      </w:r>
      <w:r w:rsidR="008A5202" w:rsidRPr="00563AD3">
        <w:rPr>
          <w:lang w:eastAsia="en-US"/>
        </w:rPr>
        <w:t>DCM</w:t>
      </w:r>
      <w:r w:rsidR="008A5202" w:rsidRPr="00563AD3">
        <w:t>™</w:t>
      </w:r>
      <w:r w:rsidR="003C3971" w:rsidRPr="00563AD3">
        <w:t xml:space="preserve"> (Australia, Norway) showed efficacy for some outcomes, whereas studies with care home staff led cycles of </w:t>
      </w:r>
      <w:r w:rsidR="008A5202" w:rsidRPr="00563AD3">
        <w:rPr>
          <w:lang w:eastAsia="en-US"/>
        </w:rPr>
        <w:t>DCM</w:t>
      </w:r>
      <w:r w:rsidR="008A5202" w:rsidRPr="00563AD3">
        <w:t>™</w:t>
      </w:r>
      <w:r w:rsidR="003C3971" w:rsidRPr="00563AD3">
        <w:t xml:space="preserve"> have shown no benefits of </w:t>
      </w:r>
      <w:r w:rsidR="008A5202" w:rsidRPr="00563AD3">
        <w:rPr>
          <w:lang w:eastAsia="en-US"/>
        </w:rPr>
        <w:t>DCM</w:t>
      </w:r>
      <w:r w:rsidR="008A5202" w:rsidRPr="00563AD3">
        <w:t>™</w:t>
      </w:r>
      <w:r w:rsidR="003C3971" w:rsidRPr="00563AD3">
        <w:t xml:space="preserve"> (Netherlands, Germany). A </w:t>
      </w:r>
      <w:r w:rsidR="00693CF8" w:rsidRPr="00563AD3">
        <w:t xml:space="preserve">recent </w:t>
      </w:r>
      <w:r w:rsidR="003C3971" w:rsidRPr="00563AD3">
        <w:t xml:space="preserve">systematic review </w:t>
      </w:r>
      <w:r w:rsidR="00693CF8" w:rsidRPr="00563AD3">
        <w:t xml:space="preserve">of </w:t>
      </w:r>
      <w:r w:rsidR="008A5202" w:rsidRPr="00563AD3">
        <w:rPr>
          <w:lang w:eastAsia="en-US"/>
        </w:rPr>
        <w:t>DCM</w:t>
      </w:r>
      <w:r w:rsidR="008A5202" w:rsidRPr="00563AD3">
        <w:t>™</w:t>
      </w:r>
      <w:r w:rsidR="00693CF8" w:rsidRPr="00563AD3">
        <w:t xml:space="preserve"> implementation </w:t>
      </w:r>
      <w:r w:rsidR="003C3971" w:rsidRPr="00563AD3">
        <w:fldChar w:fldCharType="begin"/>
      </w:r>
      <w:r w:rsidR="008C7FD1">
        <w:instrText xml:space="preserve"> ADDIN EN.CITE &lt;EndNote&gt;&lt;Cite&gt;&lt;Author&gt;Surr&lt;/Author&gt;&lt;Year&gt;2018&lt;/Year&gt;&lt;RecNum&gt;1797&lt;/RecNum&gt;&lt;DisplayText&gt;&lt;style face="superscript"&gt;96&lt;/style&gt;&lt;/DisplayText&gt;&lt;record&gt;&lt;rec-number&gt;1797&lt;/rec-number&gt;&lt;foreign-keys&gt;&lt;key app="EN" db-id="wprxwptv75dtdree0t5x2ptmvadptw5fr2ww" timestamp="1517319067"&gt;1797&lt;/key&gt;&lt;/foreign-keys&gt;&lt;ref-type name="Journal Article"&gt;17&lt;/ref-type&gt;&lt;contributors&gt;&lt;authors&gt;&lt;author&gt;Surr, C.&lt;/author&gt;&lt;author&gt;Griffiths, A.W.&lt;/author&gt;&lt;author&gt;Kelley, R.&lt;/author&gt;&lt;/authors&gt;&lt;/contributors&gt;&lt;titles&gt;&lt;title&gt;Implementing Dementia Care Mapping as a practice development tool in dementia care services: a systematic review&lt;/title&gt;&lt;secondary-title&gt;Clinical Interventions in Aging&lt;/secondary-title&gt;&lt;/titles&gt;&lt;periodical&gt;&lt;full-title&gt;Clinical Interventions in Aging&lt;/full-title&gt;&lt;abbr-1&gt;Clin. Interv. Aging&lt;/abbr-1&gt;&lt;abbr-2&gt;Clin Interv Aging&lt;/abbr-2&gt;&lt;/periodical&gt;&lt;pages&gt;165-177&lt;/pages&gt;&lt;volume&gt;13&lt;/volume&gt;&lt;dates&gt;&lt;year&gt;2018&lt;/year&gt;&lt;/dates&gt;&lt;urls&gt;&lt;/urls&gt;&lt;/record&gt;&lt;/Cite&gt;&lt;/EndNote&gt;</w:instrText>
      </w:r>
      <w:r w:rsidR="003C3971" w:rsidRPr="00563AD3">
        <w:fldChar w:fldCharType="separate"/>
      </w:r>
      <w:r w:rsidR="00EC2AA2" w:rsidRPr="00EC2AA2">
        <w:rPr>
          <w:noProof/>
          <w:vertAlign w:val="superscript"/>
        </w:rPr>
        <w:t>96</w:t>
      </w:r>
      <w:r w:rsidR="003C3971" w:rsidRPr="00563AD3">
        <w:fldChar w:fldCharType="end"/>
      </w:r>
      <w:r w:rsidR="003C3971" w:rsidRPr="00563AD3">
        <w:t xml:space="preserve"> </w:t>
      </w:r>
      <w:r w:rsidR="00693CF8" w:rsidRPr="00563AD3">
        <w:t xml:space="preserve">found limited research in this area, with implementation found to be challenging across a number of the published studies. There was some consensus that appropriate mapper selection, preparation and ongoing support during </w:t>
      </w:r>
      <w:r w:rsidR="008A5202" w:rsidRPr="00563AD3">
        <w:rPr>
          <w:lang w:eastAsia="en-US"/>
        </w:rPr>
        <w:t>DCM</w:t>
      </w:r>
      <w:r w:rsidR="008A5202" w:rsidRPr="00563AD3">
        <w:t>™</w:t>
      </w:r>
      <w:r w:rsidR="00693CF8" w:rsidRPr="00563AD3">
        <w:t xml:space="preserve"> implementation, alongside effective leadership for </w:t>
      </w:r>
      <w:r w:rsidR="008A5202" w:rsidRPr="00563AD3">
        <w:rPr>
          <w:lang w:eastAsia="en-US"/>
        </w:rPr>
        <w:t>DCM</w:t>
      </w:r>
      <w:r w:rsidR="008A5202" w:rsidRPr="00563AD3">
        <w:t>™</w:t>
      </w:r>
      <w:r w:rsidR="00693CF8" w:rsidRPr="00563AD3">
        <w:t xml:space="preserve"> within an organisational context of commitment to delivery of person-centred care, could support better implementation.   </w:t>
      </w:r>
    </w:p>
    <w:p w14:paraId="175AD75A" w14:textId="4A36B545" w:rsidR="00541046" w:rsidRPr="00563AD3" w:rsidRDefault="001258F3" w:rsidP="009B13F3">
      <w:r w:rsidRPr="00563AD3">
        <w:t>In summary l</w:t>
      </w:r>
      <w:r w:rsidR="00541046" w:rsidRPr="00563AD3">
        <w:t xml:space="preserve">imitations of </w:t>
      </w:r>
      <w:r w:rsidR="00693CF8" w:rsidRPr="00563AD3">
        <w:t>existing</w:t>
      </w:r>
      <w:r w:rsidR="00541046" w:rsidRPr="00563AD3">
        <w:t xml:space="preserve"> studies include: </w:t>
      </w:r>
    </w:p>
    <w:p w14:paraId="130445B4" w14:textId="579037CB" w:rsidR="00541046" w:rsidRPr="00563AD3" w:rsidRDefault="00541046" w:rsidP="009B13F3">
      <w:pPr>
        <w:numPr>
          <w:ilvl w:val="0"/>
          <w:numId w:val="4"/>
        </w:numPr>
        <w:spacing w:after="200"/>
        <w:contextualSpacing/>
      </w:pPr>
      <w:r w:rsidRPr="00563AD3">
        <w:t>Relatively small number of clusters (Australia</w:t>
      </w:r>
      <w:r w:rsidR="005F27E3" w:rsidRPr="00563AD3">
        <w:t>, Germany</w:t>
      </w:r>
      <w:r w:rsidRPr="00563AD3">
        <w:t>) or small numbers of care homes containing multiple clusters (</w:t>
      </w:r>
      <w:r w:rsidR="00E47A43" w:rsidRPr="00563AD3">
        <w:t xml:space="preserve">Netherlands, </w:t>
      </w:r>
      <w:r w:rsidRPr="00563AD3">
        <w:t>Norway)</w:t>
      </w:r>
      <w:r w:rsidR="000F79ED" w:rsidRPr="00563AD3">
        <w:t>;</w:t>
      </w:r>
    </w:p>
    <w:p w14:paraId="25F2D219" w14:textId="1CCEC168" w:rsidR="00541046" w:rsidRPr="00563AD3" w:rsidRDefault="00541046" w:rsidP="009B13F3">
      <w:pPr>
        <w:numPr>
          <w:ilvl w:val="0"/>
          <w:numId w:val="4"/>
        </w:numPr>
        <w:spacing w:after="200"/>
        <w:contextualSpacing/>
      </w:pPr>
      <w:r w:rsidRPr="00563AD3">
        <w:t xml:space="preserve">Use of </w:t>
      </w:r>
      <w:r w:rsidR="00A61329" w:rsidRPr="00563AD3">
        <w:t>DCM™</w:t>
      </w:r>
      <w:r w:rsidRPr="00563AD3">
        <w:t xml:space="preserve"> alone rather than alongside PCCT in accordance with </w:t>
      </w:r>
      <w:r w:rsidR="0060648E" w:rsidRPr="00563AD3">
        <w:t xml:space="preserve">UK </w:t>
      </w:r>
      <w:r w:rsidRPr="00563AD3">
        <w:t>best practice guidelines</w:t>
      </w:r>
      <w:r w:rsidR="0025325A" w:rsidRPr="00563AD3">
        <w:t xml:space="preserve"> </w:t>
      </w:r>
      <w:r w:rsidR="0060648E" w:rsidRPr="00563AD3">
        <w:fldChar w:fldCharType="begin"/>
      </w:r>
      <w:r w:rsidR="00EC2AA2">
        <w:instrText xml:space="preserve"> ADDIN EN.CITE &lt;EndNote&gt;&lt;Cite&gt;&lt;Author&gt;BSI&lt;/Author&gt;&lt;Year&gt;2010&lt;/Year&gt;&lt;RecNum&gt;1073&lt;/RecNum&gt;&lt;DisplayText&gt;&lt;style face="superscript"&gt;83&lt;/style&gt;&lt;/DisplayText&gt;&lt;record&gt;&lt;rec-number&gt;1073&lt;/rec-number&gt;&lt;foreign-keys&gt;&lt;key app="EN" db-id="wprxwptv75dtdree0t5x2ptmvadptw5fr2ww" timestamp="1269349134"&gt;1073&lt;/key&gt;&lt;/foreign-keys&gt;&lt;ref-type name="Standard"&gt;58&lt;/ref-type&gt;&lt;contributors&gt;&lt;authors&gt;&lt;author&gt;BSI&lt;/author&gt;&lt;/authors&gt;&lt;/contributors&gt;&lt;titles&gt;&lt;title&gt;PAS 800:2010. Use of Dementia Care Mapping for improved person-centred care in a care provider organization. Guide&lt;/title&gt;&lt;/titles&gt;&lt;dates&gt;&lt;year&gt;2010&lt;/year&gt;&lt;/dates&gt;&lt;pub-location&gt;London&lt;/pub-location&gt;&lt;publisher&gt;BSI&lt;/publisher&gt;&lt;urls&gt;&lt;/urls&gt;&lt;/record&gt;&lt;/Cite&gt;&lt;/EndNote&gt;</w:instrText>
      </w:r>
      <w:r w:rsidR="0060648E" w:rsidRPr="00563AD3">
        <w:fldChar w:fldCharType="separate"/>
      </w:r>
      <w:r w:rsidR="00EC2AA2" w:rsidRPr="00EC2AA2">
        <w:rPr>
          <w:noProof/>
          <w:vertAlign w:val="superscript"/>
        </w:rPr>
        <w:t>83</w:t>
      </w:r>
      <w:r w:rsidR="0060648E" w:rsidRPr="00563AD3">
        <w:fldChar w:fldCharType="end"/>
      </w:r>
      <w:r w:rsidRPr="00563AD3">
        <w:t xml:space="preserve"> (Australia</w:t>
      </w:r>
      <w:r w:rsidR="00E47A43" w:rsidRPr="00563AD3">
        <w:t>, Netherlands</w:t>
      </w:r>
      <w:r w:rsidRPr="00563AD3">
        <w:t xml:space="preserve">), reflecting the </w:t>
      </w:r>
      <w:r w:rsidR="00E47A43" w:rsidRPr="00563AD3">
        <w:t xml:space="preserve">context within each country at the time of the trial, for example in Australia </w:t>
      </w:r>
      <w:r w:rsidRPr="00563AD3">
        <w:t xml:space="preserve">where PCCT </w:t>
      </w:r>
      <w:r w:rsidR="00342465" w:rsidRPr="00563AD3">
        <w:t>wa</w:t>
      </w:r>
      <w:r w:rsidRPr="00563AD3">
        <w:t>s the exception rather than assumed good practice;</w:t>
      </w:r>
    </w:p>
    <w:p w14:paraId="6F72DC66" w14:textId="4D2F3B6F" w:rsidR="00541046" w:rsidRPr="00563AD3" w:rsidRDefault="00541046" w:rsidP="009B13F3">
      <w:pPr>
        <w:numPr>
          <w:ilvl w:val="0"/>
          <w:numId w:val="4"/>
        </w:numPr>
        <w:spacing w:after="200"/>
        <w:contextualSpacing/>
      </w:pPr>
      <w:r w:rsidRPr="00563AD3">
        <w:t xml:space="preserve">Only two full cycles of </w:t>
      </w:r>
      <w:r w:rsidR="00A61329" w:rsidRPr="00563AD3">
        <w:t>DCM™</w:t>
      </w:r>
      <w:r w:rsidRPr="00563AD3">
        <w:t xml:space="preserve"> before final follow up limiting the potential for impact, based on the length of time that changes within care home practice can take to implement and thus demonstrate potential resident benefits (Australia, Norway, Netherlands);</w:t>
      </w:r>
    </w:p>
    <w:p w14:paraId="247E34A9" w14:textId="6DD0E7E7" w:rsidR="00541046" w:rsidRPr="00563AD3" w:rsidRDefault="00CC2799" w:rsidP="009B13F3">
      <w:pPr>
        <w:numPr>
          <w:ilvl w:val="0"/>
          <w:numId w:val="4"/>
        </w:numPr>
        <w:spacing w:after="200"/>
        <w:contextualSpacing/>
      </w:pPr>
      <w:r w:rsidRPr="00563AD3">
        <w:t xml:space="preserve">Follow up period of </w:t>
      </w:r>
      <w:r w:rsidR="001258F3" w:rsidRPr="00563AD3">
        <w:t>no more than 12</w:t>
      </w:r>
      <w:r w:rsidRPr="00563AD3">
        <w:t>-</w:t>
      </w:r>
      <w:r w:rsidR="00877393" w:rsidRPr="00563AD3">
        <w:t xml:space="preserve">months post randomisation, </w:t>
      </w:r>
      <w:r w:rsidR="00541046" w:rsidRPr="00563AD3">
        <w:t xml:space="preserve">reducing the time for potential change and impact to be realised (Australia, Norway); </w:t>
      </w:r>
    </w:p>
    <w:p w14:paraId="18B6F7C3" w14:textId="2B0429C6" w:rsidR="00541046" w:rsidRPr="00563AD3" w:rsidRDefault="00541046" w:rsidP="009B13F3">
      <w:pPr>
        <w:numPr>
          <w:ilvl w:val="0"/>
          <w:numId w:val="4"/>
        </w:numPr>
        <w:spacing w:after="200"/>
        <w:contextualSpacing/>
      </w:pPr>
      <w:r w:rsidRPr="00563AD3">
        <w:t>Explanatory trial design (Australia, Norway) involving researcher-led cycles</w:t>
      </w:r>
      <w:r w:rsidR="000C5012" w:rsidRPr="00563AD3">
        <w:t xml:space="preserve"> </w:t>
      </w:r>
      <w:r w:rsidRPr="00563AD3">
        <w:t xml:space="preserve">of </w:t>
      </w:r>
      <w:r w:rsidR="00A61329" w:rsidRPr="00563AD3">
        <w:t>DCM™</w:t>
      </w:r>
      <w:r w:rsidRPr="00563AD3">
        <w:t xml:space="preserve"> with variable degrees of input from trained care home staff, potentially </w:t>
      </w:r>
      <w:r w:rsidR="001258F3" w:rsidRPr="00563AD3">
        <w:t>limiting</w:t>
      </w:r>
      <w:r w:rsidRPr="00563AD3">
        <w:t xml:space="preserve"> staff ownership of the </w:t>
      </w:r>
      <w:r w:rsidR="00A61329" w:rsidRPr="00563AD3">
        <w:t>DCM™</w:t>
      </w:r>
      <w:r w:rsidR="001258F3" w:rsidRPr="00563AD3">
        <w:t xml:space="preserve"> process, </w:t>
      </w:r>
      <w:r w:rsidRPr="00563AD3">
        <w:t>implementation of any action plans</w:t>
      </w:r>
      <w:r w:rsidR="001258F3" w:rsidRPr="00563AD3">
        <w:t xml:space="preserve"> and longer-term sustainability of </w:t>
      </w:r>
      <w:r w:rsidR="008A5202" w:rsidRPr="00563AD3">
        <w:rPr>
          <w:lang w:eastAsia="en-US"/>
        </w:rPr>
        <w:t>DCM</w:t>
      </w:r>
      <w:r w:rsidR="008A5202" w:rsidRPr="00563AD3">
        <w:t>™</w:t>
      </w:r>
      <w:r w:rsidR="001258F3" w:rsidRPr="00563AD3">
        <w:t xml:space="preserve"> use</w:t>
      </w:r>
      <w:r w:rsidRPr="00563AD3">
        <w:t xml:space="preserve">. This also restricts generalisability of the results to usual implementation of </w:t>
      </w:r>
      <w:r w:rsidR="00A61329" w:rsidRPr="00563AD3">
        <w:t>DCM™</w:t>
      </w:r>
      <w:r w:rsidRPr="00563AD3">
        <w:t xml:space="preserve"> in care practice, which is practitioner-led;</w:t>
      </w:r>
    </w:p>
    <w:p w14:paraId="3E4BA871" w14:textId="4A33896C" w:rsidR="00541046" w:rsidRPr="00563AD3" w:rsidRDefault="00541046" w:rsidP="009B13F3">
      <w:pPr>
        <w:numPr>
          <w:ilvl w:val="0"/>
          <w:numId w:val="4"/>
        </w:numPr>
        <w:spacing w:after="200"/>
        <w:contextualSpacing/>
      </w:pPr>
      <w:r w:rsidRPr="00563AD3">
        <w:t>No</w:t>
      </w:r>
      <w:r w:rsidR="00FC2179" w:rsidRPr="00563AD3">
        <w:t xml:space="preserve"> formal</w:t>
      </w:r>
      <w:r w:rsidR="00E47A43" w:rsidRPr="00563AD3">
        <w:t>, published</w:t>
      </w:r>
      <w:r w:rsidRPr="00563AD3">
        <w:t xml:space="preserve"> process </w:t>
      </w:r>
      <w:r w:rsidR="00FC2179" w:rsidRPr="00563AD3">
        <w:t>evaluation</w:t>
      </w:r>
      <w:r w:rsidR="00DA4EB2" w:rsidRPr="00563AD3">
        <w:t xml:space="preserve"> </w:t>
      </w:r>
      <w:r w:rsidRPr="00563AD3">
        <w:t>(Australia, Norway);</w:t>
      </w:r>
    </w:p>
    <w:p w14:paraId="7789BE28" w14:textId="75BA12BB" w:rsidR="00541046" w:rsidRPr="00563AD3" w:rsidRDefault="00541046" w:rsidP="009B13F3">
      <w:pPr>
        <w:numPr>
          <w:ilvl w:val="0"/>
          <w:numId w:val="4"/>
        </w:numPr>
        <w:spacing w:after="200"/>
        <w:contextualSpacing/>
      </w:pPr>
      <w:r w:rsidRPr="00563AD3">
        <w:t>Studies conducted in Australia, Norway</w:t>
      </w:r>
      <w:r w:rsidR="005F27E3" w:rsidRPr="00563AD3">
        <w:t>, Germany</w:t>
      </w:r>
      <w:r w:rsidR="001258F3" w:rsidRPr="00563AD3">
        <w:t xml:space="preserve"> and t</w:t>
      </w:r>
      <w:r w:rsidRPr="00563AD3">
        <w:t xml:space="preserve">he Netherlands where </w:t>
      </w:r>
      <w:r w:rsidR="00E47A43" w:rsidRPr="00563AD3">
        <w:t>care-</w:t>
      </w:r>
      <w:r w:rsidRPr="00563AD3">
        <w:t xml:space="preserve">funding, </w:t>
      </w:r>
      <w:r w:rsidR="00E627D4" w:rsidRPr="00563AD3">
        <w:t xml:space="preserve">policy, </w:t>
      </w:r>
      <w:r w:rsidRPr="00563AD3">
        <w:t xml:space="preserve">context, regulations and processes are different to the UK. </w:t>
      </w:r>
    </w:p>
    <w:p w14:paraId="5CDEDD02" w14:textId="77777777" w:rsidR="000C5012" w:rsidRPr="00563AD3" w:rsidRDefault="000C5012" w:rsidP="009B13F3"/>
    <w:p w14:paraId="4267C22F" w14:textId="22AD9086" w:rsidR="00B6425A" w:rsidRPr="00563AD3" w:rsidRDefault="00AC7FB6" w:rsidP="009B13F3">
      <w:r w:rsidRPr="00563AD3">
        <w:t xml:space="preserve">Despite </w:t>
      </w:r>
      <w:r w:rsidR="001927C1" w:rsidRPr="00563AD3">
        <w:t xml:space="preserve">promising </w:t>
      </w:r>
      <w:r w:rsidR="000C5012" w:rsidRPr="00563AD3">
        <w:t>results</w:t>
      </w:r>
      <w:r w:rsidR="001927C1" w:rsidRPr="00563AD3">
        <w:t xml:space="preserve"> on the </w:t>
      </w:r>
      <w:r w:rsidR="00C945F8" w:rsidRPr="00563AD3">
        <w:t xml:space="preserve">potential </w:t>
      </w:r>
      <w:r w:rsidR="00E47A43" w:rsidRPr="00563AD3">
        <w:t>efficacy</w:t>
      </w:r>
      <w:r w:rsidR="001927C1" w:rsidRPr="00563AD3">
        <w:t xml:space="preserve"> of </w:t>
      </w:r>
      <w:r w:rsidR="00070560" w:rsidRPr="00563AD3">
        <w:t>DCM™</w:t>
      </w:r>
      <w:r w:rsidR="001927C1" w:rsidRPr="00563AD3">
        <w:t xml:space="preserve"> in care home settings</w:t>
      </w:r>
      <w:r w:rsidR="000C5012" w:rsidRPr="00563AD3">
        <w:t>, t</w:t>
      </w:r>
      <w:r w:rsidR="00C945F8" w:rsidRPr="00563AD3">
        <w:t>he</w:t>
      </w:r>
      <w:r w:rsidR="000C5012" w:rsidRPr="00563AD3">
        <w:t xml:space="preserve"> conduct </w:t>
      </w:r>
      <w:r w:rsidR="007C6799" w:rsidRPr="00563AD3">
        <w:t xml:space="preserve">of these trials </w:t>
      </w:r>
      <w:r w:rsidR="000C5012" w:rsidRPr="00563AD3">
        <w:t xml:space="preserve">in </w:t>
      </w:r>
      <w:r w:rsidR="00FC2179" w:rsidRPr="00563AD3">
        <w:t>countries</w:t>
      </w:r>
      <w:r w:rsidR="000C5012" w:rsidRPr="00563AD3">
        <w:t xml:space="preserve"> where </w:t>
      </w:r>
      <w:r w:rsidR="0060648E" w:rsidRPr="00563AD3">
        <w:t xml:space="preserve">usual care practices, </w:t>
      </w:r>
      <w:r w:rsidR="000C5012" w:rsidRPr="00563AD3">
        <w:t>funding</w:t>
      </w:r>
      <w:r w:rsidR="007C6799" w:rsidRPr="00563AD3">
        <w:t xml:space="preserve"> and systems are different </w:t>
      </w:r>
      <w:r w:rsidR="0060648E" w:rsidRPr="00563AD3">
        <w:t xml:space="preserve">and where </w:t>
      </w:r>
      <w:r w:rsidR="00070560" w:rsidRPr="00563AD3">
        <w:t>DCM™</w:t>
      </w:r>
      <w:r w:rsidR="00877393" w:rsidRPr="00563AD3">
        <w:t xml:space="preserve"> was implemented differently to</w:t>
      </w:r>
      <w:r w:rsidR="00A90504" w:rsidRPr="00563AD3">
        <w:t xml:space="preserve"> its use</w:t>
      </w:r>
      <w:r w:rsidR="0060648E" w:rsidRPr="00563AD3">
        <w:t xml:space="preserve"> in the UK, </w:t>
      </w:r>
      <w:r w:rsidR="007C6799" w:rsidRPr="00563AD3">
        <w:t>means</w:t>
      </w:r>
      <w:r w:rsidR="000C5012" w:rsidRPr="00563AD3">
        <w:t xml:space="preserve"> their</w:t>
      </w:r>
      <w:r w:rsidR="00C945F8" w:rsidRPr="00563AD3">
        <w:t xml:space="preserve"> results </w:t>
      </w:r>
      <w:r w:rsidR="000C5012" w:rsidRPr="00563AD3">
        <w:t>cannot be</w:t>
      </w:r>
      <w:r w:rsidR="00C945F8" w:rsidRPr="00563AD3">
        <w:t xml:space="preserve"> directly </w:t>
      </w:r>
      <w:r w:rsidR="0060648E" w:rsidRPr="00563AD3">
        <w:t>transferred</w:t>
      </w:r>
      <w:r w:rsidR="007C6799" w:rsidRPr="00563AD3">
        <w:t xml:space="preserve">. </w:t>
      </w:r>
      <w:r w:rsidRPr="00563AD3">
        <w:t>A</w:t>
      </w:r>
      <w:r w:rsidR="001927C1" w:rsidRPr="00563AD3">
        <w:t xml:space="preserve"> definitive RCT </w:t>
      </w:r>
      <w:r w:rsidRPr="00563AD3">
        <w:t>evaluating</w:t>
      </w:r>
      <w:r w:rsidR="001927C1" w:rsidRPr="00563AD3">
        <w:t xml:space="preserve"> </w:t>
      </w:r>
      <w:r w:rsidR="00C945F8" w:rsidRPr="00563AD3">
        <w:t xml:space="preserve">the effectiveness </w:t>
      </w:r>
      <w:r w:rsidR="00E47A43" w:rsidRPr="00563AD3">
        <w:t xml:space="preserve">and cost effectiveness </w:t>
      </w:r>
      <w:r w:rsidR="00C945F8" w:rsidRPr="00563AD3">
        <w:t xml:space="preserve">of </w:t>
      </w:r>
      <w:r w:rsidR="00070560" w:rsidRPr="00563AD3">
        <w:t>DCM™</w:t>
      </w:r>
      <w:r w:rsidR="001927C1" w:rsidRPr="00563AD3">
        <w:t xml:space="preserve"> </w:t>
      </w:r>
      <w:r w:rsidR="00C945F8" w:rsidRPr="00563AD3">
        <w:t xml:space="preserve">for helping staff to implement person-centred care </w:t>
      </w:r>
      <w:r w:rsidR="001927C1" w:rsidRPr="00563AD3">
        <w:t xml:space="preserve">in </w:t>
      </w:r>
      <w:r w:rsidR="0060648E" w:rsidRPr="00563AD3">
        <w:t>UK</w:t>
      </w:r>
      <w:r w:rsidR="00C945F8" w:rsidRPr="00563AD3">
        <w:t xml:space="preserve"> care home settings</w:t>
      </w:r>
      <w:r w:rsidR="001927C1" w:rsidRPr="00563AD3">
        <w:t xml:space="preserve">, building on </w:t>
      </w:r>
      <w:r w:rsidR="00C945F8" w:rsidRPr="00563AD3">
        <w:t>this previous work, wa</w:t>
      </w:r>
      <w:r w:rsidR="001927C1" w:rsidRPr="00563AD3">
        <w:t xml:space="preserve">s needed to inform </w:t>
      </w:r>
      <w:r w:rsidR="00C945F8" w:rsidRPr="00563AD3">
        <w:t xml:space="preserve">future UK care home practice. </w:t>
      </w:r>
    </w:p>
    <w:p w14:paraId="22BFFE88" w14:textId="77777777" w:rsidR="00877393" w:rsidRPr="00563AD3" w:rsidRDefault="00877393" w:rsidP="009B13F3"/>
    <w:p w14:paraId="21915FAA" w14:textId="396646E1" w:rsidR="00B6425A" w:rsidRPr="00563AD3" w:rsidRDefault="00541046" w:rsidP="009B13F3">
      <w:pPr>
        <w:pStyle w:val="Heading2"/>
      </w:pPr>
      <w:bookmarkStart w:id="27" w:name="_Toc525543948"/>
      <w:r w:rsidRPr="00563AD3">
        <w:t xml:space="preserve">1.3 </w:t>
      </w:r>
      <w:r w:rsidR="00B6425A" w:rsidRPr="00563AD3">
        <w:t>Rationale for the research</w:t>
      </w:r>
      <w:bookmarkEnd w:id="27"/>
    </w:p>
    <w:p w14:paraId="3FDB4AB3" w14:textId="655B4DA3" w:rsidR="00541046" w:rsidRPr="00563AD3" w:rsidRDefault="00541046" w:rsidP="009B13F3">
      <w:r w:rsidRPr="00563AD3">
        <w:t xml:space="preserve">The knowledge </w:t>
      </w:r>
      <w:r w:rsidR="00E47A43" w:rsidRPr="00563AD3">
        <w:t xml:space="preserve">intended </w:t>
      </w:r>
      <w:r w:rsidRPr="00563AD3">
        <w:t xml:space="preserve">to be gained from this trial, beyond that within </w:t>
      </w:r>
      <w:r w:rsidR="00E47A43" w:rsidRPr="00563AD3">
        <w:t>existing RCT</w:t>
      </w:r>
      <w:r w:rsidR="00967A62" w:rsidRPr="00563AD3">
        <w:t>s wa</w:t>
      </w:r>
      <w:r w:rsidRPr="00563AD3">
        <w:t>s:</w:t>
      </w:r>
    </w:p>
    <w:p w14:paraId="5ACD7A7C" w14:textId="11BD35DA" w:rsidR="00541046" w:rsidRPr="00563AD3" w:rsidRDefault="00967A62" w:rsidP="009B13F3">
      <w:pPr>
        <w:pStyle w:val="ListParagraph"/>
        <w:numPr>
          <w:ilvl w:val="0"/>
          <w:numId w:val="3"/>
        </w:numPr>
      </w:pPr>
      <w:r w:rsidRPr="00563AD3">
        <w:t>Utilisati</w:t>
      </w:r>
      <w:r w:rsidR="0071581D" w:rsidRPr="00563AD3">
        <w:t xml:space="preserve">on of a pragmatic trial design </w:t>
      </w:r>
      <w:r w:rsidR="00541046" w:rsidRPr="00563AD3">
        <w:t>reflect</w:t>
      </w:r>
      <w:r w:rsidRPr="00563AD3">
        <w:t>ing the</w:t>
      </w:r>
      <w:r w:rsidR="00541046" w:rsidRPr="00563AD3">
        <w:t xml:space="preserve"> conditions of </w:t>
      </w:r>
      <w:r w:rsidR="00070560" w:rsidRPr="00563AD3">
        <w:t>DCM™</w:t>
      </w:r>
      <w:r w:rsidR="00541046" w:rsidRPr="00563AD3">
        <w:t xml:space="preserve"> implementation in usual practice</w:t>
      </w:r>
      <w:r w:rsidRPr="00563AD3">
        <w:t xml:space="preserve"> in </w:t>
      </w:r>
      <w:r w:rsidR="0060648E" w:rsidRPr="00563AD3">
        <w:t xml:space="preserve">UK </w:t>
      </w:r>
      <w:r w:rsidRPr="00563AD3">
        <w:t>care home settings</w:t>
      </w:r>
      <w:r w:rsidR="00541046" w:rsidRPr="00563AD3">
        <w:t xml:space="preserve">, compared to the explanatory designs of </w:t>
      </w:r>
      <w:r w:rsidRPr="00563AD3">
        <w:t xml:space="preserve">the </w:t>
      </w:r>
      <w:r w:rsidR="00541046" w:rsidRPr="00563AD3">
        <w:t>previous trials</w:t>
      </w:r>
      <w:r w:rsidRPr="00563AD3">
        <w:t>. In</w:t>
      </w:r>
      <w:r w:rsidR="00541046" w:rsidRPr="00563AD3">
        <w:t xml:space="preserve"> particular</w:t>
      </w:r>
      <w:r w:rsidR="0060648E" w:rsidRPr="00563AD3">
        <w:t>,</w:t>
      </w:r>
      <w:r w:rsidR="00541046" w:rsidRPr="00563AD3">
        <w:t xml:space="preserve"> </w:t>
      </w:r>
      <w:r w:rsidR="00352A05" w:rsidRPr="00563AD3">
        <w:t xml:space="preserve">trained </w:t>
      </w:r>
      <w:r w:rsidR="00541046" w:rsidRPr="00563AD3">
        <w:t>care ho</w:t>
      </w:r>
      <w:r w:rsidR="00E47A43" w:rsidRPr="00563AD3">
        <w:t>me staff rather than researcher-</w:t>
      </w:r>
      <w:r w:rsidR="00541046" w:rsidRPr="00563AD3">
        <w:t xml:space="preserve">led cycles of </w:t>
      </w:r>
      <w:r w:rsidR="00070560" w:rsidRPr="00563AD3">
        <w:t>DCM™</w:t>
      </w:r>
      <w:r w:rsidR="00541046" w:rsidRPr="00563AD3">
        <w:t xml:space="preserve"> implementation</w:t>
      </w:r>
      <w:r w:rsidRPr="00563AD3">
        <w:t xml:space="preserve"> were utilised</w:t>
      </w:r>
      <w:r w:rsidR="00541046" w:rsidRPr="00563AD3">
        <w:t xml:space="preserve">. The </w:t>
      </w:r>
      <w:r w:rsidR="00E47A43" w:rsidRPr="00563AD3">
        <w:t>trial</w:t>
      </w:r>
      <w:r w:rsidR="00541046" w:rsidRPr="00563AD3">
        <w:t xml:space="preserve"> design, size and statistical power </w:t>
      </w:r>
      <w:r w:rsidR="00AC7FB6" w:rsidRPr="00563AD3">
        <w:t>allowed</w:t>
      </w:r>
      <w:r w:rsidR="00541046" w:rsidRPr="00563AD3">
        <w:t xml:space="preserve"> definitive conclu</w:t>
      </w:r>
      <w:r w:rsidR="00E47A43" w:rsidRPr="00563AD3">
        <w:t>sions to be drawn regarding effectiveness</w:t>
      </w:r>
      <w:r w:rsidR="00541046" w:rsidRPr="00563AD3">
        <w:t xml:space="preserve"> of </w:t>
      </w:r>
      <w:r w:rsidR="00070560" w:rsidRPr="00563AD3">
        <w:t>DCM™</w:t>
      </w:r>
      <w:r w:rsidR="00541046" w:rsidRPr="00563AD3">
        <w:t xml:space="preserve"> as an intervention in </w:t>
      </w:r>
      <w:r w:rsidRPr="00563AD3">
        <w:t xml:space="preserve">usual practice within </w:t>
      </w:r>
      <w:r w:rsidR="00E47A43" w:rsidRPr="00563AD3">
        <w:t xml:space="preserve">UK </w:t>
      </w:r>
      <w:r w:rsidR="00541046" w:rsidRPr="00563AD3">
        <w:t>care home settings.</w:t>
      </w:r>
    </w:p>
    <w:p w14:paraId="17E0CF80" w14:textId="0332793F" w:rsidR="00541046" w:rsidRPr="00563AD3" w:rsidRDefault="00CC2799" w:rsidP="009B13F3">
      <w:pPr>
        <w:pStyle w:val="ListParagraph"/>
        <w:numPr>
          <w:ilvl w:val="0"/>
          <w:numId w:val="3"/>
        </w:numPr>
      </w:pPr>
      <w:r w:rsidRPr="00563AD3">
        <w:t xml:space="preserve">Previous </w:t>
      </w:r>
      <w:r w:rsidR="00E47A43" w:rsidRPr="00563AD3">
        <w:t>RCTs</w:t>
      </w:r>
      <w:r w:rsidRPr="00563AD3">
        <w:t xml:space="preserve"> had conducted only one or two </w:t>
      </w:r>
      <w:r w:rsidR="00070560" w:rsidRPr="00563AD3">
        <w:t>DCM™</w:t>
      </w:r>
      <w:r w:rsidRPr="00563AD3">
        <w:t xml:space="preserve"> cycles with a fol</w:t>
      </w:r>
      <w:r w:rsidR="00AC7FB6" w:rsidRPr="00563AD3">
        <w:t>low-up period of a maximum of 12</w:t>
      </w:r>
      <w:r w:rsidRPr="00563AD3">
        <w:t>-months. In this trial it was intended that care homes implement t</w:t>
      </w:r>
      <w:r w:rsidR="00541046" w:rsidRPr="00563AD3">
        <w:t xml:space="preserve">hree cycles of the </w:t>
      </w:r>
      <w:r w:rsidR="00070560" w:rsidRPr="00563AD3">
        <w:t>DCM™</w:t>
      </w:r>
      <w:r w:rsidR="00541046" w:rsidRPr="00563AD3">
        <w:t xml:space="preserve"> intervention </w:t>
      </w:r>
      <w:r w:rsidRPr="00563AD3">
        <w:t>with</w:t>
      </w:r>
      <w:r w:rsidR="00541046" w:rsidRPr="00563AD3">
        <w:t xml:space="preserve"> follow-up </w:t>
      </w:r>
      <w:r w:rsidRPr="00563AD3">
        <w:t>over a period of 16-</w:t>
      </w:r>
      <w:r w:rsidR="00541046" w:rsidRPr="00563AD3">
        <w:t xml:space="preserve">months. This is beneficial since some </w:t>
      </w:r>
      <w:r w:rsidRPr="00563AD3">
        <w:t xml:space="preserve">anticipated </w:t>
      </w:r>
      <w:r w:rsidR="0060648E" w:rsidRPr="00563AD3">
        <w:t xml:space="preserve">practice </w:t>
      </w:r>
      <w:r w:rsidR="00541046" w:rsidRPr="00563AD3">
        <w:t>changes, for example to underlying care culture, are likely to require time to implement</w:t>
      </w:r>
      <w:r w:rsidR="00A90504" w:rsidRPr="00563AD3">
        <w:t xml:space="preserve">. Also given annual </w:t>
      </w:r>
      <w:r w:rsidR="0071581D" w:rsidRPr="00563AD3">
        <w:t xml:space="preserve">staff </w:t>
      </w:r>
      <w:r w:rsidR="00A90504" w:rsidRPr="00563AD3">
        <w:t xml:space="preserve">turnover rates of around 30% </w:t>
      </w:r>
      <w:r w:rsidR="00A61329" w:rsidRPr="00563AD3">
        <w:fldChar w:fldCharType="begin"/>
      </w:r>
      <w:r w:rsidR="00EC2AA2">
        <w:instrText xml:space="preserve"> ADDIN EN.CITE &lt;EndNote&gt;&lt;Cite&gt;&lt;Author&gt;Skills for Care&lt;/Author&gt;&lt;Year&gt;2017&lt;/Year&gt;&lt;RecNum&gt;1726&lt;/RecNum&gt;&lt;DisplayText&gt;&lt;style face="superscript"&gt;97&lt;/style&gt;&lt;/DisplayText&gt;&lt;record&gt;&lt;rec-number&gt;1726&lt;/rec-number&gt;&lt;foreign-keys&gt;&lt;key app="EN" db-id="wprxwptv75dtdree0t5x2ptmvadptw5fr2ww" timestamp="1510844422"&gt;1726&lt;/key&gt;&lt;/foreign-keys&gt;&lt;ref-type name="Report"&gt;27&lt;/ref-type&gt;&lt;contributors&gt;&lt;authors&gt;&lt;author&gt;Skills for Care,&lt;/author&gt;&lt;/authors&gt;&lt;/contributors&gt;&lt;titles&gt;&lt;title&gt;The state of the adult social care sector and workforce in England&lt;/title&gt;&lt;/titles&gt;&lt;dates&gt;&lt;year&gt;2017&lt;/year&gt;&lt;/dates&gt;&lt;pub-location&gt;Leeds&lt;/pub-location&gt;&lt;publisher&gt;Skills for Care&lt;/publisher&gt;&lt;urls&gt;&lt;/urls&gt;&lt;/record&gt;&lt;/Cite&gt;&lt;/EndNote&gt;</w:instrText>
      </w:r>
      <w:r w:rsidR="00A61329" w:rsidRPr="00563AD3">
        <w:fldChar w:fldCharType="separate"/>
      </w:r>
      <w:r w:rsidR="00EC2AA2" w:rsidRPr="00EC2AA2">
        <w:rPr>
          <w:noProof/>
          <w:vertAlign w:val="superscript"/>
        </w:rPr>
        <w:t>97</w:t>
      </w:r>
      <w:r w:rsidR="00A61329" w:rsidRPr="00563AD3">
        <w:fldChar w:fldCharType="end"/>
      </w:r>
      <w:r w:rsidR="00A61329" w:rsidRPr="00563AD3">
        <w:t xml:space="preserve"> </w:t>
      </w:r>
      <w:r w:rsidR="00A90504" w:rsidRPr="00563AD3">
        <w:t xml:space="preserve">in care homes potentially </w:t>
      </w:r>
      <w:r w:rsidR="0071581D" w:rsidRPr="00563AD3">
        <w:t xml:space="preserve">leading to </w:t>
      </w:r>
      <w:r w:rsidR="00A90504" w:rsidRPr="00563AD3">
        <w:t>longer term implementation</w:t>
      </w:r>
      <w:r w:rsidR="00541046" w:rsidRPr="00563AD3">
        <w:t xml:space="preserve"> </w:t>
      </w:r>
      <w:r w:rsidR="0071581D" w:rsidRPr="00563AD3">
        <w:t xml:space="preserve">challenges, </w:t>
      </w:r>
      <w:r w:rsidR="00541046" w:rsidRPr="00563AD3">
        <w:t xml:space="preserve">a longer follow-up period </w:t>
      </w:r>
      <w:r w:rsidR="00A90504" w:rsidRPr="00563AD3">
        <w:t>wa</w:t>
      </w:r>
      <w:r w:rsidR="00541046" w:rsidRPr="00563AD3">
        <w:t xml:space="preserve">s necessary to investigate </w:t>
      </w:r>
      <w:r w:rsidR="0071581D" w:rsidRPr="00563AD3">
        <w:t xml:space="preserve">whether </w:t>
      </w:r>
      <w:r w:rsidR="00A90504" w:rsidRPr="00563AD3">
        <w:t>longer term</w:t>
      </w:r>
      <w:r w:rsidR="00541046" w:rsidRPr="00563AD3">
        <w:t xml:space="preserve"> effects</w:t>
      </w:r>
      <w:r w:rsidR="00A90504" w:rsidRPr="00563AD3">
        <w:t xml:space="preserve"> and sustainability</w:t>
      </w:r>
      <w:r w:rsidR="0071581D" w:rsidRPr="00563AD3">
        <w:t xml:space="preserve"> could be achieved within this context</w:t>
      </w:r>
      <w:r w:rsidR="00541046" w:rsidRPr="00563AD3">
        <w:t>.</w:t>
      </w:r>
      <w:r w:rsidRPr="00563AD3">
        <w:t xml:space="preserve"> </w:t>
      </w:r>
    </w:p>
    <w:p w14:paraId="26851CEC" w14:textId="2EE2DA2F" w:rsidR="00541046" w:rsidRPr="00563AD3" w:rsidRDefault="00CC2799" w:rsidP="009B13F3">
      <w:pPr>
        <w:pStyle w:val="ListParagraph"/>
        <w:numPr>
          <w:ilvl w:val="0"/>
          <w:numId w:val="3"/>
        </w:numPr>
      </w:pPr>
      <w:r w:rsidRPr="00563AD3">
        <w:t>A</w:t>
      </w:r>
      <w:r w:rsidR="00541046" w:rsidRPr="00563AD3">
        <w:t xml:space="preserve"> full economic evaluation </w:t>
      </w:r>
      <w:r w:rsidR="00AC7FB6" w:rsidRPr="00563AD3">
        <w:t>within this</w:t>
      </w:r>
      <w:r w:rsidR="00541046" w:rsidRPr="00563AD3">
        <w:t xml:space="preserve"> pragmatic trial design</w:t>
      </w:r>
      <w:r w:rsidRPr="00563AD3">
        <w:t xml:space="preserve"> was included, </w:t>
      </w:r>
      <w:r w:rsidR="00541046" w:rsidRPr="00563AD3">
        <w:t>offer</w:t>
      </w:r>
      <w:r w:rsidR="00DE6DC3" w:rsidRPr="00563AD3">
        <w:t>ing</w:t>
      </w:r>
      <w:r w:rsidR="00541046" w:rsidRPr="00563AD3">
        <w:t xml:space="preserve"> a definitive position on cost-effectiveness. Only one of the previous trials conducted an economic evaluation and giv</w:t>
      </w:r>
      <w:r w:rsidRPr="00563AD3">
        <w:t xml:space="preserve">en its explanatory design </w:t>
      </w:r>
      <w:r w:rsidR="0060648E" w:rsidRPr="00563AD3">
        <w:t xml:space="preserve">and conduct in a funding system different to the UK, </w:t>
      </w:r>
      <w:r w:rsidRPr="00563AD3">
        <w:t>the</w:t>
      </w:r>
      <w:r w:rsidR="00541046" w:rsidRPr="00563AD3">
        <w:t xml:space="preserve"> findings cannot be confidently generalised.</w:t>
      </w:r>
    </w:p>
    <w:p w14:paraId="3699F0D6" w14:textId="0B41866E" w:rsidR="004277D5" w:rsidRPr="00563AD3" w:rsidRDefault="00AC7FB6" w:rsidP="009B13F3">
      <w:r w:rsidRPr="00563AD3">
        <w:t>T</w:t>
      </w:r>
      <w:r w:rsidR="0060648E" w:rsidRPr="00563AD3">
        <w:t>he design of this</w:t>
      </w:r>
      <w:r w:rsidR="00CC2799" w:rsidRPr="00563AD3">
        <w:t xml:space="preserve"> trial built</w:t>
      </w:r>
      <w:r w:rsidR="0025325A" w:rsidRPr="00563AD3">
        <w:t xml:space="preserve"> on </w:t>
      </w:r>
      <w:r w:rsidR="0060648E" w:rsidRPr="00563AD3">
        <w:t xml:space="preserve">existing </w:t>
      </w:r>
      <w:r w:rsidR="00541046" w:rsidRPr="00563AD3">
        <w:t>explanat</w:t>
      </w:r>
      <w:r w:rsidR="00CC2799" w:rsidRPr="00563AD3">
        <w:t xml:space="preserve">ory trials, </w:t>
      </w:r>
      <w:r w:rsidR="00877393" w:rsidRPr="00563AD3">
        <w:t xml:space="preserve">to </w:t>
      </w:r>
      <w:r w:rsidR="00DE6DC3" w:rsidRPr="00563AD3">
        <w:t>offer a definitive</w:t>
      </w:r>
      <w:r w:rsidR="00CC2799" w:rsidRPr="00563AD3">
        <w:t xml:space="preserve"> assess</w:t>
      </w:r>
      <w:r w:rsidR="00DE6DC3" w:rsidRPr="00563AD3">
        <w:t>ment of</w:t>
      </w:r>
      <w:r w:rsidR="00CC2799" w:rsidRPr="00563AD3">
        <w:t xml:space="preserve"> </w:t>
      </w:r>
      <w:r w:rsidR="00E47A43" w:rsidRPr="00563AD3">
        <w:t>the effectiveness and cost-effectiveness</w:t>
      </w:r>
      <w:r w:rsidR="00CC2799" w:rsidRPr="00563AD3">
        <w:t xml:space="preserve"> of </w:t>
      </w:r>
      <w:r w:rsidR="00070560" w:rsidRPr="00563AD3">
        <w:t>DCM™</w:t>
      </w:r>
      <w:r w:rsidR="00CC2799" w:rsidRPr="00563AD3">
        <w:t xml:space="preserve"> as a standard clinical</w:t>
      </w:r>
      <w:r w:rsidR="00541046" w:rsidRPr="00563AD3">
        <w:t xml:space="preserve"> intervention in care home settings.</w:t>
      </w:r>
    </w:p>
    <w:p w14:paraId="4AB91450" w14:textId="77777777" w:rsidR="004277D5" w:rsidRPr="00563AD3" w:rsidRDefault="004277D5" w:rsidP="009B13F3"/>
    <w:p w14:paraId="19A46B62" w14:textId="6ED129F9" w:rsidR="002C413C" w:rsidRPr="00563AD3" w:rsidRDefault="00541046" w:rsidP="009B13F3">
      <w:pPr>
        <w:pStyle w:val="Heading2"/>
      </w:pPr>
      <w:bookmarkStart w:id="28" w:name="_Toc525543949"/>
      <w:r w:rsidRPr="00563AD3">
        <w:t xml:space="preserve">1.4 </w:t>
      </w:r>
      <w:r w:rsidR="00F23FC8" w:rsidRPr="00563AD3">
        <w:t xml:space="preserve">Aims and </w:t>
      </w:r>
      <w:r w:rsidR="002C413C" w:rsidRPr="00563AD3">
        <w:t>Objectives</w:t>
      </w:r>
      <w:bookmarkEnd w:id="28"/>
    </w:p>
    <w:p w14:paraId="2D9ED551" w14:textId="5F0FF745" w:rsidR="00F23FC8" w:rsidRPr="00563AD3" w:rsidRDefault="00F23FC8" w:rsidP="009B13F3">
      <w:r w:rsidRPr="00563AD3">
        <w:t xml:space="preserve">The aim of the </w:t>
      </w:r>
      <w:r w:rsidR="00070560" w:rsidRPr="00563AD3">
        <w:t>DCM™</w:t>
      </w:r>
      <w:r w:rsidR="00E47A43" w:rsidRPr="00563AD3">
        <w:t xml:space="preserve"> EPIC cluster-</w:t>
      </w:r>
      <w:r w:rsidR="00070856" w:rsidRPr="00563AD3">
        <w:t>randomised con</w:t>
      </w:r>
      <w:r w:rsidR="00E47A43" w:rsidRPr="00563AD3">
        <w:t>trolled trial</w:t>
      </w:r>
      <w:r w:rsidR="00070856" w:rsidRPr="00563AD3">
        <w:t xml:space="preserve"> </w:t>
      </w:r>
      <w:r w:rsidR="0025325A" w:rsidRPr="00563AD3">
        <w:t xml:space="preserve">was to evaluate </w:t>
      </w:r>
      <w:r w:rsidRPr="00563AD3">
        <w:t xml:space="preserve">the clinical and cost-effectiveness of </w:t>
      </w:r>
      <w:r w:rsidR="00070560" w:rsidRPr="00563AD3">
        <w:t>DCM™</w:t>
      </w:r>
      <w:r w:rsidRPr="00563AD3">
        <w:t xml:space="preserve"> </w:t>
      </w:r>
      <w:r w:rsidR="0071581D" w:rsidRPr="00563AD3">
        <w:t>implemented in addition to usual care</w:t>
      </w:r>
      <w:r w:rsidRPr="00563AD3">
        <w:t xml:space="preserve"> (</w:t>
      </w:r>
      <w:r w:rsidR="0071581D" w:rsidRPr="00563AD3">
        <w:t>intervention</w:t>
      </w:r>
      <w:r w:rsidRPr="00563AD3">
        <w:t xml:space="preserve">) compared to </w:t>
      </w:r>
      <w:r w:rsidR="0071581D" w:rsidRPr="00563AD3">
        <w:t>usual care</w:t>
      </w:r>
      <w:r w:rsidRPr="00563AD3">
        <w:t xml:space="preserve"> </w:t>
      </w:r>
      <w:r w:rsidR="0071581D" w:rsidRPr="00563AD3">
        <w:t xml:space="preserve">(control) </w:t>
      </w:r>
      <w:r w:rsidRPr="00563AD3">
        <w:t xml:space="preserve">for people with dementia living in care homes in the UK. </w:t>
      </w:r>
    </w:p>
    <w:p w14:paraId="416A501B" w14:textId="26A38418" w:rsidR="00F23FC8" w:rsidRPr="00563AD3" w:rsidRDefault="00070856" w:rsidP="009B13F3">
      <w:r w:rsidRPr="00563AD3">
        <w:t>It aimed to answer the following primary and secondary research questions:</w:t>
      </w:r>
    </w:p>
    <w:p w14:paraId="268FE0D2" w14:textId="79C05DD9" w:rsidR="00F23FC8" w:rsidRPr="00563AD3" w:rsidRDefault="00701654" w:rsidP="009B13F3">
      <w:pPr>
        <w:pStyle w:val="Heading3"/>
      </w:pPr>
      <w:bookmarkStart w:id="29" w:name="_Toc525543950"/>
      <w:r w:rsidRPr="00563AD3">
        <w:t xml:space="preserve">1.4.1 </w:t>
      </w:r>
      <w:r w:rsidR="00F23FC8" w:rsidRPr="00563AD3">
        <w:t xml:space="preserve">Primary </w:t>
      </w:r>
      <w:r w:rsidR="0071581D" w:rsidRPr="00563AD3">
        <w:t xml:space="preserve">research </w:t>
      </w:r>
      <w:r w:rsidR="00070856" w:rsidRPr="00563AD3">
        <w:t>question</w:t>
      </w:r>
      <w:r w:rsidR="00F23FC8" w:rsidRPr="00563AD3">
        <w:t>:</w:t>
      </w:r>
      <w:bookmarkEnd w:id="29"/>
    </w:p>
    <w:p w14:paraId="3D1F5C94" w14:textId="25276373" w:rsidR="00CF7BED" w:rsidRPr="00563AD3" w:rsidRDefault="00070856" w:rsidP="009B13F3">
      <w:r w:rsidRPr="00563AD3">
        <w:t>Is</w:t>
      </w:r>
      <w:r w:rsidR="00F23FC8" w:rsidRPr="00563AD3">
        <w:t xml:space="preserve"> </w:t>
      </w:r>
      <w:r w:rsidR="0071581D" w:rsidRPr="00563AD3">
        <w:t>the intervention</w:t>
      </w:r>
      <w:r w:rsidR="00CF7BED" w:rsidRPr="00563AD3">
        <w:t>:</w:t>
      </w:r>
      <w:r w:rsidR="00F23FC8" w:rsidRPr="00563AD3">
        <w:t xml:space="preserve"> </w:t>
      </w:r>
    </w:p>
    <w:p w14:paraId="723675B2" w14:textId="4CE12629" w:rsidR="00CF7BED" w:rsidRPr="00563AD3" w:rsidRDefault="00F23FC8" w:rsidP="009B13F3">
      <w:pPr>
        <w:pStyle w:val="ListParagraph"/>
        <w:numPr>
          <w:ilvl w:val="0"/>
          <w:numId w:val="2"/>
        </w:numPr>
      </w:pPr>
      <w:r w:rsidRPr="00563AD3">
        <w:t xml:space="preserve">more effective in reducing agitation </w:t>
      </w:r>
      <w:r w:rsidR="00DA4EB2" w:rsidRPr="00563AD3">
        <w:t xml:space="preserve">in </w:t>
      </w:r>
      <w:r w:rsidR="00873342" w:rsidRPr="00563AD3">
        <w:t>residents</w:t>
      </w:r>
      <w:r w:rsidR="00DA4EB2" w:rsidRPr="00563AD3">
        <w:t xml:space="preserve"> with dementia </w:t>
      </w:r>
      <w:r w:rsidRPr="00563AD3">
        <w:t xml:space="preserve">as measured by the total Cohen-Mansfield Agitation Inventory (CMAI) score and </w:t>
      </w:r>
    </w:p>
    <w:p w14:paraId="5EE5BDD3" w14:textId="7AB6B5D9" w:rsidR="00CF7BED" w:rsidRPr="00563AD3" w:rsidRDefault="00F23FC8" w:rsidP="009B13F3">
      <w:pPr>
        <w:pStyle w:val="ListParagraph"/>
        <w:numPr>
          <w:ilvl w:val="0"/>
          <w:numId w:val="2"/>
        </w:numPr>
      </w:pPr>
      <w:r w:rsidRPr="00563AD3">
        <w:t xml:space="preserve">more cost-effective than </w:t>
      </w:r>
      <w:r w:rsidR="0071581D" w:rsidRPr="00563AD3">
        <w:t>the control</w:t>
      </w:r>
      <w:r w:rsidRPr="00563AD3">
        <w:t xml:space="preserve">, </w:t>
      </w:r>
    </w:p>
    <w:p w14:paraId="78B096ED" w14:textId="69EDDB95" w:rsidR="00F23FC8" w:rsidRPr="00563AD3" w:rsidRDefault="00F23FC8" w:rsidP="009B13F3">
      <w:r w:rsidRPr="00563AD3">
        <w:t>16-months following randomisation of care homes</w:t>
      </w:r>
      <w:r w:rsidR="00C27710" w:rsidRPr="00563AD3">
        <w:t>?</w:t>
      </w:r>
    </w:p>
    <w:p w14:paraId="39D99F8D" w14:textId="0E090EF5" w:rsidR="00F23FC8" w:rsidRPr="00563AD3" w:rsidRDefault="00701654" w:rsidP="009B13F3">
      <w:pPr>
        <w:pStyle w:val="Heading3"/>
      </w:pPr>
      <w:bookmarkStart w:id="30" w:name="_Toc525543951"/>
      <w:r w:rsidRPr="00563AD3">
        <w:t xml:space="preserve">1.4.2 </w:t>
      </w:r>
      <w:r w:rsidR="00F23FC8" w:rsidRPr="00563AD3">
        <w:t xml:space="preserve">Secondary </w:t>
      </w:r>
      <w:r w:rsidR="0071581D" w:rsidRPr="00563AD3">
        <w:t xml:space="preserve">research </w:t>
      </w:r>
      <w:r w:rsidR="00070856" w:rsidRPr="00563AD3">
        <w:t>questions</w:t>
      </w:r>
      <w:r w:rsidR="00F23FC8" w:rsidRPr="00563AD3">
        <w:t>:</w:t>
      </w:r>
      <w:bookmarkEnd w:id="30"/>
    </w:p>
    <w:p w14:paraId="18ABC641" w14:textId="05EB20BD" w:rsidR="00CF7BED" w:rsidRPr="00563AD3" w:rsidRDefault="00070856" w:rsidP="009B13F3">
      <w:r w:rsidRPr="00563AD3">
        <w:t xml:space="preserve">Is </w:t>
      </w:r>
      <w:r w:rsidR="0071581D" w:rsidRPr="00563AD3">
        <w:t>the intervention</w:t>
      </w:r>
      <w:r w:rsidRPr="00563AD3">
        <w:t xml:space="preserve"> more effective </w:t>
      </w:r>
      <w:r w:rsidR="0071581D" w:rsidRPr="00563AD3">
        <w:t xml:space="preserve">than control, </w:t>
      </w:r>
      <w:r w:rsidRPr="00563AD3">
        <w:t>at 6 and 16-months post-randomisation at</w:t>
      </w:r>
      <w:r w:rsidR="00F23FC8" w:rsidRPr="00563AD3">
        <w:t xml:space="preserve">: </w:t>
      </w:r>
    </w:p>
    <w:p w14:paraId="34961E29" w14:textId="5C423A50" w:rsidR="00CF7BED" w:rsidRPr="00563AD3" w:rsidRDefault="00F23FC8" w:rsidP="009B13F3">
      <w:pPr>
        <w:pStyle w:val="ListParagraph"/>
        <w:numPr>
          <w:ilvl w:val="0"/>
          <w:numId w:val="1"/>
        </w:numPr>
      </w:pPr>
      <w:r w:rsidRPr="00563AD3">
        <w:t xml:space="preserve">reducing BSC in </w:t>
      </w:r>
      <w:r w:rsidR="00DA4EB2" w:rsidRPr="00563AD3">
        <w:t xml:space="preserve">people with dementia </w:t>
      </w:r>
      <w:r w:rsidRPr="00563AD3">
        <w:t>over time</w:t>
      </w:r>
      <w:r w:rsidR="00C27710" w:rsidRPr="00563AD3">
        <w:t>?</w:t>
      </w:r>
      <w:r w:rsidRPr="00563AD3">
        <w:t xml:space="preserve"> </w:t>
      </w:r>
    </w:p>
    <w:p w14:paraId="5957A732" w14:textId="427C4188" w:rsidR="00CF7BED" w:rsidRPr="00563AD3" w:rsidRDefault="00F23FC8" w:rsidP="009B13F3">
      <w:pPr>
        <w:pStyle w:val="ListParagraph"/>
        <w:numPr>
          <w:ilvl w:val="0"/>
          <w:numId w:val="1"/>
        </w:numPr>
      </w:pPr>
      <w:r w:rsidRPr="00563AD3">
        <w:t>reducing the use of antipsychotic and other psychotropic drugs</w:t>
      </w:r>
      <w:r w:rsidR="00DA4EB2" w:rsidRPr="00563AD3">
        <w:t xml:space="preserve"> in residents with dementia</w:t>
      </w:r>
      <w:r w:rsidR="00C27710" w:rsidRPr="00563AD3">
        <w:t>?</w:t>
      </w:r>
      <w:r w:rsidRPr="00563AD3">
        <w:t xml:space="preserve"> </w:t>
      </w:r>
    </w:p>
    <w:p w14:paraId="4BFA9F0B" w14:textId="0C7B9A9E" w:rsidR="00CF7BED" w:rsidRPr="00563AD3" w:rsidRDefault="00F23FC8" w:rsidP="009B13F3">
      <w:pPr>
        <w:pStyle w:val="ListParagraph"/>
        <w:numPr>
          <w:ilvl w:val="0"/>
          <w:numId w:val="1"/>
        </w:numPr>
      </w:pPr>
      <w:r w:rsidRPr="00563AD3">
        <w:t>improving moo</w:t>
      </w:r>
      <w:r w:rsidR="00CF7BED" w:rsidRPr="00563AD3">
        <w:t>d and quality of life</w:t>
      </w:r>
      <w:r w:rsidR="00DA4EB2" w:rsidRPr="00563AD3">
        <w:t xml:space="preserve"> in </w:t>
      </w:r>
      <w:r w:rsidR="00873342" w:rsidRPr="00563AD3">
        <w:t>residents</w:t>
      </w:r>
      <w:r w:rsidR="00DA4EB2" w:rsidRPr="00563AD3">
        <w:t xml:space="preserve"> with dementia</w:t>
      </w:r>
      <w:r w:rsidR="00C27710" w:rsidRPr="00563AD3">
        <w:t>?</w:t>
      </w:r>
      <w:r w:rsidR="00CF7BED" w:rsidRPr="00563AD3">
        <w:t xml:space="preserve"> </w:t>
      </w:r>
      <w:r w:rsidRPr="00563AD3">
        <w:t xml:space="preserve"> </w:t>
      </w:r>
    </w:p>
    <w:p w14:paraId="4ADBC86A" w14:textId="13BF75C1" w:rsidR="00CF7BED" w:rsidRPr="00563AD3" w:rsidRDefault="00F23FC8" w:rsidP="009B13F3">
      <w:pPr>
        <w:pStyle w:val="ListParagraph"/>
        <w:numPr>
          <w:ilvl w:val="0"/>
          <w:numId w:val="1"/>
        </w:numPr>
      </w:pPr>
      <w:r w:rsidRPr="00563AD3">
        <w:t xml:space="preserve">improving </w:t>
      </w:r>
      <w:r w:rsidR="00DA4EB2" w:rsidRPr="00563AD3">
        <w:t xml:space="preserve">care home </w:t>
      </w:r>
      <w:r w:rsidRPr="00563AD3">
        <w:t>staff well-being and role efficacy</w:t>
      </w:r>
      <w:r w:rsidR="00C27710" w:rsidRPr="00563AD3">
        <w:t>?</w:t>
      </w:r>
      <w:r w:rsidRPr="00563AD3">
        <w:t xml:space="preserve"> </w:t>
      </w:r>
    </w:p>
    <w:p w14:paraId="21442668" w14:textId="4FF9F6B7" w:rsidR="00CF7BED" w:rsidRPr="00563AD3" w:rsidRDefault="00F23FC8" w:rsidP="009B13F3">
      <w:pPr>
        <w:pStyle w:val="ListParagraph"/>
        <w:numPr>
          <w:ilvl w:val="0"/>
          <w:numId w:val="1"/>
        </w:numPr>
      </w:pPr>
      <w:r w:rsidRPr="00563AD3">
        <w:t>improving the quality of staff/</w:t>
      </w:r>
      <w:r w:rsidR="00EA5251" w:rsidRPr="00563AD3">
        <w:t>resident interactions over time</w:t>
      </w:r>
      <w:r w:rsidR="00C27710" w:rsidRPr="00563AD3">
        <w:t>?</w:t>
      </w:r>
      <w:r w:rsidRPr="00563AD3">
        <w:t xml:space="preserve"> </w:t>
      </w:r>
    </w:p>
    <w:p w14:paraId="73DF1C33" w14:textId="5C160A74" w:rsidR="00CF7BED" w:rsidRPr="00563AD3" w:rsidRDefault="00CF7BED" w:rsidP="009B13F3">
      <w:r w:rsidRPr="00563AD3">
        <w:t xml:space="preserve">Other </w:t>
      </w:r>
      <w:r w:rsidR="00873342" w:rsidRPr="00563AD3">
        <w:t>questions</w:t>
      </w:r>
      <w:r w:rsidRPr="00563AD3">
        <w:t xml:space="preserve"> the trial sought to explore </w:t>
      </w:r>
      <w:r w:rsidR="00873342" w:rsidRPr="00563AD3">
        <w:t>related to</w:t>
      </w:r>
      <w:r w:rsidRPr="00563AD3">
        <w:t>:</w:t>
      </w:r>
      <w:r w:rsidR="00F23FC8" w:rsidRPr="00563AD3">
        <w:t xml:space="preserve"> </w:t>
      </w:r>
    </w:p>
    <w:p w14:paraId="5E1263E8" w14:textId="59E85177" w:rsidR="00CF7BED" w:rsidRPr="00563AD3" w:rsidRDefault="00F23FC8" w:rsidP="009B13F3">
      <w:pPr>
        <w:pStyle w:val="ListParagraph"/>
        <w:numPr>
          <w:ilvl w:val="0"/>
          <w:numId w:val="1"/>
        </w:numPr>
      </w:pPr>
      <w:r w:rsidRPr="00563AD3">
        <w:t xml:space="preserve">the safety profile of the intervention as assessed by the number and types of adverse events; </w:t>
      </w:r>
    </w:p>
    <w:p w14:paraId="4E9AA041" w14:textId="7D74EB38" w:rsidR="00CF7BED" w:rsidRPr="00563AD3" w:rsidRDefault="00F23FC8" w:rsidP="009B13F3">
      <w:pPr>
        <w:pStyle w:val="ListParagraph"/>
        <w:numPr>
          <w:ilvl w:val="0"/>
          <w:numId w:val="1"/>
        </w:numPr>
      </w:pPr>
      <w:r w:rsidRPr="00563AD3">
        <w:t xml:space="preserve">any differential predictors of the effects of </w:t>
      </w:r>
      <w:r w:rsidR="00DA4EB2" w:rsidRPr="00563AD3">
        <w:t xml:space="preserve">the </w:t>
      </w:r>
      <w:r w:rsidRPr="00563AD3">
        <w:t xml:space="preserve">intervention, and </w:t>
      </w:r>
    </w:p>
    <w:p w14:paraId="63096DDD" w14:textId="77777777" w:rsidR="00070856" w:rsidRPr="00563AD3" w:rsidRDefault="00F23FC8" w:rsidP="009B13F3">
      <w:pPr>
        <w:pStyle w:val="ListParagraph"/>
        <w:numPr>
          <w:ilvl w:val="0"/>
          <w:numId w:val="1"/>
        </w:numPr>
      </w:pPr>
      <w:r w:rsidRPr="00563AD3">
        <w:t>the process, challenges, benefits and impact of implementing the intervention.</w:t>
      </w:r>
    </w:p>
    <w:p w14:paraId="01F0ED86" w14:textId="77777777" w:rsidR="00070856" w:rsidRPr="00563AD3" w:rsidRDefault="00070856" w:rsidP="009B13F3"/>
    <w:p w14:paraId="5FDCDEA6" w14:textId="7005ED16" w:rsidR="004765FE" w:rsidRPr="00563AD3" w:rsidRDefault="004765FE" w:rsidP="009B13F3"/>
    <w:p w14:paraId="320FB2E5" w14:textId="77777777" w:rsidR="0060648E" w:rsidRPr="00563AD3" w:rsidRDefault="0060648E" w:rsidP="009B13F3">
      <w:pPr>
        <w:autoSpaceDE/>
        <w:autoSpaceDN/>
        <w:adjustRightInd/>
        <w:rPr>
          <w:rFonts w:eastAsia="Times New Roman"/>
          <w:b/>
          <w:color w:val="333333"/>
          <w:sz w:val="32"/>
          <w:szCs w:val="32"/>
        </w:rPr>
      </w:pPr>
      <w:r w:rsidRPr="00563AD3">
        <w:br w:type="page"/>
      </w:r>
    </w:p>
    <w:p w14:paraId="37567E31" w14:textId="13D01DB0" w:rsidR="004765FE" w:rsidRPr="00563AD3" w:rsidRDefault="00294A44" w:rsidP="009B13F3">
      <w:pPr>
        <w:pStyle w:val="Heading1"/>
        <w:spacing w:line="360" w:lineRule="auto"/>
      </w:pPr>
      <w:bookmarkStart w:id="31" w:name="_Toc525543952"/>
      <w:r w:rsidRPr="00563AD3">
        <w:t>Chapter 2</w:t>
      </w:r>
      <w:r w:rsidR="003C5A55" w:rsidRPr="00563AD3">
        <w:t xml:space="preserve">: </w:t>
      </w:r>
      <w:r w:rsidRPr="00563AD3">
        <w:t>Trial design and m</w:t>
      </w:r>
      <w:r w:rsidR="004765FE" w:rsidRPr="00563AD3">
        <w:t>ethods</w:t>
      </w:r>
      <w:bookmarkEnd w:id="31"/>
      <w:r w:rsidR="004765FE" w:rsidRPr="00563AD3">
        <w:t xml:space="preserve"> </w:t>
      </w:r>
    </w:p>
    <w:p w14:paraId="5EB81687" w14:textId="77777777" w:rsidR="00754320" w:rsidRPr="00563AD3" w:rsidRDefault="00754320" w:rsidP="009B13F3"/>
    <w:p w14:paraId="3E883915" w14:textId="70B17749" w:rsidR="002C413C" w:rsidRPr="00563AD3" w:rsidRDefault="008A60E2" w:rsidP="009B13F3">
      <w:pPr>
        <w:pStyle w:val="Heading2"/>
      </w:pPr>
      <w:bookmarkStart w:id="32" w:name="_Toc525543953"/>
      <w:r w:rsidRPr="00563AD3">
        <w:t>2.1</w:t>
      </w:r>
      <w:r w:rsidR="00754320" w:rsidRPr="00563AD3">
        <w:t xml:space="preserve"> </w:t>
      </w:r>
      <w:r w:rsidR="002C413C" w:rsidRPr="00563AD3">
        <w:t>Trial design</w:t>
      </w:r>
      <w:bookmarkEnd w:id="32"/>
    </w:p>
    <w:p w14:paraId="773ABBC8" w14:textId="2AF06D8A" w:rsidR="0060648E" w:rsidRPr="00563AD3" w:rsidRDefault="00490084" w:rsidP="009B13F3">
      <w:r w:rsidRPr="00563AD3">
        <w:t xml:space="preserve">This section reports the trial design and procedures at the commencement of trial recruitment. </w:t>
      </w:r>
      <w:r w:rsidR="008D5BBA" w:rsidRPr="00563AD3">
        <w:t xml:space="preserve">The </w:t>
      </w:r>
      <w:r w:rsidR="006C493C" w:rsidRPr="00563AD3">
        <w:t xml:space="preserve">original </w:t>
      </w:r>
      <w:r w:rsidRPr="00563AD3">
        <w:t xml:space="preserve">trial protocol </w:t>
      </w:r>
      <w:r w:rsidR="00EC16F6" w:rsidRPr="00563AD3">
        <w:t>is published elsewhere</w:t>
      </w:r>
      <w:r w:rsidR="00191950">
        <w:t>.</w:t>
      </w:r>
      <w:r w:rsidR="008D5BBA" w:rsidRPr="00563AD3">
        <w:t xml:space="preserve"> </w:t>
      </w:r>
      <w:r w:rsidR="008D5BBA" w:rsidRPr="00563AD3">
        <w:fldChar w:fldCharType="begin"/>
      </w:r>
      <w:r w:rsidR="00411708">
        <w:instrText xml:space="preserve"> ADDIN EN.CITE &lt;EndNote&gt;&lt;Cite&gt;&lt;Author&gt;Surr&lt;/Author&gt;&lt;Year&gt;2016&lt;/Year&gt;&lt;RecNum&gt;1536&lt;/RecNum&gt;&lt;DisplayText&gt;&lt;style face="superscript"&gt;98&lt;/style&gt;&lt;/DisplayText&gt;&lt;record&gt;&lt;rec-number&gt;1536&lt;/rec-number&gt;&lt;foreign-keys&gt;&lt;key app="EN" db-id="wprxwptv75dtdree0t5x2ptmvadptw5fr2ww" timestamp="1477920588"&gt;1536&lt;/key&gt;&lt;/foreign-keys&gt;&lt;ref-type name="Journal Article"&gt;17&lt;/ref-type&gt;&lt;contributors&gt;&lt;authors&gt;&lt;author&gt;Surr, C.A.&lt;/author&gt;&lt;author&gt;Walwyn, R.&lt;/author&gt;&lt;author&gt;Lilley-Kelly, A.&lt;/author&gt;&lt;author&gt;Cicero, R.&lt;/author&gt;&lt;author&gt;Meads, D.&lt;/author&gt;&lt;author&gt;Ballard, C.&lt;/author&gt;&lt;author&gt;Burton, K.W.&lt;/author&gt;&lt;author&gt;Chenoweth, L.&lt;/author&gt;&lt;author&gt;Corbett, A.&lt;/author&gt;&lt;author&gt;Creese, B.&lt;/author&gt;&lt;author&gt;Downs, M.&lt;/author&gt;&lt;author&gt;Farrin, A.J.&lt;/author&gt;&lt;author&gt;Fossey, J.&lt;/author&gt;&lt;author&gt;Garrod, L.&lt;/author&gt;&lt;author&gt;Graham, E.H.&lt;/author&gt;&lt;author&gt;Griffiths, A.W.&lt;/author&gt;&lt;author&gt;Holloway, I.&lt;/author&gt;&lt;author&gt;Jones, S.&lt;/author&gt;&lt;author&gt;Malik, B.&lt;/author&gt;&lt;author&gt;Siddiqi, N.&lt;/author&gt;&lt;author&gt;Robinson, L.&lt;/author&gt;&lt;author&gt;Stokes, G.&lt;/author&gt;&lt;author&gt;Wallace, D.&lt;/author&gt;&lt;/authors&gt;&lt;/contributors&gt;&lt;titles&gt;&lt;title&gt;Evaluating the effectiveness and cost effectiveness of Dementia Care Mapping™ to enable person-centred care for people with dementia and their carers (DCM-EPIC) in care homes: Study protocol for a randomised controlled trial. &lt;/title&gt;&lt;secondary-title&gt;Trials&lt;/secondary-title&gt;&lt;/titles&gt;&lt;periodical&gt;&lt;full-title&gt;Trials&lt;/full-title&gt;&lt;/periodical&gt;&lt;pages&gt;300&lt;/pages&gt;&lt;volume&gt;17&lt;/volume&gt;&lt;dates&gt;&lt;year&gt;2016&lt;/year&gt;&lt;/dates&gt;&lt;urls&gt;&lt;/urls&gt;&lt;/record&gt;&lt;/Cite&gt;&lt;/EndNote&gt;</w:instrText>
      </w:r>
      <w:r w:rsidR="008D5BBA" w:rsidRPr="00563AD3">
        <w:fldChar w:fldCharType="separate"/>
      </w:r>
      <w:r w:rsidR="00EC2AA2" w:rsidRPr="00EC2AA2">
        <w:rPr>
          <w:noProof/>
          <w:vertAlign w:val="superscript"/>
        </w:rPr>
        <w:t>98</w:t>
      </w:r>
      <w:r w:rsidR="008D5BBA" w:rsidRPr="00563AD3">
        <w:fldChar w:fldCharType="end"/>
      </w:r>
      <w:r w:rsidR="008D5BBA" w:rsidRPr="00563AD3">
        <w:t xml:space="preserve"> </w:t>
      </w:r>
      <w:r w:rsidR="00EC16F6" w:rsidRPr="00563AD3">
        <w:t>Subsequent amendments to th</w:t>
      </w:r>
      <w:r w:rsidR="00DA4EB2" w:rsidRPr="00563AD3">
        <w:t>e</w:t>
      </w:r>
      <w:r w:rsidRPr="00563AD3">
        <w:t xml:space="preserve"> original </w:t>
      </w:r>
      <w:r w:rsidR="00DA4EB2" w:rsidRPr="00563AD3">
        <w:t xml:space="preserve">trial </w:t>
      </w:r>
      <w:r w:rsidRPr="00563AD3">
        <w:t>protocol</w:t>
      </w:r>
      <w:r w:rsidR="006C493C" w:rsidRPr="00563AD3">
        <w:t>,</w:t>
      </w:r>
      <w:r w:rsidRPr="00563AD3">
        <w:t xml:space="preserve"> </w:t>
      </w:r>
      <w:r w:rsidR="00707B09" w:rsidRPr="00563AD3">
        <w:t>after trial commencement</w:t>
      </w:r>
      <w:r w:rsidR="006C493C" w:rsidRPr="00563AD3">
        <w:t>,</w:t>
      </w:r>
      <w:r w:rsidR="00707B09" w:rsidRPr="00563AD3">
        <w:t xml:space="preserve"> </w:t>
      </w:r>
      <w:r w:rsidRPr="00563AD3">
        <w:t xml:space="preserve">are </w:t>
      </w:r>
      <w:r w:rsidR="00AC7FB6" w:rsidRPr="00563AD3">
        <w:t xml:space="preserve">highlighted throughout this section and then </w:t>
      </w:r>
      <w:r w:rsidRPr="00563AD3">
        <w:t xml:space="preserve">reported in </w:t>
      </w:r>
      <w:r w:rsidR="00A5520A" w:rsidRPr="00563AD3">
        <w:t xml:space="preserve">detail in </w:t>
      </w:r>
      <w:r w:rsidRPr="00563AD3">
        <w:t>section 2.1</w:t>
      </w:r>
      <w:r w:rsidR="00576A74" w:rsidRPr="00563AD3">
        <w:t>0</w:t>
      </w:r>
      <w:r w:rsidRPr="00563AD3">
        <w:t xml:space="preserve">. </w:t>
      </w:r>
    </w:p>
    <w:p w14:paraId="6A5F677E" w14:textId="77777777" w:rsidR="009C727C" w:rsidRPr="00563AD3" w:rsidRDefault="00EC16F6" w:rsidP="009B13F3">
      <w:r w:rsidRPr="00563AD3">
        <w:t>This trial was a pragmatic, multi-centre, cluster-randomised controlled trial of Dementia Care Mapping™</w:t>
      </w:r>
      <w:r w:rsidR="00FB521A" w:rsidRPr="00563AD3">
        <w:t xml:space="preserve"> plus usual c</w:t>
      </w:r>
      <w:r w:rsidRPr="00563AD3">
        <w:t xml:space="preserve">are </w:t>
      </w:r>
      <w:r w:rsidR="004407A8" w:rsidRPr="00563AD3">
        <w:t>(intervention</w:t>
      </w:r>
      <w:r w:rsidRPr="00563AD3">
        <w:t xml:space="preserve">) versus </w:t>
      </w:r>
      <w:r w:rsidR="00FB521A" w:rsidRPr="00563AD3">
        <w:t>u</w:t>
      </w:r>
      <w:r w:rsidRPr="00563AD3">
        <w:t xml:space="preserve">sual </w:t>
      </w:r>
      <w:r w:rsidR="00FB521A" w:rsidRPr="00563AD3">
        <w:t>c</w:t>
      </w:r>
      <w:r w:rsidRPr="00563AD3">
        <w:t xml:space="preserve">are alone (control) in residential, nursing and dementia care homes across West Yorkshire, Oxfordshire and South London, </w:t>
      </w:r>
      <w:r w:rsidR="00DA4EB2" w:rsidRPr="00563AD3">
        <w:t>for people</w:t>
      </w:r>
      <w:r w:rsidRPr="00563AD3">
        <w:t xml:space="preserve"> with dementia. </w:t>
      </w:r>
    </w:p>
    <w:p w14:paraId="7F1C903B" w14:textId="209333E6" w:rsidR="00E81F5E" w:rsidRPr="00563AD3" w:rsidRDefault="007B79CB" w:rsidP="009B13F3">
      <w:r w:rsidRPr="00563AD3">
        <w:t>Due to greater than expected loss to follow-up during the trial, a design change was approved to move from a closed</w:t>
      </w:r>
      <w:r w:rsidR="0088749C" w:rsidRPr="00563AD3">
        <w:t>-cohort</w:t>
      </w:r>
      <w:r w:rsidRPr="00563AD3">
        <w:t xml:space="preserve"> to </w:t>
      </w:r>
      <w:r w:rsidR="0088749C" w:rsidRPr="00563AD3">
        <w:t xml:space="preserve">an open-cohort design, with additional residents recruited at 16-month follow-up and the cross-sectional sample of residents used within the primary analysis </w:t>
      </w:r>
      <w:r w:rsidRPr="00563AD3">
        <w:t xml:space="preserve">(see section 2.10). </w:t>
      </w:r>
      <w:r w:rsidR="00E81F5E" w:rsidRPr="00563AD3">
        <w:t>The cross-sectional sample of residents was used in the primary statistical analysis (and a secondary health economic analysis), defined at baseline and 16</w:t>
      </w:r>
      <w:r w:rsidR="00B80810">
        <w:t>-</w:t>
      </w:r>
      <w:r w:rsidR="00E81F5E" w:rsidRPr="00563AD3">
        <w:t>months respectively as all residents registered at care home randomisation and at 16-months. The closed-cohort sample of residents was used in the primary health economic analysis (a supportive statistical analysis and all analyses of 6-month outcomes), defined simply as all residents registered at care home randomisation.</w:t>
      </w:r>
    </w:p>
    <w:p w14:paraId="60D3C17B" w14:textId="3CA77411" w:rsidR="00294A44" w:rsidRPr="00563AD3" w:rsidRDefault="00754320" w:rsidP="009B13F3">
      <w:r w:rsidRPr="00563AD3">
        <w:t xml:space="preserve">Since </w:t>
      </w:r>
      <w:r w:rsidR="000753D2" w:rsidRPr="00563AD3">
        <w:t xml:space="preserve">DCM™ is aimed at changing practice across the whole care home setting and </w:t>
      </w:r>
      <w:r w:rsidRPr="00563AD3">
        <w:t xml:space="preserve">it is not possible to limit the potential effects to </w:t>
      </w:r>
      <w:r w:rsidR="00AE119B" w:rsidRPr="00563AD3">
        <w:t xml:space="preserve">the care provided </w:t>
      </w:r>
      <w:r w:rsidRPr="00563AD3">
        <w:t xml:space="preserve">to </w:t>
      </w:r>
      <w:r w:rsidR="00AE119B" w:rsidRPr="00563AD3">
        <w:t xml:space="preserve">only </w:t>
      </w:r>
      <w:r w:rsidRPr="00563AD3">
        <w:t xml:space="preserve">a sample of </w:t>
      </w:r>
      <w:r w:rsidR="00DA4EB2" w:rsidRPr="00563AD3">
        <w:t>people w</w:t>
      </w:r>
      <w:r w:rsidR="004407A8" w:rsidRPr="00563AD3">
        <w:t>ith dementia living in the home</w:t>
      </w:r>
      <w:r w:rsidRPr="00563AD3">
        <w:t xml:space="preserve">, a cluster design was </w:t>
      </w:r>
      <w:r w:rsidR="004959D0" w:rsidRPr="00563AD3">
        <w:t>justified</w:t>
      </w:r>
      <w:r w:rsidRPr="00563AD3">
        <w:t>.</w:t>
      </w:r>
      <w:r w:rsidR="008D5BBA" w:rsidRPr="00563AD3">
        <w:t xml:space="preserve"> This </w:t>
      </w:r>
      <w:r w:rsidR="00DA4EB2" w:rsidRPr="00563AD3">
        <w:t>influenced the decision to consider</w:t>
      </w:r>
      <w:r w:rsidRPr="00563AD3">
        <w:t xml:space="preserve"> two important sources of clustering: cluster-randomisation and </w:t>
      </w:r>
      <w:r w:rsidR="00070560" w:rsidRPr="00563AD3">
        <w:t>DCM™</w:t>
      </w:r>
      <w:r w:rsidRPr="00563AD3">
        <w:t xml:space="preserve"> treatment provision, with care homes nested within treatment arms. Due to this we anticipate</w:t>
      </w:r>
      <w:r w:rsidR="008D5BBA" w:rsidRPr="00563AD3">
        <w:t>d that the clustering effect would</w:t>
      </w:r>
      <w:r w:rsidRPr="00563AD3">
        <w:t xml:space="preserve"> vary across arms, with a higher ICC in the intervention arm</w:t>
      </w:r>
      <w:r w:rsidR="00344D1F" w:rsidRPr="00563AD3">
        <w:t xml:space="preserve">. Therefore, an </w:t>
      </w:r>
      <w:r w:rsidRPr="00563AD3">
        <w:t>unequal allocation of care homes</w:t>
      </w:r>
      <w:r w:rsidR="008D5BBA" w:rsidRPr="00563AD3">
        <w:t xml:space="preserve"> on a ratio of 3:2 to intervention and control respectively</w:t>
      </w:r>
      <w:r w:rsidR="00344D1F" w:rsidRPr="00563AD3">
        <w:t xml:space="preserve"> was implemented</w:t>
      </w:r>
      <w:r w:rsidR="00EC16F6" w:rsidRPr="00563AD3">
        <w:t xml:space="preserve">. An integral cost-effectiveness analysis and </w:t>
      </w:r>
      <w:r w:rsidR="0060648E" w:rsidRPr="00563AD3">
        <w:t>a nested qualitative process evaluation</w:t>
      </w:r>
      <w:r w:rsidR="00DA4EB2" w:rsidRPr="00563AD3">
        <w:t xml:space="preserve"> were included. </w:t>
      </w:r>
    </w:p>
    <w:p w14:paraId="0A3D9E2D" w14:textId="70DB55D3" w:rsidR="004959D0" w:rsidRPr="00563AD3" w:rsidRDefault="004959D0" w:rsidP="009B13F3"/>
    <w:p w14:paraId="7C1A79DE" w14:textId="6B537EE8" w:rsidR="002C413C" w:rsidRPr="00563AD3" w:rsidRDefault="008A60E2" w:rsidP="009B13F3">
      <w:pPr>
        <w:pStyle w:val="Heading2"/>
      </w:pPr>
      <w:bookmarkStart w:id="33" w:name="_Toc525543954"/>
      <w:r w:rsidRPr="00563AD3">
        <w:t>2.2</w:t>
      </w:r>
      <w:r w:rsidR="00754320" w:rsidRPr="00563AD3">
        <w:t xml:space="preserve"> </w:t>
      </w:r>
      <w:r w:rsidR="00294A44" w:rsidRPr="00563AD3">
        <w:t>Ethical approval</w:t>
      </w:r>
      <w:r w:rsidR="001703F5">
        <w:t xml:space="preserve">, </w:t>
      </w:r>
      <w:r w:rsidR="00294A44" w:rsidRPr="00563AD3">
        <w:t>research governance</w:t>
      </w:r>
      <w:r w:rsidR="001703F5">
        <w:t xml:space="preserve"> and study oversight</w:t>
      </w:r>
      <w:bookmarkEnd w:id="33"/>
    </w:p>
    <w:p w14:paraId="64A4F069" w14:textId="693E44C4" w:rsidR="00C320D4" w:rsidRDefault="00754320" w:rsidP="00C320D4">
      <w:r w:rsidRPr="00563AD3">
        <w:t xml:space="preserve">Ethical approval for the study was granted by </w:t>
      </w:r>
      <w:r w:rsidR="00B37B9D" w:rsidRPr="00563AD3">
        <w:t>NRES Committee Yorkshire &amp; The Humber - Bradford Leeds on 14</w:t>
      </w:r>
      <w:r w:rsidR="00B37B9D" w:rsidRPr="00563AD3">
        <w:rPr>
          <w:vertAlign w:val="superscript"/>
        </w:rPr>
        <w:t>th</w:t>
      </w:r>
      <w:r w:rsidR="00B37B9D" w:rsidRPr="00563AD3">
        <w:t xml:space="preserve"> February 2013</w:t>
      </w:r>
      <w:r w:rsidR="00191950">
        <w:t>,</w:t>
      </w:r>
      <w:r w:rsidR="00B37B9D" w:rsidRPr="00563AD3">
        <w:t xml:space="preserve"> REC ref 13/YH/0016</w:t>
      </w:r>
      <w:r w:rsidR="00181989" w:rsidRPr="00563AD3">
        <w:t xml:space="preserve">. </w:t>
      </w:r>
      <w:r w:rsidR="00245F9D" w:rsidRPr="00563AD3">
        <w:t>C</w:t>
      </w:r>
      <w:r w:rsidR="00181989" w:rsidRPr="00563AD3">
        <w:t xml:space="preserve">are home insurance and indemnity applied to trained mappers </w:t>
      </w:r>
      <w:r w:rsidR="00EA5251" w:rsidRPr="00563AD3">
        <w:t>who implemented</w:t>
      </w:r>
      <w:r w:rsidR="00181989" w:rsidRPr="00563AD3">
        <w:t xml:space="preserve"> the intervention within the care home setting.</w:t>
      </w:r>
      <w:r w:rsidR="003A264E" w:rsidRPr="00563AD3">
        <w:t xml:space="preserve"> Appropriate site-specific </w:t>
      </w:r>
      <w:r w:rsidR="00EA5251" w:rsidRPr="00563AD3">
        <w:t>approvals</w:t>
      </w:r>
      <w:r w:rsidR="003A264E" w:rsidRPr="00563AD3">
        <w:t xml:space="preserve"> were obtained from the three participating hubs; Yorkshire (Bradford Teaching Hospitals NHS Foundation Trust), Oxford (Oxford Health NHS Foundation Trust) and London (Guy’s and St Thomas NHS Foundation Trust). The trial was registered with the International Standard Randomised Controlled Trial Register (ISRCTN) reference 82288852.</w:t>
      </w:r>
      <w:r w:rsidR="001703F5">
        <w:t xml:space="preserve"> </w:t>
      </w:r>
      <w:r w:rsidR="00C320D4">
        <w:t>Day to day management of the trial was undertaken by a Trial Management Group (TMG) comprised of the co-applicants, trials researchers and staff and a patient and public involvement representative.</w:t>
      </w:r>
      <w:r w:rsidR="00C320D4" w:rsidRPr="00C320D4">
        <w:t xml:space="preserve"> </w:t>
      </w:r>
      <w:r w:rsidR="00917B45">
        <w:t xml:space="preserve">This group met twice before the official start of the project, monthly during trial set-up and then bi-monthly or quarterly subsequently. Updates on trial progress were provided by e-mail between meetings. </w:t>
      </w:r>
      <w:r w:rsidR="00C320D4">
        <w:t>A Lay Advisory Group was established and contributed to TMG decisions (see section 2.13).</w:t>
      </w:r>
    </w:p>
    <w:p w14:paraId="01F9B1D6" w14:textId="7ABBF40A" w:rsidR="00C320D4" w:rsidRDefault="00C320D4" w:rsidP="00C320D4">
      <w:pPr>
        <w:pStyle w:val="Heading3"/>
      </w:pPr>
      <w:bookmarkStart w:id="34" w:name="_Toc525543955"/>
      <w:r>
        <w:t>Trial steering committee</w:t>
      </w:r>
      <w:bookmarkEnd w:id="34"/>
    </w:p>
    <w:p w14:paraId="2333DFC3" w14:textId="76A03800" w:rsidR="00C320D4" w:rsidRDefault="001703F5" w:rsidP="009B13F3">
      <w:r>
        <w:t xml:space="preserve">The trial was overseen by a Trial Steering Committee (TSC), comprised of five independent members (three academic members, one patient and public representative and one care home representative). </w:t>
      </w:r>
      <w:r w:rsidR="00E7660D">
        <w:t>The TSC monitored trial recruitment</w:t>
      </w:r>
      <w:r w:rsidR="006C22A0">
        <w:t xml:space="preserve">, retention, </w:t>
      </w:r>
      <w:r w:rsidR="00E7660D">
        <w:t>timelines</w:t>
      </w:r>
      <w:r w:rsidR="006C22A0">
        <w:t xml:space="preserve">, </w:t>
      </w:r>
      <w:r w:rsidR="00AB4DF2">
        <w:t xml:space="preserve">intervention adherence, </w:t>
      </w:r>
      <w:r w:rsidR="006C22A0">
        <w:t>data return and quality</w:t>
      </w:r>
      <w:r w:rsidR="00C320D4">
        <w:t xml:space="preserve"> and considered new issues</w:t>
      </w:r>
      <w:r w:rsidR="006C22A0">
        <w:t xml:space="preserve">. It also </w:t>
      </w:r>
      <w:r w:rsidR="00E7660D">
        <w:t xml:space="preserve">provided advice and approval for changes to the protocol or trial procedures. </w:t>
      </w:r>
      <w:r w:rsidR="00917B45">
        <w:t>It met approximately 6-monthly throughout the trial.</w:t>
      </w:r>
    </w:p>
    <w:p w14:paraId="2EF0A12B" w14:textId="0AE938B8" w:rsidR="00C320D4" w:rsidRDefault="00C320D4" w:rsidP="00C320D4">
      <w:pPr>
        <w:pStyle w:val="Heading2"/>
      </w:pPr>
      <w:bookmarkStart w:id="35" w:name="_Toc525543956"/>
      <w:r>
        <w:t>Data Monitoring and Ethics Committee</w:t>
      </w:r>
      <w:bookmarkEnd w:id="35"/>
    </w:p>
    <w:p w14:paraId="7BEA362E" w14:textId="27864546" w:rsidR="00294A44" w:rsidRPr="00563AD3" w:rsidRDefault="008E5291" w:rsidP="009B13F3">
      <w:r>
        <w:t xml:space="preserve">An independent Data Monitoring and Ethics Committee (DMEC), comprised of four academic members met approximately 6-monthly during the trial. They reviewed unblinded data, recruitment, </w:t>
      </w:r>
      <w:r w:rsidR="006C22A0">
        <w:t xml:space="preserve">retention, </w:t>
      </w:r>
      <w:r>
        <w:t>intervention implementation and safety by group.</w:t>
      </w:r>
      <w:r w:rsidR="00C320D4">
        <w:t xml:space="preserve"> The DMEC also undertook annual review of any Serious Adverse Events (SAEs).</w:t>
      </w:r>
      <w:r>
        <w:t xml:space="preserve"> </w:t>
      </w:r>
    </w:p>
    <w:p w14:paraId="440AD251" w14:textId="77777777" w:rsidR="006C493C" w:rsidRPr="00563AD3" w:rsidRDefault="006C493C" w:rsidP="009B13F3"/>
    <w:p w14:paraId="1EC2397A" w14:textId="3CD8F20C" w:rsidR="002C413C" w:rsidRPr="00563AD3" w:rsidRDefault="008A60E2" w:rsidP="009B13F3">
      <w:pPr>
        <w:pStyle w:val="Heading2"/>
      </w:pPr>
      <w:bookmarkStart w:id="36" w:name="_Toc525543957"/>
      <w:r w:rsidRPr="00563AD3">
        <w:t>2</w:t>
      </w:r>
      <w:r w:rsidR="00754320" w:rsidRPr="00563AD3">
        <w:t xml:space="preserve">.3 </w:t>
      </w:r>
      <w:r w:rsidR="002C413C" w:rsidRPr="00563AD3">
        <w:t>Participants</w:t>
      </w:r>
      <w:bookmarkEnd w:id="36"/>
      <w:r w:rsidR="001267CF" w:rsidRPr="00563AD3">
        <w:t xml:space="preserve"> </w:t>
      </w:r>
    </w:p>
    <w:p w14:paraId="7D3CD6F6" w14:textId="51619C3E" w:rsidR="001267CF" w:rsidRPr="00563AD3" w:rsidRDefault="00A60501" w:rsidP="009B13F3">
      <w:r w:rsidRPr="00563AD3">
        <w:t xml:space="preserve">It was intended that 750 residents </w:t>
      </w:r>
      <w:r w:rsidR="007B79CB" w:rsidRPr="00563AD3">
        <w:t xml:space="preserve">with dementia </w:t>
      </w:r>
      <w:r w:rsidRPr="00563AD3">
        <w:t xml:space="preserve">from a random sample of </w:t>
      </w:r>
      <w:r w:rsidR="00FB521A" w:rsidRPr="00563AD3">
        <w:t>50</w:t>
      </w:r>
      <w:r w:rsidRPr="00563AD3">
        <w:t xml:space="preserve"> care homes would be recruited</w:t>
      </w:r>
      <w:r w:rsidR="00DA4EB2" w:rsidRPr="00563AD3">
        <w:t xml:space="preserve"> as well </w:t>
      </w:r>
      <w:r w:rsidR="00AE119B" w:rsidRPr="00563AD3">
        <w:t>as participant</w:t>
      </w:r>
      <w:r w:rsidR="00DA4EB2" w:rsidRPr="00563AD3">
        <w:t>s</w:t>
      </w:r>
      <w:r w:rsidR="00AE119B" w:rsidRPr="00563AD3">
        <w:t>’</w:t>
      </w:r>
      <w:r w:rsidR="00DA4EB2" w:rsidRPr="00563AD3">
        <w:t xml:space="preserve"> relatives and care home staff</w:t>
      </w:r>
      <w:r w:rsidRPr="00563AD3">
        <w:t xml:space="preserve">. </w:t>
      </w:r>
    </w:p>
    <w:p w14:paraId="50C2EA25" w14:textId="77777777" w:rsidR="000753D2" w:rsidRPr="00563AD3" w:rsidRDefault="000753D2" w:rsidP="009B13F3">
      <w:pPr>
        <w:rPr>
          <w:color w:val="FF0000"/>
        </w:rPr>
      </w:pPr>
    </w:p>
    <w:p w14:paraId="1FED058F" w14:textId="53ED04C6" w:rsidR="00C72105" w:rsidRPr="00563AD3" w:rsidRDefault="008A60E2" w:rsidP="009B13F3">
      <w:pPr>
        <w:pStyle w:val="Heading3"/>
      </w:pPr>
      <w:bookmarkStart w:id="37" w:name="_Toc525543958"/>
      <w:r w:rsidRPr="00563AD3">
        <w:t>2.</w:t>
      </w:r>
      <w:r w:rsidR="00754320" w:rsidRPr="00563AD3">
        <w:t xml:space="preserve">3.1 </w:t>
      </w:r>
      <w:r w:rsidRPr="00563AD3">
        <w:t xml:space="preserve">Care Home </w:t>
      </w:r>
      <w:r w:rsidR="003C5A55" w:rsidRPr="00563AD3">
        <w:t>e</w:t>
      </w:r>
      <w:r w:rsidR="008D5BBA" w:rsidRPr="00563AD3">
        <w:t>ligibility</w:t>
      </w:r>
      <w:r w:rsidR="003E78EF" w:rsidRPr="00563AD3">
        <w:t>, recruitment and consent</w:t>
      </w:r>
      <w:bookmarkEnd w:id="37"/>
    </w:p>
    <w:p w14:paraId="5586B657" w14:textId="519AB3D0" w:rsidR="003E78EF" w:rsidRPr="00563AD3" w:rsidRDefault="003E78EF" w:rsidP="009B13F3">
      <w:pPr>
        <w:pStyle w:val="Heading4"/>
      </w:pPr>
      <w:bookmarkStart w:id="38" w:name="_Toc455576265"/>
      <w:r w:rsidRPr="00563AD3">
        <w:t>2.3.1.1 Care home eligibility</w:t>
      </w:r>
      <w:bookmarkEnd w:id="38"/>
    </w:p>
    <w:p w14:paraId="77C3E744" w14:textId="1BFBEB7B" w:rsidR="003E78EF" w:rsidRPr="00563AD3" w:rsidRDefault="00351DAD" w:rsidP="009B13F3">
      <w:r w:rsidRPr="00563AD3">
        <w:t>To be eligible for the</w:t>
      </w:r>
      <w:r w:rsidR="003E78EF" w:rsidRPr="00563AD3">
        <w:t xml:space="preserve"> trial</w:t>
      </w:r>
      <w:r w:rsidRPr="00563AD3">
        <w:t xml:space="preserve"> a care home </w:t>
      </w:r>
      <w:r w:rsidR="00EA5251" w:rsidRPr="00563AD3">
        <w:t>was required to</w:t>
      </w:r>
      <w:r w:rsidR="003E78EF" w:rsidRPr="00563AD3">
        <w:t>:</w:t>
      </w:r>
    </w:p>
    <w:p w14:paraId="318C1217" w14:textId="09012F1A" w:rsidR="003E78EF" w:rsidRPr="00563AD3" w:rsidRDefault="00EA5251" w:rsidP="009B13F3">
      <w:pPr>
        <w:pStyle w:val="ListParagraph"/>
        <w:widowControl w:val="0"/>
        <w:numPr>
          <w:ilvl w:val="0"/>
          <w:numId w:val="5"/>
        </w:numPr>
        <w:autoSpaceDE/>
        <w:autoSpaceDN/>
        <w:adjustRightInd/>
        <w:spacing w:after="0"/>
      </w:pPr>
      <w:r w:rsidRPr="00563AD3">
        <w:t>Have a</w:t>
      </w:r>
      <w:r w:rsidR="003E78EF" w:rsidRPr="00563AD3">
        <w:t xml:space="preserve"> sufficient number of permanent </w:t>
      </w:r>
      <w:r w:rsidR="00351DAD" w:rsidRPr="00563AD3">
        <w:t xml:space="preserve">residents with </w:t>
      </w:r>
      <w:r w:rsidR="003E78EF" w:rsidRPr="00563AD3">
        <w:t>dementia (based on a formal diagnosis or Functional Assessment Staging of Alzheimer’s Disease (FAST) score of 4+) eligible to participate</w:t>
      </w:r>
      <w:r w:rsidR="00351DAD" w:rsidRPr="00563AD3">
        <w:t>,</w:t>
      </w:r>
      <w:r w:rsidR="003E78EF" w:rsidRPr="00563AD3">
        <w:t xml:space="preserve"> in order t</w:t>
      </w:r>
      <w:r w:rsidR="00EB1ED8" w:rsidRPr="00563AD3">
        <w:t>o achieve a minimum of 10 r</w:t>
      </w:r>
      <w:r w:rsidR="003E78EF" w:rsidRPr="00563AD3">
        <w:t xml:space="preserve">esidents registered to </w:t>
      </w:r>
      <w:r w:rsidR="007B79CB" w:rsidRPr="00563AD3">
        <w:t xml:space="preserve">the trial </w:t>
      </w:r>
      <w:r w:rsidR="003E78EF" w:rsidRPr="00563AD3">
        <w:t xml:space="preserve">prior to </w:t>
      </w:r>
      <w:r w:rsidR="007B79CB" w:rsidRPr="00563AD3">
        <w:t>c</w:t>
      </w:r>
      <w:r w:rsidR="003E78EF" w:rsidRPr="00563AD3">
        <w:t xml:space="preserve">are </w:t>
      </w:r>
      <w:r w:rsidR="007B79CB" w:rsidRPr="00563AD3">
        <w:t>h</w:t>
      </w:r>
      <w:r w:rsidR="003E78EF" w:rsidRPr="00563AD3">
        <w:t xml:space="preserve">ome </w:t>
      </w:r>
      <w:r w:rsidR="007B79CB" w:rsidRPr="00563AD3">
        <w:t>r</w:t>
      </w:r>
      <w:r w:rsidR="003E78EF" w:rsidRPr="00563AD3">
        <w:t>andomisation;</w:t>
      </w:r>
    </w:p>
    <w:p w14:paraId="659ED5E5" w14:textId="75D87E00" w:rsidR="003E78EF" w:rsidRPr="00563AD3" w:rsidRDefault="00EA5251" w:rsidP="009B13F3">
      <w:pPr>
        <w:pStyle w:val="ListParagraph"/>
        <w:widowControl w:val="0"/>
        <w:numPr>
          <w:ilvl w:val="0"/>
          <w:numId w:val="5"/>
        </w:numPr>
        <w:autoSpaceDE/>
        <w:autoSpaceDN/>
        <w:adjustRightInd/>
        <w:spacing w:after="0"/>
      </w:pPr>
      <w:r w:rsidRPr="00563AD3">
        <w:t>Have a</w:t>
      </w:r>
      <w:r w:rsidR="003E78EF" w:rsidRPr="00563AD3">
        <w:t xml:space="preserve"> manager or nominated person agreeing to sign up to the trial protocol as research lead </w:t>
      </w:r>
      <w:r w:rsidRPr="00563AD3">
        <w:t>for the duration of the project</w:t>
      </w:r>
      <w:r w:rsidR="003E78EF" w:rsidRPr="00563AD3">
        <w:t>;</w:t>
      </w:r>
    </w:p>
    <w:p w14:paraId="19808E5B" w14:textId="60D30F39" w:rsidR="003E78EF" w:rsidRPr="00563AD3" w:rsidRDefault="00EA5251" w:rsidP="009B13F3">
      <w:pPr>
        <w:pStyle w:val="ListParagraph"/>
        <w:widowControl w:val="0"/>
        <w:numPr>
          <w:ilvl w:val="0"/>
          <w:numId w:val="5"/>
        </w:numPr>
        <w:autoSpaceDE/>
        <w:autoSpaceDN/>
        <w:adjustRightInd/>
        <w:spacing w:after="0"/>
      </w:pPr>
      <w:r w:rsidRPr="00563AD3">
        <w:t>Have a</w:t>
      </w:r>
      <w:r w:rsidR="003E78EF" w:rsidRPr="00563AD3">
        <w:t>gree</w:t>
      </w:r>
      <w:r w:rsidR="0025325A" w:rsidRPr="00563AD3">
        <w:t>d</w:t>
      </w:r>
      <w:r w:rsidR="003E78EF" w:rsidRPr="00563AD3">
        <w:t xml:space="preserve"> to release staff for </w:t>
      </w:r>
      <w:r w:rsidR="00070560" w:rsidRPr="00563AD3">
        <w:t>DCM™</w:t>
      </w:r>
      <w:r w:rsidR="003E78EF" w:rsidRPr="00563AD3">
        <w:t xml:space="preserve"> training and subsequent mapping processes;</w:t>
      </w:r>
    </w:p>
    <w:p w14:paraId="73E1FC91" w14:textId="775E8E83" w:rsidR="003E78EF" w:rsidRPr="00563AD3" w:rsidRDefault="00351DAD" w:rsidP="009B13F3">
      <w:pPr>
        <w:pStyle w:val="ListParagraph"/>
        <w:widowControl w:val="0"/>
        <w:numPr>
          <w:ilvl w:val="0"/>
          <w:numId w:val="5"/>
        </w:numPr>
        <w:autoSpaceDE/>
        <w:autoSpaceDN/>
        <w:adjustRightInd/>
        <w:spacing w:after="0"/>
      </w:pPr>
      <w:r w:rsidRPr="00563AD3">
        <w:t>Be</w:t>
      </w:r>
      <w:r w:rsidR="003E78EF" w:rsidRPr="00563AD3">
        <w:t xml:space="preserve"> within </w:t>
      </w:r>
      <w:r w:rsidR="00DA4EB2" w:rsidRPr="00563AD3">
        <w:t xml:space="preserve">the </w:t>
      </w:r>
      <w:r w:rsidR="007B79CB" w:rsidRPr="00563AD3">
        <w:t xml:space="preserve">trial </w:t>
      </w:r>
      <w:r w:rsidR="003E78EF" w:rsidRPr="00563AD3">
        <w:t>catchment area.</w:t>
      </w:r>
    </w:p>
    <w:p w14:paraId="3FA339C4" w14:textId="77777777" w:rsidR="003E78EF" w:rsidRPr="00563AD3" w:rsidRDefault="003E78EF" w:rsidP="009B13F3"/>
    <w:p w14:paraId="5C24E675" w14:textId="1FBFD002" w:rsidR="003E78EF" w:rsidRPr="00563AD3" w:rsidRDefault="00351DAD" w:rsidP="009B13F3">
      <w:r w:rsidRPr="00563AD3">
        <w:t xml:space="preserve">Care homes were </w:t>
      </w:r>
      <w:r w:rsidR="003E78EF" w:rsidRPr="00563AD3">
        <w:rPr>
          <w:u w:val="single"/>
        </w:rPr>
        <w:t>not</w:t>
      </w:r>
      <w:r w:rsidR="003E78EF" w:rsidRPr="00563AD3">
        <w:t xml:space="preserve"> eligible for th</w:t>
      </w:r>
      <w:r w:rsidR="00EB1ED8" w:rsidRPr="00563AD3">
        <w:t>e</w:t>
      </w:r>
      <w:r w:rsidR="003E78EF" w:rsidRPr="00563AD3">
        <w:t xml:space="preserve"> trial</w:t>
      </w:r>
      <w:r w:rsidRPr="00563AD3">
        <w:t xml:space="preserve"> if</w:t>
      </w:r>
      <w:r w:rsidR="003E78EF" w:rsidRPr="00563AD3">
        <w:t>:</w:t>
      </w:r>
    </w:p>
    <w:p w14:paraId="0EAA0999" w14:textId="24A80E4E" w:rsidR="003E78EF" w:rsidRPr="00563AD3" w:rsidRDefault="007B79CB" w:rsidP="009B13F3">
      <w:pPr>
        <w:pStyle w:val="ListParagraph"/>
        <w:widowControl w:val="0"/>
        <w:numPr>
          <w:ilvl w:val="0"/>
          <w:numId w:val="11"/>
        </w:numPr>
        <w:autoSpaceDE/>
        <w:autoSpaceDN/>
        <w:adjustRightInd/>
        <w:spacing w:after="0"/>
      </w:pPr>
      <w:r w:rsidRPr="00563AD3">
        <w:t>T</w:t>
      </w:r>
      <w:r w:rsidR="00351DAD" w:rsidRPr="00563AD3">
        <w:t>hey were</w:t>
      </w:r>
      <w:r w:rsidR="003E78EF" w:rsidRPr="00563AD3">
        <w:t xml:space="preserve"> subject to </w:t>
      </w:r>
      <w:r w:rsidR="006A0D8E" w:rsidRPr="00563AD3">
        <w:t>Care Quality Commission (</w:t>
      </w:r>
      <w:r w:rsidR="003E78EF" w:rsidRPr="00563AD3">
        <w:t>CQC</w:t>
      </w:r>
      <w:r w:rsidR="006A0D8E" w:rsidRPr="00563AD3">
        <w:t>)</w:t>
      </w:r>
      <w:r w:rsidR="003E78EF" w:rsidRPr="00563AD3">
        <w:t xml:space="preserve"> enforcement notices, admission bans or relevant moderate or major CQC compliance breaches;</w:t>
      </w:r>
    </w:p>
    <w:p w14:paraId="2C3EE60F" w14:textId="31A812F6" w:rsidR="003E78EF" w:rsidRPr="00563AD3" w:rsidRDefault="00351DAD" w:rsidP="009B13F3">
      <w:pPr>
        <w:pStyle w:val="ListParagraph"/>
        <w:widowControl w:val="0"/>
        <w:numPr>
          <w:ilvl w:val="0"/>
          <w:numId w:val="11"/>
        </w:numPr>
        <w:autoSpaceDE/>
        <w:autoSpaceDN/>
        <w:adjustRightInd/>
        <w:spacing w:after="0"/>
      </w:pPr>
      <w:r w:rsidRPr="00563AD3">
        <w:t>They were</w:t>
      </w:r>
      <w:r w:rsidR="003E78EF" w:rsidRPr="00563AD3">
        <w:t xml:space="preserve"> receiving other special support for specific quality concerns, such as being currently subject to, or ha</w:t>
      </w:r>
      <w:r w:rsidR="00342465" w:rsidRPr="00563AD3">
        <w:t>d</w:t>
      </w:r>
      <w:r w:rsidR="003E78EF" w:rsidRPr="00563AD3">
        <w:t xml:space="preserve"> pending, any serious safeguarding investigations, or receiving voluntary or compulsory admissions bans, </w:t>
      </w:r>
      <w:r w:rsidR="00342465" w:rsidRPr="00563AD3">
        <w:t>or</w:t>
      </w:r>
      <w:r w:rsidR="003E78EF" w:rsidRPr="00563AD3">
        <w:t xml:space="preserve"> local commissioning special support due to quality concerns;</w:t>
      </w:r>
    </w:p>
    <w:p w14:paraId="040C9F20" w14:textId="7779E8BA" w:rsidR="003E78EF" w:rsidRPr="00563AD3" w:rsidRDefault="00351DAD" w:rsidP="009B13F3">
      <w:pPr>
        <w:pStyle w:val="ListParagraph"/>
        <w:widowControl w:val="0"/>
        <w:numPr>
          <w:ilvl w:val="0"/>
          <w:numId w:val="11"/>
        </w:numPr>
        <w:autoSpaceDE/>
        <w:autoSpaceDN/>
        <w:adjustRightInd/>
        <w:spacing w:after="0"/>
      </w:pPr>
      <w:r w:rsidRPr="00563AD3">
        <w:t>They had</w:t>
      </w:r>
      <w:r w:rsidR="003E78EF" w:rsidRPr="00563AD3">
        <w:t xml:space="preserve"> used </w:t>
      </w:r>
      <w:r w:rsidR="00070560" w:rsidRPr="00563AD3">
        <w:t>DCM™</w:t>
      </w:r>
      <w:r w:rsidR="003E78EF" w:rsidRPr="00563AD3">
        <w:t xml:space="preserve"> as a practice development tool within the </w:t>
      </w:r>
      <w:r w:rsidRPr="00563AD3">
        <w:t>18-</w:t>
      </w:r>
      <w:r w:rsidR="003E78EF" w:rsidRPr="00563AD3">
        <w:t>months</w:t>
      </w:r>
      <w:r w:rsidRPr="00563AD3">
        <w:t xml:space="preserve"> prior to randomisation or were</w:t>
      </w:r>
      <w:r w:rsidR="003E78EF" w:rsidRPr="00563AD3">
        <w:t xml:space="preserve"> planning to use </w:t>
      </w:r>
      <w:r w:rsidR="00070560" w:rsidRPr="00563AD3">
        <w:t>DCM™</w:t>
      </w:r>
      <w:r w:rsidR="003E78EF" w:rsidRPr="00563AD3">
        <w:t xml:space="preserve"> over the course of trial involvement;</w:t>
      </w:r>
    </w:p>
    <w:p w14:paraId="1E6A4F59" w14:textId="76080341" w:rsidR="00351DAD" w:rsidRPr="00563AD3" w:rsidRDefault="00351DAD" w:rsidP="009B13F3">
      <w:pPr>
        <w:pStyle w:val="ListParagraph"/>
        <w:widowControl w:val="0"/>
        <w:numPr>
          <w:ilvl w:val="0"/>
          <w:numId w:val="11"/>
        </w:numPr>
        <w:autoSpaceDE/>
        <w:autoSpaceDN/>
        <w:adjustRightInd/>
        <w:spacing w:after="0"/>
      </w:pPr>
      <w:r w:rsidRPr="00563AD3">
        <w:t>They were currently</w:t>
      </w:r>
      <w:r w:rsidR="00A47A4F" w:rsidRPr="00563AD3">
        <w:t>,</w:t>
      </w:r>
      <w:r w:rsidR="003E78EF" w:rsidRPr="00563AD3">
        <w:t xml:space="preserve"> </w:t>
      </w:r>
      <w:r w:rsidRPr="00563AD3">
        <w:t>recently or were</w:t>
      </w:r>
      <w:r w:rsidR="003E78EF" w:rsidRPr="00563AD3">
        <w:t xml:space="preserve"> planning to take part, in</w:t>
      </w:r>
      <w:r w:rsidRPr="00563AD3">
        <w:t xml:space="preserve"> another trial that conflicted</w:t>
      </w:r>
      <w:r w:rsidR="003E78EF" w:rsidRPr="00563AD3">
        <w:t xml:space="preserve"> with </w:t>
      </w:r>
      <w:r w:rsidR="00070560" w:rsidRPr="00563AD3">
        <w:t>DCM™</w:t>
      </w:r>
      <w:r w:rsidR="003E78EF" w:rsidRPr="00563AD3">
        <w:t xml:space="preserve"> or </w:t>
      </w:r>
      <w:r w:rsidRPr="00563AD3">
        <w:t>data collection</w:t>
      </w:r>
      <w:r w:rsidR="00AE119B" w:rsidRPr="00563AD3">
        <w:t>.</w:t>
      </w:r>
    </w:p>
    <w:p w14:paraId="5297ADA3" w14:textId="77777777" w:rsidR="003E78EF" w:rsidRPr="00563AD3" w:rsidRDefault="003E78EF" w:rsidP="009B13F3">
      <w:pPr>
        <w:pStyle w:val="BodyTextIndent"/>
        <w:spacing w:after="0" w:line="360" w:lineRule="auto"/>
        <w:ind w:left="0" w:right="618"/>
        <w:jc w:val="both"/>
        <w:rPr>
          <w:rFonts w:ascii="Arial" w:hAnsi="Arial" w:cs="Arial"/>
          <w:sz w:val="22"/>
          <w:szCs w:val="22"/>
        </w:rPr>
      </w:pPr>
    </w:p>
    <w:p w14:paraId="56C2811D" w14:textId="571F6DBE" w:rsidR="003E78EF" w:rsidRPr="00563AD3" w:rsidRDefault="004B3679" w:rsidP="009B13F3">
      <w:pPr>
        <w:pStyle w:val="BodyTextIndent"/>
        <w:spacing w:after="0" w:line="360" w:lineRule="auto"/>
        <w:ind w:left="0" w:right="618"/>
        <w:rPr>
          <w:rFonts w:ascii="Arial" w:hAnsi="Arial" w:cs="Arial"/>
          <w:sz w:val="22"/>
          <w:szCs w:val="22"/>
        </w:rPr>
      </w:pPr>
      <w:r w:rsidRPr="00563AD3">
        <w:rPr>
          <w:rFonts w:ascii="Arial" w:hAnsi="Arial" w:cs="Arial"/>
          <w:sz w:val="22"/>
          <w:szCs w:val="22"/>
        </w:rPr>
        <w:t xml:space="preserve">Where </w:t>
      </w:r>
      <w:r w:rsidR="007B79CB" w:rsidRPr="00563AD3">
        <w:rPr>
          <w:rFonts w:ascii="Arial" w:hAnsi="Arial" w:cs="Arial"/>
          <w:sz w:val="22"/>
          <w:szCs w:val="22"/>
        </w:rPr>
        <w:t>a</w:t>
      </w:r>
      <w:r w:rsidRPr="00563AD3">
        <w:rPr>
          <w:rFonts w:ascii="Arial" w:hAnsi="Arial" w:cs="Arial"/>
          <w:sz w:val="22"/>
          <w:szCs w:val="22"/>
        </w:rPr>
        <w:t xml:space="preserve"> care home wa</w:t>
      </w:r>
      <w:r w:rsidR="003E78EF" w:rsidRPr="00563AD3">
        <w:rPr>
          <w:rFonts w:ascii="Arial" w:hAnsi="Arial" w:cs="Arial"/>
          <w:sz w:val="22"/>
          <w:szCs w:val="22"/>
        </w:rPr>
        <w:t xml:space="preserve">s a large multi-site or multi-floor establishment, one or two units </w:t>
      </w:r>
      <w:r w:rsidR="00351DAD" w:rsidRPr="00563AD3">
        <w:rPr>
          <w:rFonts w:ascii="Arial" w:hAnsi="Arial" w:cs="Arial"/>
          <w:sz w:val="22"/>
          <w:szCs w:val="22"/>
        </w:rPr>
        <w:t xml:space="preserve">with the largest percentage of residents with dementia, or where the manager felt </w:t>
      </w:r>
      <w:r w:rsidR="00070560" w:rsidRPr="00563AD3">
        <w:rPr>
          <w:rFonts w:ascii="Arial" w:hAnsi="Arial" w:cs="Arial"/>
          <w:sz w:val="22"/>
          <w:szCs w:val="22"/>
        </w:rPr>
        <w:t>DCM™</w:t>
      </w:r>
      <w:r w:rsidR="00351DAD" w:rsidRPr="00563AD3">
        <w:rPr>
          <w:rFonts w:ascii="Arial" w:hAnsi="Arial" w:cs="Arial"/>
          <w:sz w:val="22"/>
          <w:szCs w:val="22"/>
        </w:rPr>
        <w:t xml:space="preserve"> implementation would be most beneficial</w:t>
      </w:r>
      <w:r w:rsidR="00EA5251" w:rsidRPr="00563AD3">
        <w:rPr>
          <w:rFonts w:ascii="Arial" w:hAnsi="Arial" w:cs="Arial"/>
          <w:sz w:val="22"/>
          <w:szCs w:val="22"/>
        </w:rPr>
        <w:t>,</w:t>
      </w:r>
      <w:r w:rsidR="00351DAD" w:rsidRPr="00563AD3">
        <w:rPr>
          <w:rFonts w:ascii="Arial" w:hAnsi="Arial" w:cs="Arial"/>
          <w:sz w:val="22"/>
          <w:szCs w:val="22"/>
        </w:rPr>
        <w:t xml:space="preserve"> </w:t>
      </w:r>
      <w:r w:rsidR="00DC7C6A" w:rsidRPr="00563AD3">
        <w:rPr>
          <w:rFonts w:ascii="Arial" w:hAnsi="Arial" w:cs="Arial"/>
          <w:sz w:val="22"/>
          <w:szCs w:val="22"/>
        </w:rPr>
        <w:t>were</w:t>
      </w:r>
      <w:r w:rsidR="003E78EF" w:rsidRPr="00563AD3">
        <w:rPr>
          <w:rFonts w:ascii="Arial" w:hAnsi="Arial" w:cs="Arial"/>
          <w:sz w:val="22"/>
          <w:szCs w:val="22"/>
        </w:rPr>
        <w:t xml:space="preserve"> selected to participate as one home. </w:t>
      </w:r>
    </w:p>
    <w:p w14:paraId="7EE00C99" w14:textId="77777777" w:rsidR="003E78EF" w:rsidRPr="00563AD3" w:rsidRDefault="003E78EF" w:rsidP="009B13F3">
      <w:pPr>
        <w:pStyle w:val="BodyTextIndent"/>
        <w:spacing w:line="360" w:lineRule="auto"/>
        <w:ind w:left="0" w:right="618"/>
        <w:jc w:val="both"/>
        <w:rPr>
          <w:rFonts w:ascii="Arial" w:hAnsi="Arial" w:cs="Arial"/>
          <w:sz w:val="22"/>
          <w:szCs w:val="22"/>
        </w:rPr>
      </w:pPr>
    </w:p>
    <w:p w14:paraId="74504C54" w14:textId="5DD7D504" w:rsidR="003E78EF" w:rsidRPr="00563AD3" w:rsidRDefault="003E78EF" w:rsidP="009B13F3">
      <w:pPr>
        <w:pStyle w:val="Heading4"/>
      </w:pPr>
      <w:bookmarkStart w:id="39" w:name="_Toc455576266"/>
      <w:r w:rsidRPr="00563AD3">
        <w:t>2.3.1.2 Care home recruitment</w:t>
      </w:r>
      <w:bookmarkEnd w:id="39"/>
    </w:p>
    <w:p w14:paraId="6DAA8A8E" w14:textId="3CB9B15D" w:rsidR="003E78EF" w:rsidRPr="00563AD3" w:rsidRDefault="003E78EF" w:rsidP="009B13F3">
      <w:r w:rsidRPr="00563AD3">
        <w:t xml:space="preserve">Catchment areas </w:t>
      </w:r>
      <w:r w:rsidR="002108C0" w:rsidRPr="00563AD3">
        <w:t>for</w:t>
      </w:r>
      <w:r w:rsidRPr="00563AD3">
        <w:t xml:space="preserve"> each recruitment hub </w:t>
      </w:r>
      <w:r w:rsidR="002108C0" w:rsidRPr="00563AD3">
        <w:t xml:space="preserve">(Leeds Beckett University, Kings College London, Oxfordshire Health NHS Trust) were established based on post-code districts/boroughs </w:t>
      </w:r>
      <w:r w:rsidR="00245F9D" w:rsidRPr="00563AD3">
        <w:t>in</w:t>
      </w:r>
      <w:r w:rsidRPr="00563AD3">
        <w:t xml:space="preserve"> West Yorkshire, </w:t>
      </w:r>
      <w:r w:rsidR="002108C0" w:rsidRPr="00563AD3">
        <w:t xml:space="preserve">South </w:t>
      </w:r>
      <w:r w:rsidRPr="00563AD3">
        <w:t>London and Oxford</w:t>
      </w:r>
      <w:r w:rsidR="002108C0" w:rsidRPr="00563AD3">
        <w:t>shire respectively</w:t>
      </w:r>
      <w:r w:rsidRPr="00563AD3">
        <w:t xml:space="preserve">. </w:t>
      </w:r>
      <w:r w:rsidR="002108C0" w:rsidRPr="00563AD3">
        <w:t>All c</w:t>
      </w:r>
      <w:r w:rsidRPr="00563AD3">
        <w:t xml:space="preserve">are homes in the catchment areas </w:t>
      </w:r>
      <w:r w:rsidR="002108C0" w:rsidRPr="00563AD3">
        <w:t xml:space="preserve">were identified and </w:t>
      </w:r>
      <w:r w:rsidRPr="00563AD3">
        <w:t xml:space="preserve">screened for initial eligibility via publicly available information (home type, number of beds, </w:t>
      </w:r>
      <w:r w:rsidR="006A0D8E" w:rsidRPr="00563AD3">
        <w:t xml:space="preserve">CQC </w:t>
      </w:r>
      <w:r w:rsidRPr="00563AD3">
        <w:t xml:space="preserve">status). Care homes deemed eligible </w:t>
      </w:r>
      <w:r w:rsidR="00DC7C6A" w:rsidRPr="00563AD3">
        <w:t xml:space="preserve">were </w:t>
      </w:r>
      <w:r w:rsidRPr="00563AD3">
        <w:t>randomly ordered</w:t>
      </w:r>
      <w:r w:rsidR="002108C0" w:rsidRPr="00563AD3">
        <w:t xml:space="preserve"> </w:t>
      </w:r>
      <w:r w:rsidR="00245F9D" w:rsidRPr="00563AD3">
        <w:t xml:space="preserve">within catchment areas </w:t>
      </w:r>
      <w:r w:rsidR="002108C0" w:rsidRPr="00563AD3">
        <w:t xml:space="preserve">and </w:t>
      </w:r>
      <w:r w:rsidR="008F4B9A" w:rsidRPr="00563AD3">
        <w:t xml:space="preserve">divided into </w:t>
      </w:r>
      <w:r w:rsidR="00245F9D" w:rsidRPr="00563AD3">
        <w:t>batches</w:t>
      </w:r>
      <w:r w:rsidR="008F4B9A" w:rsidRPr="00563AD3">
        <w:t>. The first batch of homes from</w:t>
      </w:r>
      <w:r w:rsidR="00245F9D" w:rsidRPr="00563AD3">
        <w:t xml:space="preserve"> each hub were</w:t>
      </w:r>
      <w:r w:rsidR="002108C0" w:rsidRPr="00563AD3">
        <w:t xml:space="preserve"> sent the Care Home Information Sheet (see </w:t>
      </w:r>
      <w:r w:rsidR="002953C0" w:rsidRPr="00191950">
        <w:rPr>
          <w:i/>
        </w:rPr>
        <w:t>Supplementary Material</w:t>
      </w:r>
      <w:r w:rsidR="002108C0" w:rsidRPr="00563AD3">
        <w:t xml:space="preserve">) by post. A </w:t>
      </w:r>
      <w:r w:rsidR="00245F9D" w:rsidRPr="00563AD3">
        <w:t>r</w:t>
      </w:r>
      <w:r w:rsidRPr="00563AD3">
        <w:t xml:space="preserve">esearcher </w:t>
      </w:r>
      <w:r w:rsidR="00C36195" w:rsidRPr="00563AD3">
        <w:t xml:space="preserve">then </w:t>
      </w:r>
      <w:r w:rsidRPr="00563AD3">
        <w:t>contact</w:t>
      </w:r>
      <w:r w:rsidR="00C36195" w:rsidRPr="00563AD3">
        <w:t>ed</w:t>
      </w:r>
      <w:r w:rsidRPr="00563AD3">
        <w:t xml:space="preserve"> </w:t>
      </w:r>
      <w:r w:rsidR="002108C0" w:rsidRPr="00563AD3">
        <w:t>the</w:t>
      </w:r>
      <w:r w:rsidR="00C36195" w:rsidRPr="00563AD3">
        <w:t xml:space="preserve"> </w:t>
      </w:r>
      <w:r w:rsidRPr="00563AD3">
        <w:t xml:space="preserve">care homes </w:t>
      </w:r>
      <w:r w:rsidR="00C36195" w:rsidRPr="00563AD3">
        <w:t>by telephone within</w:t>
      </w:r>
      <w:r w:rsidRPr="00563AD3">
        <w:t xml:space="preserve"> </w:t>
      </w:r>
      <w:r w:rsidR="008F4B9A" w:rsidRPr="00563AD3">
        <w:t>one to three</w:t>
      </w:r>
      <w:r w:rsidRPr="00563AD3">
        <w:t xml:space="preserve"> weeks to determine </w:t>
      </w:r>
      <w:r w:rsidR="00C36195" w:rsidRPr="00563AD3">
        <w:t>interest</w:t>
      </w:r>
      <w:r w:rsidRPr="00563AD3">
        <w:t xml:space="preserve"> in taking part. </w:t>
      </w:r>
      <w:r w:rsidR="00522706" w:rsidRPr="00563AD3">
        <w:t>If a care home expressed</w:t>
      </w:r>
      <w:r w:rsidR="00245F9D" w:rsidRPr="00563AD3">
        <w:t xml:space="preserve"> </w:t>
      </w:r>
      <w:r w:rsidR="00522706" w:rsidRPr="00563AD3">
        <w:t xml:space="preserve">interest in taking part, the Researcher conducted initial eligibility screening </w:t>
      </w:r>
      <w:r w:rsidRPr="00563AD3">
        <w:t>ahead of visit</w:t>
      </w:r>
      <w:r w:rsidR="003761C6" w:rsidRPr="00563AD3">
        <w:t>ing</w:t>
      </w:r>
      <w:r w:rsidRPr="00563AD3">
        <w:t xml:space="preserve"> to determine full eligibility and </w:t>
      </w:r>
      <w:r w:rsidR="00EA5251" w:rsidRPr="00563AD3">
        <w:t xml:space="preserve">to </w:t>
      </w:r>
      <w:r w:rsidR="00522706" w:rsidRPr="00563AD3">
        <w:t xml:space="preserve">initiate care home consent </w:t>
      </w:r>
      <w:r w:rsidRPr="00563AD3">
        <w:t>and management permissions</w:t>
      </w:r>
      <w:r w:rsidR="00522706" w:rsidRPr="00563AD3">
        <w:t xml:space="preserve"> (see </w:t>
      </w:r>
      <w:r w:rsidR="002953C0" w:rsidRPr="00191950">
        <w:rPr>
          <w:i/>
        </w:rPr>
        <w:t>Supplementary Material</w:t>
      </w:r>
      <w:r w:rsidR="00522706" w:rsidRPr="00563AD3">
        <w:t>)</w:t>
      </w:r>
      <w:r w:rsidRPr="00563AD3">
        <w:t xml:space="preserve">. </w:t>
      </w:r>
      <w:r w:rsidR="002108C0" w:rsidRPr="00563AD3">
        <w:t xml:space="preserve">If the </w:t>
      </w:r>
      <w:r w:rsidR="00245F9D" w:rsidRPr="00563AD3">
        <w:t>r</w:t>
      </w:r>
      <w:r w:rsidR="002108C0" w:rsidRPr="00563AD3">
        <w:t>esearcher was unable to make contact with the care home following several attempts</w:t>
      </w:r>
      <w:r w:rsidR="00245F9D" w:rsidRPr="00563AD3">
        <w:t>,</w:t>
      </w:r>
      <w:r w:rsidR="002108C0" w:rsidRPr="00563AD3">
        <w:t xml:space="preserve"> a decision</w:t>
      </w:r>
      <w:r w:rsidR="008F4B9A" w:rsidRPr="00563AD3">
        <w:t xml:space="preserve"> was made</w:t>
      </w:r>
      <w:r w:rsidR="002108C0" w:rsidRPr="00563AD3">
        <w:t xml:space="preserve"> to cease attempting to contact. </w:t>
      </w:r>
      <w:r w:rsidRPr="00563AD3">
        <w:t xml:space="preserve">Once all care homes within a </w:t>
      </w:r>
      <w:r w:rsidR="00245F9D" w:rsidRPr="00563AD3">
        <w:t>batch</w:t>
      </w:r>
      <w:r w:rsidRPr="00563AD3">
        <w:t xml:space="preserve"> </w:t>
      </w:r>
      <w:r w:rsidR="00245F9D" w:rsidRPr="00563AD3">
        <w:t>had been</w:t>
      </w:r>
      <w:r w:rsidR="00522706" w:rsidRPr="00563AD3">
        <w:t xml:space="preserve"> contacted</w:t>
      </w:r>
      <w:r w:rsidR="00EA5251" w:rsidRPr="00563AD3">
        <w:t>,</w:t>
      </w:r>
      <w:r w:rsidR="00522706" w:rsidRPr="00563AD3">
        <w:t xml:space="preserve"> or deemed uncontactable</w:t>
      </w:r>
      <w:r w:rsidR="00EA5251" w:rsidRPr="00563AD3">
        <w:t>,</w:t>
      </w:r>
      <w:r w:rsidRPr="00563AD3">
        <w:t xml:space="preserve"> the next </w:t>
      </w:r>
      <w:r w:rsidR="00245F9D" w:rsidRPr="00563AD3">
        <w:t xml:space="preserve">batch </w:t>
      </w:r>
      <w:r w:rsidR="00522706" w:rsidRPr="00563AD3">
        <w:t xml:space="preserve">was approached </w:t>
      </w:r>
      <w:r w:rsidRPr="00563AD3">
        <w:t xml:space="preserve">until sufficient homes </w:t>
      </w:r>
      <w:r w:rsidR="00522706" w:rsidRPr="00563AD3">
        <w:t>were</w:t>
      </w:r>
      <w:r w:rsidRPr="00563AD3">
        <w:t xml:space="preserve"> recruited. </w:t>
      </w:r>
    </w:p>
    <w:p w14:paraId="149E6E5F" w14:textId="65AFEB5D" w:rsidR="0081409F" w:rsidRPr="00563AD3" w:rsidRDefault="00576B84" w:rsidP="009B13F3">
      <w:pPr>
        <w:pStyle w:val="Heading4"/>
      </w:pPr>
      <w:bookmarkStart w:id="40" w:name="_Toc388367079"/>
      <w:bookmarkStart w:id="41" w:name="_Toc388367086"/>
      <w:bookmarkEnd w:id="40"/>
      <w:bookmarkEnd w:id="41"/>
      <w:r w:rsidRPr="00563AD3">
        <w:t>2.3.1.3</w:t>
      </w:r>
      <w:r w:rsidR="0081409F" w:rsidRPr="00563AD3">
        <w:t xml:space="preserve"> Dementia training audit and provision of dementia awareness training</w:t>
      </w:r>
    </w:p>
    <w:p w14:paraId="1CFCF068" w14:textId="6BFA787F" w:rsidR="0081409F" w:rsidRPr="00563AD3" w:rsidRDefault="00F37F7D" w:rsidP="009B13F3">
      <w:r w:rsidRPr="00563AD3">
        <w:t xml:space="preserve">As person-centred care is considered best practice within UK care homes </w:t>
      </w:r>
      <w:r w:rsidRPr="00563AD3">
        <w:fldChar w:fldCharType="begin"/>
      </w:r>
      <w:r w:rsidR="007301D7">
        <w:instrText xml:space="preserve"> ADDIN EN.CITE &lt;EndNote&gt;&lt;Cite&gt;&lt;Author&gt;NICE/SCIE&lt;/Author&gt;&lt;Year&gt;2006&lt;/Year&gt;&lt;RecNum&gt;1128&lt;/RecNum&gt;&lt;DisplayText&gt;&lt;style face="superscript"&gt;59&lt;/style&gt;&lt;/DisplayText&gt;&lt;record&gt;&lt;rec-number&gt;1128&lt;/rec-number&gt;&lt;foreign-keys&gt;&lt;key app="EN" db-id="wprxwptv75dtdree0t5x2ptmvadptw5fr2ww" timestamp="1301900160"&gt;1128&lt;/key&gt;&lt;/foreign-keys&gt;&lt;ref-type name="Report"&gt;27&lt;/ref-type&gt;&lt;contributors&gt;&lt;authors&gt;&lt;author&gt;NICE/SCIE,&lt;/author&gt;&lt;/authors&gt;&lt;/contributors&gt;&lt;titles&gt;&lt;title&gt;Dementia. Supporting people with dementia and their carers in health and social care. NICE clinical guideline 42&lt;/title&gt;&lt;/titles&gt;&lt;dates&gt;&lt;year&gt;2006&lt;/year&gt;&lt;/dates&gt;&lt;pub-location&gt;London&lt;/pub-location&gt;&lt;publisher&gt;British Psychological Society and Royal College of Psychiatrists&lt;/publisher&gt;&lt;urls&gt;&lt;/urls&gt;&lt;/record&gt;&lt;/Cite&gt;&lt;/EndNote&gt;</w:instrText>
      </w:r>
      <w:r w:rsidRPr="00563AD3">
        <w:fldChar w:fldCharType="separate"/>
      </w:r>
      <w:r w:rsidR="007301D7" w:rsidRPr="007301D7">
        <w:rPr>
          <w:noProof/>
          <w:vertAlign w:val="superscript"/>
        </w:rPr>
        <w:t>59</w:t>
      </w:r>
      <w:r w:rsidRPr="00563AD3">
        <w:fldChar w:fldCharType="end"/>
      </w:r>
      <w:r w:rsidRPr="00563AD3">
        <w:t xml:space="preserve"> it was expected that homes would have routinely provided staff with appropriate PCCT</w:t>
      </w:r>
      <w:r w:rsidR="00191950">
        <w:t>.</w:t>
      </w:r>
      <w:r w:rsidRPr="00563AD3">
        <w:t xml:space="preserve">  </w:t>
      </w:r>
      <w:r w:rsidRPr="00563AD3">
        <w:fldChar w:fldCharType="begin"/>
      </w:r>
      <w:r w:rsidR="007301D7">
        <w:instrText xml:space="preserve"> ADDIN EN.CITE &lt;EndNote&gt;&lt;Cite&gt;&lt;Author&gt;Care Quality Commission&lt;/Author&gt;&lt;Year&gt;2010&lt;/Year&gt;&lt;RecNum&gt;1129&lt;/RecNum&gt;&lt;DisplayText&gt;&lt;style face="superscript"&gt;72&lt;/style&gt;&lt;/DisplayText&gt;&lt;record&gt;&lt;rec-number&gt;1129&lt;/rec-number&gt;&lt;foreign-keys&gt;&lt;key app="EN" db-id="wprxwptv75dtdree0t5x2ptmvadptw5fr2ww" timestamp="1301902003"&gt;1129&lt;/key&gt;&lt;/foreign-keys&gt;&lt;ref-type name="Report"&gt;27&lt;/ref-type&gt;&lt;contributors&gt;&lt;authors&gt;&lt;author&gt;Care Quality Commission, &lt;/author&gt;&lt;/authors&gt;&lt;/contributors&gt;&lt;titles&gt;&lt;title&gt;Guidance about compliance. Essential standards of quality and safety&lt;/title&gt;&lt;/titles&gt;&lt;dates&gt;&lt;year&gt;2010&lt;/year&gt;&lt;/dates&gt;&lt;pub-location&gt;London&lt;/pub-location&gt;&lt;publisher&gt;Care Quality Commission&lt;/publisher&gt;&lt;urls&gt;&lt;/urls&gt;&lt;/record&gt;&lt;/Cite&gt;&lt;/EndNote&gt;</w:instrText>
      </w:r>
      <w:r w:rsidRPr="00563AD3">
        <w:fldChar w:fldCharType="separate"/>
      </w:r>
      <w:r w:rsidR="007301D7" w:rsidRPr="007301D7">
        <w:rPr>
          <w:noProof/>
          <w:vertAlign w:val="superscript"/>
        </w:rPr>
        <w:t>72</w:t>
      </w:r>
      <w:r w:rsidRPr="00563AD3">
        <w:fldChar w:fldCharType="end"/>
      </w:r>
      <w:r w:rsidRPr="00563AD3">
        <w:t xml:space="preserve"> </w:t>
      </w:r>
      <w:r w:rsidR="008F4B9A" w:rsidRPr="00563AD3">
        <w:t>A</w:t>
      </w:r>
      <w:r w:rsidR="0081409F" w:rsidRPr="00563AD3">
        <w:t xml:space="preserve">s </w:t>
      </w:r>
      <w:r w:rsidR="008F4B9A" w:rsidRPr="00563AD3">
        <w:t xml:space="preserve">the </w:t>
      </w:r>
      <w:r w:rsidR="0081409F" w:rsidRPr="00563AD3">
        <w:t xml:space="preserve">quality of </w:t>
      </w:r>
      <w:r w:rsidR="008F4B9A" w:rsidRPr="00563AD3">
        <w:t>PCCT</w:t>
      </w:r>
      <w:r w:rsidR="0081409F" w:rsidRPr="00563AD3">
        <w:t xml:space="preserve"> is variable across the sector in the UK, to ensure that each care home met at least minimum dementia awareness training standards, a training audit was developed by the research team</w:t>
      </w:r>
      <w:r w:rsidR="002B6E25" w:rsidRPr="00563AD3">
        <w:t xml:space="preserve"> and its content and minimum standards required in the trial are reported elsewhere</w:t>
      </w:r>
      <w:r w:rsidR="00191950">
        <w:t>.</w:t>
      </w:r>
      <w:r w:rsidR="002B6E25" w:rsidRPr="00563AD3">
        <w:t xml:space="preserve"> </w:t>
      </w:r>
      <w:r w:rsidR="002B6E25" w:rsidRPr="00563AD3">
        <w:fldChar w:fldCharType="begin"/>
      </w:r>
      <w:r w:rsidR="008C7FD1">
        <w:instrText xml:space="preserve"> ADDIN EN.CITE &lt;EndNote&gt;&lt;Cite&gt;&lt;Author&gt;Griffiths&lt;/Author&gt;&lt;Year&gt;2018&lt;/Year&gt;&lt;RecNum&gt;1852&lt;/RecNum&gt;&lt;DisplayText&gt;&lt;style face="superscript"&gt;99&lt;/style&gt;&lt;/DisplayText&gt;&lt;record&gt;&lt;rec-number&gt;1852&lt;/rec-number&gt;&lt;foreign-keys&gt;&lt;key app="EN" db-id="wprxwptv75dtdree0t5x2ptmvadptw5fr2ww" timestamp="1519403369"&gt;1852&lt;/key&gt;&lt;/foreign-keys&gt;&lt;ref-type name="Journal Article"&gt;17&lt;/ref-type&gt;&lt;contributors&gt;&lt;authors&gt;&lt;author&gt;Griffiths, A.W.&lt;/author&gt;&lt;author&gt;Creese, B.&lt;/author&gt;&lt;author&gt;Garrod, L.&lt;/author&gt;&lt;author&gt;Chenoweth, L.&lt;/author&gt;&lt;author&gt;Surr, C.&lt;/author&gt;&lt;/authors&gt;&lt;/contributors&gt;&lt;titles&gt;&lt;title&gt;The development and use of the Assessment of Dementia Awareness and Person-centred Care Training (ADAPT) tool in long-term care &lt;/title&gt;&lt;secondary-title&gt;Dementia: The international journal of social research and practice&lt;/secondary-title&gt;&lt;/titles&gt;&lt;dates&gt;&lt;year&gt;2018&lt;/year&gt;&lt;/dates&gt;&lt;urls&gt;&lt;/urls&gt;&lt;electronic-resource-num&gt;10.1177/1471301218768165&lt;/electronic-resource-num&gt;&lt;/record&gt;&lt;/Cite&gt;&lt;/EndNote&gt;</w:instrText>
      </w:r>
      <w:r w:rsidR="002B6E25" w:rsidRPr="00563AD3">
        <w:fldChar w:fldCharType="separate"/>
      </w:r>
      <w:r w:rsidR="00EC2AA2" w:rsidRPr="00EC2AA2">
        <w:rPr>
          <w:noProof/>
          <w:vertAlign w:val="superscript"/>
        </w:rPr>
        <w:t>99</w:t>
      </w:r>
      <w:r w:rsidR="002B6E25" w:rsidRPr="00563AD3">
        <w:fldChar w:fldCharType="end"/>
      </w:r>
      <w:r w:rsidR="0081409F" w:rsidRPr="00563AD3">
        <w:t xml:space="preserve"> The training audit was completed in each care home </w:t>
      </w:r>
      <w:r w:rsidR="008F4B9A" w:rsidRPr="00563AD3">
        <w:t>prior to</w:t>
      </w:r>
      <w:r w:rsidR="0081409F" w:rsidRPr="00563AD3">
        <w:t xml:space="preserve"> baseline data collection. The researcher completed this via </w:t>
      </w:r>
      <w:r w:rsidR="008F4B9A" w:rsidRPr="00563AD3">
        <w:t xml:space="preserve">review of </w:t>
      </w:r>
      <w:r w:rsidR="0081409F" w:rsidRPr="00563AD3">
        <w:t xml:space="preserve">training records and discussions with the home manager and/or other relevant staff (e.g. training lead). Where homes fell below the minimum standard they </w:t>
      </w:r>
      <w:r w:rsidR="008F4B9A" w:rsidRPr="00563AD3">
        <w:t xml:space="preserve">received </w:t>
      </w:r>
      <w:r w:rsidR="0081409F" w:rsidRPr="00563AD3">
        <w:t xml:space="preserve">a half-day dementia awareness course modified in consultation with service users, from an existing resource developed by Bupa </w:t>
      </w:r>
      <w:r w:rsidR="00AD53DD" w:rsidRPr="00563AD3">
        <w:t xml:space="preserve">Care Services </w:t>
      </w:r>
      <w:r w:rsidR="0081409F" w:rsidRPr="00563AD3">
        <w:t>and the University of Bradford</w:t>
      </w:r>
      <w:r w:rsidR="00191950">
        <w:t>.</w:t>
      </w:r>
      <w:r w:rsidR="0081409F" w:rsidRPr="00563AD3">
        <w:t xml:space="preserve"> </w:t>
      </w:r>
      <w:r w:rsidR="0081409F" w:rsidRPr="00563AD3">
        <w:fldChar w:fldCharType="begin"/>
      </w:r>
      <w:r w:rsidR="00EC2AA2">
        <w:instrText xml:space="preserve"> ADDIN EN.CITE &lt;EndNote&gt;&lt;Cite&gt;&lt;Author&gt;Bupa&lt;/Author&gt;&lt;Year&gt;2010&lt;/Year&gt;&lt;RecNum&gt;1150&lt;/RecNum&gt;&lt;DisplayText&gt;&lt;style face="superscript"&gt;100&lt;/style&gt;&lt;/DisplayText&gt;&lt;record&gt;&lt;rec-number&gt;1150&lt;/rec-number&gt;&lt;foreign-keys&gt;&lt;key app="EN" db-id="wprxwptv75dtdree0t5x2ptmvadptw5fr2ww" timestamp="1305816781"&gt;1150&lt;/key&gt;&lt;/foreign-keys&gt;&lt;ref-type name="Unpublished Work"&gt;34&lt;/ref-type&gt;&lt;contributors&gt;&lt;authors&gt;&lt;author&gt;Bupa&lt;/author&gt;&lt;/authors&gt;&lt;/contributors&gt;&lt;titles&gt;&lt;title&gt;Person First ... dementia second The Essentials Workbooks&lt;/title&gt;&lt;/titles&gt;&lt;dates&gt;&lt;year&gt;2010&lt;/year&gt;&lt;/dates&gt;&lt;pub-location&gt;Leeds&lt;/pub-location&gt;&lt;publisher&gt;Bupa&lt;/publisher&gt;&lt;urls&gt;&lt;/urls&gt;&lt;/record&gt;&lt;/Cite&gt;&lt;/EndNote&gt;</w:instrText>
      </w:r>
      <w:r w:rsidR="0081409F" w:rsidRPr="00563AD3">
        <w:fldChar w:fldCharType="separate"/>
      </w:r>
      <w:r w:rsidR="00EC2AA2" w:rsidRPr="00EC2AA2">
        <w:rPr>
          <w:noProof/>
          <w:vertAlign w:val="superscript"/>
        </w:rPr>
        <w:t>100</w:t>
      </w:r>
      <w:r w:rsidR="0081409F" w:rsidRPr="00563AD3">
        <w:fldChar w:fldCharType="end"/>
      </w:r>
      <w:r w:rsidR="0081409F" w:rsidRPr="00563AD3">
        <w:t xml:space="preserve"> The course was delivered by an experienced trainer/mentor who coached a member of the care home staff to be able to onward deliver to additional staff. Care homes were expected to deliver the training to at least 20% of permanent direct care staff </w:t>
      </w:r>
      <w:r w:rsidR="008F4B9A" w:rsidRPr="00563AD3">
        <w:t>prior to</w:t>
      </w:r>
      <w:r w:rsidR="0081409F" w:rsidRPr="00563AD3">
        <w:t xml:space="preserve"> baseline data collection an</w:t>
      </w:r>
      <w:r w:rsidR="00AD53DD" w:rsidRPr="00563AD3">
        <w:t>d to complete</w:t>
      </w:r>
      <w:r w:rsidR="0081409F" w:rsidRPr="00563AD3">
        <w:t xml:space="preserve"> paperwork detailing how many staff members received the training and when. Based on CQC data</w:t>
      </w:r>
      <w:r w:rsidR="00191950">
        <w:t>,</w:t>
      </w:r>
      <w:r w:rsidR="0081409F" w:rsidRPr="00563AD3">
        <w:t xml:space="preserve"> </w:t>
      </w:r>
      <w:r w:rsidR="0081409F" w:rsidRPr="00563AD3">
        <w:fldChar w:fldCharType="begin"/>
      </w:r>
      <w:r w:rsidR="00EC2AA2">
        <w:instrText xml:space="preserve"> ADDIN EN.CITE &lt;EndNote&gt;&lt;Cite&gt;&lt;Author&gt;Care Quality Commission&lt;/Author&gt;&lt;Year&gt;2010 &lt;/Year&gt;&lt;RecNum&gt;1190&lt;/RecNum&gt;&lt;DisplayText&gt;&lt;style face="superscript"&gt;101&lt;/style&gt;&lt;/DisplayText&gt;&lt;record&gt;&lt;rec-number&gt;1190&lt;/rec-number&gt;&lt;foreign-keys&gt;&lt;key app="EN" db-id="wprxwptv75dtdree0t5x2ptmvadptw5fr2ww" timestamp="1320940288"&gt;1190&lt;/key&gt;&lt;/foreign-keys&gt;&lt;ref-type name="Report"&gt;27&lt;/ref-type&gt;&lt;contributors&gt;&lt;authors&gt;&lt;author&gt;Care Quality Commission, &lt;/author&gt;&lt;/authors&gt;&lt;/contributors&gt;&lt;titles&gt;&lt;title&gt;The state of health care and adult social care in England. An overview of key themes in care 2009/10. &lt;/title&gt;&lt;/titles&gt;&lt;dates&gt;&lt;year&gt;2010 &lt;/year&gt;&lt;/dates&gt;&lt;pub-location&gt;London &lt;/pub-location&gt;&lt;publisher&gt;The Stationary Office&lt;/publisher&gt;&lt;urls&gt;&lt;/urls&gt;&lt;/record&gt;&lt;/Cite&gt;&lt;/EndNote&gt;</w:instrText>
      </w:r>
      <w:r w:rsidR="0081409F" w:rsidRPr="00563AD3">
        <w:fldChar w:fldCharType="separate"/>
      </w:r>
      <w:r w:rsidR="00EC2AA2" w:rsidRPr="00EC2AA2">
        <w:rPr>
          <w:noProof/>
          <w:vertAlign w:val="superscript"/>
        </w:rPr>
        <w:t>101</w:t>
      </w:r>
      <w:r w:rsidR="0081409F" w:rsidRPr="00563AD3">
        <w:fldChar w:fldCharType="end"/>
      </w:r>
      <w:r w:rsidR="0081409F" w:rsidRPr="00563AD3">
        <w:t xml:space="preserve"> we expected up to 20% of homes to require this dementia awareness package.</w:t>
      </w:r>
    </w:p>
    <w:p w14:paraId="6B24AD94" w14:textId="693A7286" w:rsidR="003E78EF" w:rsidRPr="00563AD3" w:rsidRDefault="003E78EF" w:rsidP="009B13F3">
      <w:pPr>
        <w:pStyle w:val="Heading3"/>
        <w:rPr>
          <w:rStyle w:val="Heading1Char"/>
          <w:rFonts w:eastAsiaTheme="minorEastAsia"/>
          <w:b/>
          <w:color w:val="auto"/>
          <w:sz w:val="22"/>
          <w:szCs w:val="22"/>
          <w:shd w:val="clear" w:color="auto" w:fill="auto"/>
        </w:rPr>
      </w:pPr>
      <w:bookmarkStart w:id="42" w:name="_Toc455576268"/>
      <w:bookmarkStart w:id="43" w:name="_Toc525543959"/>
      <w:r w:rsidRPr="00563AD3">
        <w:rPr>
          <w:rStyle w:val="Heading1Char"/>
          <w:rFonts w:eastAsiaTheme="minorEastAsia"/>
          <w:b/>
          <w:color w:val="auto"/>
          <w:sz w:val="22"/>
          <w:szCs w:val="22"/>
          <w:shd w:val="clear" w:color="auto" w:fill="auto"/>
        </w:rPr>
        <w:t>2.3.2 Resident eligibility, recruitment and consent</w:t>
      </w:r>
      <w:bookmarkEnd w:id="42"/>
      <w:bookmarkEnd w:id="43"/>
    </w:p>
    <w:p w14:paraId="7529757A" w14:textId="151AAE81" w:rsidR="003E78EF" w:rsidRPr="00563AD3" w:rsidRDefault="0029266B" w:rsidP="009B13F3">
      <w:pPr>
        <w:rPr>
          <w:rFonts w:eastAsiaTheme="majorEastAsia"/>
        </w:rPr>
      </w:pPr>
      <w:r w:rsidRPr="00563AD3">
        <w:rPr>
          <w:rFonts w:eastAsiaTheme="majorEastAsia"/>
        </w:rPr>
        <w:t>Residents were</w:t>
      </w:r>
      <w:r w:rsidR="003E78EF" w:rsidRPr="00563AD3">
        <w:rPr>
          <w:rFonts w:eastAsiaTheme="majorEastAsia"/>
        </w:rPr>
        <w:t xml:space="preserve"> recruited to the trial at baseline</w:t>
      </w:r>
      <w:r w:rsidR="0025325A" w:rsidRPr="00563AD3">
        <w:rPr>
          <w:rFonts w:eastAsiaTheme="majorEastAsia"/>
        </w:rPr>
        <w:t>, prior to care home randomisation</w:t>
      </w:r>
      <w:r w:rsidR="003E78EF" w:rsidRPr="00563AD3">
        <w:rPr>
          <w:rFonts w:eastAsiaTheme="majorEastAsia"/>
        </w:rPr>
        <w:t xml:space="preserve">. </w:t>
      </w:r>
      <w:r w:rsidR="000753D2" w:rsidRPr="00563AD3">
        <w:rPr>
          <w:rFonts w:eastAsiaTheme="majorEastAsia"/>
        </w:rPr>
        <w:t xml:space="preserve">Further residents were recruited at 16-months following a design change to the study, due to larger than anticipated loss to follow-up (see </w:t>
      </w:r>
      <w:r w:rsidR="000753D2" w:rsidRPr="00191950">
        <w:rPr>
          <w:rFonts w:eastAsiaTheme="majorEastAsia"/>
          <w:i/>
        </w:rPr>
        <w:t>section 2.1</w:t>
      </w:r>
      <w:r w:rsidR="00576A74" w:rsidRPr="00191950">
        <w:rPr>
          <w:rFonts w:eastAsiaTheme="majorEastAsia"/>
          <w:i/>
        </w:rPr>
        <w:t>0</w:t>
      </w:r>
      <w:r w:rsidR="000753D2" w:rsidRPr="00191950">
        <w:rPr>
          <w:rFonts w:eastAsiaTheme="majorEastAsia"/>
          <w:i/>
        </w:rPr>
        <w:t>.2</w:t>
      </w:r>
      <w:r w:rsidR="000753D2" w:rsidRPr="00563AD3">
        <w:rPr>
          <w:rFonts w:eastAsiaTheme="majorEastAsia"/>
        </w:rPr>
        <w:t>).</w:t>
      </w:r>
    </w:p>
    <w:p w14:paraId="528CC361" w14:textId="659216A7" w:rsidR="003E78EF" w:rsidRPr="00563AD3" w:rsidRDefault="003E78EF" w:rsidP="009B13F3">
      <w:pPr>
        <w:pStyle w:val="Heading4"/>
      </w:pPr>
      <w:bookmarkStart w:id="44" w:name="_Toc455576269"/>
      <w:r w:rsidRPr="00563AD3">
        <w:t xml:space="preserve">2.3.2.1 Resident eligibility </w:t>
      </w:r>
      <w:bookmarkEnd w:id="44"/>
    </w:p>
    <w:p w14:paraId="31A4947B" w14:textId="6351EF30" w:rsidR="003E78EF" w:rsidRPr="00563AD3" w:rsidRDefault="00245F9D" w:rsidP="009B13F3">
      <w:pPr>
        <w:rPr>
          <w:rFonts w:eastAsiaTheme="majorEastAsia"/>
        </w:rPr>
      </w:pPr>
      <w:r w:rsidRPr="00563AD3">
        <w:t>At baseline r</w:t>
      </w:r>
      <w:r w:rsidR="003E78EF" w:rsidRPr="00563AD3">
        <w:t xml:space="preserve">esidents </w:t>
      </w:r>
      <w:r w:rsidR="00E73ABF" w:rsidRPr="00563AD3">
        <w:rPr>
          <w:u w:val="single"/>
        </w:rPr>
        <w:t>were</w:t>
      </w:r>
      <w:r w:rsidR="003E78EF" w:rsidRPr="00563AD3">
        <w:t xml:space="preserve"> eligible</w:t>
      </w:r>
      <w:r w:rsidR="0025468F" w:rsidRPr="00563AD3">
        <w:t xml:space="preserve"> for the trial</w:t>
      </w:r>
      <w:r w:rsidR="008E3A32" w:rsidRPr="00563AD3">
        <w:t xml:space="preserve"> if they</w:t>
      </w:r>
      <w:r w:rsidR="003E78EF" w:rsidRPr="00563AD3">
        <w:t>:</w:t>
      </w:r>
    </w:p>
    <w:p w14:paraId="11E1130B" w14:textId="5951EC5D" w:rsidR="003E78EF" w:rsidRPr="00563AD3" w:rsidRDefault="008E3A32" w:rsidP="009B13F3">
      <w:pPr>
        <w:pStyle w:val="ListParagraph"/>
        <w:widowControl w:val="0"/>
        <w:numPr>
          <w:ilvl w:val="0"/>
          <w:numId w:val="6"/>
        </w:numPr>
        <w:autoSpaceDE/>
        <w:autoSpaceDN/>
        <w:adjustRightInd/>
        <w:spacing w:after="0"/>
        <w:rPr>
          <w:rFonts w:eastAsiaTheme="majorEastAsia"/>
        </w:rPr>
      </w:pPr>
      <w:r w:rsidRPr="00563AD3">
        <w:t>Were</w:t>
      </w:r>
      <w:r w:rsidR="003E78EF" w:rsidRPr="00563AD3">
        <w:t xml:space="preserve"> a permanent resident in the care home and not present for receipt of respite or day-care;</w:t>
      </w:r>
    </w:p>
    <w:p w14:paraId="02A4571B" w14:textId="54592FD6" w:rsidR="003E78EF" w:rsidRPr="00563AD3" w:rsidRDefault="003E78EF" w:rsidP="009B13F3">
      <w:pPr>
        <w:pStyle w:val="ListParagraph"/>
        <w:widowControl w:val="0"/>
        <w:numPr>
          <w:ilvl w:val="0"/>
          <w:numId w:val="6"/>
        </w:numPr>
        <w:autoSpaceDE/>
        <w:autoSpaceDN/>
        <w:adjustRightInd/>
        <w:spacing w:after="0"/>
        <w:rPr>
          <w:rFonts w:eastAsiaTheme="majorEastAsia"/>
        </w:rPr>
      </w:pPr>
      <w:r w:rsidRPr="00563AD3">
        <w:t>Ha</w:t>
      </w:r>
      <w:r w:rsidR="008E3A32" w:rsidRPr="00563AD3">
        <w:t>d</w:t>
      </w:r>
      <w:r w:rsidRPr="00563AD3">
        <w:t xml:space="preserve"> a formal diagnosis of dementia or </w:t>
      </w:r>
      <w:r w:rsidR="008E3A32" w:rsidRPr="00563AD3">
        <w:t xml:space="preserve">a </w:t>
      </w:r>
      <w:r w:rsidRPr="00563AD3">
        <w:t xml:space="preserve">score </w:t>
      </w:r>
      <w:r w:rsidR="008E3A32" w:rsidRPr="00563AD3">
        <w:t xml:space="preserve">of </w:t>
      </w:r>
      <w:r w:rsidRPr="00563AD3">
        <w:t>4</w:t>
      </w:r>
      <w:r w:rsidR="008556A1" w:rsidRPr="00563AD3">
        <w:t xml:space="preserve"> or higher</w:t>
      </w:r>
      <w:r w:rsidRPr="00563AD3">
        <w:t xml:space="preserve"> on </w:t>
      </w:r>
      <w:r w:rsidR="008E3A32" w:rsidRPr="00563AD3">
        <w:t xml:space="preserve">the </w:t>
      </w:r>
      <w:r w:rsidR="00342465" w:rsidRPr="00563AD3">
        <w:t>Functional Assessment Staging of Alzheimer’s Disease (</w:t>
      </w:r>
      <w:r w:rsidRPr="00563AD3">
        <w:t>FAST</w:t>
      </w:r>
      <w:r w:rsidR="00342465" w:rsidRPr="00563AD3">
        <w:t>)</w:t>
      </w:r>
      <w:r w:rsidRPr="00563AD3">
        <w:t xml:space="preserve"> </w:t>
      </w:r>
      <w:r w:rsidRPr="00563AD3">
        <w:fldChar w:fldCharType="begin"/>
      </w:r>
      <w:r w:rsidR="008C7FD1">
        <w:instrText xml:space="preserve"> ADDIN EN.CITE &lt;EndNote&gt;&lt;Cite&gt;&lt;Author&gt;Reisberg&lt;/Author&gt;&lt;Year&gt;1988&lt;/Year&gt;&lt;RecNum&gt;1195&lt;/RecNum&gt;&lt;DisplayText&gt;&lt;style face="superscript"&gt;102&lt;/style&gt;&lt;/DisplayText&gt;&lt;record&gt;&lt;rec-number&gt;1195&lt;/rec-number&gt;&lt;foreign-keys&gt;&lt;key app="EN" db-id="wprxwptv75dtdree0t5x2ptmvadptw5fr2ww" timestamp="1320951591"&gt;1195&lt;/key&gt;&lt;/foreign-keys&gt;&lt;ref-type name="Journal Article"&gt;17&lt;/ref-type&gt;&lt;contributors&gt;&lt;authors&gt;&lt;author&gt;Reisberg, B.&lt;/author&gt;&lt;/authors&gt;&lt;/contributors&gt;&lt;titles&gt;&lt;title&gt;Functional assessment staging (FAST)&lt;/title&gt;&lt;secondary-title&gt;Psychopharmacology Bulletin&lt;/secondary-title&gt;&lt;/titles&gt;&lt;periodical&gt;&lt;full-title&gt;Psychopharmacology Bulletin&lt;/full-title&gt;&lt;abbr-1&gt;Psychopharmacol. Bull.&lt;/abbr-1&gt;&lt;abbr-2&gt;Psychopharmacol Bull&lt;/abbr-2&gt;&lt;/periodical&gt;&lt;pages&gt;653-59&lt;/pages&gt;&lt;volume&gt;24&lt;/volume&gt;&lt;dates&gt;&lt;year&gt;1988&lt;/year&gt;&lt;/dates&gt;&lt;urls&gt;&lt;/urls&gt;&lt;/record&gt;&lt;/Cite&gt;&lt;/EndNote&gt;</w:instrText>
      </w:r>
      <w:r w:rsidRPr="00563AD3">
        <w:fldChar w:fldCharType="separate"/>
      </w:r>
      <w:r w:rsidR="00EC2AA2" w:rsidRPr="00EC2AA2">
        <w:rPr>
          <w:noProof/>
          <w:vertAlign w:val="superscript"/>
        </w:rPr>
        <w:t>102</w:t>
      </w:r>
      <w:r w:rsidRPr="00563AD3">
        <w:fldChar w:fldCharType="end"/>
      </w:r>
      <w:r w:rsidRPr="00563AD3">
        <w:t xml:space="preserve"> </w:t>
      </w:r>
      <w:r w:rsidR="008556A1" w:rsidRPr="00563AD3">
        <w:t xml:space="preserve">(indicating mild to severe dementia) </w:t>
      </w:r>
      <w:r w:rsidR="008E3A32" w:rsidRPr="00563AD3">
        <w:t xml:space="preserve">as </w:t>
      </w:r>
      <w:r w:rsidRPr="00563AD3">
        <w:t>rated by the home manager or another experienced member of staff;</w:t>
      </w:r>
    </w:p>
    <w:p w14:paraId="75AE4C92" w14:textId="0DE5FD2B" w:rsidR="003E78EF" w:rsidRPr="00563AD3" w:rsidRDefault="008E3A32" w:rsidP="009B13F3">
      <w:pPr>
        <w:numPr>
          <w:ilvl w:val="0"/>
          <w:numId w:val="6"/>
        </w:numPr>
        <w:spacing w:after="200"/>
        <w:contextualSpacing/>
      </w:pPr>
      <w:r w:rsidRPr="00563AD3">
        <w:t>Were</w:t>
      </w:r>
      <w:r w:rsidR="003E78EF" w:rsidRPr="00563AD3">
        <w:t xml:space="preserve"> appropriately consented (in accordance with Mental Capacity Act</w:t>
      </w:r>
      <w:r w:rsidR="00342465" w:rsidRPr="00563AD3">
        <w:t xml:space="preserve"> 2005</w:t>
      </w:r>
      <w:r w:rsidR="003E78EF" w:rsidRPr="00563AD3">
        <w:t xml:space="preserve"> </w:t>
      </w:r>
      <w:r w:rsidR="003E78EF" w:rsidRPr="00563AD3">
        <w:fldChar w:fldCharType="begin"/>
      </w:r>
      <w:r w:rsidR="00EC2AA2">
        <w:instrText xml:space="preserve"> ADDIN EN.CITE &lt;EndNote&gt;&lt;Cite&gt;&lt;Year&gt;2005&lt;/Year&gt;&lt;RecNum&gt;1058&lt;/RecNum&gt;&lt;DisplayText&gt;&lt;style face="superscript"&gt;103&lt;/style&gt;&lt;/DisplayText&gt;&lt;record&gt;&lt;rec-number&gt;1058&lt;/rec-number&gt;&lt;foreign-keys&gt;&lt;key app="EN" db-id="wprxwptv75dtdree0t5x2ptmvadptw5fr2ww" timestamp="1269348634"&gt;1058&lt;/key&gt;&lt;/foreign-keys&gt;&lt;ref-type name="Statute"&gt;31&lt;/ref-type&gt;&lt;contributors&gt;&lt;/contributors&gt;&lt;titles&gt;&lt;title&gt;Mental Capacity Act&lt;/title&gt;&lt;secondary-title&gt;c.9&lt;/secondary-title&gt;&lt;/titles&gt;&lt;dates&gt;&lt;year&gt;2005&lt;/year&gt;&lt;/dates&gt;&lt;urls&gt;&lt;related-urls&gt;&lt;url&gt;http://www.opsi.gov.uk/ACTS/acts2005/ukpga_20050009_en_1&lt;/url&gt;&lt;/related-urls&gt;&lt;/urls&gt;&lt;/record&gt;&lt;/Cite&gt;&lt;/EndNote&gt;</w:instrText>
      </w:r>
      <w:r w:rsidR="003E78EF" w:rsidRPr="00563AD3">
        <w:fldChar w:fldCharType="separate"/>
      </w:r>
      <w:r w:rsidR="00EC2AA2" w:rsidRPr="00EC2AA2">
        <w:rPr>
          <w:noProof/>
          <w:vertAlign w:val="superscript"/>
        </w:rPr>
        <w:t>103</w:t>
      </w:r>
      <w:r w:rsidR="003E78EF" w:rsidRPr="00563AD3">
        <w:fldChar w:fldCharType="end"/>
      </w:r>
      <w:r w:rsidR="003E78EF" w:rsidRPr="00563AD3">
        <w:t xml:space="preserve"> and clinical trials guidance on informed consent </w:t>
      </w:r>
      <w:r w:rsidR="003E78EF" w:rsidRPr="00563AD3">
        <w:fldChar w:fldCharType="begin"/>
      </w:r>
      <w:r w:rsidR="00A126E7">
        <w:instrText xml:space="preserve"> ADDIN EN.CITE &lt;EndNote&gt;&lt;Cite&gt;&lt;Author&gt;Medical Research Council&lt;/Author&gt;&lt;Year&gt;1998&lt;/Year&gt;&lt;RecNum&gt;1191&lt;/RecNum&gt;&lt;DisplayText&gt;&lt;style face="superscript"&gt;104, 105&lt;/style&gt;&lt;/DisplayText&gt;&lt;record&gt;&lt;rec-number&gt;1191&lt;/rec-number&gt;&lt;foreign-keys&gt;&lt;key app="EN" db-id="wprxwptv75dtdree0t5x2ptmvadptw5fr2ww" timestamp="1320941019"&gt;1191&lt;/key&gt;&lt;/foreign-keys&gt;&lt;ref-type name="Report"&gt;27&lt;/ref-type&gt;&lt;contributors&gt;&lt;authors&gt;&lt;author&gt;Medical Research Council,&lt;/author&gt;&lt;/authors&gt;&lt;/contributors&gt;&lt;titles&gt;&lt;title&gt;MRC guidelines for good clinical practice in clinical trials&lt;/title&gt;&lt;/titles&gt;&lt;dates&gt;&lt;year&gt;1998&lt;/year&gt;&lt;/dates&gt;&lt;pub-location&gt;London&lt;/pub-location&gt;&lt;publisher&gt;Medical Research Council&lt;/publisher&gt;&lt;urls&gt;&lt;/urls&gt;&lt;/record&gt;&lt;/Cite&gt;&lt;Cite&gt;&lt;Author&gt;Department of Health&lt;/Author&gt;&lt;Year&gt;2008&lt;/Year&gt;&lt;RecNum&gt;1193&lt;/RecNum&gt;&lt;record&gt;&lt;rec-number&gt;1193&lt;/rec-number&gt;&lt;foreign-keys&gt;&lt;key app="EN" db-id="wprxwptv75dtdree0t5x2ptmvadptw5fr2ww" timestamp="1320941690"&gt;1193&lt;/key&gt;&lt;/foreign-keys&gt;&lt;ref-type name="Report"&gt;27&lt;/ref-type&gt;&lt;contributors&gt;&lt;authors&gt;&lt;author&gt;Department of Health,&lt;/author&gt;&lt;author&gt;Welsh Assembly Government,&lt;/author&gt;&lt;/authors&gt;&lt;/contributors&gt;&lt;titles&gt;&lt;title&gt;Guidance on nominating a consultee for research involving adults who lack capacity to consent&lt;/title&gt;&lt;/titles&gt;&lt;dates&gt;&lt;year&gt;2008&lt;/year&gt;&lt;/dates&gt;&lt;pub-location&gt;London:&lt;/pub-location&gt;&lt;publisher&gt;Department of Health&lt;/publisher&gt;&lt;urls&gt;&lt;/urls&gt;&lt;/record&gt;&lt;/Cite&gt;&lt;/EndNote&gt;</w:instrText>
      </w:r>
      <w:r w:rsidR="003E78EF" w:rsidRPr="00563AD3">
        <w:fldChar w:fldCharType="separate"/>
      </w:r>
      <w:r w:rsidR="00A126E7" w:rsidRPr="00A126E7">
        <w:rPr>
          <w:noProof/>
          <w:vertAlign w:val="superscript"/>
        </w:rPr>
        <w:t>104, 105</w:t>
      </w:r>
      <w:r w:rsidR="003E78EF" w:rsidRPr="00563AD3">
        <w:fldChar w:fldCharType="end"/>
      </w:r>
      <w:r w:rsidR="003E78EF" w:rsidRPr="00563AD3">
        <w:t>);</w:t>
      </w:r>
    </w:p>
    <w:p w14:paraId="3ABC6BDC" w14:textId="499B3941" w:rsidR="003E78EF" w:rsidRPr="00563AD3" w:rsidRDefault="008E3A32" w:rsidP="009B13F3">
      <w:pPr>
        <w:numPr>
          <w:ilvl w:val="0"/>
          <w:numId w:val="6"/>
        </w:numPr>
        <w:spacing w:after="200"/>
        <w:contextualSpacing/>
      </w:pPr>
      <w:r w:rsidRPr="00563AD3">
        <w:t>Had</w:t>
      </w:r>
      <w:r w:rsidR="003E78EF" w:rsidRPr="00563AD3">
        <w:t xml:space="preserve"> an allocated member of staff willing to provide proxy data;</w:t>
      </w:r>
    </w:p>
    <w:p w14:paraId="6982BA33" w14:textId="1D7F979A" w:rsidR="003E78EF" w:rsidRPr="00563AD3" w:rsidRDefault="008E3A32" w:rsidP="009B13F3">
      <w:pPr>
        <w:numPr>
          <w:ilvl w:val="0"/>
          <w:numId w:val="6"/>
        </w:numPr>
        <w:spacing w:after="0"/>
        <w:ind w:left="714" w:hanging="357"/>
        <w:contextualSpacing/>
        <w:rPr>
          <w:sz w:val="20"/>
        </w:rPr>
      </w:pPr>
      <w:r w:rsidRPr="00563AD3">
        <w:rPr>
          <w:szCs w:val="24"/>
          <w:lang w:val="en-US"/>
        </w:rPr>
        <w:t>Had</w:t>
      </w:r>
      <w:r w:rsidR="003E78EF" w:rsidRPr="00563AD3">
        <w:rPr>
          <w:szCs w:val="24"/>
          <w:lang w:val="en-US"/>
        </w:rPr>
        <w:t xml:space="preserve"> sufficient proficiency in English to contribute to the data collection required for the research.</w:t>
      </w:r>
    </w:p>
    <w:p w14:paraId="76BD2E9E" w14:textId="4F90BAC1" w:rsidR="003E78EF" w:rsidRPr="00563AD3" w:rsidRDefault="00245F9D" w:rsidP="009B13F3">
      <w:r w:rsidRPr="00563AD3">
        <w:t>At baseline r</w:t>
      </w:r>
      <w:r w:rsidR="003E78EF" w:rsidRPr="00563AD3">
        <w:t xml:space="preserve">esidents </w:t>
      </w:r>
      <w:r w:rsidR="0025468F" w:rsidRPr="00563AD3">
        <w:t xml:space="preserve">were </w:t>
      </w:r>
      <w:r w:rsidR="0025468F" w:rsidRPr="00563AD3">
        <w:rPr>
          <w:u w:val="single"/>
        </w:rPr>
        <w:t>not</w:t>
      </w:r>
      <w:r w:rsidR="003E78EF" w:rsidRPr="00563AD3">
        <w:t xml:space="preserve"> eligible for </w:t>
      </w:r>
      <w:r w:rsidR="0025468F" w:rsidRPr="00563AD3">
        <w:t>the</w:t>
      </w:r>
      <w:r w:rsidR="003E78EF" w:rsidRPr="00563AD3">
        <w:t xml:space="preserve"> trial</w:t>
      </w:r>
      <w:r w:rsidR="008E3A32" w:rsidRPr="00563AD3">
        <w:t xml:space="preserve"> if</w:t>
      </w:r>
      <w:r w:rsidR="003E78EF" w:rsidRPr="00563AD3">
        <w:t>:</w:t>
      </w:r>
    </w:p>
    <w:p w14:paraId="52B2609A" w14:textId="505BED8D" w:rsidR="003E78EF" w:rsidRPr="00563AD3" w:rsidRDefault="0025468F" w:rsidP="009B13F3">
      <w:pPr>
        <w:pStyle w:val="ListParagraph"/>
        <w:ind w:left="709" w:hanging="425"/>
      </w:pPr>
      <w:r w:rsidRPr="00563AD3">
        <w:rPr>
          <w:rFonts w:eastAsiaTheme="majorEastAsia"/>
        </w:rPr>
        <w:t xml:space="preserve">1) </w:t>
      </w:r>
      <w:r w:rsidRPr="00563AD3">
        <w:rPr>
          <w:rFonts w:eastAsiaTheme="majorEastAsia"/>
        </w:rPr>
        <w:tab/>
      </w:r>
      <w:r w:rsidR="008E3A32" w:rsidRPr="00563AD3">
        <w:rPr>
          <w:rFonts w:eastAsiaTheme="majorEastAsia"/>
        </w:rPr>
        <w:t>They were</w:t>
      </w:r>
      <w:r w:rsidR="003E78EF" w:rsidRPr="00563AD3">
        <w:rPr>
          <w:rFonts w:eastAsiaTheme="majorEastAsia"/>
        </w:rPr>
        <w:t xml:space="preserve"> known by the care home manager and/or relevant senior staff member to b</w:t>
      </w:r>
      <w:r w:rsidR="003E78EF" w:rsidRPr="00563AD3">
        <w:t>e terminally ill, e.g. formally admitted to an end of life care pathway;</w:t>
      </w:r>
    </w:p>
    <w:p w14:paraId="2030E1DE" w14:textId="138DC3F7" w:rsidR="003E78EF" w:rsidRPr="00563AD3" w:rsidRDefault="0025468F" w:rsidP="009B13F3">
      <w:pPr>
        <w:pStyle w:val="ListParagraph"/>
        <w:ind w:left="284"/>
      </w:pPr>
      <w:r w:rsidRPr="00563AD3">
        <w:t xml:space="preserve">2) </w:t>
      </w:r>
      <w:r w:rsidRPr="00563AD3">
        <w:tab/>
      </w:r>
      <w:r w:rsidR="008E3A32" w:rsidRPr="00563AD3">
        <w:t>They were</w:t>
      </w:r>
      <w:r w:rsidR="003E78EF" w:rsidRPr="00563AD3">
        <w:t xml:space="preserve"> permanently bed-bound/cared for in bed</w:t>
      </w:r>
      <w:r w:rsidR="008E3A32" w:rsidRPr="00563AD3">
        <w:t>;</w:t>
      </w:r>
    </w:p>
    <w:p w14:paraId="0E55C709" w14:textId="0145E249" w:rsidR="003E78EF" w:rsidRPr="00563AD3" w:rsidRDefault="0025468F" w:rsidP="009B13F3">
      <w:pPr>
        <w:pStyle w:val="ListParagraph"/>
        <w:ind w:left="709" w:hanging="425"/>
        <w:rPr>
          <w:rFonts w:eastAsiaTheme="majorEastAsia"/>
        </w:rPr>
      </w:pPr>
      <w:r w:rsidRPr="00563AD3">
        <w:rPr>
          <w:rFonts w:eastAsiaTheme="majorEastAsia"/>
        </w:rPr>
        <w:t>3</w:t>
      </w:r>
      <w:r w:rsidR="003E78EF" w:rsidRPr="00563AD3">
        <w:rPr>
          <w:rFonts w:eastAsiaTheme="majorEastAsia"/>
        </w:rPr>
        <w:t xml:space="preserve">) </w:t>
      </w:r>
      <w:r w:rsidR="003E78EF" w:rsidRPr="00563AD3">
        <w:rPr>
          <w:rFonts w:eastAsiaTheme="majorEastAsia"/>
        </w:rPr>
        <w:tab/>
      </w:r>
      <w:r w:rsidR="008E3A32" w:rsidRPr="00563AD3">
        <w:rPr>
          <w:rFonts w:eastAsiaTheme="majorEastAsia"/>
        </w:rPr>
        <w:t xml:space="preserve">They were currently </w:t>
      </w:r>
      <w:r w:rsidR="00245F9D" w:rsidRPr="00563AD3">
        <w:rPr>
          <w:rFonts w:eastAsiaTheme="majorEastAsia"/>
        </w:rPr>
        <w:t xml:space="preserve">in, </w:t>
      </w:r>
      <w:r w:rsidR="008E3A32" w:rsidRPr="00563AD3">
        <w:rPr>
          <w:rFonts w:eastAsiaTheme="majorEastAsia"/>
        </w:rPr>
        <w:t>or had</w:t>
      </w:r>
      <w:r w:rsidR="003E78EF" w:rsidRPr="00563AD3">
        <w:rPr>
          <w:rFonts w:eastAsiaTheme="majorEastAsia"/>
        </w:rPr>
        <w:t xml:space="preserve"> recently taken part in, or </w:t>
      </w:r>
      <w:r w:rsidR="008E3A32" w:rsidRPr="00563AD3">
        <w:rPr>
          <w:rFonts w:eastAsiaTheme="majorEastAsia"/>
        </w:rPr>
        <w:t>were</w:t>
      </w:r>
      <w:r w:rsidR="003E78EF" w:rsidRPr="00563AD3">
        <w:rPr>
          <w:rFonts w:eastAsiaTheme="majorEastAsia"/>
        </w:rPr>
        <w:t xml:space="preserve"> planning to take part in</w:t>
      </w:r>
      <w:r w:rsidR="00AE119B" w:rsidRPr="00563AD3">
        <w:rPr>
          <w:rFonts w:eastAsiaTheme="majorEastAsia"/>
        </w:rPr>
        <w:t>,</w:t>
      </w:r>
      <w:r w:rsidR="003E78EF" w:rsidRPr="00563AD3">
        <w:rPr>
          <w:rFonts w:eastAsiaTheme="majorEastAsia"/>
        </w:rPr>
        <w:t xml:space="preserve"> another trial that conflict</w:t>
      </w:r>
      <w:r w:rsidR="00AE119B" w:rsidRPr="00563AD3">
        <w:rPr>
          <w:rFonts w:eastAsiaTheme="majorEastAsia"/>
        </w:rPr>
        <w:t>ed</w:t>
      </w:r>
      <w:r w:rsidR="003E78EF" w:rsidRPr="00563AD3">
        <w:rPr>
          <w:rFonts w:eastAsiaTheme="majorEastAsia"/>
        </w:rPr>
        <w:t xml:space="preserve"> with </w:t>
      </w:r>
      <w:r w:rsidR="00A61329" w:rsidRPr="00563AD3">
        <w:rPr>
          <w:rFonts w:eastAsiaTheme="majorEastAsia"/>
        </w:rPr>
        <w:t>DCM™</w:t>
      </w:r>
      <w:r w:rsidR="008E3A32" w:rsidRPr="00563AD3">
        <w:rPr>
          <w:rFonts w:eastAsiaTheme="majorEastAsia"/>
        </w:rPr>
        <w:t xml:space="preserve"> or with the data collected</w:t>
      </w:r>
      <w:r w:rsidR="003E78EF" w:rsidRPr="00563AD3">
        <w:rPr>
          <w:rFonts w:eastAsiaTheme="majorEastAsia"/>
        </w:rPr>
        <w:t xml:space="preserve"> </w:t>
      </w:r>
      <w:r w:rsidR="008E3A32" w:rsidRPr="00563AD3">
        <w:rPr>
          <w:rFonts w:eastAsiaTheme="majorEastAsia"/>
        </w:rPr>
        <w:t>in the trial</w:t>
      </w:r>
      <w:r w:rsidR="003E78EF" w:rsidRPr="00563AD3">
        <w:rPr>
          <w:rFonts w:eastAsiaTheme="majorEastAsia"/>
        </w:rPr>
        <w:t>.</w:t>
      </w:r>
    </w:p>
    <w:p w14:paraId="2066EBE1" w14:textId="4C7D1CD6" w:rsidR="003E78EF" w:rsidRPr="00563AD3" w:rsidRDefault="003E78EF" w:rsidP="009B13F3">
      <w:pPr>
        <w:pStyle w:val="Heading4"/>
      </w:pPr>
      <w:bookmarkStart w:id="45" w:name="_Toc455576271"/>
      <w:r w:rsidRPr="00563AD3">
        <w:t xml:space="preserve">2.3.2.3 Resident </w:t>
      </w:r>
      <w:r w:rsidR="00C14DCC" w:rsidRPr="00563AD3">
        <w:t>screening</w:t>
      </w:r>
      <w:r w:rsidRPr="00563AD3">
        <w:t xml:space="preserve"> </w:t>
      </w:r>
      <w:bookmarkEnd w:id="45"/>
    </w:p>
    <w:p w14:paraId="565E2E65" w14:textId="1299144E" w:rsidR="003E78EF" w:rsidRPr="00563AD3" w:rsidRDefault="008E3A32" w:rsidP="009B13F3">
      <w:r w:rsidRPr="00563AD3">
        <w:t>T</w:t>
      </w:r>
      <w:r w:rsidR="003E78EF" w:rsidRPr="00563AD3">
        <w:t xml:space="preserve">he </w:t>
      </w:r>
      <w:r w:rsidRPr="00563AD3">
        <w:t xml:space="preserve">researcher with the </w:t>
      </w:r>
      <w:r w:rsidR="003E78EF" w:rsidRPr="00563AD3">
        <w:t xml:space="preserve">care home manager and/or </w:t>
      </w:r>
      <w:r w:rsidR="0025468F" w:rsidRPr="00563AD3">
        <w:t xml:space="preserve">a </w:t>
      </w:r>
      <w:r w:rsidR="003E78EF" w:rsidRPr="00563AD3">
        <w:t xml:space="preserve">relevant </w:t>
      </w:r>
      <w:r w:rsidR="0025468F" w:rsidRPr="00563AD3">
        <w:t xml:space="preserve">member of </w:t>
      </w:r>
      <w:r w:rsidR="003E78EF" w:rsidRPr="00563AD3">
        <w:t>senior staff</w:t>
      </w:r>
      <w:r w:rsidR="00245F9D" w:rsidRPr="00563AD3">
        <w:t>,</w:t>
      </w:r>
      <w:r w:rsidR="003E78EF" w:rsidRPr="00563AD3">
        <w:t xml:space="preserve"> </w:t>
      </w:r>
      <w:r w:rsidR="00EA5251" w:rsidRPr="00563AD3">
        <w:t>screened all care home residents to identify</w:t>
      </w:r>
      <w:r w:rsidR="003E78EF" w:rsidRPr="00563AD3">
        <w:t xml:space="preserve"> eligible </w:t>
      </w:r>
      <w:r w:rsidR="008556A1" w:rsidRPr="00563AD3">
        <w:t>people with dementia</w:t>
      </w:r>
      <w:r w:rsidR="003E78EF" w:rsidRPr="00563AD3">
        <w:t xml:space="preserve"> to be approached to take part in the trial. </w:t>
      </w:r>
      <w:r w:rsidR="00EA5251" w:rsidRPr="00563AD3">
        <w:t>The b</w:t>
      </w:r>
      <w:r w:rsidR="0025468F" w:rsidRPr="00563AD3">
        <w:t>asic demographics</w:t>
      </w:r>
      <w:r w:rsidR="000D7658" w:rsidRPr="00563AD3">
        <w:t xml:space="preserve"> of all residents</w:t>
      </w:r>
      <w:r w:rsidR="0025468F" w:rsidRPr="00563AD3">
        <w:t xml:space="preserve"> and </w:t>
      </w:r>
      <w:r w:rsidR="00EA5251" w:rsidRPr="00563AD3">
        <w:t xml:space="preserve">their </w:t>
      </w:r>
      <w:r w:rsidR="0025468F" w:rsidRPr="00563AD3">
        <w:t xml:space="preserve">eligibility or reasons for ineligibility </w:t>
      </w:r>
      <w:r w:rsidRPr="00563AD3">
        <w:t xml:space="preserve">at screening </w:t>
      </w:r>
      <w:r w:rsidR="00EA5251" w:rsidRPr="00563AD3">
        <w:t>were recorded, using only the screening number,</w:t>
      </w:r>
    </w:p>
    <w:p w14:paraId="7626C496" w14:textId="3D755186" w:rsidR="003E78EF" w:rsidRPr="00563AD3" w:rsidRDefault="003E78EF" w:rsidP="009B13F3">
      <w:pPr>
        <w:pStyle w:val="Heading4"/>
      </w:pPr>
      <w:bookmarkStart w:id="46" w:name="_Toc455576272"/>
      <w:r w:rsidRPr="00563AD3">
        <w:t>2.3.2.4 Resident informed consent</w:t>
      </w:r>
      <w:bookmarkEnd w:id="46"/>
    </w:p>
    <w:p w14:paraId="48509DE9" w14:textId="39504A9D" w:rsidR="003E78EF" w:rsidRPr="00563AD3" w:rsidRDefault="00245F9D" w:rsidP="009B13F3">
      <w:r w:rsidRPr="00563AD3">
        <w:t>I</w:t>
      </w:r>
      <w:r w:rsidR="000561D9" w:rsidRPr="00563AD3">
        <w:t>n accordance with the Mental Capacity Act 2005</w:t>
      </w:r>
      <w:r w:rsidR="00191950">
        <w:t>,</w:t>
      </w:r>
      <w:r w:rsidR="000561D9" w:rsidRPr="00563AD3">
        <w:t xml:space="preserve"> </w:t>
      </w:r>
      <w:r w:rsidR="000561D9" w:rsidRPr="00563AD3">
        <w:fldChar w:fldCharType="begin"/>
      </w:r>
      <w:r w:rsidR="00EC2AA2">
        <w:instrText xml:space="preserve"> ADDIN EN.CITE &lt;EndNote&gt;&lt;Cite&gt;&lt;Year&gt;2005&lt;/Year&gt;&lt;RecNum&gt;1058&lt;/RecNum&gt;&lt;DisplayText&gt;&lt;style face="superscript"&gt;103&lt;/style&gt;&lt;/DisplayText&gt;&lt;record&gt;&lt;rec-number&gt;1058&lt;/rec-number&gt;&lt;foreign-keys&gt;&lt;key app="EN" db-id="wprxwptv75dtdree0t5x2ptmvadptw5fr2ww" timestamp="1269348634"&gt;1058&lt;/key&gt;&lt;/foreign-keys&gt;&lt;ref-type name="Statute"&gt;31&lt;/ref-type&gt;&lt;contributors&gt;&lt;/contributors&gt;&lt;titles&gt;&lt;title&gt;Mental Capacity Act&lt;/title&gt;&lt;secondary-title&gt;c.9&lt;/secondary-title&gt;&lt;/titles&gt;&lt;dates&gt;&lt;year&gt;2005&lt;/year&gt;&lt;/dates&gt;&lt;urls&gt;&lt;related-urls&gt;&lt;url&gt;http://www.opsi.gov.uk/ACTS/acts2005/ukpga_20050009_en_1&lt;/url&gt;&lt;/related-urls&gt;&lt;/urls&gt;&lt;/record&gt;&lt;/Cite&gt;&lt;/EndNote&gt;</w:instrText>
      </w:r>
      <w:r w:rsidR="000561D9" w:rsidRPr="00563AD3">
        <w:fldChar w:fldCharType="separate"/>
      </w:r>
      <w:r w:rsidR="00EC2AA2" w:rsidRPr="00EC2AA2">
        <w:rPr>
          <w:noProof/>
          <w:vertAlign w:val="superscript"/>
        </w:rPr>
        <w:t>103</w:t>
      </w:r>
      <w:r w:rsidR="000561D9" w:rsidRPr="00563AD3">
        <w:fldChar w:fldCharType="end"/>
      </w:r>
      <w:r w:rsidRPr="00563AD3">
        <w:t xml:space="preserve"> a</w:t>
      </w:r>
      <w:r w:rsidR="003E78EF" w:rsidRPr="00563AD3">
        <w:t xml:space="preserve">ll </w:t>
      </w:r>
      <w:r w:rsidR="008E3A32" w:rsidRPr="00563AD3">
        <w:t xml:space="preserve">eligible </w:t>
      </w:r>
      <w:r w:rsidR="003E78EF" w:rsidRPr="00563AD3">
        <w:t xml:space="preserve">residents </w:t>
      </w:r>
      <w:r w:rsidR="000561D9" w:rsidRPr="00563AD3">
        <w:t>were</w:t>
      </w:r>
      <w:r w:rsidR="003E78EF" w:rsidRPr="00563AD3">
        <w:t xml:space="preserve"> assumed to have capacity to consent unless assessed </w:t>
      </w:r>
      <w:r w:rsidR="000D7658" w:rsidRPr="00563AD3">
        <w:t>otherwise</w:t>
      </w:r>
      <w:r w:rsidR="003E78EF" w:rsidRPr="00563AD3">
        <w:t>.</w:t>
      </w:r>
      <w:r w:rsidR="000561D9" w:rsidRPr="00563AD3">
        <w:t xml:space="preserve"> The manager/</w:t>
      </w:r>
      <w:r w:rsidR="000D7658" w:rsidRPr="00563AD3">
        <w:t xml:space="preserve">senior </w:t>
      </w:r>
      <w:r w:rsidR="000561D9" w:rsidRPr="00563AD3">
        <w:t xml:space="preserve">staff member approached each eligible resident and sought their permission for the researcher to speak with them. If the resident </w:t>
      </w:r>
      <w:r w:rsidR="000D7658" w:rsidRPr="00563AD3">
        <w:t>had</w:t>
      </w:r>
      <w:r w:rsidR="000561D9" w:rsidRPr="00563AD3">
        <w:t xml:space="preserve"> capacity and </w:t>
      </w:r>
      <w:r w:rsidR="000D7658" w:rsidRPr="00563AD3">
        <w:t>gave</w:t>
      </w:r>
      <w:r w:rsidR="000561D9" w:rsidRPr="00563AD3">
        <w:t xml:space="preserve"> verbal consent to speak to the researcher, this was documented and the researcher </w:t>
      </w:r>
      <w:r w:rsidR="000D7658" w:rsidRPr="00563AD3">
        <w:t>approached them to discuss the study</w:t>
      </w:r>
      <w:r w:rsidR="000561D9" w:rsidRPr="00563AD3">
        <w:t xml:space="preserve">. If the resident was deemed to lack </w:t>
      </w:r>
      <w:r w:rsidR="003E78EF" w:rsidRPr="00563AD3">
        <w:t>capacity to make this decision</w:t>
      </w:r>
      <w:r w:rsidR="000561D9" w:rsidRPr="00563AD3">
        <w:t>,</w:t>
      </w:r>
      <w:r w:rsidR="003E78EF" w:rsidRPr="00563AD3">
        <w:t xml:space="preserve"> then </w:t>
      </w:r>
      <w:r w:rsidR="000561D9" w:rsidRPr="00563AD3">
        <w:t xml:space="preserve">the process for appointing a consultee was followed (see </w:t>
      </w:r>
      <w:r w:rsidR="000561D9" w:rsidRPr="00191950">
        <w:rPr>
          <w:i/>
        </w:rPr>
        <w:t xml:space="preserve">section </w:t>
      </w:r>
      <w:r w:rsidR="004077E6" w:rsidRPr="00191950">
        <w:rPr>
          <w:i/>
        </w:rPr>
        <w:t>2.3.2.4.2</w:t>
      </w:r>
      <w:r w:rsidR="000561D9" w:rsidRPr="00563AD3">
        <w:t>)</w:t>
      </w:r>
      <w:r w:rsidR="003E78EF" w:rsidRPr="00563AD3">
        <w:t xml:space="preserve">. </w:t>
      </w:r>
    </w:p>
    <w:p w14:paraId="53378B4D" w14:textId="72226847" w:rsidR="000561D9" w:rsidRPr="00563AD3" w:rsidRDefault="003E78EF" w:rsidP="009B13F3">
      <w:r w:rsidRPr="00563AD3">
        <w:t>The researcher</w:t>
      </w:r>
      <w:r w:rsidR="008E3A32" w:rsidRPr="00563AD3">
        <w:t xml:space="preserve"> </w:t>
      </w:r>
      <w:r w:rsidRPr="00563AD3">
        <w:t>approach</w:t>
      </w:r>
      <w:r w:rsidR="000561D9" w:rsidRPr="00563AD3">
        <w:t>ed</w:t>
      </w:r>
      <w:r w:rsidRPr="00563AD3">
        <w:t xml:space="preserve"> each resident who </w:t>
      </w:r>
      <w:r w:rsidR="000D7658" w:rsidRPr="00563AD3">
        <w:t>had</w:t>
      </w:r>
      <w:r w:rsidRPr="00563AD3">
        <w:t xml:space="preserve"> capacity and agreed to speak to the</w:t>
      </w:r>
      <w:r w:rsidR="000D7658" w:rsidRPr="00563AD3">
        <w:t>m</w:t>
      </w:r>
      <w:r w:rsidR="008E3A32" w:rsidRPr="00563AD3">
        <w:t>,</w:t>
      </w:r>
      <w:r w:rsidRPr="00563AD3">
        <w:t xml:space="preserve"> </w:t>
      </w:r>
      <w:r w:rsidR="000561D9" w:rsidRPr="00563AD3">
        <w:t>to explain the trial</w:t>
      </w:r>
      <w:r w:rsidR="000D7658" w:rsidRPr="00563AD3">
        <w:t xml:space="preserve"> using the appropriate documentation</w:t>
      </w:r>
      <w:r w:rsidR="000561D9" w:rsidRPr="00563AD3">
        <w:t xml:space="preserve"> </w:t>
      </w:r>
      <w:r w:rsidRPr="00563AD3">
        <w:t xml:space="preserve">and </w:t>
      </w:r>
      <w:r w:rsidR="000561D9" w:rsidRPr="00563AD3">
        <w:t xml:space="preserve">to </w:t>
      </w:r>
      <w:r w:rsidRPr="00563AD3">
        <w:t>undertake a further documented assessment of capacity</w:t>
      </w:r>
      <w:r w:rsidR="000561D9" w:rsidRPr="00563AD3">
        <w:t xml:space="preserve"> to give informed consent. The </w:t>
      </w:r>
      <w:r w:rsidRPr="00563AD3">
        <w:t xml:space="preserve">resident </w:t>
      </w:r>
      <w:r w:rsidR="000561D9" w:rsidRPr="00563AD3">
        <w:t>was</w:t>
      </w:r>
      <w:r w:rsidRPr="00563AD3">
        <w:t xml:space="preserve"> provide</w:t>
      </w:r>
      <w:r w:rsidR="000561D9" w:rsidRPr="00563AD3">
        <w:t>d</w:t>
      </w:r>
      <w:r w:rsidRPr="00563AD3">
        <w:t xml:space="preserve"> with the Resident Information Sheet </w:t>
      </w:r>
      <w:r w:rsidR="006C493C" w:rsidRPr="00563AD3">
        <w:t xml:space="preserve">(see </w:t>
      </w:r>
      <w:r w:rsidR="002953C0" w:rsidRPr="00191950">
        <w:rPr>
          <w:i/>
        </w:rPr>
        <w:t>Supplementary Material</w:t>
      </w:r>
      <w:r w:rsidR="006C493C" w:rsidRPr="00563AD3">
        <w:t xml:space="preserve">) </w:t>
      </w:r>
      <w:r w:rsidR="000561D9" w:rsidRPr="00563AD3">
        <w:t>and a</w:t>
      </w:r>
      <w:r w:rsidR="0036503A" w:rsidRPr="00563AD3">
        <w:t>t least 24-</w:t>
      </w:r>
      <w:r w:rsidRPr="00563AD3">
        <w:t xml:space="preserve">hours later, </w:t>
      </w:r>
      <w:r w:rsidR="000D7658" w:rsidRPr="00563AD3">
        <w:t>they were</w:t>
      </w:r>
      <w:r w:rsidRPr="00563AD3">
        <w:t xml:space="preserve"> given the opportunity to ask any further questions </w:t>
      </w:r>
      <w:r w:rsidR="000561D9" w:rsidRPr="00563AD3">
        <w:t>and then</w:t>
      </w:r>
      <w:r w:rsidR="000D7658" w:rsidRPr="00563AD3">
        <w:t>, for those with capacity,</w:t>
      </w:r>
      <w:r w:rsidR="000561D9" w:rsidRPr="00563AD3">
        <w:t xml:space="preserve"> f</w:t>
      </w:r>
      <w:r w:rsidRPr="00563AD3">
        <w:t xml:space="preserve">ormal consent to participate in the trial </w:t>
      </w:r>
      <w:r w:rsidR="000561D9" w:rsidRPr="00563AD3">
        <w:t>was</w:t>
      </w:r>
      <w:r w:rsidRPr="00563AD3">
        <w:t xml:space="preserve"> sought.</w:t>
      </w:r>
      <w:r w:rsidR="000D7658" w:rsidRPr="00563AD3">
        <w:t xml:space="preserve"> </w:t>
      </w:r>
      <w:r w:rsidR="000561D9" w:rsidRPr="00563AD3">
        <w:t xml:space="preserve">If the resident was deemed </w:t>
      </w:r>
      <w:r w:rsidR="008E3A32" w:rsidRPr="00563AD3">
        <w:t xml:space="preserve">by the Researcher at any point </w:t>
      </w:r>
      <w:r w:rsidR="000D7658" w:rsidRPr="00563AD3">
        <w:t>to lack capacity to consent,</w:t>
      </w:r>
      <w:r w:rsidR="000561D9" w:rsidRPr="00563AD3">
        <w:t xml:space="preserve"> </w:t>
      </w:r>
      <w:r w:rsidR="006239B1" w:rsidRPr="00563AD3">
        <w:t xml:space="preserve">the process for appointing a consultee was followed (see </w:t>
      </w:r>
      <w:r w:rsidR="006239B1" w:rsidRPr="00191950">
        <w:rPr>
          <w:i/>
        </w:rPr>
        <w:t xml:space="preserve">section </w:t>
      </w:r>
      <w:r w:rsidR="004077E6" w:rsidRPr="00191950">
        <w:rPr>
          <w:i/>
        </w:rPr>
        <w:t>2.3.2.4.2</w:t>
      </w:r>
      <w:r w:rsidR="006239B1" w:rsidRPr="00563AD3">
        <w:t>)</w:t>
      </w:r>
      <w:r w:rsidR="000561D9" w:rsidRPr="00563AD3">
        <w:t>.</w:t>
      </w:r>
    </w:p>
    <w:p w14:paraId="01877816" w14:textId="06A960AF" w:rsidR="003E78EF" w:rsidRPr="00563AD3" w:rsidRDefault="004077E6" w:rsidP="009B13F3">
      <w:pPr>
        <w:pStyle w:val="Heading5"/>
      </w:pPr>
      <w:bookmarkStart w:id="47" w:name="_Toc455576273"/>
      <w:r w:rsidRPr="00563AD3">
        <w:t>2.3.2.4.1 Consent for those with capacity</w:t>
      </w:r>
      <w:bookmarkEnd w:id="47"/>
    </w:p>
    <w:p w14:paraId="32364195" w14:textId="3D8A06EE" w:rsidR="003E78EF" w:rsidRPr="00563AD3" w:rsidRDefault="003E78EF" w:rsidP="009B13F3">
      <w:r w:rsidRPr="00563AD3">
        <w:t xml:space="preserve">Residents who </w:t>
      </w:r>
      <w:r w:rsidR="006239B1" w:rsidRPr="00563AD3">
        <w:t>we</w:t>
      </w:r>
      <w:r w:rsidRPr="00563AD3">
        <w:t xml:space="preserve">re able to give informed consent </w:t>
      </w:r>
      <w:r w:rsidR="006239B1" w:rsidRPr="00563AD3">
        <w:t>were asked to</w:t>
      </w:r>
      <w:r w:rsidRPr="00563AD3">
        <w:t xml:space="preserve"> sign, or make a mark on</w:t>
      </w:r>
      <w:r w:rsidR="00AE119B" w:rsidRPr="00563AD3">
        <w:t>,</w:t>
      </w:r>
      <w:r w:rsidRPr="00563AD3">
        <w:t xml:space="preserve"> the trial consent form</w:t>
      </w:r>
      <w:r w:rsidR="00A700EB" w:rsidRPr="00563AD3">
        <w:t xml:space="preserve"> (see </w:t>
      </w:r>
      <w:r w:rsidR="00A700EB" w:rsidRPr="00191950">
        <w:rPr>
          <w:i/>
        </w:rPr>
        <w:t>Supplementary Material</w:t>
      </w:r>
      <w:r w:rsidR="00A700EB" w:rsidRPr="00563AD3">
        <w:t>)</w:t>
      </w:r>
      <w:r w:rsidRPr="00563AD3">
        <w:t>.</w:t>
      </w:r>
      <w:r w:rsidR="001E614B" w:rsidRPr="00563AD3">
        <w:t xml:space="preserve"> For those who were not able to sign, a witness confirmed that informed consent had been given.</w:t>
      </w:r>
      <w:r w:rsidRPr="00563AD3">
        <w:t xml:space="preserve"> </w:t>
      </w:r>
      <w:r w:rsidR="006A0D8E" w:rsidRPr="00563AD3">
        <w:t>Given the progressive nature of dementia, a</w:t>
      </w:r>
      <w:r w:rsidR="000D7658" w:rsidRPr="00563AD3">
        <w:t xml:space="preserve"> </w:t>
      </w:r>
      <w:r w:rsidR="00C14DCC" w:rsidRPr="00563AD3">
        <w:t xml:space="preserve">further </w:t>
      </w:r>
      <w:r w:rsidR="000D7658" w:rsidRPr="00563AD3">
        <w:t xml:space="preserve">capacity assessment was conducted at each data collection point by the researcher </w:t>
      </w:r>
      <w:r w:rsidR="006A0D8E" w:rsidRPr="00563AD3">
        <w:t>to assess continued capacity</w:t>
      </w:r>
      <w:r w:rsidR="000D7658" w:rsidRPr="00563AD3">
        <w:t xml:space="preserve">. </w:t>
      </w:r>
      <w:r w:rsidRPr="00563AD3">
        <w:t xml:space="preserve">In the case of </w:t>
      </w:r>
      <w:r w:rsidR="006239B1" w:rsidRPr="00563AD3">
        <w:t>residents who lost</w:t>
      </w:r>
      <w:r w:rsidRPr="00563AD3">
        <w:t xml:space="preserve"> capacity during the</w:t>
      </w:r>
      <w:r w:rsidR="008F4B9A" w:rsidRPr="00563AD3">
        <w:t xml:space="preserve"> trial</w:t>
      </w:r>
      <w:r w:rsidRPr="00563AD3">
        <w:t xml:space="preserve">, appropriate guidance on consent in the light of changed capacity </w:t>
      </w:r>
      <w:r w:rsidR="006239B1" w:rsidRPr="00563AD3">
        <w:t>was</w:t>
      </w:r>
      <w:r w:rsidRPr="00563AD3">
        <w:t xml:space="preserve"> followed </w:t>
      </w:r>
      <w:r w:rsidRPr="00563AD3">
        <w:fldChar w:fldCharType="begin"/>
      </w:r>
      <w:r w:rsidR="00A126E7">
        <w:instrText xml:space="preserve"> ADDIN EN.CITE &lt;EndNote&gt;&lt;Cite&gt;&lt;Author&gt;Medical Research Council&lt;/Author&gt;&lt;Year&gt;2007&lt;/Year&gt;&lt;RecNum&gt;1196&lt;/RecNum&gt;&lt;DisplayText&gt;&lt;style face="superscript"&gt;106&lt;/style&gt;&lt;/DisplayText&gt;&lt;record&gt;&lt;rec-number&gt;1196&lt;/rec-number&gt;&lt;foreign-keys&gt;&lt;key app="EN" db-id="wprxwptv75dtdree0t5x2ptmvadptw5fr2ww" timestamp="1320954663"&gt;1196&lt;/key&gt;&lt;/foreign-keys&gt;&lt;ref-type name="Report"&gt;27&lt;/ref-type&gt;&lt;contributors&gt;&lt;authors&gt;&lt;author&gt;Medical Research Council,&lt;/author&gt;&lt;/authors&gt;&lt;/contributors&gt;&lt;titles&gt;&lt;title&gt;Medical research involving adults who cannot consent&lt;/title&gt;&lt;/titles&gt;&lt;dates&gt;&lt;year&gt;2007&lt;/year&gt;&lt;/dates&gt;&lt;pub-location&gt;London&lt;/pub-location&gt;&lt;publisher&gt;Medical Research Council&lt;/publisher&gt;&lt;urls&gt;&lt;/urls&gt;&lt;/record&gt;&lt;/Cite&gt;&lt;/EndNote&gt;</w:instrText>
      </w:r>
      <w:r w:rsidRPr="00563AD3">
        <w:fldChar w:fldCharType="separate"/>
      </w:r>
      <w:r w:rsidR="00A126E7" w:rsidRPr="00A126E7">
        <w:rPr>
          <w:noProof/>
          <w:vertAlign w:val="superscript"/>
        </w:rPr>
        <w:t>106</w:t>
      </w:r>
      <w:r w:rsidRPr="00563AD3">
        <w:fldChar w:fldCharType="end"/>
      </w:r>
      <w:r w:rsidR="006239B1" w:rsidRPr="00563AD3">
        <w:t xml:space="preserve">, </w:t>
      </w:r>
      <w:r w:rsidR="000D7658" w:rsidRPr="00563AD3">
        <w:t>involv</w:t>
      </w:r>
      <w:r w:rsidR="00245F9D" w:rsidRPr="00563AD3">
        <w:t>ing</w:t>
      </w:r>
      <w:r w:rsidRPr="00563AD3">
        <w:t xml:space="preserve"> appointment of a consultee (see </w:t>
      </w:r>
      <w:r w:rsidRPr="00191950">
        <w:rPr>
          <w:i/>
        </w:rPr>
        <w:t xml:space="preserve">section </w:t>
      </w:r>
      <w:r w:rsidR="004077E6" w:rsidRPr="00191950">
        <w:rPr>
          <w:i/>
        </w:rPr>
        <w:t>2.3.2.4.2</w:t>
      </w:r>
      <w:r w:rsidRPr="00563AD3">
        <w:t xml:space="preserve">). </w:t>
      </w:r>
      <w:r w:rsidR="002859BF" w:rsidRPr="00563AD3">
        <w:t>Where a resident had capacity and consented</w:t>
      </w:r>
      <w:r w:rsidRPr="00563AD3">
        <w:t xml:space="preserve"> to taking part in the trial, consent to approach his/her main carer (relative/friend) </w:t>
      </w:r>
      <w:r w:rsidR="00645DC5" w:rsidRPr="00563AD3">
        <w:t xml:space="preserve">was sought, </w:t>
      </w:r>
      <w:r w:rsidRPr="00563AD3">
        <w:t xml:space="preserve">regarding </w:t>
      </w:r>
      <w:r w:rsidR="00645DC5" w:rsidRPr="00563AD3">
        <w:t xml:space="preserve">their </w:t>
      </w:r>
      <w:r w:rsidRPr="00563AD3">
        <w:t>part</w:t>
      </w:r>
      <w:r w:rsidR="002859BF" w:rsidRPr="00563AD3">
        <w:t>icipation as a proxy informant</w:t>
      </w:r>
      <w:r w:rsidRPr="00563AD3">
        <w:t xml:space="preserve">. </w:t>
      </w:r>
    </w:p>
    <w:p w14:paraId="667EB5E9" w14:textId="023851C7" w:rsidR="003E78EF" w:rsidRPr="00563AD3" w:rsidRDefault="004077E6" w:rsidP="009B13F3">
      <w:pPr>
        <w:pStyle w:val="Heading5"/>
      </w:pPr>
      <w:bookmarkStart w:id="48" w:name="_Toc455576274"/>
      <w:r w:rsidRPr="00563AD3">
        <w:t>2.3.2.4.2 Consent for those without capacity</w:t>
      </w:r>
      <w:bookmarkEnd w:id="48"/>
    </w:p>
    <w:p w14:paraId="2615A21C" w14:textId="2F8DE161" w:rsidR="003E78EF" w:rsidRPr="00563AD3" w:rsidRDefault="0036503A" w:rsidP="009B13F3">
      <w:r w:rsidRPr="00563AD3">
        <w:t>Where a resident wa</w:t>
      </w:r>
      <w:r w:rsidR="003E78EF" w:rsidRPr="00563AD3">
        <w:t xml:space="preserve">s assessed to lack capacity to give informed consent a ‘Personal Consultee’ </w:t>
      </w:r>
      <w:r w:rsidRPr="00563AD3">
        <w:t>was</w:t>
      </w:r>
      <w:r w:rsidR="003E78EF" w:rsidRPr="00563AD3">
        <w:t xml:space="preserve"> appointed </w:t>
      </w:r>
      <w:r w:rsidR="000D7658" w:rsidRPr="00563AD3">
        <w:t>to give advice on</w:t>
      </w:r>
      <w:r w:rsidR="003E78EF" w:rsidRPr="00563AD3">
        <w:t xml:space="preserve"> the </w:t>
      </w:r>
      <w:r w:rsidR="00645DC5" w:rsidRPr="00563AD3">
        <w:t>r</w:t>
      </w:r>
      <w:r w:rsidR="003E78EF" w:rsidRPr="00563AD3">
        <w:t xml:space="preserve">esident’s wishes. This </w:t>
      </w:r>
      <w:r w:rsidRPr="00563AD3">
        <w:t>was</w:t>
      </w:r>
      <w:r w:rsidR="003E78EF" w:rsidRPr="00563AD3">
        <w:t xml:space="preserve"> </w:t>
      </w:r>
      <w:r w:rsidR="001A3BC3" w:rsidRPr="00563AD3">
        <w:t>usually</w:t>
      </w:r>
      <w:r w:rsidR="003E78EF" w:rsidRPr="00563AD3">
        <w:t xml:space="preserve"> a relative or close friend. Where the </w:t>
      </w:r>
      <w:r w:rsidR="00645DC5" w:rsidRPr="00563AD3">
        <w:t>r</w:t>
      </w:r>
      <w:r w:rsidR="003E78EF" w:rsidRPr="00563AD3">
        <w:t>esident</w:t>
      </w:r>
      <w:r w:rsidRPr="00563AD3">
        <w:t xml:space="preserve"> had</w:t>
      </w:r>
      <w:r w:rsidR="003E78EF" w:rsidRPr="00563AD3">
        <w:t xml:space="preserve"> no close family or friend able or willing to act as Personal Consultee, </w:t>
      </w:r>
      <w:r w:rsidR="00C14DCC" w:rsidRPr="00563AD3">
        <w:t xml:space="preserve">a </w:t>
      </w:r>
      <w:r w:rsidR="003E78EF" w:rsidRPr="00563AD3">
        <w:t>member of staf</w:t>
      </w:r>
      <w:r w:rsidRPr="00563AD3">
        <w:t>f in the care home who knew</w:t>
      </w:r>
      <w:r w:rsidR="003E78EF" w:rsidRPr="00563AD3">
        <w:t xml:space="preserve"> them well but who </w:t>
      </w:r>
      <w:r w:rsidRPr="00563AD3">
        <w:t>wa</w:t>
      </w:r>
      <w:r w:rsidR="003E78EF" w:rsidRPr="00563AD3">
        <w:t>s not actively involved in any elemen</w:t>
      </w:r>
      <w:r w:rsidRPr="00563AD3">
        <w:t>ts of the research process</w:t>
      </w:r>
      <w:r w:rsidR="00245F9D" w:rsidRPr="00563AD3">
        <w:t xml:space="preserve"> (e.g. as a mapper or in giving proxy data on the resident)</w:t>
      </w:r>
      <w:r w:rsidRPr="00563AD3">
        <w:t>, was</w:t>
      </w:r>
      <w:r w:rsidR="003E78EF" w:rsidRPr="00563AD3">
        <w:t xml:space="preserve"> appointed as a ‘Nominated Consultee’. </w:t>
      </w:r>
    </w:p>
    <w:p w14:paraId="32C48C5C" w14:textId="16C6CA3F" w:rsidR="003E78EF" w:rsidRPr="00563AD3" w:rsidRDefault="003E78EF" w:rsidP="009B13F3">
      <w:r w:rsidRPr="00563AD3">
        <w:t xml:space="preserve">If the </w:t>
      </w:r>
      <w:r w:rsidR="001B4FBD" w:rsidRPr="00563AD3">
        <w:t xml:space="preserve">proposed </w:t>
      </w:r>
      <w:r w:rsidR="00645DC5" w:rsidRPr="00563AD3">
        <w:t>P</w:t>
      </w:r>
      <w:r w:rsidR="001B4FBD" w:rsidRPr="00563AD3">
        <w:t xml:space="preserve">ersonal </w:t>
      </w:r>
      <w:r w:rsidR="00645DC5" w:rsidRPr="00563AD3">
        <w:t>C</w:t>
      </w:r>
      <w:r w:rsidR="001B4FBD" w:rsidRPr="00563AD3">
        <w:t>onsultee was</w:t>
      </w:r>
      <w:r w:rsidRPr="00563AD3">
        <w:t xml:space="preserve"> present</w:t>
      </w:r>
      <w:r w:rsidR="001B4FBD" w:rsidRPr="00563AD3">
        <w:t xml:space="preserve"> in the care home</w:t>
      </w:r>
      <w:r w:rsidR="00CA0733" w:rsidRPr="00563AD3">
        <w:t>,</w:t>
      </w:r>
      <w:r w:rsidRPr="00563AD3">
        <w:t xml:space="preserve"> </w:t>
      </w:r>
      <w:r w:rsidR="001B4FBD" w:rsidRPr="00563AD3">
        <w:t xml:space="preserve">they were approached by </w:t>
      </w:r>
      <w:r w:rsidRPr="00563AD3">
        <w:t>the researcher</w:t>
      </w:r>
      <w:r w:rsidR="00EE4BC4" w:rsidRPr="00563AD3">
        <w:t xml:space="preserve"> and given </w:t>
      </w:r>
      <w:r w:rsidR="000D7658" w:rsidRPr="00563AD3">
        <w:t xml:space="preserve">all the appropriate documentation </w:t>
      </w:r>
      <w:r w:rsidR="006C493C" w:rsidRPr="00563AD3">
        <w:t xml:space="preserve">(see </w:t>
      </w:r>
      <w:r w:rsidR="00A700EB" w:rsidRPr="00563AD3">
        <w:t>Supplementary Material</w:t>
      </w:r>
      <w:r w:rsidR="001B4FBD" w:rsidRPr="00563AD3">
        <w:t>)</w:t>
      </w:r>
      <w:r w:rsidR="000D7658" w:rsidRPr="00563AD3">
        <w:t xml:space="preserve"> </w:t>
      </w:r>
      <w:r w:rsidR="00C14DCC" w:rsidRPr="00563AD3">
        <w:t xml:space="preserve">in person </w:t>
      </w:r>
      <w:r w:rsidR="000D7658" w:rsidRPr="00563AD3">
        <w:t xml:space="preserve">and asked </w:t>
      </w:r>
      <w:r w:rsidRPr="00563AD3">
        <w:t xml:space="preserve">for written consent to hold their personal details </w:t>
      </w:r>
      <w:r w:rsidR="00645DC5" w:rsidRPr="00563AD3">
        <w:t>to enable the r</w:t>
      </w:r>
      <w:r w:rsidRPr="00563AD3">
        <w:t xml:space="preserve">esearcher to </w:t>
      </w:r>
      <w:r w:rsidR="001A3BC3" w:rsidRPr="00563AD3">
        <w:t xml:space="preserve">directly </w:t>
      </w:r>
      <w:r w:rsidRPr="00563AD3">
        <w:t xml:space="preserve">contact them </w:t>
      </w:r>
      <w:r w:rsidR="001A3BC3" w:rsidRPr="00563AD3">
        <w:t>thereafter</w:t>
      </w:r>
      <w:r w:rsidR="001B4FBD" w:rsidRPr="00563AD3">
        <w:t xml:space="preserve">. </w:t>
      </w:r>
      <w:r w:rsidRPr="00563AD3">
        <w:t xml:space="preserve">The </w:t>
      </w:r>
      <w:r w:rsidR="00645DC5" w:rsidRPr="00563AD3">
        <w:t>proposed Personal C</w:t>
      </w:r>
      <w:r w:rsidR="001A3BC3" w:rsidRPr="00563AD3">
        <w:t xml:space="preserve">onsultee was </w:t>
      </w:r>
      <w:r w:rsidRPr="00563AD3">
        <w:t>given at least 24</w:t>
      </w:r>
      <w:r w:rsidR="00EE4BC4" w:rsidRPr="00563AD3">
        <w:t>-</w:t>
      </w:r>
      <w:r w:rsidRPr="00563AD3">
        <w:t xml:space="preserve"> hours to talk to the </w:t>
      </w:r>
      <w:r w:rsidR="00645DC5" w:rsidRPr="00563AD3">
        <w:t>r</w:t>
      </w:r>
      <w:r w:rsidRPr="00563AD3">
        <w:t>esident and other relatives/friends</w:t>
      </w:r>
      <w:r w:rsidR="001B4FBD" w:rsidRPr="00563AD3">
        <w:t xml:space="preserve"> about the </w:t>
      </w:r>
      <w:r w:rsidR="00645DC5" w:rsidRPr="00563AD3">
        <w:t>r</w:t>
      </w:r>
      <w:r w:rsidR="001B4FBD" w:rsidRPr="00563AD3">
        <w:t>esident’s wishes</w:t>
      </w:r>
      <w:r w:rsidRPr="00563AD3">
        <w:t xml:space="preserve">. </w:t>
      </w:r>
      <w:r w:rsidR="001B4FBD" w:rsidRPr="00563AD3">
        <w:t xml:space="preserve">The personal consultee was then asked </w:t>
      </w:r>
      <w:r w:rsidRPr="00563AD3">
        <w:t xml:space="preserve">to return </w:t>
      </w:r>
      <w:r w:rsidR="001B4FBD" w:rsidRPr="00563AD3">
        <w:t xml:space="preserve">the </w:t>
      </w:r>
      <w:r w:rsidR="00645DC5" w:rsidRPr="00563AD3">
        <w:t>d</w:t>
      </w:r>
      <w:r w:rsidR="00F06BDA" w:rsidRPr="00563AD3">
        <w:t xml:space="preserve">eclaration </w:t>
      </w:r>
      <w:r w:rsidR="001B4FBD" w:rsidRPr="00563AD3">
        <w:t>form</w:t>
      </w:r>
      <w:r w:rsidRPr="00563AD3">
        <w:t xml:space="preserve"> by post, </w:t>
      </w:r>
      <w:r w:rsidR="001B4FBD" w:rsidRPr="00563AD3">
        <w:t xml:space="preserve">within a week, </w:t>
      </w:r>
      <w:r w:rsidRPr="00563AD3">
        <w:t>expressin</w:t>
      </w:r>
      <w:r w:rsidR="001B4FBD" w:rsidRPr="00563AD3">
        <w:t xml:space="preserve">g their advice on </w:t>
      </w:r>
      <w:r w:rsidRPr="00563AD3">
        <w:t xml:space="preserve">the resident’s wishes </w:t>
      </w:r>
      <w:r w:rsidR="00EE4BC4" w:rsidRPr="00563AD3">
        <w:t>regarding</w:t>
      </w:r>
      <w:r w:rsidRPr="00563AD3">
        <w:t xml:space="preserve"> taking part in the trial. </w:t>
      </w:r>
      <w:r w:rsidR="00645DC5" w:rsidRPr="00563AD3">
        <w:t>If the Personal C</w:t>
      </w:r>
      <w:r w:rsidR="00EE4BC4" w:rsidRPr="00563AD3">
        <w:t>onsultee was not present in the care home, th</w:t>
      </w:r>
      <w:r w:rsidR="00645DC5" w:rsidRPr="00563AD3">
        <w:t xml:space="preserve">e documentation was sent to them </w:t>
      </w:r>
      <w:r w:rsidR="00EE4BC4" w:rsidRPr="00563AD3">
        <w:t xml:space="preserve">by post, via the care home, on the </w:t>
      </w:r>
      <w:r w:rsidR="00645DC5" w:rsidRPr="00563AD3">
        <w:t>r</w:t>
      </w:r>
      <w:r w:rsidR="00EE4BC4" w:rsidRPr="00563AD3">
        <w:t xml:space="preserve">esearcher’s behalf. Details of how to contact the </w:t>
      </w:r>
      <w:r w:rsidR="00645DC5" w:rsidRPr="00563AD3">
        <w:t>r</w:t>
      </w:r>
      <w:r w:rsidR="00EE4BC4" w:rsidRPr="00563AD3">
        <w:t xml:space="preserve">esearcher should they wish to discuss the role were provided. For both methods of approach, </w:t>
      </w:r>
      <w:r w:rsidRPr="00563AD3">
        <w:t xml:space="preserve">if the </w:t>
      </w:r>
      <w:r w:rsidR="00645DC5" w:rsidRPr="00563AD3">
        <w:t xml:space="preserve">declaration </w:t>
      </w:r>
      <w:r w:rsidRPr="00563AD3">
        <w:t>form ha</w:t>
      </w:r>
      <w:r w:rsidR="001B4FBD" w:rsidRPr="00563AD3">
        <w:t>d</w:t>
      </w:r>
      <w:r w:rsidRPr="00563AD3">
        <w:t xml:space="preserve"> not been returned</w:t>
      </w:r>
      <w:r w:rsidR="00EE4BC4" w:rsidRPr="00563AD3">
        <w:t xml:space="preserve"> after a week</w:t>
      </w:r>
      <w:r w:rsidR="00645DC5" w:rsidRPr="00563AD3">
        <w:t>,</w:t>
      </w:r>
      <w:r w:rsidR="00EE4BC4" w:rsidRPr="00563AD3">
        <w:t xml:space="preserve"> a follow up reminder was sent by post by the </w:t>
      </w:r>
      <w:r w:rsidR="00645DC5" w:rsidRPr="00563AD3">
        <w:t>r</w:t>
      </w:r>
      <w:r w:rsidR="00EE4BC4" w:rsidRPr="00563AD3">
        <w:t xml:space="preserve">esearcher informing the </w:t>
      </w:r>
      <w:r w:rsidR="00645DC5" w:rsidRPr="00563AD3">
        <w:t>P</w:t>
      </w:r>
      <w:r w:rsidR="00EE4BC4" w:rsidRPr="00563AD3">
        <w:t xml:space="preserve">ersonal </w:t>
      </w:r>
      <w:r w:rsidR="00645DC5" w:rsidRPr="00563AD3">
        <w:t>C</w:t>
      </w:r>
      <w:r w:rsidR="00EE4BC4" w:rsidRPr="00563AD3">
        <w:t>onsultee that a Nominated Consultee would be identified if no response was received within a week</w:t>
      </w:r>
      <w:r w:rsidRPr="00563AD3">
        <w:t>. If a</w:t>
      </w:r>
      <w:r w:rsidR="001B4FBD" w:rsidRPr="00563AD3">
        <w:t xml:space="preserve">fter a further week the </w:t>
      </w:r>
      <w:r w:rsidR="00645DC5" w:rsidRPr="00563AD3">
        <w:t xml:space="preserve">declaration </w:t>
      </w:r>
      <w:r w:rsidR="001B4FBD" w:rsidRPr="00563AD3">
        <w:t>form had</w:t>
      </w:r>
      <w:r w:rsidRPr="00563AD3">
        <w:t xml:space="preserve"> not been returned the process of appointing a Nominated Consultee </w:t>
      </w:r>
      <w:r w:rsidR="001B4FBD" w:rsidRPr="00563AD3">
        <w:t>was</w:t>
      </w:r>
      <w:r w:rsidRPr="00563AD3">
        <w:t xml:space="preserve"> followed.</w:t>
      </w:r>
    </w:p>
    <w:p w14:paraId="50EF3E2E" w14:textId="5F6808D0" w:rsidR="003E78EF" w:rsidRPr="00563AD3" w:rsidRDefault="00F06BDA" w:rsidP="009B13F3">
      <w:r w:rsidRPr="00563AD3">
        <w:t xml:space="preserve">A </w:t>
      </w:r>
      <w:r w:rsidR="00EF645C" w:rsidRPr="00563AD3">
        <w:t>Nominated Consultee identified by the manager</w:t>
      </w:r>
      <w:r w:rsidR="00245F9D" w:rsidRPr="00563AD3">
        <w:t xml:space="preserve"> was </w:t>
      </w:r>
      <w:r w:rsidR="00EF645C" w:rsidRPr="00563AD3">
        <w:t>a</w:t>
      </w:r>
      <w:r w:rsidR="00A700EB" w:rsidRPr="00563AD3">
        <w:t xml:space="preserve">pproached using the appropriate documentation (see </w:t>
      </w:r>
      <w:r w:rsidR="00A700EB" w:rsidRPr="00E323FA">
        <w:rPr>
          <w:i/>
        </w:rPr>
        <w:t>Supplementary Material</w:t>
      </w:r>
      <w:r w:rsidR="00A700EB" w:rsidRPr="00563AD3">
        <w:t>)</w:t>
      </w:r>
      <w:r w:rsidR="00EF645C" w:rsidRPr="00563AD3">
        <w:t xml:space="preserve"> to </w:t>
      </w:r>
      <w:r w:rsidRPr="00563AD3">
        <w:t xml:space="preserve">discuss the resident’s potential involvement </w:t>
      </w:r>
      <w:r w:rsidR="00EF645C" w:rsidRPr="00563AD3">
        <w:t xml:space="preserve">in the trial </w:t>
      </w:r>
      <w:r w:rsidRPr="00563AD3">
        <w:t>with the resident</w:t>
      </w:r>
      <w:r w:rsidR="00EF645C" w:rsidRPr="00563AD3">
        <w:t>, other staff members who kne</w:t>
      </w:r>
      <w:r w:rsidRPr="00563AD3">
        <w:t>w them well and any relatives/friends</w:t>
      </w:r>
      <w:r w:rsidR="003E78EF" w:rsidRPr="00563AD3">
        <w:t>.</w:t>
      </w:r>
      <w:r w:rsidR="00245F9D" w:rsidRPr="00563AD3">
        <w:t xml:space="preserve"> The </w:t>
      </w:r>
      <w:r w:rsidR="00AE119B" w:rsidRPr="00563AD3">
        <w:t xml:space="preserve">Nominated </w:t>
      </w:r>
      <w:r w:rsidR="00245F9D" w:rsidRPr="00563AD3">
        <w:t>C</w:t>
      </w:r>
      <w:r w:rsidRPr="00563AD3">
        <w:t xml:space="preserve">onsultee was then asked to complete the </w:t>
      </w:r>
      <w:r w:rsidR="00645DC5" w:rsidRPr="00563AD3">
        <w:t>d</w:t>
      </w:r>
      <w:r w:rsidRPr="00563AD3">
        <w:t xml:space="preserve">eclaration form providing advice on the </w:t>
      </w:r>
      <w:r w:rsidR="00645DC5" w:rsidRPr="00563AD3">
        <w:t>r</w:t>
      </w:r>
      <w:r w:rsidRPr="00563AD3">
        <w:t>esident’s wishes.</w:t>
      </w:r>
    </w:p>
    <w:p w14:paraId="647B0048" w14:textId="271A348F" w:rsidR="003E78EF" w:rsidRPr="00563AD3" w:rsidRDefault="003E78EF" w:rsidP="009B13F3">
      <w:r w:rsidRPr="00563AD3">
        <w:t xml:space="preserve">Personal </w:t>
      </w:r>
      <w:r w:rsidR="00AE119B" w:rsidRPr="00563AD3">
        <w:t>and</w:t>
      </w:r>
      <w:r w:rsidRPr="00563AD3">
        <w:t xml:space="preserve"> Nominated Consultee</w:t>
      </w:r>
      <w:r w:rsidR="00DC2071" w:rsidRPr="00563AD3">
        <w:t>s</w:t>
      </w:r>
      <w:r w:rsidRPr="00563AD3">
        <w:t xml:space="preserve"> </w:t>
      </w:r>
      <w:r w:rsidR="00DC2071" w:rsidRPr="00563AD3">
        <w:t>were advised that they could approach</w:t>
      </w:r>
      <w:r w:rsidR="00744FB8" w:rsidRPr="00563AD3">
        <w:t xml:space="preserve"> the </w:t>
      </w:r>
      <w:r w:rsidR="00645DC5" w:rsidRPr="00563AD3">
        <w:t>r</w:t>
      </w:r>
      <w:r w:rsidRPr="00563AD3">
        <w:t xml:space="preserve">esearchers </w:t>
      </w:r>
      <w:r w:rsidR="00DC2071" w:rsidRPr="00563AD3">
        <w:t>at any time to indicate if they felt the person they were representing had</w:t>
      </w:r>
      <w:r w:rsidRPr="00563AD3">
        <w:t xml:space="preserve"> changed their mind about participating in the trial, and to withdraw them from participation. </w:t>
      </w:r>
      <w:r w:rsidR="00744FB8" w:rsidRPr="00563AD3">
        <w:t>Given</w:t>
      </w:r>
      <w:r w:rsidR="00EE5E5D" w:rsidRPr="00563AD3">
        <w:t xml:space="preserve"> the </w:t>
      </w:r>
      <w:r w:rsidR="00AE119B" w:rsidRPr="00563AD3">
        <w:t xml:space="preserve">frailty of the </w:t>
      </w:r>
      <w:r w:rsidR="00EE5E5D" w:rsidRPr="00563AD3">
        <w:t xml:space="preserve">population who may be serving as </w:t>
      </w:r>
      <w:r w:rsidR="00245F9D" w:rsidRPr="00563AD3">
        <w:t>P</w:t>
      </w:r>
      <w:r w:rsidR="00EE5E5D" w:rsidRPr="00563AD3">
        <w:t xml:space="preserve">ersonal </w:t>
      </w:r>
      <w:r w:rsidR="00245F9D" w:rsidRPr="00563AD3">
        <w:t>C</w:t>
      </w:r>
      <w:r w:rsidR="00EE5E5D" w:rsidRPr="00563AD3">
        <w:t>onsultees</w:t>
      </w:r>
      <w:r w:rsidR="00AE119B" w:rsidRPr="00563AD3">
        <w:t>,</w:t>
      </w:r>
      <w:r w:rsidR="00EE5E5D" w:rsidRPr="00563AD3">
        <w:t xml:space="preserve"> a</w:t>
      </w:r>
      <w:r w:rsidRPr="00563AD3">
        <w:t xml:space="preserve"> review of </w:t>
      </w:r>
      <w:r w:rsidR="00342465" w:rsidRPr="00563AD3">
        <w:t>P</w:t>
      </w:r>
      <w:r w:rsidRPr="00563AD3">
        <w:t xml:space="preserve">ersonal </w:t>
      </w:r>
      <w:r w:rsidR="00342465" w:rsidRPr="00563AD3">
        <w:t>C</w:t>
      </w:r>
      <w:r w:rsidRPr="00563AD3">
        <w:t>onsultee</w:t>
      </w:r>
      <w:r w:rsidR="00AE119B" w:rsidRPr="00563AD3">
        <w:t>s’</w:t>
      </w:r>
      <w:r w:rsidRPr="00563AD3">
        <w:t xml:space="preserve"> capacity </w:t>
      </w:r>
      <w:r w:rsidR="00EE5E5D" w:rsidRPr="00563AD3">
        <w:t>was</w:t>
      </w:r>
      <w:r w:rsidRPr="00563AD3">
        <w:t xml:space="preserve"> undertaken by the </w:t>
      </w:r>
      <w:r w:rsidR="00645DC5" w:rsidRPr="00563AD3">
        <w:t>r</w:t>
      </w:r>
      <w:r w:rsidRPr="00563AD3">
        <w:t xml:space="preserve">esearcher </w:t>
      </w:r>
      <w:r w:rsidR="00EE5E5D" w:rsidRPr="00563AD3">
        <w:t>via the care home manager</w:t>
      </w:r>
      <w:r w:rsidR="00342465" w:rsidRPr="00563AD3">
        <w:t xml:space="preserve"> at 6- and 16-month follow-up</w:t>
      </w:r>
      <w:r w:rsidR="00EE5E5D" w:rsidRPr="00563AD3">
        <w:t xml:space="preserve">, where feasible. </w:t>
      </w:r>
    </w:p>
    <w:p w14:paraId="5DC6C1F7" w14:textId="77777777" w:rsidR="003E78EF" w:rsidRPr="00563AD3" w:rsidRDefault="003E78EF" w:rsidP="009B13F3"/>
    <w:p w14:paraId="2D0C0B94" w14:textId="48D57F9D" w:rsidR="003E78EF" w:rsidRPr="00563AD3" w:rsidRDefault="003E78EF" w:rsidP="009B13F3">
      <w:pPr>
        <w:pStyle w:val="Heading3"/>
      </w:pPr>
      <w:bookmarkStart w:id="49" w:name="_Toc455576275"/>
      <w:bookmarkStart w:id="50" w:name="_Toc525543960"/>
      <w:r w:rsidRPr="00563AD3">
        <w:t>2.3.3 Staff roles, eligibility, recruitment and consent</w:t>
      </w:r>
      <w:bookmarkEnd w:id="49"/>
      <w:bookmarkEnd w:id="50"/>
    </w:p>
    <w:p w14:paraId="2197F8B0" w14:textId="18534490" w:rsidR="003E78EF" w:rsidRPr="00563AD3" w:rsidRDefault="003E78EF" w:rsidP="009B13F3">
      <w:pPr>
        <w:pStyle w:val="Heading4"/>
      </w:pPr>
      <w:bookmarkStart w:id="51" w:name="_Toc455576276"/>
      <w:r w:rsidRPr="00563AD3">
        <w:t>2.3.3.1 Staff roles</w:t>
      </w:r>
      <w:bookmarkEnd w:id="51"/>
    </w:p>
    <w:p w14:paraId="5E2C4E7A" w14:textId="69466507" w:rsidR="003E78EF" w:rsidRPr="00563AD3" w:rsidRDefault="003E78EF" w:rsidP="009B13F3">
      <w:r w:rsidRPr="00563AD3">
        <w:t xml:space="preserve">There </w:t>
      </w:r>
      <w:r w:rsidR="00B66738" w:rsidRPr="00563AD3">
        <w:t>we</w:t>
      </w:r>
      <w:r w:rsidR="00245F9D" w:rsidRPr="00563AD3">
        <w:t xml:space="preserve">re five </w:t>
      </w:r>
      <w:r w:rsidRPr="00563AD3">
        <w:t>staff roles</w:t>
      </w:r>
      <w:r w:rsidR="00B66738" w:rsidRPr="00563AD3">
        <w:t xml:space="preserve"> within the trial</w:t>
      </w:r>
      <w:r w:rsidRPr="00563AD3">
        <w:t xml:space="preserve">, some </w:t>
      </w:r>
      <w:r w:rsidR="00B66738" w:rsidRPr="00563AD3">
        <w:t>which were</w:t>
      </w:r>
      <w:r w:rsidRPr="00563AD3">
        <w:t xml:space="preserve"> mutually exclusive</w:t>
      </w:r>
      <w:r w:rsidR="00245F9D" w:rsidRPr="00563AD3">
        <w:t xml:space="preserve"> (T</w:t>
      </w:r>
      <w:r w:rsidR="00424C80" w:rsidRPr="00563AD3">
        <w:t>able 1)</w:t>
      </w:r>
      <w:r w:rsidRPr="00563AD3">
        <w:t>:</w:t>
      </w:r>
    </w:p>
    <w:p w14:paraId="64CB96A7" w14:textId="2FFA2474" w:rsidR="003E78EF" w:rsidRPr="00563AD3" w:rsidRDefault="003E78EF" w:rsidP="009B13F3">
      <w:pPr>
        <w:pStyle w:val="ListParagraph"/>
        <w:widowControl w:val="0"/>
        <w:numPr>
          <w:ilvl w:val="0"/>
          <w:numId w:val="7"/>
        </w:numPr>
        <w:autoSpaceDE/>
        <w:autoSpaceDN/>
        <w:adjustRightInd/>
        <w:spacing w:after="0"/>
      </w:pPr>
      <w:r w:rsidRPr="00563AD3">
        <w:t xml:space="preserve">To act as a </w:t>
      </w:r>
      <w:r w:rsidR="001B4512" w:rsidRPr="00563AD3">
        <w:t>N</w:t>
      </w:r>
      <w:r w:rsidRPr="00563AD3">
        <w:t xml:space="preserve">ominated </w:t>
      </w:r>
      <w:r w:rsidR="001B4512" w:rsidRPr="00563AD3">
        <w:t>C</w:t>
      </w:r>
      <w:r w:rsidRPr="00563AD3">
        <w:t>onsultee f</w:t>
      </w:r>
      <w:r w:rsidR="0081409F" w:rsidRPr="00563AD3">
        <w:t>or residents</w:t>
      </w:r>
      <w:r w:rsidR="00CA0733" w:rsidRPr="00563AD3">
        <w:t xml:space="preserve"> (see </w:t>
      </w:r>
      <w:r w:rsidR="00CA0733" w:rsidRPr="00E323FA">
        <w:rPr>
          <w:i/>
        </w:rPr>
        <w:t>section 2.3.2.4.2</w:t>
      </w:r>
      <w:r w:rsidR="00CA0733" w:rsidRPr="00563AD3">
        <w:t>)</w:t>
      </w:r>
      <w:r w:rsidRPr="00563AD3">
        <w:t>;</w:t>
      </w:r>
    </w:p>
    <w:p w14:paraId="715F79EE" w14:textId="79DFAF1A" w:rsidR="003E78EF" w:rsidRPr="00563AD3" w:rsidRDefault="003E78EF" w:rsidP="009B13F3">
      <w:pPr>
        <w:pStyle w:val="ListParagraph"/>
        <w:widowControl w:val="0"/>
        <w:numPr>
          <w:ilvl w:val="0"/>
          <w:numId w:val="7"/>
        </w:numPr>
        <w:autoSpaceDE/>
        <w:autoSpaceDN/>
        <w:adjustRightInd/>
        <w:spacing w:after="0"/>
      </w:pPr>
      <w:r w:rsidRPr="00563AD3">
        <w:t xml:space="preserve">To provide </w:t>
      </w:r>
      <w:r w:rsidR="008556A1" w:rsidRPr="00563AD3">
        <w:t>data on standardised</w:t>
      </w:r>
      <w:r w:rsidR="00B66738" w:rsidRPr="00563AD3">
        <w:t xml:space="preserve"> measures </w:t>
      </w:r>
      <w:r w:rsidRPr="00563AD3">
        <w:t>relating to their role</w:t>
      </w:r>
      <w:r w:rsidR="00CA0733" w:rsidRPr="00563AD3">
        <w:t xml:space="preserve"> (see </w:t>
      </w:r>
      <w:r w:rsidR="00CA0733" w:rsidRPr="00E323FA">
        <w:rPr>
          <w:i/>
        </w:rPr>
        <w:t>section 2.3.3.2</w:t>
      </w:r>
      <w:r w:rsidR="00CA0733" w:rsidRPr="00563AD3">
        <w:t>)</w:t>
      </w:r>
      <w:r w:rsidRPr="00563AD3">
        <w:t>;</w:t>
      </w:r>
    </w:p>
    <w:p w14:paraId="76D58390" w14:textId="7AFFD0B5" w:rsidR="003E78EF" w:rsidRPr="00563AD3" w:rsidRDefault="003E78EF" w:rsidP="009B13F3">
      <w:pPr>
        <w:pStyle w:val="ListParagraph"/>
        <w:widowControl w:val="0"/>
        <w:numPr>
          <w:ilvl w:val="0"/>
          <w:numId w:val="7"/>
        </w:numPr>
        <w:autoSpaceDE/>
        <w:autoSpaceDN/>
        <w:adjustRightInd/>
        <w:spacing w:after="0"/>
      </w:pPr>
      <w:r w:rsidRPr="00563AD3">
        <w:t xml:space="preserve">To provide proxy </w:t>
      </w:r>
      <w:r w:rsidR="00B66738" w:rsidRPr="00563AD3">
        <w:t xml:space="preserve">informant </w:t>
      </w:r>
      <w:r w:rsidRPr="00563AD3">
        <w:t xml:space="preserve">data </w:t>
      </w:r>
      <w:r w:rsidR="0081409F" w:rsidRPr="00563AD3">
        <w:t>on</w:t>
      </w:r>
      <w:r w:rsidRPr="00563AD3">
        <w:t xml:space="preserve"> residents they know well</w:t>
      </w:r>
      <w:r w:rsidR="00CA0733" w:rsidRPr="00563AD3">
        <w:t xml:space="preserve"> (see </w:t>
      </w:r>
      <w:r w:rsidR="00CA0733" w:rsidRPr="00E323FA">
        <w:rPr>
          <w:i/>
        </w:rPr>
        <w:t>section 2.3.3.3</w:t>
      </w:r>
      <w:r w:rsidR="00CA0733" w:rsidRPr="00563AD3">
        <w:t>)</w:t>
      </w:r>
      <w:r w:rsidRPr="00563AD3">
        <w:t>;</w:t>
      </w:r>
    </w:p>
    <w:p w14:paraId="78251EEC" w14:textId="42F69821" w:rsidR="003E78EF" w:rsidRPr="00563AD3" w:rsidRDefault="003E78EF" w:rsidP="009B13F3">
      <w:pPr>
        <w:pStyle w:val="ListParagraph"/>
        <w:widowControl w:val="0"/>
        <w:numPr>
          <w:ilvl w:val="0"/>
          <w:numId w:val="7"/>
        </w:numPr>
        <w:autoSpaceDE/>
        <w:autoSpaceDN/>
        <w:adjustRightInd/>
        <w:spacing w:after="0"/>
      </w:pPr>
      <w:r w:rsidRPr="00563AD3">
        <w:t xml:space="preserve">To become </w:t>
      </w:r>
      <w:r w:rsidR="00645DC5" w:rsidRPr="00563AD3">
        <w:t xml:space="preserve">a </w:t>
      </w:r>
      <w:r w:rsidRPr="00563AD3">
        <w:t xml:space="preserve">trained </w:t>
      </w:r>
      <w:r w:rsidR="00A61329" w:rsidRPr="00563AD3">
        <w:t>DCM™</w:t>
      </w:r>
      <w:r w:rsidRPr="00563AD3">
        <w:t xml:space="preserve"> mapper </w:t>
      </w:r>
      <w:r w:rsidR="00CA0733" w:rsidRPr="00563AD3">
        <w:t xml:space="preserve">(see </w:t>
      </w:r>
      <w:r w:rsidR="00CA0733" w:rsidRPr="00E323FA">
        <w:rPr>
          <w:i/>
        </w:rPr>
        <w:t>section 2.5.2.1</w:t>
      </w:r>
      <w:r w:rsidR="00CA0733" w:rsidRPr="00563AD3">
        <w:t>)</w:t>
      </w:r>
      <w:r w:rsidRPr="00563AD3">
        <w:t>;</w:t>
      </w:r>
    </w:p>
    <w:p w14:paraId="43204E6D" w14:textId="5CD5938A" w:rsidR="003E78EF" w:rsidRPr="00563AD3" w:rsidRDefault="003E78EF" w:rsidP="009B13F3">
      <w:pPr>
        <w:pStyle w:val="ListParagraph"/>
        <w:widowControl w:val="0"/>
        <w:numPr>
          <w:ilvl w:val="0"/>
          <w:numId w:val="7"/>
        </w:numPr>
        <w:autoSpaceDE/>
        <w:autoSpaceDN/>
        <w:adjustRightInd/>
        <w:spacing w:after="0"/>
      </w:pPr>
      <w:r w:rsidRPr="00563AD3">
        <w:t xml:space="preserve">To participate in the </w:t>
      </w:r>
      <w:r w:rsidR="00645DC5" w:rsidRPr="00563AD3">
        <w:t xml:space="preserve">trial’s </w:t>
      </w:r>
      <w:r w:rsidRPr="00563AD3">
        <w:t>process evaluation</w:t>
      </w:r>
      <w:r w:rsidR="0078769C" w:rsidRPr="00563AD3">
        <w:t xml:space="preserve"> (see </w:t>
      </w:r>
      <w:r w:rsidR="0078769C" w:rsidRPr="00E323FA">
        <w:rPr>
          <w:i/>
        </w:rPr>
        <w:t>section 2.9</w:t>
      </w:r>
      <w:r w:rsidR="00CA0733" w:rsidRPr="00563AD3">
        <w:t>)</w:t>
      </w:r>
      <w:r w:rsidRPr="00563AD3">
        <w:t>.</w:t>
      </w:r>
    </w:p>
    <w:p w14:paraId="496D8DD4" w14:textId="77777777" w:rsidR="003E78EF" w:rsidRPr="00563AD3" w:rsidRDefault="003E78EF" w:rsidP="009B13F3"/>
    <w:p w14:paraId="02436D80" w14:textId="399E879C" w:rsidR="003E78EF" w:rsidRPr="00563AD3" w:rsidRDefault="003E78EF" w:rsidP="009B13F3">
      <w:pPr>
        <w:pStyle w:val="Tableheading"/>
      </w:pPr>
      <w:bookmarkStart w:id="52" w:name="_Toc948198"/>
      <w:r w:rsidRPr="00563AD3">
        <w:t>Table 1</w:t>
      </w:r>
      <w:r w:rsidR="00701654" w:rsidRPr="00563AD3">
        <w:t>:</w:t>
      </w:r>
      <w:r w:rsidRPr="00563AD3">
        <w:t xml:space="preserve"> Role Summary</w:t>
      </w:r>
      <w:bookmarkEnd w:id="52"/>
    </w:p>
    <w:tbl>
      <w:tblPr>
        <w:tblW w:w="4871" w:type="pct"/>
        <w:tblLayout w:type="fixed"/>
        <w:tblLook w:val="04A0" w:firstRow="1" w:lastRow="0" w:firstColumn="1" w:lastColumn="0" w:noHBand="0" w:noVBand="1"/>
      </w:tblPr>
      <w:tblGrid>
        <w:gridCol w:w="2545"/>
        <w:gridCol w:w="2412"/>
        <w:gridCol w:w="1983"/>
        <w:gridCol w:w="1843"/>
      </w:tblGrid>
      <w:tr w:rsidR="003E78EF" w:rsidRPr="00563AD3" w14:paraId="4DCE1F8B" w14:textId="77777777" w:rsidTr="003B09E8">
        <w:trPr>
          <w:trHeight w:val="300"/>
        </w:trPr>
        <w:tc>
          <w:tcPr>
            <w:tcW w:w="1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C8876" w14:textId="77777777" w:rsidR="003E78EF" w:rsidRPr="00563AD3" w:rsidRDefault="003E78EF" w:rsidP="009B13F3">
            <w:pPr>
              <w:spacing w:after="0"/>
              <w:rPr>
                <w:color w:val="000000"/>
              </w:rPr>
            </w:pPr>
            <w:r w:rsidRPr="00563AD3">
              <w:rPr>
                <w:color w:val="000000"/>
              </w:rPr>
              <w:t> </w:t>
            </w:r>
          </w:p>
        </w:tc>
        <w:tc>
          <w:tcPr>
            <w:tcW w:w="1373" w:type="pct"/>
            <w:tcBorders>
              <w:top w:val="single" w:sz="4" w:space="0" w:color="auto"/>
              <w:left w:val="nil"/>
              <w:bottom w:val="single" w:sz="4" w:space="0" w:color="auto"/>
              <w:right w:val="single" w:sz="4" w:space="0" w:color="auto"/>
            </w:tcBorders>
            <w:shd w:val="clear" w:color="auto" w:fill="auto"/>
            <w:noWrap/>
            <w:vAlign w:val="center"/>
            <w:hideMark/>
          </w:tcPr>
          <w:p w14:paraId="149C0338" w14:textId="77777777" w:rsidR="003E78EF" w:rsidRPr="00563AD3" w:rsidRDefault="003E78EF" w:rsidP="009B13F3">
            <w:pPr>
              <w:spacing w:after="0"/>
              <w:rPr>
                <w:color w:val="000000"/>
              </w:rPr>
            </w:pPr>
            <w:r w:rsidRPr="00563AD3">
              <w:rPr>
                <w:color w:val="000000"/>
              </w:rPr>
              <w:t>Nominated Consultee</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14:paraId="4034388F" w14:textId="4B307FE0" w:rsidR="003E78EF" w:rsidRPr="00563AD3" w:rsidRDefault="00070560" w:rsidP="009B13F3">
            <w:pPr>
              <w:spacing w:after="0"/>
              <w:rPr>
                <w:color w:val="000000"/>
              </w:rPr>
            </w:pPr>
            <w:r w:rsidRPr="00563AD3">
              <w:rPr>
                <w:color w:val="000000"/>
              </w:rPr>
              <w:t>DCM™</w:t>
            </w:r>
            <w:r w:rsidR="003E78EF" w:rsidRPr="00563AD3">
              <w:rPr>
                <w:color w:val="000000"/>
              </w:rPr>
              <w:t xml:space="preserve"> mapper</w:t>
            </w:r>
          </w:p>
        </w:tc>
        <w:tc>
          <w:tcPr>
            <w:tcW w:w="1049" w:type="pct"/>
            <w:tcBorders>
              <w:top w:val="single" w:sz="4" w:space="0" w:color="auto"/>
              <w:left w:val="nil"/>
              <w:bottom w:val="single" w:sz="4" w:space="0" w:color="auto"/>
              <w:right w:val="single" w:sz="4" w:space="0" w:color="auto"/>
            </w:tcBorders>
          </w:tcPr>
          <w:p w14:paraId="2E6AAF26" w14:textId="77777777" w:rsidR="003E78EF" w:rsidRPr="00563AD3" w:rsidRDefault="003E78EF" w:rsidP="009B13F3">
            <w:pPr>
              <w:spacing w:after="0"/>
              <w:rPr>
                <w:color w:val="000000"/>
              </w:rPr>
            </w:pPr>
            <w:r w:rsidRPr="00563AD3">
              <w:rPr>
                <w:color w:val="000000"/>
              </w:rPr>
              <w:t>Proxy informant</w:t>
            </w:r>
          </w:p>
        </w:tc>
      </w:tr>
      <w:tr w:rsidR="003E78EF" w:rsidRPr="00563AD3" w14:paraId="4FE70C87" w14:textId="77777777" w:rsidTr="003B09E8">
        <w:trPr>
          <w:trHeight w:val="300"/>
        </w:trPr>
        <w:tc>
          <w:tcPr>
            <w:tcW w:w="1449" w:type="pct"/>
            <w:tcBorders>
              <w:top w:val="nil"/>
              <w:left w:val="single" w:sz="4" w:space="0" w:color="auto"/>
              <w:bottom w:val="single" w:sz="4" w:space="0" w:color="auto"/>
              <w:right w:val="single" w:sz="4" w:space="0" w:color="auto"/>
            </w:tcBorders>
            <w:shd w:val="clear" w:color="auto" w:fill="auto"/>
            <w:noWrap/>
            <w:vAlign w:val="center"/>
            <w:hideMark/>
          </w:tcPr>
          <w:p w14:paraId="779CF00F" w14:textId="77777777" w:rsidR="003E78EF" w:rsidRPr="00563AD3" w:rsidRDefault="003E78EF" w:rsidP="009B13F3">
            <w:pPr>
              <w:spacing w:after="0"/>
              <w:rPr>
                <w:color w:val="000000"/>
              </w:rPr>
            </w:pPr>
            <w:r w:rsidRPr="00563AD3">
              <w:rPr>
                <w:color w:val="000000"/>
              </w:rPr>
              <w:t>Nominated Consultee</w:t>
            </w:r>
          </w:p>
        </w:tc>
        <w:tc>
          <w:tcPr>
            <w:tcW w:w="1373" w:type="pct"/>
            <w:tcBorders>
              <w:top w:val="nil"/>
              <w:left w:val="nil"/>
              <w:bottom w:val="single" w:sz="4" w:space="0" w:color="auto"/>
              <w:right w:val="single" w:sz="4" w:space="0" w:color="auto"/>
            </w:tcBorders>
            <w:shd w:val="clear" w:color="auto" w:fill="A6A6A6" w:themeFill="background1" w:themeFillShade="A6"/>
            <w:noWrap/>
            <w:vAlign w:val="center"/>
            <w:hideMark/>
          </w:tcPr>
          <w:p w14:paraId="5AB2641C" w14:textId="77777777" w:rsidR="003E78EF" w:rsidRPr="00563AD3" w:rsidRDefault="003E78EF" w:rsidP="009B13F3">
            <w:pPr>
              <w:spacing w:after="0"/>
              <w:jc w:val="center"/>
              <w:rPr>
                <w:color w:val="000000"/>
              </w:rPr>
            </w:pPr>
          </w:p>
        </w:tc>
        <w:tc>
          <w:tcPr>
            <w:tcW w:w="1129" w:type="pct"/>
            <w:tcBorders>
              <w:top w:val="nil"/>
              <w:left w:val="nil"/>
              <w:bottom w:val="single" w:sz="4" w:space="0" w:color="auto"/>
              <w:right w:val="single" w:sz="4" w:space="0" w:color="auto"/>
            </w:tcBorders>
            <w:shd w:val="clear" w:color="auto" w:fill="auto"/>
            <w:noWrap/>
            <w:vAlign w:val="center"/>
            <w:hideMark/>
          </w:tcPr>
          <w:p w14:paraId="08B77F56" w14:textId="77777777" w:rsidR="003E78EF" w:rsidRPr="00563AD3" w:rsidRDefault="003E78EF" w:rsidP="009B13F3">
            <w:pPr>
              <w:spacing w:after="0"/>
              <w:jc w:val="center"/>
              <w:rPr>
                <w:color w:val="000000"/>
              </w:rPr>
            </w:pPr>
            <w:r w:rsidRPr="00563AD3">
              <w:rPr>
                <w:color w:val="000000"/>
              </w:rPr>
              <w:t>X</w:t>
            </w:r>
          </w:p>
        </w:tc>
        <w:tc>
          <w:tcPr>
            <w:tcW w:w="1049" w:type="pct"/>
            <w:tcBorders>
              <w:top w:val="nil"/>
              <w:left w:val="nil"/>
              <w:bottom w:val="single" w:sz="4" w:space="0" w:color="auto"/>
              <w:right w:val="single" w:sz="4" w:space="0" w:color="auto"/>
            </w:tcBorders>
            <w:vAlign w:val="center"/>
          </w:tcPr>
          <w:p w14:paraId="029CAEB5" w14:textId="77777777" w:rsidR="003E78EF" w:rsidRPr="00563AD3" w:rsidRDefault="003E78EF" w:rsidP="009B13F3">
            <w:pPr>
              <w:spacing w:after="0"/>
              <w:jc w:val="center"/>
              <w:rPr>
                <w:color w:val="000000"/>
              </w:rPr>
            </w:pPr>
            <w:r w:rsidRPr="00563AD3">
              <w:rPr>
                <w:color w:val="000000"/>
              </w:rPr>
              <w:t>X</w:t>
            </w:r>
          </w:p>
        </w:tc>
      </w:tr>
      <w:tr w:rsidR="003E78EF" w:rsidRPr="00563AD3" w14:paraId="283882C3" w14:textId="77777777" w:rsidTr="003B09E8">
        <w:trPr>
          <w:trHeight w:val="300"/>
        </w:trPr>
        <w:tc>
          <w:tcPr>
            <w:tcW w:w="1449" w:type="pct"/>
            <w:tcBorders>
              <w:top w:val="nil"/>
              <w:left w:val="single" w:sz="4" w:space="0" w:color="auto"/>
              <w:bottom w:val="single" w:sz="4" w:space="0" w:color="auto"/>
              <w:right w:val="single" w:sz="4" w:space="0" w:color="auto"/>
            </w:tcBorders>
            <w:shd w:val="clear" w:color="auto" w:fill="auto"/>
            <w:noWrap/>
            <w:vAlign w:val="center"/>
            <w:hideMark/>
          </w:tcPr>
          <w:p w14:paraId="6DD8686A" w14:textId="77777777" w:rsidR="003E78EF" w:rsidRPr="00563AD3" w:rsidRDefault="003E78EF" w:rsidP="009B13F3">
            <w:pPr>
              <w:spacing w:after="0"/>
              <w:rPr>
                <w:color w:val="000000"/>
              </w:rPr>
            </w:pPr>
            <w:r w:rsidRPr="00563AD3">
              <w:rPr>
                <w:color w:val="000000"/>
              </w:rPr>
              <w:t>Staff measures</w:t>
            </w:r>
          </w:p>
        </w:tc>
        <w:tc>
          <w:tcPr>
            <w:tcW w:w="1373" w:type="pct"/>
            <w:tcBorders>
              <w:top w:val="nil"/>
              <w:left w:val="nil"/>
              <w:bottom w:val="single" w:sz="4" w:space="0" w:color="auto"/>
              <w:right w:val="single" w:sz="4" w:space="0" w:color="auto"/>
            </w:tcBorders>
            <w:shd w:val="clear" w:color="auto" w:fill="auto"/>
            <w:noWrap/>
            <w:vAlign w:val="center"/>
            <w:hideMark/>
          </w:tcPr>
          <w:p w14:paraId="222AA564" w14:textId="77777777" w:rsidR="003E78EF" w:rsidRPr="00563AD3" w:rsidRDefault="003E78EF" w:rsidP="009B13F3">
            <w:pPr>
              <w:spacing w:after="0"/>
              <w:jc w:val="center"/>
              <w:rPr>
                <w:color w:val="000000"/>
              </w:rPr>
            </w:pPr>
            <w:r w:rsidRPr="00563AD3">
              <w:rPr>
                <w:color w:val="000000"/>
              </w:rPr>
              <w:t>X</w:t>
            </w:r>
          </w:p>
        </w:tc>
        <w:tc>
          <w:tcPr>
            <w:tcW w:w="1129" w:type="pct"/>
            <w:tcBorders>
              <w:top w:val="nil"/>
              <w:left w:val="nil"/>
              <w:bottom w:val="single" w:sz="4" w:space="0" w:color="auto"/>
              <w:right w:val="single" w:sz="4" w:space="0" w:color="auto"/>
            </w:tcBorders>
            <w:shd w:val="clear" w:color="auto" w:fill="auto"/>
            <w:noWrap/>
            <w:vAlign w:val="center"/>
            <w:hideMark/>
          </w:tcPr>
          <w:p w14:paraId="5917C2F8" w14:textId="77777777" w:rsidR="003E78EF" w:rsidRPr="00563AD3" w:rsidRDefault="003E78EF" w:rsidP="009B13F3">
            <w:pPr>
              <w:spacing w:after="0"/>
              <w:jc w:val="center"/>
              <w:rPr>
                <w:color w:val="000000"/>
              </w:rPr>
            </w:pPr>
            <w:r w:rsidRPr="00563AD3">
              <w:rPr>
                <w:color w:val="000000"/>
              </w:rPr>
              <w:sym w:font="Wingdings" w:char="F0FC"/>
            </w:r>
          </w:p>
        </w:tc>
        <w:tc>
          <w:tcPr>
            <w:tcW w:w="1049" w:type="pct"/>
            <w:tcBorders>
              <w:top w:val="nil"/>
              <w:left w:val="nil"/>
              <w:bottom w:val="single" w:sz="4" w:space="0" w:color="auto"/>
              <w:right w:val="single" w:sz="4" w:space="0" w:color="auto"/>
            </w:tcBorders>
          </w:tcPr>
          <w:p w14:paraId="7F9F9588" w14:textId="77777777" w:rsidR="003E78EF" w:rsidRPr="00563AD3" w:rsidRDefault="003E78EF" w:rsidP="009B13F3">
            <w:pPr>
              <w:spacing w:after="0"/>
              <w:jc w:val="center"/>
              <w:rPr>
                <w:color w:val="000000"/>
              </w:rPr>
            </w:pPr>
            <w:r w:rsidRPr="00563AD3">
              <w:rPr>
                <w:color w:val="000000"/>
              </w:rPr>
              <w:sym w:font="Wingdings" w:char="F0FC"/>
            </w:r>
          </w:p>
        </w:tc>
      </w:tr>
      <w:tr w:rsidR="003E78EF" w:rsidRPr="00563AD3" w14:paraId="130FAC7B" w14:textId="77777777" w:rsidTr="003B09E8">
        <w:trPr>
          <w:trHeight w:val="300"/>
        </w:trPr>
        <w:tc>
          <w:tcPr>
            <w:tcW w:w="1449" w:type="pct"/>
            <w:tcBorders>
              <w:top w:val="nil"/>
              <w:left w:val="single" w:sz="4" w:space="0" w:color="auto"/>
              <w:bottom w:val="single" w:sz="4" w:space="0" w:color="auto"/>
              <w:right w:val="single" w:sz="4" w:space="0" w:color="auto"/>
            </w:tcBorders>
            <w:shd w:val="clear" w:color="auto" w:fill="auto"/>
            <w:noWrap/>
            <w:vAlign w:val="center"/>
            <w:hideMark/>
          </w:tcPr>
          <w:p w14:paraId="1AFD2C2A" w14:textId="77777777" w:rsidR="003E78EF" w:rsidRPr="00563AD3" w:rsidRDefault="003E78EF" w:rsidP="009B13F3">
            <w:pPr>
              <w:spacing w:after="0"/>
              <w:rPr>
                <w:color w:val="000000"/>
              </w:rPr>
            </w:pPr>
            <w:r w:rsidRPr="00563AD3">
              <w:rPr>
                <w:color w:val="000000"/>
              </w:rPr>
              <w:t>Proxy informant</w:t>
            </w:r>
          </w:p>
        </w:tc>
        <w:tc>
          <w:tcPr>
            <w:tcW w:w="1373" w:type="pct"/>
            <w:tcBorders>
              <w:top w:val="nil"/>
              <w:left w:val="nil"/>
              <w:bottom w:val="single" w:sz="4" w:space="0" w:color="auto"/>
              <w:right w:val="single" w:sz="4" w:space="0" w:color="auto"/>
            </w:tcBorders>
            <w:shd w:val="clear" w:color="auto" w:fill="auto"/>
            <w:noWrap/>
            <w:vAlign w:val="center"/>
            <w:hideMark/>
          </w:tcPr>
          <w:p w14:paraId="7D93F902" w14:textId="77777777" w:rsidR="003E78EF" w:rsidRPr="00563AD3" w:rsidRDefault="003E78EF" w:rsidP="009B13F3">
            <w:pPr>
              <w:spacing w:after="0"/>
              <w:jc w:val="center"/>
              <w:rPr>
                <w:color w:val="000000"/>
              </w:rPr>
            </w:pPr>
            <w:r w:rsidRPr="00563AD3">
              <w:rPr>
                <w:color w:val="000000"/>
              </w:rPr>
              <w:t>X</w:t>
            </w:r>
          </w:p>
        </w:tc>
        <w:tc>
          <w:tcPr>
            <w:tcW w:w="1129" w:type="pct"/>
            <w:tcBorders>
              <w:top w:val="nil"/>
              <w:left w:val="nil"/>
              <w:bottom w:val="single" w:sz="4" w:space="0" w:color="auto"/>
              <w:right w:val="single" w:sz="4" w:space="0" w:color="auto"/>
            </w:tcBorders>
            <w:shd w:val="clear" w:color="auto" w:fill="auto"/>
            <w:noWrap/>
            <w:vAlign w:val="center"/>
            <w:hideMark/>
          </w:tcPr>
          <w:p w14:paraId="30C4B2F2" w14:textId="77777777" w:rsidR="003E78EF" w:rsidRPr="00563AD3" w:rsidRDefault="003E78EF" w:rsidP="009B13F3">
            <w:pPr>
              <w:spacing w:after="0"/>
              <w:jc w:val="center"/>
              <w:rPr>
                <w:color w:val="000000"/>
              </w:rPr>
            </w:pPr>
            <w:r w:rsidRPr="00563AD3">
              <w:rPr>
                <w:color w:val="000000"/>
              </w:rPr>
              <w:t>X</w:t>
            </w:r>
          </w:p>
        </w:tc>
        <w:tc>
          <w:tcPr>
            <w:tcW w:w="1049" w:type="pct"/>
            <w:tcBorders>
              <w:top w:val="nil"/>
              <w:left w:val="nil"/>
              <w:bottom w:val="single" w:sz="4" w:space="0" w:color="auto"/>
              <w:right w:val="single" w:sz="4" w:space="0" w:color="auto"/>
            </w:tcBorders>
            <w:shd w:val="clear" w:color="auto" w:fill="A6A6A6" w:themeFill="background1" w:themeFillShade="A6"/>
          </w:tcPr>
          <w:p w14:paraId="0511B314" w14:textId="77777777" w:rsidR="003E78EF" w:rsidRPr="00563AD3" w:rsidRDefault="003E78EF" w:rsidP="009B13F3">
            <w:pPr>
              <w:spacing w:after="0"/>
              <w:jc w:val="center"/>
              <w:rPr>
                <w:color w:val="000000"/>
              </w:rPr>
            </w:pPr>
          </w:p>
        </w:tc>
      </w:tr>
      <w:tr w:rsidR="003E78EF" w:rsidRPr="00563AD3" w14:paraId="7DC50F55" w14:textId="77777777" w:rsidTr="003B09E8">
        <w:trPr>
          <w:trHeight w:val="300"/>
        </w:trPr>
        <w:tc>
          <w:tcPr>
            <w:tcW w:w="1449" w:type="pct"/>
            <w:tcBorders>
              <w:top w:val="nil"/>
              <w:left w:val="single" w:sz="4" w:space="0" w:color="auto"/>
              <w:bottom w:val="single" w:sz="4" w:space="0" w:color="auto"/>
              <w:right w:val="single" w:sz="4" w:space="0" w:color="auto"/>
            </w:tcBorders>
            <w:shd w:val="clear" w:color="auto" w:fill="auto"/>
            <w:noWrap/>
            <w:vAlign w:val="center"/>
            <w:hideMark/>
          </w:tcPr>
          <w:p w14:paraId="5B58B696" w14:textId="798AE3A0" w:rsidR="003E78EF" w:rsidRPr="00563AD3" w:rsidRDefault="00070560" w:rsidP="009B13F3">
            <w:pPr>
              <w:spacing w:after="0"/>
              <w:rPr>
                <w:color w:val="000000"/>
              </w:rPr>
            </w:pPr>
            <w:r w:rsidRPr="00563AD3">
              <w:rPr>
                <w:color w:val="000000"/>
              </w:rPr>
              <w:t>DCM™</w:t>
            </w:r>
            <w:r w:rsidR="008556A1" w:rsidRPr="00563AD3">
              <w:rPr>
                <w:color w:val="000000"/>
              </w:rPr>
              <w:t xml:space="preserve"> </w:t>
            </w:r>
            <w:r w:rsidR="003E78EF" w:rsidRPr="00563AD3">
              <w:rPr>
                <w:color w:val="000000"/>
              </w:rPr>
              <w:t>mapper</w:t>
            </w:r>
          </w:p>
        </w:tc>
        <w:tc>
          <w:tcPr>
            <w:tcW w:w="1373" w:type="pct"/>
            <w:tcBorders>
              <w:top w:val="nil"/>
              <w:left w:val="nil"/>
              <w:bottom w:val="single" w:sz="4" w:space="0" w:color="auto"/>
              <w:right w:val="single" w:sz="4" w:space="0" w:color="auto"/>
            </w:tcBorders>
            <w:shd w:val="clear" w:color="auto" w:fill="auto"/>
            <w:noWrap/>
            <w:vAlign w:val="center"/>
            <w:hideMark/>
          </w:tcPr>
          <w:p w14:paraId="75617267" w14:textId="77777777" w:rsidR="003E78EF" w:rsidRPr="00563AD3" w:rsidRDefault="003E78EF" w:rsidP="009B13F3">
            <w:pPr>
              <w:spacing w:after="0"/>
              <w:jc w:val="center"/>
              <w:rPr>
                <w:color w:val="000000"/>
              </w:rPr>
            </w:pPr>
            <w:r w:rsidRPr="00563AD3">
              <w:rPr>
                <w:color w:val="000000"/>
              </w:rPr>
              <w:t>X</w:t>
            </w:r>
          </w:p>
        </w:tc>
        <w:tc>
          <w:tcPr>
            <w:tcW w:w="1129" w:type="pct"/>
            <w:tcBorders>
              <w:top w:val="nil"/>
              <w:left w:val="nil"/>
              <w:bottom w:val="single" w:sz="4" w:space="0" w:color="auto"/>
              <w:right w:val="single" w:sz="4" w:space="0" w:color="auto"/>
            </w:tcBorders>
            <w:shd w:val="clear" w:color="auto" w:fill="A6A6A6" w:themeFill="background1" w:themeFillShade="A6"/>
            <w:noWrap/>
            <w:vAlign w:val="center"/>
            <w:hideMark/>
          </w:tcPr>
          <w:p w14:paraId="366ED86C" w14:textId="77777777" w:rsidR="003E78EF" w:rsidRPr="00563AD3" w:rsidRDefault="003E78EF" w:rsidP="009B13F3">
            <w:pPr>
              <w:spacing w:after="0"/>
              <w:jc w:val="center"/>
              <w:rPr>
                <w:color w:val="000000"/>
              </w:rPr>
            </w:pPr>
          </w:p>
        </w:tc>
        <w:tc>
          <w:tcPr>
            <w:tcW w:w="1049" w:type="pct"/>
            <w:tcBorders>
              <w:top w:val="nil"/>
              <w:left w:val="nil"/>
              <w:bottom w:val="single" w:sz="4" w:space="0" w:color="auto"/>
              <w:right w:val="single" w:sz="4" w:space="0" w:color="auto"/>
            </w:tcBorders>
          </w:tcPr>
          <w:p w14:paraId="55717C94" w14:textId="77777777" w:rsidR="003E78EF" w:rsidRPr="00563AD3" w:rsidRDefault="003E78EF" w:rsidP="009B13F3">
            <w:pPr>
              <w:spacing w:after="0"/>
              <w:jc w:val="center"/>
              <w:rPr>
                <w:color w:val="000000"/>
              </w:rPr>
            </w:pPr>
            <w:r w:rsidRPr="00563AD3">
              <w:rPr>
                <w:color w:val="000000"/>
              </w:rPr>
              <w:t>X</w:t>
            </w:r>
          </w:p>
        </w:tc>
      </w:tr>
      <w:tr w:rsidR="003E78EF" w:rsidRPr="00563AD3" w14:paraId="1A165A1D" w14:textId="77777777" w:rsidTr="003B09E8">
        <w:trPr>
          <w:trHeight w:val="300"/>
        </w:trPr>
        <w:tc>
          <w:tcPr>
            <w:tcW w:w="1449" w:type="pct"/>
            <w:tcBorders>
              <w:top w:val="nil"/>
              <w:left w:val="single" w:sz="4" w:space="0" w:color="auto"/>
              <w:bottom w:val="single" w:sz="4" w:space="0" w:color="auto"/>
              <w:right w:val="single" w:sz="4" w:space="0" w:color="auto"/>
            </w:tcBorders>
            <w:shd w:val="clear" w:color="auto" w:fill="auto"/>
            <w:noWrap/>
            <w:vAlign w:val="center"/>
            <w:hideMark/>
          </w:tcPr>
          <w:p w14:paraId="0BEA1A5B" w14:textId="77777777" w:rsidR="003E78EF" w:rsidRPr="00563AD3" w:rsidRDefault="003E78EF" w:rsidP="009B13F3">
            <w:pPr>
              <w:spacing w:after="0"/>
              <w:rPr>
                <w:color w:val="000000"/>
              </w:rPr>
            </w:pPr>
            <w:r w:rsidRPr="00563AD3">
              <w:rPr>
                <w:color w:val="000000"/>
              </w:rPr>
              <w:t xml:space="preserve">Process evaluation </w:t>
            </w:r>
          </w:p>
        </w:tc>
        <w:tc>
          <w:tcPr>
            <w:tcW w:w="1373" w:type="pct"/>
            <w:tcBorders>
              <w:top w:val="nil"/>
              <w:left w:val="nil"/>
              <w:bottom w:val="single" w:sz="4" w:space="0" w:color="auto"/>
              <w:right w:val="single" w:sz="4" w:space="0" w:color="auto"/>
            </w:tcBorders>
            <w:shd w:val="clear" w:color="auto" w:fill="auto"/>
            <w:noWrap/>
            <w:vAlign w:val="center"/>
            <w:hideMark/>
          </w:tcPr>
          <w:p w14:paraId="2F01CCE2" w14:textId="77777777" w:rsidR="003E78EF" w:rsidRPr="00563AD3" w:rsidRDefault="003E78EF" w:rsidP="009B13F3">
            <w:pPr>
              <w:spacing w:after="0"/>
              <w:jc w:val="center"/>
              <w:rPr>
                <w:color w:val="000000"/>
              </w:rPr>
            </w:pPr>
            <w:r w:rsidRPr="00563AD3">
              <w:rPr>
                <w:color w:val="000000"/>
              </w:rPr>
              <w:t>X</w:t>
            </w:r>
          </w:p>
        </w:tc>
        <w:tc>
          <w:tcPr>
            <w:tcW w:w="1129" w:type="pct"/>
            <w:tcBorders>
              <w:top w:val="nil"/>
              <w:left w:val="nil"/>
              <w:bottom w:val="single" w:sz="4" w:space="0" w:color="auto"/>
              <w:right w:val="single" w:sz="4" w:space="0" w:color="auto"/>
            </w:tcBorders>
            <w:shd w:val="clear" w:color="auto" w:fill="auto"/>
            <w:noWrap/>
            <w:vAlign w:val="center"/>
            <w:hideMark/>
          </w:tcPr>
          <w:p w14:paraId="731DB9F0" w14:textId="77777777" w:rsidR="003E78EF" w:rsidRPr="00563AD3" w:rsidRDefault="003E78EF" w:rsidP="009B13F3">
            <w:pPr>
              <w:spacing w:after="0"/>
              <w:jc w:val="center"/>
              <w:rPr>
                <w:color w:val="000000"/>
              </w:rPr>
            </w:pPr>
            <w:r w:rsidRPr="00563AD3">
              <w:rPr>
                <w:color w:val="000000"/>
              </w:rPr>
              <w:sym w:font="Wingdings" w:char="F0FC"/>
            </w:r>
          </w:p>
        </w:tc>
        <w:tc>
          <w:tcPr>
            <w:tcW w:w="1049" w:type="pct"/>
            <w:tcBorders>
              <w:top w:val="nil"/>
              <w:left w:val="nil"/>
              <w:bottom w:val="single" w:sz="4" w:space="0" w:color="auto"/>
              <w:right w:val="single" w:sz="4" w:space="0" w:color="auto"/>
            </w:tcBorders>
          </w:tcPr>
          <w:p w14:paraId="56732319" w14:textId="77777777" w:rsidR="003E78EF" w:rsidRPr="00563AD3" w:rsidRDefault="003E78EF" w:rsidP="009B13F3">
            <w:pPr>
              <w:spacing w:after="0"/>
              <w:jc w:val="center"/>
              <w:rPr>
                <w:color w:val="000000"/>
              </w:rPr>
            </w:pPr>
            <w:r w:rsidRPr="00563AD3">
              <w:rPr>
                <w:color w:val="000000"/>
              </w:rPr>
              <w:sym w:font="Wingdings" w:char="F0FC"/>
            </w:r>
          </w:p>
        </w:tc>
      </w:tr>
    </w:tbl>
    <w:p w14:paraId="668BD0D1" w14:textId="77777777" w:rsidR="003E78EF" w:rsidRPr="00563AD3" w:rsidRDefault="003E78EF" w:rsidP="009B13F3"/>
    <w:p w14:paraId="771BC6C8" w14:textId="792A7562" w:rsidR="003E78EF" w:rsidRPr="00563AD3" w:rsidRDefault="003E78EF" w:rsidP="009B13F3">
      <w:pPr>
        <w:pStyle w:val="Heading4"/>
      </w:pPr>
      <w:bookmarkStart w:id="53" w:name="_Toc388367097"/>
      <w:bookmarkStart w:id="54" w:name="_Toc455576277"/>
      <w:bookmarkEnd w:id="53"/>
      <w:r w:rsidRPr="00563AD3">
        <w:t>2.3.3.2 Staff measures</w:t>
      </w:r>
      <w:bookmarkEnd w:id="54"/>
    </w:p>
    <w:p w14:paraId="48332A36" w14:textId="326A53A7" w:rsidR="003E78EF" w:rsidRPr="00563AD3" w:rsidRDefault="00017AC7" w:rsidP="009B13F3">
      <w:r w:rsidRPr="00563AD3">
        <w:t xml:space="preserve">To be eligible to complete </w:t>
      </w:r>
      <w:r w:rsidR="00645DC5" w:rsidRPr="00563AD3">
        <w:t>a staff measures</w:t>
      </w:r>
      <w:r w:rsidRPr="00563AD3">
        <w:t xml:space="preserve"> </w:t>
      </w:r>
      <w:r w:rsidR="00E05778" w:rsidRPr="00563AD3">
        <w:t xml:space="preserve">booklet, </w:t>
      </w:r>
      <w:r w:rsidRPr="00563AD3">
        <w:t xml:space="preserve">staff </w:t>
      </w:r>
      <w:r w:rsidR="00C555F5" w:rsidRPr="00563AD3">
        <w:t xml:space="preserve">were required to </w:t>
      </w:r>
      <w:r w:rsidRPr="00563AD3">
        <w:t xml:space="preserve">be </w:t>
      </w:r>
      <w:r w:rsidR="003E78EF" w:rsidRPr="00563AD3">
        <w:t xml:space="preserve">a permanent, contracted, agency or bank member of staff at </w:t>
      </w:r>
      <w:r w:rsidRPr="00563AD3">
        <w:t xml:space="preserve">the time of data collection and have </w:t>
      </w:r>
      <w:r w:rsidR="003E78EF" w:rsidRPr="00563AD3">
        <w:rPr>
          <w:szCs w:val="24"/>
          <w:lang w:val="en-US"/>
        </w:rPr>
        <w:t>sufficient proficiency in English</w:t>
      </w:r>
      <w:r w:rsidRPr="00563AD3">
        <w:rPr>
          <w:szCs w:val="24"/>
          <w:lang w:val="en-US"/>
        </w:rPr>
        <w:t xml:space="preserve">. Consent to participate in this role was assumed through staff return of the booklet. The </w:t>
      </w:r>
      <w:r w:rsidR="00C27710" w:rsidRPr="00563AD3">
        <w:t>staff</w:t>
      </w:r>
      <w:r w:rsidR="003E78EF" w:rsidRPr="00563AD3">
        <w:t xml:space="preserve"> </w:t>
      </w:r>
      <w:r w:rsidRPr="00563AD3">
        <w:t xml:space="preserve">measures </w:t>
      </w:r>
      <w:r w:rsidR="003E78EF" w:rsidRPr="00563AD3">
        <w:t>booklet</w:t>
      </w:r>
      <w:r w:rsidR="0081409F" w:rsidRPr="00563AD3">
        <w:t>s</w:t>
      </w:r>
      <w:r w:rsidR="003E78EF" w:rsidRPr="00563AD3">
        <w:t xml:space="preserve"> </w:t>
      </w:r>
      <w:r w:rsidR="008556A1" w:rsidRPr="00563AD3">
        <w:t>and accompanying information sheet</w:t>
      </w:r>
      <w:r w:rsidR="0081409F" w:rsidRPr="00563AD3">
        <w:t>s</w:t>
      </w:r>
      <w:r w:rsidR="008556A1" w:rsidRPr="00563AD3">
        <w:t xml:space="preserve"> </w:t>
      </w:r>
      <w:r w:rsidR="00A700EB" w:rsidRPr="00563AD3">
        <w:t xml:space="preserve">(see </w:t>
      </w:r>
      <w:r w:rsidR="00A700EB" w:rsidRPr="00E323FA">
        <w:rPr>
          <w:i/>
        </w:rPr>
        <w:t>Supplementary Material</w:t>
      </w:r>
      <w:r w:rsidR="00A700EB" w:rsidRPr="00563AD3">
        <w:t xml:space="preserve">) </w:t>
      </w:r>
      <w:r w:rsidR="0081409F" w:rsidRPr="00563AD3">
        <w:t>were</w:t>
      </w:r>
      <w:r w:rsidRPr="00563AD3">
        <w:t xml:space="preserve"> </w:t>
      </w:r>
      <w:r w:rsidR="003E78EF" w:rsidRPr="00563AD3">
        <w:t>distribute</w:t>
      </w:r>
      <w:r w:rsidRPr="00563AD3">
        <w:t>d</w:t>
      </w:r>
      <w:r w:rsidR="003E78EF" w:rsidRPr="00563AD3">
        <w:t xml:space="preserve"> to </w:t>
      </w:r>
      <w:r w:rsidRPr="00563AD3">
        <w:t>all</w:t>
      </w:r>
      <w:r w:rsidR="003E78EF" w:rsidRPr="00563AD3">
        <w:t xml:space="preserve"> eligible staff member</w:t>
      </w:r>
      <w:r w:rsidRPr="00563AD3">
        <w:t xml:space="preserve">s at each data collection visit by the </w:t>
      </w:r>
      <w:r w:rsidR="00645DC5" w:rsidRPr="00563AD3">
        <w:t>r</w:t>
      </w:r>
      <w:r w:rsidRPr="00563AD3">
        <w:t>esearcher</w:t>
      </w:r>
      <w:r w:rsidR="00645DC5" w:rsidRPr="00563AD3">
        <w:t>,</w:t>
      </w:r>
      <w:r w:rsidRPr="00563AD3">
        <w:t xml:space="preserve"> or care home manager</w:t>
      </w:r>
      <w:r w:rsidR="003E78EF" w:rsidRPr="00563AD3">
        <w:t xml:space="preserve">. </w:t>
      </w:r>
      <w:r w:rsidR="0081409F" w:rsidRPr="00563AD3">
        <w:t>B</w:t>
      </w:r>
      <w:r w:rsidRPr="00563AD3">
        <w:t>ooklet</w:t>
      </w:r>
      <w:r w:rsidR="0081409F" w:rsidRPr="00563AD3">
        <w:t>s</w:t>
      </w:r>
      <w:r w:rsidRPr="00563AD3">
        <w:t xml:space="preserve"> </w:t>
      </w:r>
      <w:r w:rsidR="0081409F" w:rsidRPr="00563AD3">
        <w:t>were</w:t>
      </w:r>
      <w:r w:rsidRPr="00563AD3">
        <w:t xml:space="preserve"> returned</w:t>
      </w:r>
      <w:r w:rsidR="003E78EF" w:rsidRPr="00563AD3">
        <w:t xml:space="preserve"> anonymously </w:t>
      </w:r>
      <w:r w:rsidR="00645DC5" w:rsidRPr="00563AD3">
        <w:t xml:space="preserve">by the staff member </w:t>
      </w:r>
      <w:r w:rsidR="001A3BC3" w:rsidRPr="00563AD3">
        <w:t>either via</w:t>
      </w:r>
      <w:r w:rsidR="003E78EF" w:rsidRPr="00563AD3">
        <w:t xml:space="preserve"> a sealed envelope to a</w:t>
      </w:r>
      <w:r w:rsidR="00FF2F9E" w:rsidRPr="00563AD3">
        <w:t xml:space="preserve"> locked</w:t>
      </w:r>
      <w:r w:rsidR="003E78EF" w:rsidRPr="00563AD3">
        <w:t xml:space="preserve"> box located within the care home or post</w:t>
      </w:r>
      <w:r w:rsidRPr="00563AD3">
        <w:t>ed</w:t>
      </w:r>
      <w:r w:rsidR="003E78EF" w:rsidRPr="00563AD3">
        <w:t xml:space="preserve"> directly to the research office in the stamped </w:t>
      </w:r>
      <w:r w:rsidRPr="00563AD3">
        <w:t>return</w:t>
      </w:r>
      <w:r w:rsidR="003E78EF" w:rsidRPr="00563AD3">
        <w:t xml:space="preserve"> envelope provided. </w:t>
      </w:r>
    </w:p>
    <w:p w14:paraId="23A10DC7" w14:textId="5EE361C4" w:rsidR="003E78EF" w:rsidRPr="00563AD3" w:rsidRDefault="003E78EF" w:rsidP="009B13F3">
      <w:pPr>
        <w:pStyle w:val="Heading4"/>
      </w:pPr>
      <w:bookmarkStart w:id="55" w:name="_Toc455576278"/>
      <w:r w:rsidRPr="00563AD3">
        <w:t xml:space="preserve">2.3.3.3 Proxy </w:t>
      </w:r>
      <w:r w:rsidR="00EA3343" w:rsidRPr="00563AD3">
        <w:t xml:space="preserve">informant </w:t>
      </w:r>
      <w:r w:rsidRPr="00563AD3">
        <w:t>eligibility, recruitment and consent</w:t>
      </w:r>
      <w:bookmarkEnd w:id="55"/>
    </w:p>
    <w:p w14:paraId="791B1A23" w14:textId="50C5B945" w:rsidR="003E78EF" w:rsidRPr="00563AD3" w:rsidRDefault="003E78EF" w:rsidP="009B13F3">
      <w:r w:rsidRPr="00563AD3">
        <w:t xml:space="preserve">To be eligible to </w:t>
      </w:r>
      <w:r w:rsidR="00EA3343" w:rsidRPr="00563AD3">
        <w:t xml:space="preserve">act as a </w:t>
      </w:r>
      <w:r w:rsidRPr="00563AD3">
        <w:t xml:space="preserve">proxy </w:t>
      </w:r>
      <w:r w:rsidR="00EA3343" w:rsidRPr="00563AD3">
        <w:t xml:space="preserve">informant and provide proxy </w:t>
      </w:r>
      <w:r w:rsidRPr="00563AD3">
        <w:t xml:space="preserve">data on a resident, staff </w:t>
      </w:r>
      <w:r w:rsidR="00EA3343" w:rsidRPr="00563AD3">
        <w:t xml:space="preserve">had to be </w:t>
      </w:r>
      <w:r w:rsidRPr="00563AD3">
        <w:t>a permanent or contracted member of staff</w:t>
      </w:r>
      <w:r w:rsidR="00EA3343" w:rsidRPr="00563AD3">
        <w:t xml:space="preserve"> who knew the resident well. Bank or agency staff were not eligible </w:t>
      </w:r>
      <w:r w:rsidR="0081409F" w:rsidRPr="00563AD3">
        <w:t>for this role</w:t>
      </w:r>
      <w:r w:rsidR="00EA3343" w:rsidRPr="00563AD3">
        <w:t>.</w:t>
      </w:r>
      <w:r w:rsidRPr="00563AD3">
        <w:t xml:space="preserve"> </w:t>
      </w:r>
      <w:r w:rsidR="00EA3343" w:rsidRPr="00563AD3">
        <w:t>Potential proxy informants were identified by the care home manager/senior member of staff</w:t>
      </w:r>
      <w:r w:rsidR="00A700EB" w:rsidRPr="00563AD3">
        <w:t xml:space="preserve"> using the appropriate trial documentation (see </w:t>
      </w:r>
      <w:r w:rsidR="00A700EB" w:rsidRPr="00E323FA">
        <w:rPr>
          <w:i/>
        </w:rPr>
        <w:t>Supplementary Material</w:t>
      </w:r>
      <w:r w:rsidR="00A700EB" w:rsidRPr="00563AD3">
        <w:t>)</w:t>
      </w:r>
      <w:r w:rsidR="00EA3343" w:rsidRPr="00563AD3">
        <w:t xml:space="preserve">. </w:t>
      </w:r>
      <w:r w:rsidRPr="00563AD3">
        <w:t xml:space="preserve">Where possible the same proxy </w:t>
      </w:r>
      <w:r w:rsidR="00EA3343" w:rsidRPr="00563AD3">
        <w:t xml:space="preserve">informant was used for each resident throughout </w:t>
      </w:r>
      <w:r w:rsidRPr="00563AD3">
        <w:t>the trial</w:t>
      </w:r>
      <w:r w:rsidR="001E5A81" w:rsidRPr="00563AD3">
        <w:t>, although this was not always possible due to</w:t>
      </w:r>
      <w:r w:rsidR="006F6444" w:rsidRPr="00563AD3">
        <w:t xml:space="preserve"> </w:t>
      </w:r>
      <w:r w:rsidR="001E5A81" w:rsidRPr="00563AD3">
        <w:t>staff turnover</w:t>
      </w:r>
      <w:r w:rsidR="006F6444" w:rsidRPr="00563AD3">
        <w:t>, annual leave and shift patterns</w:t>
      </w:r>
      <w:r w:rsidRPr="00563AD3">
        <w:t xml:space="preserve">. </w:t>
      </w:r>
    </w:p>
    <w:p w14:paraId="1BB024DA" w14:textId="77777777" w:rsidR="00CA0733" w:rsidRPr="00563AD3" w:rsidRDefault="00CA0733" w:rsidP="009B13F3"/>
    <w:p w14:paraId="1FC69C9D" w14:textId="6ADABAB3" w:rsidR="003E78EF" w:rsidRPr="00563AD3" w:rsidRDefault="009F1990" w:rsidP="009B13F3">
      <w:pPr>
        <w:pStyle w:val="Heading3"/>
      </w:pPr>
      <w:bookmarkStart w:id="56" w:name="_Toc525543961"/>
      <w:r w:rsidRPr="00563AD3">
        <w:t>2.3.4 Relative/friend eligibility, recruitment and consent</w:t>
      </w:r>
      <w:bookmarkEnd w:id="56"/>
    </w:p>
    <w:p w14:paraId="40D351FC" w14:textId="7CD17D5A" w:rsidR="00EA3343" w:rsidRPr="00563AD3" w:rsidRDefault="009F1990" w:rsidP="009B13F3">
      <w:r w:rsidRPr="00563AD3">
        <w:t xml:space="preserve">Where possible a relative or friend who visited the care home regularly was identified for each participating resident, to provide proxy data. The relative/friend proxy was identified either in discussion with the resident or the care home manager/senior member of staff. They </w:t>
      </w:r>
      <w:r w:rsidR="001A3BC3" w:rsidRPr="00563AD3">
        <w:t xml:space="preserve">could </w:t>
      </w:r>
      <w:r w:rsidRPr="00563AD3">
        <w:t xml:space="preserve">also act in the role of Personal Consultee. </w:t>
      </w:r>
      <w:r w:rsidR="00EA3343" w:rsidRPr="00563AD3">
        <w:t xml:space="preserve">To be eligible to provide proxy data, </w:t>
      </w:r>
      <w:r w:rsidR="000978FE" w:rsidRPr="00563AD3">
        <w:t>r</w:t>
      </w:r>
      <w:r w:rsidR="00EA3343" w:rsidRPr="00563AD3">
        <w:t>elatives/</w:t>
      </w:r>
      <w:r w:rsidR="000978FE" w:rsidRPr="00563AD3">
        <w:t>f</w:t>
      </w:r>
      <w:r w:rsidR="00EA3343" w:rsidRPr="00563AD3">
        <w:t xml:space="preserve">riends </w:t>
      </w:r>
      <w:r w:rsidR="000978FE" w:rsidRPr="00563AD3">
        <w:t>were required</w:t>
      </w:r>
      <w:r w:rsidRPr="00563AD3">
        <w:t xml:space="preserve"> to visit the resident at least once per week over the last month, be willing to provide data either by telephone or post during the data collection week and </w:t>
      </w:r>
      <w:r w:rsidR="000978FE" w:rsidRPr="00563AD3">
        <w:t xml:space="preserve">to </w:t>
      </w:r>
      <w:r w:rsidRPr="00563AD3">
        <w:t xml:space="preserve">have </w:t>
      </w:r>
      <w:r w:rsidR="00EA3343" w:rsidRPr="00563AD3">
        <w:rPr>
          <w:szCs w:val="24"/>
          <w:lang w:val="en-US"/>
        </w:rPr>
        <w:t>sufficient proficiency in English to contribute to the data collection required.</w:t>
      </w:r>
      <w:r w:rsidR="004B3D9A" w:rsidRPr="00563AD3">
        <w:rPr>
          <w:szCs w:val="24"/>
          <w:lang w:val="en-US"/>
        </w:rPr>
        <w:t xml:space="preserve"> Relatives/friends were approached either in person by the care home manger or </w:t>
      </w:r>
      <w:r w:rsidR="000978FE" w:rsidRPr="00563AD3">
        <w:rPr>
          <w:szCs w:val="24"/>
          <w:lang w:val="en-US"/>
        </w:rPr>
        <w:t>r</w:t>
      </w:r>
      <w:r w:rsidR="004B3D9A" w:rsidRPr="00563AD3">
        <w:rPr>
          <w:szCs w:val="24"/>
          <w:lang w:val="en-US"/>
        </w:rPr>
        <w:t>esearcher or by post, depending on visiting patterns and times</w:t>
      </w:r>
      <w:r w:rsidR="00A700EB" w:rsidRPr="00563AD3">
        <w:rPr>
          <w:szCs w:val="24"/>
          <w:lang w:val="en-US"/>
        </w:rPr>
        <w:t xml:space="preserve"> using the appropriate trial documentation (see </w:t>
      </w:r>
      <w:r w:rsidR="00A700EB" w:rsidRPr="00191950">
        <w:rPr>
          <w:i/>
        </w:rPr>
        <w:t>Supplementary Material</w:t>
      </w:r>
      <w:r w:rsidR="00A700EB" w:rsidRPr="00563AD3">
        <w:t>)</w:t>
      </w:r>
      <w:r w:rsidR="004B3D9A" w:rsidRPr="00563AD3">
        <w:rPr>
          <w:szCs w:val="24"/>
          <w:lang w:val="en-US"/>
        </w:rPr>
        <w:t>.</w:t>
      </w:r>
    </w:p>
    <w:p w14:paraId="3D470D40" w14:textId="34886C3D" w:rsidR="00EA3343" w:rsidRPr="00563AD3" w:rsidRDefault="00EA3343" w:rsidP="009B13F3">
      <w:r w:rsidRPr="00563AD3">
        <w:t>Relative</w:t>
      </w:r>
      <w:r w:rsidR="009A7926" w:rsidRPr="00563AD3">
        <w:t>/</w:t>
      </w:r>
      <w:r w:rsidR="000978FE" w:rsidRPr="00563AD3">
        <w:t>f</w:t>
      </w:r>
      <w:r w:rsidRPr="00563AD3">
        <w:t xml:space="preserve">riend recruitment </w:t>
      </w:r>
      <w:r w:rsidR="009F1990" w:rsidRPr="00563AD3">
        <w:t>took</w:t>
      </w:r>
      <w:r w:rsidRPr="00563AD3">
        <w:t xml:space="preserve"> place at baseline </w:t>
      </w:r>
      <w:r w:rsidR="00D41F8D" w:rsidRPr="00563AD3">
        <w:t>and continued at 6-month follow-up in some homes until December 2015 when the decision to cease further recruitment was made</w:t>
      </w:r>
      <w:r w:rsidR="00FB521A" w:rsidRPr="00563AD3">
        <w:t>,</w:t>
      </w:r>
      <w:r w:rsidR="00D41F8D" w:rsidRPr="00563AD3">
        <w:t xml:space="preserve"> due to low overall relative/friend recruitment. </w:t>
      </w:r>
      <w:r w:rsidR="0081409F" w:rsidRPr="00563AD3">
        <w:t>Data continued to be collected from consented relatives/friends throughout the trial. Their continuing</w:t>
      </w:r>
      <w:r w:rsidR="00D41F8D" w:rsidRPr="00563AD3">
        <w:t xml:space="preserve"> e</w:t>
      </w:r>
      <w:r w:rsidRPr="00563AD3">
        <w:t xml:space="preserve">ligibility </w:t>
      </w:r>
      <w:r w:rsidR="008556A1" w:rsidRPr="00563AD3">
        <w:t xml:space="preserve">for participation </w:t>
      </w:r>
      <w:r w:rsidR="009F1990" w:rsidRPr="00563AD3">
        <w:t>was</w:t>
      </w:r>
      <w:r w:rsidRPr="00563AD3">
        <w:t xml:space="preserve"> reassessed at each subsequent data collection point </w:t>
      </w:r>
      <w:r w:rsidR="008556A1" w:rsidRPr="00563AD3">
        <w:t>because of</w:t>
      </w:r>
      <w:r w:rsidRPr="00563AD3">
        <w:t xml:space="preserve"> </w:t>
      </w:r>
      <w:r w:rsidR="009F1990" w:rsidRPr="00563AD3">
        <w:t>changing patterns of visiting over time. Where relative/friend proxies</w:t>
      </w:r>
      <w:r w:rsidR="00D41F8D" w:rsidRPr="00563AD3">
        <w:t xml:space="preserve"> withdre</w:t>
      </w:r>
      <w:r w:rsidRPr="00563AD3">
        <w:t>w</w:t>
      </w:r>
      <w:r w:rsidR="008556A1" w:rsidRPr="00563AD3">
        <w:t xml:space="preserve"> from the trial</w:t>
      </w:r>
      <w:r w:rsidRPr="00563AD3">
        <w:t xml:space="preserve">, </w:t>
      </w:r>
      <w:r w:rsidR="008556A1" w:rsidRPr="00563AD3">
        <w:t xml:space="preserve">additional </w:t>
      </w:r>
      <w:r w:rsidRPr="00563AD3">
        <w:t>participant relatives</w:t>
      </w:r>
      <w:r w:rsidR="008556A1" w:rsidRPr="00563AD3">
        <w:t>/friends</w:t>
      </w:r>
      <w:r w:rsidRPr="00563AD3">
        <w:t xml:space="preserve"> </w:t>
      </w:r>
      <w:r w:rsidR="009F1990" w:rsidRPr="00563AD3">
        <w:t>were</w:t>
      </w:r>
      <w:r w:rsidRPr="00563AD3">
        <w:t xml:space="preserve"> not </w:t>
      </w:r>
      <w:r w:rsidR="008556A1" w:rsidRPr="00563AD3">
        <w:t>recruited</w:t>
      </w:r>
      <w:r w:rsidRPr="00563AD3">
        <w:t>.</w:t>
      </w:r>
    </w:p>
    <w:p w14:paraId="65B11F16" w14:textId="77777777" w:rsidR="000D5F0A" w:rsidRPr="00563AD3" w:rsidRDefault="000D5F0A" w:rsidP="009B13F3"/>
    <w:p w14:paraId="3F9FB5DA" w14:textId="71BD3880" w:rsidR="0052091B" w:rsidRPr="00563AD3" w:rsidRDefault="0052091B" w:rsidP="009B13F3">
      <w:pPr>
        <w:pStyle w:val="Heading2"/>
      </w:pPr>
      <w:bookmarkStart w:id="57" w:name="_Toc525543962"/>
      <w:r w:rsidRPr="00563AD3">
        <w:t xml:space="preserve">2.4 </w:t>
      </w:r>
      <w:bookmarkStart w:id="58" w:name="_Toc455576281"/>
      <w:r w:rsidR="001422DB" w:rsidRPr="00563AD3">
        <w:t xml:space="preserve">Registration, </w:t>
      </w:r>
      <w:r w:rsidRPr="00563AD3">
        <w:t>Randomisation</w:t>
      </w:r>
      <w:bookmarkEnd w:id="58"/>
      <w:r w:rsidR="001422DB" w:rsidRPr="00563AD3">
        <w:t xml:space="preserve"> and Blinding</w:t>
      </w:r>
      <w:bookmarkEnd w:id="57"/>
    </w:p>
    <w:p w14:paraId="25C008E8" w14:textId="235C635E" w:rsidR="0052091B" w:rsidRPr="00563AD3" w:rsidRDefault="0052091B" w:rsidP="009B13F3">
      <w:pPr>
        <w:pStyle w:val="Heading3"/>
      </w:pPr>
      <w:bookmarkStart w:id="59" w:name="_Toc525543963"/>
      <w:r w:rsidRPr="00563AD3">
        <w:t>2.4.1 Registration of residents</w:t>
      </w:r>
      <w:bookmarkEnd w:id="59"/>
    </w:p>
    <w:p w14:paraId="7A3F07DB" w14:textId="4D0A2912" w:rsidR="0025325A" w:rsidRPr="00563AD3" w:rsidRDefault="0025325A" w:rsidP="009B13F3">
      <w:pPr>
        <w:rPr>
          <w:color w:val="000000"/>
        </w:rPr>
      </w:pPr>
      <w:r w:rsidRPr="00563AD3">
        <w:rPr>
          <w:color w:val="000000"/>
        </w:rPr>
        <w:t xml:space="preserve">Residents recruited at baseline were registered with the </w:t>
      </w:r>
      <w:r w:rsidRPr="00563AD3">
        <w:t>Clinical Trials Research Unit</w:t>
      </w:r>
      <w:r w:rsidRPr="00563AD3">
        <w:rPr>
          <w:color w:val="000000"/>
        </w:rPr>
        <w:t xml:space="preserve"> (CTRU) University of Leeds </w:t>
      </w:r>
      <w:r w:rsidR="006D5211" w:rsidRPr="00563AD3">
        <w:rPr>
          <w:color w:val="000000"/>
        </w:rPr>
        <w:t xml:space="preserve">following </w:t>
      </w:r>
      <w:r w:rsidRPr="00563AD3">
        <w:rPr>
          <w:color w:val="000000"/>
        </w:rPr>
        <w:t>care home recruitment</w:t>
      </w:r>
      <w:r w:rsidR="0081409F" w:rsidRPr="00563AD3">
        <w:rPr>
          <w:color w:val="000000"/>
        </w:rPr>
        <w:t>,</w:t>
      </w:r>
      <w:r w:rsidRPr="00563AD3">
        <w:rPr>
          <w:color w:val="000000"/>
        </w:rPr>
        <w:t xml:space="preserve"> training review </w:t>
      </w:r>
      <w:r w:rsidR="0081409F" w:rsidRPr="00563AD3">
        <w:rPr>
          <w:color w:val="000000"/>
        </w:rPr>
        <w:t xml:space="preserve">(see </w:t>
      </w:r>
      <w:r w:rsidR="0081409F" w:rsidRPr="00E323FA">
        <w:rPr>
          <w:i/>
          <w:color w:val="000000"/>
        </w:rPr>
        <w:t>section</w:t>
      </w:r>
      <w:r w:rsidR="00576B84" w:rsidRPr="00E323FA">
        <w:rPr>
          <w:i/>
          <w:color w:val="000000"/>
        </w:rPr>
        <w:t xml:space="preserve"> 2.3.1.3</w:t>
      </w:r>
      <w:r w:rsidR="0081409F" w:rsidRPr="00563AD3">
        <w:rPr>
          <w:color w:val="000000"/>
        </w:rPr>
        <w:t xml:space="preserve">) </w:t>
      </w:r>
      <w:r w:rsidR="00576B84" w:rsidRPr="00563AD3">
        <w:rPr>
          <w:color w:val="000000"/>
        </w:rPr>
        <w:t xml:space="preserve">eligibility </w:t>
      </w:r>
      <w:r w:rsidRPr="00563AD3">
        <w:rPr>
          <w:color w:val="000000"/>
        </w:rPr>
        <w:t xml:space="preserve">confirmation, </w:t>
      </w:r>
      <w:r w:rsidR="000978FE" w:rsidRPr="00563AD3">
        <w:rPr>
          <w:color w:val="000000"/>
        </w:rPr>
        <w:t xml:space="preserve">obtaining </w:t>
      </w:r>
      <w:r w:rsidRPr="00563AD3">
        <w:rPr>
          <w:color w:val="000000"/>
        </w:rPr>
        <w:t xml:space="preserve">informed consent and </w:t>
      </w:r>
      <w:r w:rsidR="00576B84" w:rsidRPr="00563AD3">
        <w:rPr>
          <w:color w:val="000000"/>
        </w:rPr>
        <w:t xml:space="preserve">resident-level </w:t>
      </w:r>
      <w:r w:rsidRPr="00563AD3">
        <w:rPr>
          <w:color w:val="000000"/>
        </w:rPr>
        <w:t>baseline data collection</w:t>
      </w:r>
      <w:r w:rsidR="00576B84" w:rsidRPr="00563AD3">
        <w:rPr>
          <w:color w:val="000000"/>
        </w:rPr>
        <w:t>,</w:t>
      </w:r>
      <w:r w:rsidRPr="00563AD3">
        <w:rPr>
          <w:color w:val="000000"/>
        </w:rPr>
        <w:t xml:space="preserve"> but prior to care home randomisation. </w:t>
      </w:r>
      <w:r w:rsidR="006A0D8E" w:rsidRPr="00563AD3">
        <w:rPr>
          <w:color w:val="000000"/>
        </w:rPr>
        <w:t xml:space="preserve">Following a design change (see </w:t>
      </w:r>
      <w:r w:rsidR="006A0D8E" w:rsidRPr="00E323FA">
        <w:rPr>
          <w:i/>
          <w:color w:val="000000"/>
        </w:rPr>
        <w:t>section 2.10</w:t>
      </w:r>
      <w:r w:rsidR="006A0D8E" w:rsidRPr="00563AD3">
        <w:rPr>
          <w:color w:val="000000"/>
        </w:rPr>
        <w:t>) a</w:t>
      </w:r>
      <w:r w:rsidR="00576B84" w:rsidRPr="00563AD3">
        <w:rPr>
          <w:color w:val="000000"/>
        </w:rPr>
        <w:t>dditional r</w:t>
      </w:r>
      <w:r w:rsidR="000978FE" w:rsidRPr="00563AD3">
        <w:rPr>
          <w:color w:val="000000"/>
        </w:rPr>
        <w:t xml:space="preserve">esidents </w:t>
      </w:r>
      <w:r w:rsidR="006A0D8E" w:rsidRPr="00563AD3">
        <w:rPr>
          <w:color w:val="000000"/>
        </w:rPr>
        <w:t xml:space="preserve">were </w:t>
      </w:r>
      <w:r w:rsidR="000978FE" w:rsidRPr="00563AD3">
        <w:rPr>
          <w:color w:val="000000"/>
        </w:rPr>
        <w:t>recruited at 16-</w:t>
      </w:r>
      <w:r w:rsidRPr="00563AD3">
        <w:rPr>
          <w:color w:val="000000"/>
        </w:rPr>
        <w:t xml:space="preserve">months </w:t>
      </w:r>
      <w:r w:rsidR="006A0D8E" w:rsidRPr="00563AD3">
        <w:rPr>
          <w:color w:val="000000"/>
        </w:rPr>
        <w:t xml:space="preserve">and </w:t>
      </w:r>
      <w:r w:rsidRPr="00563AD3">
        <w:rPr>
          <w:color w:val="000000"/>
        </w:rPr>
        <w:t xml:space="preserve">were registered with the CTRU after confirmation of eligibility, informed consent and collection of </w:t>
      </w:r>
      <w:r w:rsidR="000978FE" w:rsidRPr="00563AD3">
        <w:rPr>
          <w:color w:val="000000"/>
        </w:rPr>
        <w:t xml:space="preserve">their </w:t>
      </w:r>
      <w:r w:rsidR="00576B84" w:rsidRPr="00563AD3">
        <w:rPr>
          <w:color w:val="000000"/>
        </w:rPr>
        <w:t xml:space="preserve">resident-level </w:t>
      </w:r>
      <w:r w:rsidRPr="00563AD3">
        <w:rPr>
          <w:color w:val="000000"/>
        </w:rPr>
        <w:t>data.</w:t>
      </w:r>
    </w:p>
    <w:p w14:paraId="6C9D3AA8" w14:textId="77777777" w:rsidR="0052091B" w:rsidRPr="00563AD3" w:rsidRDefault="0052091B" w:rsidP="009B13F3">
      <w:pPr>
        <w:jc w:val="both"/>
        <w:rPr>
          <w:color w:val="000000"/>
        </w:rPr>
      </w:pPr>
    </w:p>
    <w:p w14:paraId="70FA4CBC" w14:textId="554A88E8" w:rsidR="00294A44" w:rsidRPr="00563AD3" w:rsidRDefault="00EF6808" w:rsidP="009B13F3">
      <w:pPr>
        <w:pStyle w:val="Heading3"/>
      </w:pPr>
      <w:bookmarkStart w:id="60" w:name="_Toc525543964"/>
      <w:r w:rsidRPr="00563AD3">
        <w:t>2.4.2 Randomisation</w:t>
      </w:r>
      <w:r w:rsidR="007C599E" w:rsidRPr="00563AD3">
        <w:t>, stratification and blinding</w:t>
      </w:r>
      <w:bookmarkEnd w:id="60"/>
    </w:p>
    <w:p w14:paraId="36235BB2" w14:textId="3E436CA4" w:rsidR="00EF6808" w:rsidRPr="00563AD3" w:rsidRDefault="00576B84" w:rsidP="009B13F3">
      <w:r w:rsidRPr="00563AD3">
        <w:t>Immediately following baseline, once</w:t>
      </w:r>
      <w:r w:rsidR="00EF6808" w:rsidRPr="00563AD3">
        <w:t xml:space="preserve"> all </w:t>
      </w:r>
      <w:r w:rsidR="000978FE" w:rsidRPr="00563AD3">
        <w:t>r</w:t>
      </w:r>
      <w:r w:rsidR="00EF6808" w:rsidRPr="00563AD3">
        <w:t xml:space="preserve">esidents, </w:t>
      </w:r>
      <w:r w:rsidR="000978FE" w:rsidRPr="00563AD3">
        <w:t>s</w:t>
      </w:r>
      <w:r w:rsidR="0025325A" w:rsidRPr="00563AD3">
        <w:t xml:space="preserve">taff and </w:t>
      </w:r>
      <w:r w:rsidR="000978FE" w:rsidRPr="00563AD3">
        <w:t>relatives/f</w:t>
      </w:r>
      <w:r w:rsidR="0025325A" w:rsidRPr="00563AD3">
        <w:t xml:space="preserve">riends were </w:t>
      </w:r>
      <w:r w:rsidR="000978FE" w:rsidRPr="00563AD3">
        <w:t xml:space="preserve">recruited </w:t>
      </w:r>
      <w:r w:rsidR="002D26DE" w:rsidRPr="00563AD3">
        <w:t xml:space="preserve">and </w:t>
      </w:r>
      <w:r w:rsidR="000978FE" w:rsidRPr="00563AD3">
        <w:t>registration complete</w:t>
      </w:r>
      <w:r w:rsidR="0025325A" w:rsidRPr="00563AD3">
        <w:t xml:space="preserve">, </w:t>
      </w:r>
      <w:r w:rsidR="00EF6808" w:rsidRPr="00563AD3">
        <w:t xml:space="preserve">care homes were randomised using </w:t>
      </w:r>
      <w:r w:rsidR="00617EF5" w:rsidRPr="00563AD3">
        <w:t>the 24-hour automated randomisation system at the CTRU. Care homes fulfilling eligibility criteria were randomised o</w:t>
      </w:r>
      <w:r w:rsidR="004407A8" w:rsidRPr="00563AD3">
        <w:t>n a 3:2 basis</w:t>
      </w:r>
      <w:r w:rsidR="001A3BC3" w:rsidRPr="00563AD3">
        <w:t>,</w:t>
      </w:r>
      <w:r w:rsidR="004407A8" w:rsidRPr="00563AD3">
        <w:t xml:space="preserve"> to receive either intervention </w:t>
      </w:r>
      <w:r w:rsidR="00617EF5" w:rsidRPr="00563AD3">
        <w:t xml:space="preserve">or </w:t>
      </w:r>
      <w:r w:rsidR="004407A8" w:rsidRPr="00563AD3">
        <w:t>control</w:t>
      </w:r>
      <w:r w:rsidR="00617EF5" w:rsidRPr="00563AD3">
        <w:t>. A</w:t>
      </w:r>
      <w:r w:rsidR="00EF6808" w:rsidRPr="00563AD3">
        <w:t xml:space="preserve"> </w:t>
      </w:r>
      <w:r w:rsidR="008075E9" w:rsidRPr="00563AD3">
        <w:t xml:space="preserve"> </w:t>
      </w:r>
      <w:r w:rsidR="00EF6808" w:rsidRPr="00563AD3">
        <w:t>computer generated minimisation programme</w:t>
      </w:r>
      <w:r w:rsidR="008075E9" w:rsidRPr="00563AD3">
        <w:t xml:space="preserve"> was used</w:t>
      </w:r>
      <w:r w:rsidR="00E323FA">
        <w:t>,</w:t>
      </w:r>
      <w:r w:rsidRPr="00563AD3">
        <w:t xml:space="preserve"> </w:t>
      </w:r>
      <w:r w:rsidRPr="00563AD3">
        <w:fldChar w:fldCharType="begin"/>
      </w:r>
      <w:r w:rsidR="00A126E7">
        <w:instrText xml:space="preserve"> ADDIN EN.CITE &lt;EndNote&gt;&lt;Cite&gt;&lt;Author&gt;Kuznetsova OM&lt;/Author&gt;&lt;Year&gt;(2012)&lt;/Year&gt;&lt;RecNum&gt;1419&lt;/RecNum&gt;&lt;DisplayText&gt;&lt;style face="superscript"&gt;107&lt;/style&gt;&lt;/DisplayText&gt;&lt;record&gt;&lt;rec-number&gt;1419&lt;/rec-number&gt;&lt;foreign-keys&gt;&lt;key app="EN" db-id="zvzxer9s99r50uearv6xetr0feevfap9x9rr"&gt;1419&lt;/key&gt;&lt;/foreign-keys&gt;&lt;ref-type name="Journal Article"&gt;17&lt;/ref-type&gt;&lt;contributors&gt;&lt;authors&gt;&lt;author&gt;Kuznetsova OM, Tymofyeyev Y &lt;/author&gt;&lt;/authors&gt;&lt;/contributors&gt;&lt;titles&gt;&lt;title&gt;Preserving the allocation ratio at every allocation with biased coin randomisation and minimisation in studies with unequal allocation.&lt;/title&gt;&lt;secondary-title&gt; Statistics in Medicine&lt;/secondary-title&gt;&lt;/titles&gt;&lt;pages&gt;702-723&lt;/pages&gt;&lt;number&gt;31&lt;/number&gt;&lt;section&gt;702&lt;/section&gt;&lt;dates&gt;&lt;year&gt;(2012) &lt;/year&gt;&lt;/dates&gt;&lt;urls&gt;&lt;/urls&gt;&lt;/record&gt;&lt;/Cite&gt;&lt;/EndNote&gt;</w:instrText>
      </w:r>
      <w:r w:rsidRPr="00563AD3">
        <w:fldChar w:fldCharType="separate"/>
      </w:r>
      <w:r w:rsidR="00A126E7" w:rsidRPr="00A126E7">
        <w:rPr>
          <w:noProof/>
          <w:vertAlign w:val="superscript"/>
        </w:rPr>
        <w:t>107</w:t>
      </w:r>
      <w:r w:rsidRPr="00563AD3">
        <w:fldChar w:fldCharType="end"/>
      </w:r>
      <w:r w:rsidR="00EF6808" w:rsidRPr="00563AD3">
        <w:t xml:space="preserve"> incorporating a random element to ensure </w:t>
      </w:r>
      <w:r w:rsidR="004A74DC" w:rsidRPr="00563AD3">
        <w:t xml:space="preserve">arms </w:t>
      </w:r>
      <w:r w:rsidR="00EF6808" w:rsidRPr="00563AD3">
        <w:t>were balanced for the following care home characteristics:</w:t>
      </w:r>
    </w:p>
    <w:p w14:paraId="05818998" w14:textId="77777777" w:rsidR="00EF6808" w:rsidRPr="00563AD3" w:rsidRDefault="00EF6808" w:rsidP="009B13F3">
      <w:pPr>
        <w:numPr>
          <w:ilvl w:val="0"/>
          <w:numId w:val="10"/>
        </w:numPr>
        <w:spacing w:after="200"/>
        <w:ind w:left="709" w:hanging="425"/>
        <w:contextualSpacing/>
      </w:pPr>
      <w:r w:rsidRPr="00563AD3">
        <w:t xml:space="preserve">Home/unit type (general residential/nursing, specialist dementia care); </w:t>
      </w:r>
    </w:p>
    <w:p w14:paraId="55883C19" w14:textId="2CB4F725" w:rsidR="00EF6808" w:rsidRPr="00563AD3" w:rsidRDefault="00EF6808" w:rsidP="009B13F3">
      <w:pPr>
        <w:numPr>
          <w:ilvl w:val="0"/>
          <w:numId w:val="10"/>
        </w:numPr>
        <w:spacing w:after="200"/>
        <w:ind w:left="709" w:hanging="425"/>
        <w:contextualSpacing/>
      </w:pPr>
      <w:r w:rsidRPr="00563AD3">
        <w:t>Size (large&gt;=40</w:t>
      </w:r>
      <w:r w:rsidR="001A3BC3" w:rsidRPr="00563AD3">
        <w:t xml:space="preserve"> </w:t>
      </w:r>
      <w:r w:rsidR="006A0D8E" w:rsidRPr="00563AD3">
        <w:t>beds</w:t>
      </w:r>
      <w:r w:rsidRPr="00563AD3">
        <w:t>, medium/small&lt;40</w:t>
      </w:r>
      <w:r w:rsidR="001A3BC3" w:rsidRPr="00563AD3">
        <w:t xml:space="preserve"> beds</w:t>
      </w:r>
      <w:r w:rsidRPr="00563AD3">
        <w:t xml:space="preserve">); </w:t>
      </w:r>
    </w:p>
    <w:p w14:paraId="6676678B" w14:textId="77777777" w:rsidR="00EF6808" w:rsidRPr="00563AD3" w:rsidRDefault="00EF6808" w:rsidP="009B13F3">
      <w:pPr>
        <w:numPr>
          <w:ilvl w:val="0"/>
          <w:numId w:val="10"/>
        </w:numPr>
        <w:spacing w:after="200"/>
        <w:ind w:left="709" w:hanging="425"/>
        <w:contextualSpacing/>
      </w:pPr>
      <w:r w:rsidRPr="00563AD3">
        <w:t>Provision of dementia awareness training by research team (yes, no);</w:t>
      </w:r>
    </w:p>
    <w:p w14:paraId="676F1EE1" w14:textId="4D1D6681" w:rsidR="00EF6808" w:rsidRPr="00563AD3" w:rsidRDefault="00EF6808" w:rsidP="009B13F3">
      <w:pPr>
        <w:numPr>
          <w:ilvl w:val="0"/>
          <w:numId w:val="10"/>
        </w:numPr>
        <w:spacing w:after="200"/>
        <w:ind w:left="709" w:hanging="425"/>
        <w:contextualSpacing/>
      </w:pPr>
      <w:r w:rsidRPr="00563AD3">
        <w:t xml:space="preserve">Recruiting </w:t>
      </w:r>
      <w:r w:rsidR="00576B84" w:rsidRPr="00563AD3">
        <w:t>h</w:t>
      </w:r>
      <w:r w:rsidRPr="00563AD3">
        <w:t>ub (West Yorkshire, London, Oxford)</w:t>
      </w:r>
    </w:p>
    <w:p w14:paraId="1C6773D6" w14:textId="77777777" w:rsidR="00617EF5" w:rsidRPr="00563AD3" w:rsidRDefault="00617EF5" w:rsidP="009B13F3">
      <w:pPr>
        <w:rPr>
          <w:rFonts w:eastAsiaTheme="majorEastAsia"/>
        </w:rPr>
      </w:pPr>
    </w:p>
    <w:p w14:paraId="4123DED9" w14:textId="38CC108C" w:rsidR="00EF6808" w:rsidRPr="00563AD3" w:rsidRDefault="001A3BC3" w:rsidP="009B13F3">
      <w:pPr>
        <w:rPr>
          <w:rFonts w:eastAsiaTheme="majorEastAsia"/>
        </w:rPr>
      </w:pPr>
      <w:r w:rsidRPr="00563AD3">
        <w:rPr>
          <w:rFonts w:eastAsiaTheme="majorEastAsia"/>
        </w:rPr>
        <w:t>To maintain blinding of trial researchers collecting data within care homes, r</w:t>
      </w:r>
      <w:r w:rsidR="00EF6808" w:rsidRPr="00563AD3">
        <w:rPr>
          <w:rFonts w:eastAsiaTheme="majorEastAsia"/>
        </w:rPr>
        <w:t xml:space="preserve">andomisation </w:t>
      </w:r>
      <w:r w:rsidR="00325FF9" w:rsidRPr="00563AD3">
        <w:rPr>
          <w:rFonts w:eastAsiaTheme="majorEastAsia"/>
        </w:rPr>
        <w:t xml:space="preserve">was </w:t>
      </w:r>
      <w:r w:rsidR="00EF6808" w:rsidRPr="00563AD3">
        <w:rPr>
          <w:rFonts w:eastAsiaTheme="majorEastAsia"/>
        </w:rPr>
        <w:t>pe</w:t>
      </w:r>
      <w:r w:rsidR="00325FF9" w:rsidRPr="00563AD3">
        <w:rPr>
          <w:rFonts w:eastAsiaTheme="majorEastAsia"/>
        </w:rPr>
        <w:t>rformed by CTRU Data Management</w:t>
      </w:r>
      <w:r w:rsidR="00576B84" w:rsidRPr="00563AD3">
        <w:rPr>
          <w:rFonts w:eastAsiaTheme="majorEastAsia"/>
        </w:rPr>
        <w:t xml:space="preserve">, </w:t>
      </w:r>
      <w:r w:rsidR="000978FE" w:rsidRPr="00563AD3">
        <w:rPr>
          <w:rFonts w:eastAsiaTheme="majorEastAsia"/>
        </w:rPr>
        <w:t xml:space="preserve">who </w:t>
      </w:r>
      <w:r w:rsidR="00325FF9" w:rsidRPr="00563AD3">
        <w:rPr>
          <w:rFonts w:eastAsiaTheme="majorEastAsia"/>
        </w:rPr>
        <w:t>were</w:t>
      </w:r>
      <w:r w:rsidR="00EF6808" w:rsidRPr="00563AD3">
        <w:rPr>
          <w:rFonts w:eastAsiaTheme="majorEastAsia"/>
        </w:rPr>
        <w:t xml:space="preserve"> </w:t>
      </w:r>
      <w:r w:rsidR="000978FE" w:rsidRPr="00563AD3">
        <w:rPr>
          <w:rFonts w:eastAsiaTheme="majorEastAsia"/>
        </w:rPr>
        <w:t>therefore not</w:t>
      </w:r>
      <w:r w:rsidR="00EF6808" w:rsidRPr="00563AD3">
        <w:rPr>
          <w:rFonts w:eastAsiaTheme="majorEastAsia"/>
        </w:rPr>
        <w:t xml:space="preserve"> blind to treatment allocation. </w:t>
      </w:r>
      <w:r w:rsidR="00C922DA" w:rsidRPr="00563AD3">
        <w:rPr>
          <w:rFonts w:eastAsiaTheme="majorEastAsia"/>
        </w:rPr>
        <w:t>F</w:t>
      </w:r>
      <w:r w:rsidR="00EF6808" w:rsidRPr="00563AD3">
        <w:rPr>
          <w:rFonts w:eastAsiaTheme="majorEastAsia"/>
        </w:rPr>
        <w:t>ollowing randomisation, the CTRU inform</w:t>
      </w:r>
      <w:r w:rsidR="00325FF9" w:rsidRPr="00563AD3">
        <w:rPr>
          <w:rFonts w:eastAsiaTheme="majorEastAsia"/>
        </w:rPr>
        <w:t>ed</w:t>
      </w:r>
      <w:r w:rsidR="00EF6808" w:rsidRPr="00563AD3">
        <w:rPr>
          <w:rFonts w:eastAsiaTheme="majorEastAsia"/>
        </w:rPr>
        <w:t xml:space="preserve"> the </w:t>
      </w:r>
      <w:r w:rsidR="000978FE" w:rsidRPr="00563AD3">
        <w:rPr>
          <w:rFonts w:eastAsiaTheme="majorEastAsia"/>
        </w:rPr>
        <w:t>c</w:t>
      </w:r>
      <w:r w:rsidR="00BD0030" w:rsidRPr="00563AD3">
        <w:rPr>
          <w:rFonts w:eastAsiaTheme="majorEastAsia"/>
        </w:rPr>
        <w:t xml:space="preserve">are </w:t>
      </w:r>
      <w:r w:rsidR="000978FE" w:rsidRPr="00563AD3">
        <w:rPr>
          <w:rFonts w:eastAsiaTheme="majorEastAsia"/>
        </w:rPr>
        <w:t>h</w:t>
      </w:r>
      <w:r w:rsidR="00BD0030" w:rsidRPr="00563AD3">
        <w:rPr>
          <w:rFonts w:eastAsiaTheme="majorEastAsia"/>
        </w:rPr>
        <w:t xml:space="preserve">ome </w:t>
      </w:r>
      <w:r w:rsidR="000978FE" w:rsidRPr="00563AD3">
        <w:rPr>
          <w:rFonts w:eastAsiaTheme="majorEastAsia"/>
        </w:rPr>
        <w:t>m</w:t>
      </w:r>
      <w:r w:rsidR="00BD0030" w:rsidRPr="00563AD3">
        <w:rPr>
          <w:rFonts w:eastAsiaTheme="majorEastAsia"/>
        </w:rPr>
        <w:t>anager of the treatment allocation</w:t>
      </w:r>
      <w:r w:rsidR="00576B84" w:rsidRPr="00563AD3">
        <w:rPr>
          <w:rFonts w:eastAsiaTheme="majorEastAsia"/>
        </w:rPr>
        <w:t>,</w:t>
      </w:r>
      <w:r w:rsidR="00BD0030" w:rsidRPr="00563AD3">
        <w:rPr>
          <w:rFonts w:eastAsiaTheme="majorEastAsia"/>
        </w:rPr>
        <w:t xml:space="preserve"> by phone call or e-mail</w:t>
      </w:r>
      <w:r w:rsidR="00576B84" w:rsidRPr="00563AD3">
        <w:rPr>
          <w:rFonts w:eastAsiaTheme="majorEastAsia"/>
        </w:rPr>
        <w:t>.</w:t>
      </w:r>
      <w:r w:rsidR="00BD0030" w:rsidRPr="00563AD3">
        <w:rPr>
          <w:rFonts w:eastAsiaTheme="majorEastAsia"/>
        </w:rPr>
        <w:t xml:space="preserve"> </w:t>
      </w:r>
      <w:r w:rsidR="00576B84" w:rsidRPr="00563AD3">
        <w:rPr>
          <w:rFonts w:eastAsiaTheme="majorEastAsia"/>
        </w:rPr>
        <w:t>T</w:t>
      </w:r>
      <w:r w:rsidR="00BD0030" w:rsidRPr="00563AD3">
        <w:rPr>
          <w:rFonts w:eastAsiaTheme="majorEastAsia"/>
        </w:rPr>
        <w:t xml:space="preserve">he </w:t>
      </w:r>
      <w:r w:rsidR="00AE119B" w:rsidRPr="00563AD3">
        <w:rPr>
          <w:rFonts w:eastAsiaTheme="majorEastAsia"/>
        </w:rPr>
        <w:t>Intervention</w:t>
      </w:r>
      <w:r w:rsidR="00576B84" w:rsidRPr="00563AD3">
        <w:rPr>
          <w:rFonts w:eastAsiaTheme="majorEastAsia"/>
        </w:rPr>
        <w:t xml:space="preserve"> </w:t>
      </w:r>
      <w:r w:rsidR="00AE119B" w:rsidRPr="00563AD3">
        <w:rPr>
          <w:rFonts w:eastAsiaTheme="majorEastAsia"/>
        </w:rPr>
        <w:t>L</w:t>
      </w:r>
      <w:r w:rsidR="00576B84" w:rsidRPr="00563AD3">
        <w:rPr>
          <w:rFonts w:eastAsiaTheme="majorEastAsia"/>
        </w:rPr>
        <w:t>ead was notified of</w:t>
      </w:r>
      <w:r w:rsidR="00EF6808" w:rsidRPr="00563AD3">
        <w:rPr>
          <w:rFonts w:eastAsiaTheme="majorEastAsia"/>
        </w:rPr>
        <w:t xml:space="preserve"> homes allocated to </w:t>
      </w:r>
      <w:r w:rsidR="000978FE" w:rsidRPr="00563AD3">
        <w:rPr>
          <w:rFonts w:eastAsiaTheme="majorEastAsia"/>
        </w:rPr>
        <w:t>intervention</w:t>
      </w:r>
      <w:r w:rsidR="00EF6808" w:rsidRPr="00563AD3">
        <w:rPr>
          <w:rFonts w:eastAsiaTheme="majorEastAsia"/>
        </w:rPr>
        <w:t xml:space="preserve">, so that arrangements </w:t>
      </w:r>
      <w:r w:rsidR="00325FF9" w:rsidRPr="00563AD3">
        <w:rPr>
          <w:rFonts w:eastAsiaTheme="majorEastAsia"/>
        </w:rPr>
        <w:t>could</w:t>
      </w:r>
      <w:r w:rsidR="00EF6808" w:rsidRPr="00563AD3">
        <w:rPr>
          <w:rFonts w:eastAsiaTheme="majorEastAsia"/>
        </w:rPr>
        <w:t xml:space="preserve"> be </w:t>
      </w:r>
      <w:r w:rsidR="00325FF9" w:rsidRPr="00563AD3">
        <w:rPr>
          <w:rFonts w:eastAsiaTheme="majorEastAsia"/>
        </w:rPr>
        <w:t xml:space="preserve">confirmed </w:t>
      </w:r>
      <w:r w:rsidR="00576B84" w:rsidRPr="00563AD3">
        <w:rPr>
          <w:rFonts w:eastAsiaTheme="majorEastAsia"/>
        </w:rPr>
        <w:t xml:space="preserve">for training </w:t>
      </w:r>
      <w:r w:rsidR="00325FF9" w:rsidRPr="00563AD3">
        <w:rPr>
          <w:rFonts w:eastAsiaTheme="majorEastAsia"/>
        </w:rPr>
        <w:t>with consented mappers</w:t>
      </w:r>
      <w:r w:rsidR="00AE119B" w:rsidRPr="00563AD3">
        <w:rPr>
          <w:rFonts w:eastAsiaTheme="majorEastAsia"/>
        </w:rPr>
        <w:t xml:space="preserve"> and contact with the </w:t>
      </w:r>
      <w:r w:rsidR="00A4193C" w:rsidRPr="00563AD3">
        <w:rPr>
          <w:rFonts w:eastAsiaTheme="majorEastAsia"/>
        </w:rPr>
        <w:t xml:space="preserve">DCM™ </w:t>
      </w:r>
      <w:r w:rsidR="00AE119B" w:rsidRPr="00563AD3">
        <w:rPr>
          <w:rFonts w:eastAsiaTheme="majorEastAsia"/>
        </w:rPr>
        <w:t>expert mapper initiated</w:t>
      </w:r>
      <w:r w:rsidR="00EF6808" w:rsidRPr="00563AD3">
        <w:rPr>
          <w:rFonts w:eastAsiaTheme="majorEastAsia"/>
        </w:rPr>
        <w:t xml:space="preserve">.  </w:t>
      </w:r>
      <w:r w:rsidR="00576B84" w:rsidRPr="00563AD3">
        <w:rPr>
          <w:rFonts w:eastAsiaTheme="majorEastAsia"/>
        </w:rPr>
        <w:t>R</w:t>
      </w:r>
      <w:r w:rsidR="00EF6808" w:rsidRPr="00563AD3">
        <w:rPr>
          <w:rFonts w:eastAsiaTheme="majorEastAsia"/>
        </w:rPr>
        <w:t xml:space="preserve">esearchers </w:t>
      </w:r>
      <w:r w:rsidR="00BD0030" w:rsidRPr="00563AD3">
        <w:rPr>
          <w:rFonts w:eastAsiaTheme="majorEastAsia"/>
        </w:rPr>
        <w:t>were</w:t>
      </w:r>
      <w:r w:rsidR="00EF6808" w:rsidRPr="00563AD3">
        <w:rPr>
          <w:rFonts w:eastAsiaTheme="majorEastAsia"/>
        </w:rPr>
        <w:t xml:space="preserve"> not informed </w:t>
      </w:r>
      <w:r w:rsidR="002D26DE" w:rsidRPr="00563AD3">
        <w:rPr>
          <w:rFonts w:eastAsiaTheme="majorEastAsia"/>
        </w:rPr>
        <w:t xml:space="preserve">of </w:t>
      </w:r>
      <w:r w:rsidR="000978FE" w:rsidRPr="00563AD3">
        <w:rPr>
          <w:rFonts w:eastAsiaTheme="majorEastAsia"/>
        </w:rPr>
        <w:t xml:space="preserve">treatment </w:t>
      </w:r>
      <w:r w:rsidR="002D26DE" w:rsidRPr="00563AD3">
        <w:rPr>
          <w:rFonts w:eastAsiaTheme="majorEastAsia"/>
        </w:rPr>
        <w:t xml:space="preserve">allocation </w:t>
      </w:r>
      <w:r w:rsidR="00EF6808" w:rsidRPr="00563AD3">
        <w:rPr>
          <w:rFonts w:eastAsiaTheme="majorEastAsia"/>
        </w:rPr>
        <w:t xml:space="preserve">and </w:t>
      </w:r>
      <w:r w:rsidR="007127F8" w:rsidRPr="00563AD3">
        <w:rPr>
          <w:rFonts w:eastAsiaTheme="majorEastAsia"/>
        </w:rPr>
        <w:t>agreed procedures</w:t>
      </w:r>
      <w:r w:rsidR="00EF6808" w:rsidRPr="00563AD3">
        <w:rPr>
          <w:rFonts w:eastAsiaTheme="majorEastAsia"/>
        </w:rPr>
        <w:t xml:space="preserve"> </w:t>
      </w:r>
      <w:r w:rsidR="00BD0030" w:rsidRPr="00563AD3">
        <w:rPr>
          <w:rFonts w:eastAsiaTheme="majorEastAsia"/>
        </w:rPr>
        <w:t>were</w:t>
      </w:r>
      <w:r w:rsidR="00EF6808" w:rsidRPr="00563AD3">
        <w:rPr>
          <w:rFonts w:eastAsiaTheme="majorEastAsia"/>
        </w:rPr>
        <w:t xml:space="preserve"> </w:t>
      </w:r>
      <w:r w:rsidR="007127F8" w:rsidRPr="00563AD3">
        <w:rPr>
          <w:rFonts w:eastAsiaTheme="majorEastAsia"/>
        </w:rPr>
        <w:t>applied</w:t>
      </w:r>
      <w:r w:rsidR="00EF6808" w:rsidRPr="00563AD3">
        <w:rPr>
          <w:rFonts w:eastAsiaTheme="majorEastAsia"/>
        </w:rPr>
        <w:t xml:space="preserve"> to </w:t>
      </w:r>
      <w:r w:rsidR="007127F8" w:rsidRPr="00563AD3">
        <w:rPr>
          <w:rFonts w:eastAsiaTheme="majorEastAsia"/>
        </w:rPr>
        <w:t>maintain</w:t>
      </w:r>
      <w:r w:rsidR="00EF6808" w:rsidRPr="00563AD3">
        <w:rPr>
          <w:rFonts w:eastAsiaTheme="majorEastAsia"/>
        </w:rPr>
        <w:t xml:space="preserve"> b</w:t>
      </w:r>
      <w:r w:rsidR="007127F8" w:rsidRPr="00563AD3">
        <w:rPr>
          <w:rFonts w:eastAsiaTheme="majorEastAsia"/>
        </w:rPr>
        <w:t>linding</w:t>
      </w:r>
      <w:r w:rsidR="00EF6808" w:rsidRPr="00563AD3">
        <w:rPr>
          <w:rFonts w:eastAsiaTheme="majorEastAsia"/>
        </w:rPr>
        <w:t xml:space="preserve"> throughout the trial. Other </w:t>
      </w:r>
      <w:r w:rsidR="007127F8" w:rsidRPr="00563AD3">
        <w:rPr>
          <w:rFonts w:eastAsiaTheme="majorEastAsia"/>
        </w:rPr>
        <w:t>CTRU staff</w:t>
      </w:r>
      <w:r w:rsidR="00EF6808" w:rsidRPr="00563AD3">
        <w:rPr>
          <w:rFonts w:eastAsiaTheme="majorEastAsia"/>
        </w:rPr>
        <w:t xml:space="preserve"> </w:t>
      </w:r>
      <w:r w:rsidR="00BD0030" w:rsidRPr="00563AD3">
        <w:rPr>
          <w:rFonts w:eastAsiaTheme="majorEastAsia"/>
        </w:rPr>
        <w:t>were</w:t>
      </w:r>
      <w:r w:rsidR="00EF6808" w:rsidRPr="00563AD3">
        <w:rPr>
          <w:rFonts w:eastAsiaTheme="majorEastAsia"/>
        </w:rPr>
        <w:t xml:space="preserve"> only informed of treatment allocation if this </w:t>
      </w:r>
      <w:r w:rsidR="00BD0030" w:rsidRPr="00563AD3">
        <w:rPr>
          <w:rFonts w:eastAsiaTheme="majorEastAsia"/>
        </w:rPr>
        <w:t>was</w:t>
      </w:r>
      <w:r w:rsidR="00EF6808" w:rsidRPr="00563AD3">
        <w:rPr>
          <w:rFonts w:eastAsiaTheme="majorEastAsia"/>
        </w:rPr>
        <w:t xml:space="preserve"> required to undertake their role. </w:t>
      </w:r>
      <w:r w:rsidR="00BD0030" w:rsidRPr="00563AD3">
        <w:rPr>
          <w:rFonts w:eastAsiaTheme="majorEastAsia"/>
        </w:rPr>
        <w:t xml:space="preserve">All occurrences of unblinding and the reasons for/method of unblinding were recorded. </w:t>
      </w:r>
    </w:p>
    <w:p w14:paraId="1922DE2E" w14:textId="324B6305" w:rsidR="0025325A" w:rsidRPr="00563AD3" w:rsidRDefault="00103777" w:rsidP="009B13F3">
      <w:r w:rsidRPr="00563AD3">
        <w:t xml:space="preserve">As </w:t>
      </w:r>
      <w:r w:rsidR="007127F8" w:rsidRPr="00563AD3">
        <w:t>r</w:t>
      </w:r>
      <w:r w:rsidR="0025325A" w:rsidRPr="00563AD3">
        <w:t>esearcher</w:t>
      </w:r>
      <w:r w:rsidRPr="00563AD3">
        <w:t>s were blinded</w:t>
      </w:r>
      <w:r w:rsidR="0025325A" w:rsidRPr="00563AD3">
        <w:t xml:space="preserve"> </w:t>
      </w:r>
      <w:r w:rsidRPr="00563AD3">
        <w:t>they</w:t>
      </w:r>
      <w:r w:rsidR="0025325A" w:rsidRPr="00563AD3">
        <w:t xml:space="preserve"> were unaware of </w:t>
      </w:r>
      <w:r w:rsidR="003C660A" w:rsidRPr="00563AD3">
        <w:t>the identity of</w:t>
      </w:r>
      <w:r w:rsidR="0025325A" w:rsidRPr="00563AD3">
        <w:t xml:space="preserve"> </w:t>
      </w:r>
      <w:r w:rsidRPr="00563AD3">
        <w:t xml:space="preserve">trained </w:t>
      </w:r>
      <w:r w:rsidR="0025325A" w:rsidRPr="00563AD3">
        <w:t>mappers. Therefore, a text message was sent to mappers in the intervention homes</w:t>
      </w:r>
      <w:r w:rsidRPr="00563AD3">
        <w:t xml:space="preserve"> by </w:t>
      </w:r>
      <w:r w:rsidR="007127F8" w:rsidRPr="00563AD3">
        <w:t>CTRU trial management staff,</w:t>
      </w:r>
      <w:r w:rsidR="0025325A" w:rsidRPr="00563AD3">
        <w:t xml:space="preserve"> ahead of data collection at 6- and 16-months</w:t>
      </w:r>
      <w:r w:rsidR="007127F8" w:rsidRPr="00563AD3">
        <w:t>,</w:t>
      </w:r>
      <w:r w:rsidR="0025325A" w:rsidRPr="00563AD3">
        <w:t xml:space="preserve"> to remind them not to provide proxy informant data if requested to do so. </w:t>
      </w:r>
    </w:p>
    <w:p w14:paraId="28C41A7A" w14:textId="77777777" w:rsidR="00EF6808" w:rsidRPr="00563AD3" w:rsidRDefault="00EF6808" w:rsidP="009B13F3"/>
    <w:p w14:paraId="5FE0AB3C" w14:textId="76CD3852" w:rsidR="002C413C" w:rsidRPr="00563AD3" w:rsidRDefault="008A60E2" w:rsidP="009B13F3">
      <w:pPr>
        <w:pStyle w:val="Heading2"/>
      </w:pPr>
      <w:bookmarkStart w:id="61" w:name="_Toc525543965"/>
      <w:r w:rsidRPr="00563AD3">
        <w:t>2.</w:t>
      </w:r>
      <w:r w:rsidR="00602636" w:rsidRPr="00563AD3">
        <w:t>5</w:t>
      </w:r>
      <w:r w:rsidR="00754320" w:rsidRPr="00563AD3">
        <w:t xml:space="preserve"> </w:t>
      </w:r>
      <w:r w:rsidR="004760C4" w:rsidRPr="00563AD3">
        <w:t>Procedure</w:t>
      </w:r>
      <w:bookmarkEnd w:id="61"/>
    </w:p>
    <w:p w14:paraId="7605D1F9" w14:textId="367B5F9A" w:rsidR="00602636" w:rsidRPr="00563AD3" w:rsidRDefault="004760C4" w:rsidP="009B13F3">
      <w:pPr>
        <w:pStyle w:val="Heading3"/>
      </w:pPr>
      <w:bookmarkStart w:id="62" w:name="_Toc334608456"/>
      <w:bookmarkStart w:id="63" w:name="_Toc455576285"/>
      <w:bookmarkStart w:id="64" w:name="_Toc525543966"/>
      <w:r w:rsidRPr="00563AD3">
        <w:t xml:space="preserve">2.5.1 Usual care (both </w:t>
      </w:r>
      <w:r w:rsidR="004A74DC" w:rsidRPr="00563AD3">
        <w:t>arms</w:t>
      </w:r>
      <w:r w:rsidRPr="00563AD3">
        <w:t>)</w:t>
      </w:r>
      <w:bookmarkEnd w:id="62"/>
      <w:bookmarkEnd w:id="63"/>
      <w:bookmarkEnd w:id="64"/>
    </w:p>
    <w:p w14:paraId="58553318" w14:textId="3306AE54" w:rsidR="00602636" w:rsidRPr="00563AD3" w:rsidRDefault="00E44B69" w:rsidP="009B13F3">
      <w:r w:rsidRPr="00563AD3">
        <w:t>Usual care was</w:t>
      </w:r>
      <w:r w:rsidR="00602636" w:rsidRPr="00563AD3">
        <w:t xml:space="preserve"> defined as </w:t>
      </w:r>
      <w:r w:rsidR="003C660A" w:rsidRPr="00563AD3">
        <w:t xml:space="preserve">care </w:t>
      </w:r>
      <w:r w:rsidR="004A5041" w:rsidRPr="00563AD3">
        <w:t>routinely</w:t>
      </w:r>
      <w:r w:rsidR="003C660A" w:rsidRPr="00563AD3">
        <w:t xml:space="preserve"> </w:t>
      </w:r>
      <w:r w:rsidR="00602636" w:rsidRPr="00563AD3">
        <w:t xml:space="preserve">delivered within the setting, </w:t>
      </w:r>
      <w:r w:rsidRPr="00563AD3">
        <w:t xml:space="preserve">and was </w:t>
      </w:r>
      <w:r w:rsidR="00602636" w:rsidRPr="00563AD3">
        <w:t>continue</w:t>
      </w:r>
      <w:r w:rsidR="004760C4" w:rsidRPr="00563AD3">
        <w:t>d</w:t>
      </w:r>
      <w:r w:rsidR="00602636" w:rsidRPr="00563AD3">
        <w:t xml:space="preserve"> in </w:t>
      </w:r>
      <w:r w:rsidR="003C660A" w:rsidRPr="00563AD3">
        <w:t>all participating care homes</w:t>
      </w:r>
      <w:r w:rsidR="004760C4" w:rsidRPr="00563AD3">
        <w:t xml:space="preserve"> with n</w:t>
      </w:r>
      <w:r w:rsidR="00602636" w:rsidRPr="00563AD3">
        <w:t>o restrictions imposed on current practices or on homes undertaking additional development or training</w:t>
      </w:r>
      <w:r w:rsidR="003C660A" w:rsidRPr="00563AD3">
        <w:t>.</w:t>
      </w:r>
      <w:r w:rsidR="00602636" w:rsidRPr="00563AD3">
        <w:t xml:space="preserve"> </w:t>
      </w:r>
      <w:r w:rsidR="003C660A" w:rsidRPr="00563AD3">
        <w:t>T</w:t>
      </w:r>
      <w:r w:rsidR="00602636" w:rsidRPr="00563AD3">
        <w:t xml:space="preserve">he exception </w:t>
      </w:r>
      <w:r w:rsidR="003C660A" w:rsidRPr="00563AD3">
        <w:t xml:space="preserve">was </w:t>
      </w:r>
      <w:r w:rsidR="00103777" w:rsidRPr="00563AD3">
        <w:t xml:space="preserve">that </w:t>
      </w:r>
      <w:r w:rsidR="00602636" w:rsidRPr="00563AD3">
        <w:t xml:space="preserve">control </w:t>
      </w:r>
      <w:r w:rsidR="00182DC5" w:rsidRPr="00563AD3">
        <w:t>arm</w:t>
      </w:r>
      <w:r w:rsidR="00602636" w:rsidRPr="00563AD3">
        <w:t xml:space="preserve"> homes</w:t>
      </w:r>
      <w:r w:rsidR="00103777" w:rsidRPr="00563AD3">
        <w:t xml:space="preserve"> </w:t>
      </w:r>
      <w:r w:rsidR="003C660A" w:rsidRPr="00563AD3">
        <w:t xml:space="preserve">were </w:t>
      </w:r>
      <w:r w:rsidR="00602636" w:rsidRPr="00563AD3">
        <w:t xml:space="preserve">required not to implement </w:t>
      </w:r>
      <w:r w:rsidR="00070560" w:rsidRPr="00563AD3">
        <w:t>DCM™</w:t>
      </w:r>
      <w:r w:rsidR="00602636" w:rsidRPr="00563AD3">
        <w:t xml:space="preserve"> during the trial period. Details regarding any changes in usual care practice during the course of the trial </w:t>
      </w:r>
      <w:r w:rsidR="001B4512" w:rsidRPr="00563AD3">
        <w:t xml:space="preserve">(e.g. new staff roles, change of ownership, new practice initiatives or training programmes) </w:t>
      </w:r>
      <w:r w:rsidR="004760C4" w:rsidRPr="00563AD3">
        <w:t>were</w:t>
      </w:r>
      <w:r w:rsidR="00602636" w:rsidRPr="00563AD3">
        <w:t xml:space="preserve"> documented by the </w:t>
      </w:r>
      <w:r w:rsidRPr="00563AD3">
        <w:t>r</w:t>
      </w:r>
      <w:r w:rsidR="00602636" w:rsidRPr="00563AD3">
        <w:t>esearcher at follow-up visits.</w:t>
      </w:r>
    </w:p>
    <w:p w14:paraId="71D31F17" w14:textId="6DB76F66" w:rsidR="00602636" w:rsidRDefault="000852D7" w:rsidP="009B13F3">
      <w:r w:rsidRPr="00563AD3">
        <w:t xml:space="preserve">To facilitate a person-centred primary care response </w:t>
      </w:r>
      <w:r w:rsidR="004A5041" w:rsidRPr="00563AD3">
        <w:t xml:space="preserve">to BSC </w:t>
      </w:r>
      <w:r w:rsidRPr="00563AD3">
        <w:t>should care homes seek support, a</w:t>
      </w:r>
      <w:r w:rsidR="00602636" w:rsidRPr="00563AD3">
        <w:t xml:space="preserve">ll </w:t>
      </w:r>
      <w:r w:rsidR="004A5041" w:rsidRPr="00563AD3">
        <w:t>General Practitioners (</w:t>
      </w:r>
      <w:r w:rsidR="00602636" w:rsidRPr="00563AD3">
        <w:t>GPs</w:t>
      </w:r>
      <w:r w:rsidR="004A5041" w:rsidRPr="00563AD3">
        <w:t>)</w:t>
      </w:r>
      <w:r w:rsidR="00602636" w:rsidRPr="00563AD3">
        <w:t xml:space="preserve"> </w:t>
      </w:r>
      <w:r w:rsidR="00E44B69" w:rsidRPr="00563AD3">
        <w:t>who</w:t>
      </w:r>
      <w:r w:rsidR="008C38AC" w:rsidRPr="00563AD3">
        <w:t xml:space="preserve"> served </w:t>
      </w:r>
      <w:r w:rsidR="004A5041" w:rsidRPr="00563AD3">
        <w:t xml:space="preserve">each </w:t>
      </w:r>
      <w:r w:rsidR="008C38AC" w:rsidRPr="00563AD3">
        <w:t xml:space="preserve">care home were </w:t>
      </w:r>
      <w:r w:rsidR="00602636" w:rsidRPr="00563AD3">
        <w:t>provided with generic best practice guidance about the implementation of person-centred care and managing BSC</w:t>
      </w:r>
      <w:r w:rsidRPr="00563AD3">
        <w:t>,</w:t>
      </w:r>
      <w:r w:rsidR="00602636" w:rsidRPr="00563AD3">
        <w:t xml:space="preserve"> irrespective of whether the residents they </w:t>
      </w:r>
      <w:r w:rsidR="00E44B69" w:rsidRPr="00563AD3">
        <w:t>provided services to</w:t>
      </w:r>
      <w:r w:rsidR="00602636" w:rsidRPr="00563AD3">
        <w:t xml:space="preserve"> </w:t>
      </w:r>
      <w:r w:rsidR="008C38AC" w:rsidRPr="00563AD3">
        <w:t>we</w:t>
      </w:r>
      <w:r w:rsidR="00602636" w:rsidRPr="00563AD3">
        <w:t xml:space="preserve">re participating in the trial. </w:t>
      </w:r>
      <w:r w:rsidRPr="00563AD3">
        <w:t>We did not inform individual</w:t>
      </w:r>
      <w:r w:rsidR="00602636" w:rsidRPr="00563AD3">
        <w:t xml:space="preserve"> GPs about </w:t>
      </w:r>
      <w:r w:rsidR="00E44B69" w:rsidRPr="00563AD3">
        <w:t xml:space="preserve">which </w:t>
      </w:r>
      <w:r w:rsidR="00602636" w:rsidRPr="00563AD3">
        <w:t xml:space="preserve">residents </w:t>
      </w:r>
      <w:r w:rsidRPr="00563AD3">
        <w:t>we</w:t>
      </w:r>
      <w:r w:rsidR="00602636" w:rsidRPr="00563AD3">
        <w:t xml:space="preserve">re participating in the trial. </w:t>
      </w:r>
    </w:p>
    <w:p w14:paraId="31397DC3" w14:textId="77777777" w:rsidR="00BE094B" w:rsidRPr="00563AD3" w:rsidRDefault="00BE094B" w:rsidP="009B13F3"/>
    <w:p w14:paraId="4B5CA60C" w14:textId="7A02BD24" w:rsidR="00602636" w:rsidRPr="00563AD3" w:rsidRDefault="000852D7" w:rsidP="009B13F3">
      <w:pPr>
        <w:pStyle w:val="Heading3"/>
      </w:pPr>
      <w:bookmarkStart w:id="65" w:name="_Toc343182035"/>
      <w:bookmarkStart w:id="66" w:name="_Toc334608457"/>
      <w:bookmarkStart w:id="67" w:name="_Toc455576286"/>
      <w:bookmarkStart w:id="68" w:name="_Toc525543967"/>
      <w:bookmarkEnd w:id="65"/>
      <w:r w:rsidRPr="00563AD3">
        <w:t>2.5.2 Dementia Care Mapping</w:t>
      </w:r>
      <w:r w:rsidR="00602636" w:rsidRPr="00563AD3">
        <w:t>™</w:t>
      </w:r>
      <w:r w:rsidRPr="00563AD3">
        <w:t xml:space="preserve"> (intervention </w:t>
      </w:r>
      <w:r w:rsidR="00182DC5" w:rsidRPr="00563AD3">
        <w:t>arm</w:t>
      </w:r>
      <w:r w:rsidRPr="00563AD3">
        <w:t>)</w:t>
      </w:r>
      <w:bookmarkEnd w:id="66"/>
      <w:bookmarkEnd w:id="67"/>
      <w:bookmarkEnd w:id="68"/>
    </w:p>
    <w:p w14:paraId="6306F4C2" w14:textId="2FA8CB74" w:rsidR="00602636" w:rsidRPr="00563AD3" w:rsidRDefault="00602636" w:rsidP="009B13F3">
      <w:r w:rsidRPr="00563AD3">
        <w:t xml:space="preserve">The intervention </w:t>
      </w:r>
      <w:r w:rsidR="00E44B69" w:rsidRPr="00563AD3">
        <w:t>followed</w:t>
      </w:r>
      <w:r w:rsidR="00F37F7D" w:rsidRPr="00563AD3">
        <w:t xml:space="preserve"> </w:t>
      </w:r>
      <w:r w:rsidR="004407A8" w:rsidRPr="00563AD3">
        <w:t>standard procedure</w:t>
      </w:r>
      <w:r w:rsidR="00F37F7D" w:rsidRPr="00563AD3">
        <w:t>s</w:t>
      </w:r>
      <w:r w:rsidR="00E44B69" w:rsidRPr="00563AD3">
        <w:t xml:space="preserve"> as set out in the </w:t>
      </w:r>
      <w:r w:rsidR="00F37F7D" w:rsidRPr="00563AD3">
        <w:t xml:space="preserve">DCM™ </w:t>
      </w:r>
      <w:r w:rsidR="00E44B69" w:rsidRPr="00563AD3">
        <w:t>manual and guidance</w:t>
      </w:r>
      <w:r w:rsidR="00191950">
        <w:t>.</w:t>
      </w:r>
      <w:r w:rsidR="00E44B69" w:rsidRPr="00563AD3">
        <w:t xml:space="preserve"> </w:t>
      </w:r>
      <w:r w:rsidR="00A36D69" w:rsidRPr="00563AD3">
        <w:fldChar w:fldCharType="begin"/>
      </w:r>
      <w:r w:rsidR="00A126E7">
        <w:instrText xml:space="preserve"> ADDIN EN.CITE &lt;EndNote&gt;&lt;Cite&gt;&lt;Author&gt;Bradford Dementia Group&lt;/Author&gt;&lt;Year&gt;2005&lt;/Year&gt;&lt;RecNum&gt;844&lt;/RecNum&gt;&lt;DisplayText&gt;&lt;style face="superscript"&gt;17, 108&lt;/style&gt;&lt;/DisplayText&gt;&lt;record&gt;&lt;rec-number&gt;844&lt;/rec-number&gt;&lt;foreign-keys&gt;&lt;key app="EN" db-id="wprxwptv75dtdree0t5x2ptmvadptw5fr2ww" timestamp="1269348633"&gt;844&lt;/key&gt;&lt;/foreign-keys&gt;&lt;ref-type name="Book"&gt;6&lt;/ref-type&gt;&lt;contributors&gt;&lt;authors&gt;&lt;author&gt;Bradford Dementia Group,&lt;/author&gt;&lt;/authors&gt;&lt;/contributors&gt;&lt;titles&gt;&lt;title&gt;DCM 8 User&amp;apos;s Manual&lt;/title&gt;&lt;/titles&gt;&lt;dates&gt;&lt;year&gt;2005&lt;/year&gt;&lt;/dates&gt;&lt;pub-location&gt;Bradford&lt;/pub-location&gt;&lt;publisher&gt;University of Bradford&lt;/publisher&gt;&lt;urls&gt;&lt;/urls&gt;&lt;/record&gt;&lt;/Cite&gt;&lt;Cite&gt;&lt;Author&gt;Brooker&lt;/Author&gt;&lt;Year&gt;2005&lt;/Year&gt;&lt;RecNum&gt;843&lt;/RecNum&gt;&lt;record&gt;&lt;rec-number&gt;843&lt;/rec-number&gt;&lt;foreign-keys&gt;&lt;key app="EN" db-id="wprxwptv75dtdree0t5x2ptmvadptw5fr2ww" timestamp="1269348633"&gt;843&lt;/key&gt;&lt;/foreign-keys&gt;&lt;ref-type name="Book"&gt;6&lt;/ref-type&gt;&lt;contributors&gt;&lt;authors&gt;&lt;author&gt;Brooker, D.&lt;/author&gt;&lt;author&gt;Surr, C.&lt;/author&gt;&lt;/authors&gt;&lt;/contributors&gt;&lt;titles&gt;&lt;title&gt;Dementia Care Mapping: Principles and Practice&lt;/title&gt;&lt;/titles&gt;&lt;dates&gt;&lt;year&gt;2005&lt;/year&gt;&lt;/dates&gt;&lt;pub-location&gt;Bradford&lt;/pub-location&gt;&lt;publisher&gt;University of Bradford&lt;/publisher&gt;&lt;urls&gt;&lt;/urls&gt;&lt;/record&gt;&lt;/Cite&gt;&lt;/EndNote&gt;</w:instrText>
      </w:r>
      <w:r w:rsidR="00A36D69" w:rsidRPr="00563AD3">
        <w:fldChar w:fldCharType="separate"/>
      </w:r>
      <w:r w:rsidR="00A126E7" w:rsidRPr="00A126E7">
        <w:rPr>
          <w:noProof/>
          <w:vertAlign w:val="superscript"/>
        </w:rPr>
        <w:t>17, 108</w:t>
      </w:r>
      <w:r w:rsidR="00A36D69" w:rsidRPr="00563AD3">
        <w:fldChar w:fldCharType="end"/>
      </w:r>
      <w:r w:rsidR="004407A8" w:rsidRPr="00563AD3">
        <w:t xml:space="preserve"> </w:t>
      </w:r>
      <w:r w:rsidR="00F37F7D" w:rsidRPr="00563AD3">
        <w:t>T</w:t>
      </w:r>
      <w:r w:rsidR="001F4A81" w:rsidRPr="00563AD3">
        <w:t xml:space="preserve">wo staff members from each intervention care home </w:t>
      </w:r>
      <w:r w:rsidR="00F37F7D" w:rsidRPr="00563AD3">
        <w:t xml:space="preserve">were trained </w:t>
      </w:r>
      <w:r w:rsidR="001F4A81" w:rsidRPr="00563AD3">
        <w:t xml:space="preserve">to use </w:t>
      </w:r>
      <w:r w:rsidR="00070560" w:rsidRPr="00563AD3">
        <w:t>DCM™</w:t>
      </w:r>
      <w:r w:rsidR="00F37F7D" w:rsidRPr="00563AD3">
        <w:t>,</w:t>
      </w:r>
      <w:r w:rsidR="001F4A81" w:rsidRPr="00563AD3">
        <w:t xml:space="preserve"> </w:t>
      </w:r>
      <w:r w:rsidR="0007401C" w:rsidRPr="00563AD3">
        <w:t>followed by</w:t>
      </w:r>
      <w:r w:rsidR="001F4A81" w:rsidRPr="00563AD3">
        <w:t xml:space="preserve"> i</w:t>
      </w:r>
      <w:r w:rsidRPr="00563AD3">
        <w:t xml:space="preserve">mplementation of </w:t>
      </w:r>
      <w:r w:rsidR="00F37F7D" w:rsidRPr="00563AD3">
        <w:t xml:space="preserve">(ideally) </w:t>
      </w:r>
      <w:r w:rsidRPr="00563AD3">
        <w:t xml:space="preserve">three </w:t>
      </w:r>
      <w:r w:rsidR="004407A8" w:rsidRPr="00563AD3">
        <w:t xml:space="preserve">standard </w:t>
      </w:r>
      <w:r w:rsidR="00070560" w:rsidRPr="00563AD3">
        <w:t>DCM™</w:t>
      </w:r>
      <w:r w:rsidR="001F4A81" w:rsidRPr="00563AD3">
        <w:t xml:space="preserve"> </w:t>
      </w:r>
      <w:r w:rsidRPr="00563AD3">
        <w:t xml:space="preserve">cycles </w:t>
      </w:r>
      <w:r w:rsidR="001F4A81" w:rsidRPr="00563AD3">
        <w:t>(</w:t>
      </w:r>
      <w:r w:rsidR="00F37F7D" w:rsidRPr="00563AD3">
        <w:t xml:space="preserve">each </w:t>
      </w:r>
      <w:r w:rsidR="00187131" w:rsidRPr="00563AD3">
        <w:t xml:space="preserve">comprising of </w:t>
      </w:r>
      <w:r w:rsidRPr="00563AD3">
        <w:t>briefing</w:t>
      </w:r>
      <w:r w:rsidR="008075E9" w:rsidRPr="00563AD3">
        <w:t>;</w:t>
      </w:r>
      <w:r w:rsidRPr="00563AD3">
        <w:t xml:space="preserve"> observation</w:t>
      </w:r>
      <w:r w:rsidR="008075E9" w:rsidRPr="00563AD3">
        <w:t>;</w:t>
      </w:r>
      <w:r w:rsidRPr="00563AD3">
        <w:t xml:space="preserve"> </w:t>
      </w:r>
      <w:r w:rsidR="00AE119B" w:rsidRPr="00563AD3">
        <w:t xml:space="preserve">data analysis, </w:t>
      </w:r>
      <w:r w:rsidR="008075E9" w:rsidRPr="00563AD3">
        <w:t>reporting</w:t>
      </w:r>
      <w:r w:rsidR="00AE119B" w:rsidRPr="00563AD3">
        <w:t xml:space="preserve"> and</w:t>
      </w:r>
      <w:r w:rsidR="008075E9" w:rsidRPr="00563AD3">
        <w:t xml:space="preserve"> </w:t>
      </w:r>
      <w:r w:rsidRPr="00563AD3">
        <w:t>feedback</w:t>
      </w:r>
      <w:r w:rsidR="008075E9" w:rsidRPr="00563AD3">
        <w:t>;</w:t>
      </w:r>
      <w:r w:rsidRPr="00563AD3">
        <w:t xml:space="preserve"> and action planning</w:t>
      </w:r>
      <w:r w:rsidR="001F4A81" w:rsidRPr="00563AD3">
        <w:t>)</w:t>
      </w:r>
      <w:r w:rsidRPr="00563AD3">
        <w:t>, in accordance with the British Standard best practice</w:t>
      </w:r>
      <w:r w:rsidR="001F4A81" w:rsidRPr="00563AD3">
        <w:t xml:space="preserve"> guideline</w:t>
      </w:r>
      <w:r w:rsidR="00191950">
        <w:t>.</w:t>
      </w:r>
      <w:r w:rsidR="001F4A81" w:rsidRPr="00563AD3">
        <w:t xml:space="preserve"> </w:t>
      </w:r>
      <w:r w:rsidR="00191950">
        <w:fldChar w:fldCharType="begin"/>
      </w:r>
      <w:r w:rsidR="00EC2AA2">
        <w:instrText xml:space="preserve"> ADDIN EN.CITE &lt;EndNote&gt;&lt;Cite&gt;&lt;Author&gt;BSI&lt;/Author&gt;&lt;Year&gt;2010&lt;/Year&gt;&lt;RecNum&gt;1073&lt;/RecNum&gt;&lt;DisplayText&gt;&lt;style face="superscript"&gt;83&lt;/style&gt;&lt;/DisplayText&gt;&lt;record&gt;&lt;rec-number&gt;1073&lt;/rec-number&gt;&lt;foreign-keys&gt;&lt;key app="EN" db-id="wprxwptv75dtdree0t5x2ptmvadptw5fr2ww" timestamp="1269349134"&gt;1073&lt;/key&gt;&lt;/foreign-keys&gt;&lt;ref-type name="Standard"&gt;58&lt;/ref-type&gt;&lt;contributors&gt;&lt;authors&gt;&lt;author&gt;BSI&lt;/author&gt;&lt;/authors&gt;&lt;/contributors&gt;&lt;titles&gt;&lt;title&gt;PAS 800:2010. Use of Dementia Care Mapping for improved person-centred care in a care provider organization. Guide&lt;/title&gt;&lt;/titles&gt;&lt;dates&gt;&lt;year&gt;2010&lt;/year&gt;&lt;/dates&gt;&lt;pub-location&gt;London&lt;/pub-location&gt;&lt;publisher&gt;BSI&lt;/publisher&gt;&lt;urls&gt;&lt;/urls&gt;&lt;/record&gt;&lt;/Cite&gt;&lt;/EndNote&gt;</w:instrText>
      </w:r>
      <w:r w:rsidR="00191950">
        <w:fldChar w:fldCharType="separate"/>
      </w:r>
      <w:r w:rsidR="00EC2AA2" w:rsidRPr="00EC2AA2">
        <w:rPr>
          <w:noProof/>
          <w:vertAlign w:val="superscript"/>
        </w:rPr>
        <w:t>83</w:t>
      </w:r>
      <w:r w:rsidR="00191950">
        <w:fldChar w:fldCharType="end"/>
      </w:r>
      <w:r w:rsidR="001F4A81" w:rsidRPr="00563AD3">
        <w:t xml:space="preserve"> </w:t>
      </w:r>
      <w:r w:rsidR="00F37F7D" w:rsidRPr="00563AD3">
        <w:t>In addition</w:t>
      </w:r>
      <w:r w:rsidR="00877393" w:rsidRPr="00563AD3">
        <w:t>,</w:t>
      </w:r>
      <w:r w:rsidR="001F4A81" w:rsidRPr="00563AD3">
        <w:t xml:space="preserve"> </w:t>
      </w:r>
      <w:r w:rsidR="004A5041" w:rsidRPr="00563AD3">
        <w:t xml:space="preserve">care homes were provided with </w:t>
      </w:r>
      <w:r w:rsidRPr="00563AD3">
        <w:t xml:space="preserve">fidelity guidelines </w:t>
      </w:r>
      <w:r w:rsidR="00A36D69" w:rsidRPr="00563AD3">
        <w:t>which included</w:t>
      </w:r>
      <w:r w:rsidR="0007401C" w:rsidRPr="00563AD3">
        <w:t xml:space="preserve"> standardised templates for recording attendance at briefing and feedback sessions and for </w:t>
      </w:r>
      <w:r w:rsidR="00070560" w:rsidRPr="00563AD3">
        <w:t>DCM™</w:t>
      </w:r>
      <w:r w:rsidR="0007401C" w:rsidRPr="00563AD3">
        <w:t xml:space="preserve"> reporting and action planning</w:t>
      </w:r>
      <w:r w:rsidRPr="00563AD3">
        <w:t>.</w:t>
      </w:r>
      <w:r w:rsidR="001B39CC" w:rsidRPr="00563AD3">
        <w:t xml:space="preserve"> Other mechanisms for ensuring adherence to intervention and supporting mapper engagement were implemented including, support from a</w:t>
      </w:r>
      <w:r w:rsidR="00A4193C" w:rsidRPr="00563AD3">
        <w:t xml:space="preserve"> DCM™</w:t>
      </w:r>
      <w:r w:rsidR="001B39CC" w:rsidRPr="00563AD3">
        <w:t xml:space="preserve"> expert mapper during c</w:t>
      </w:r>
      <w:r w:rsidR="001A3BC3" w:rsidRPr="00563AD3">
        <w:t xml:space="preserve">ycle one (see </w:t>
      </w:r>
      <w:r w:rsidR="001A3BC3" w:rsidRPr="00191950">
        <w:rPr>
          <w:i/>
        </w:rPr>
        <w:t>section 2.5.2.5</w:t>
      </w:r>
      <w:r w:rsidR="001A3BC3" w:rsidRPr="00563AD3">
        <w:t xml:space="preserve">) and </w:t>
      </w:r>
      <w:r w:rsidR="001B39CC" w:rsidRPr="00563AD3">
        <w:t>sending SMS reminders to mappers ahead of each cycle.</w:t>
      </w:r>
    </w:p>
    <w:p w14:paraId="1CE89351" w14:textId="7E5B676C" w:rsidR="00602636" w:rsidRPr="00563AD3" w:rsidRDefault="00602636" w:rsidP="009B13F3">
      <w:pPr>
        <w:pStyle w:val="Heading4"/>
        <w:numPr>
          <w:ilvl w:val="3"/>
          <w:numId w:val="12"/>
        </w:numPr>
      </w:pPr>
      <w:bookmarkStart w:id="69" w:name="_Toc455576287"/>
      <w:r w:rsidRPr="00563AD3">
        <w:t>Mapper identification</w:t>
      </w:r>
      <w:r w:rsidR="004768E9" w:rsidRPr="00563AD3">
        <w:t>, elig</w:t>
      </w:r>
      <w:r w:rsidR="00CA0733" w:rsidRPr="00563AD3">
        <w:t>i</w:t>
      </w:r>
      <w:r w:rsidR="004768E9" w:rsidRPr="00563AD3">
        <w:t>bility</w:t>
      </w:r>
      <w:r w:rsidRPr="00563AD3">
        <w:t xml:space="preserve"> and consent</w:t>
      </w:r>
      <w:bookmarkEnd w:id="69"/>
    </w:p>
    <w:p w14:paraId="351DF656" w14:textId="3BC04F1A" w:rsidR="00602636" w:rsidRPr="00563AD3" w:rsidRDefault="00602636" w:rsidP="009B13F3">
      <w:pPr>
        <w:spacing w:before="240" w:after="120"/>
      </w:pPr>
      <w:r w:rsidRPr="00563AD3">
        <w:t xml:space="preserve">Two staff in each home </w:t>
      </w:r>
      <w:r w:rsidR="004768E9" w:rsidRPr="00563AD3">
        <w:t>were</w:t>
      </w:r>
      <w:r w:rsidRPr="00563AD3">
        <w:t xml:space="preserve"> identified </w:t>
      </w:r>
      <w:r w:rsidR="004768E9" w:rsidRPr="00563AD3">
        <w:t xml:space="preserve">by the manager </w:t>
      </w:r>
      <w:r w:rsidR="00A36D69" w:rsidRPr="00563AD3">
        <w:t>as suitable</w:t>
      </w:r>
      <w:r w:rsidR="004768E9" w:rsidRPr="00563AD3">
        <w:t xml:space="preserve"> to be </w:t>
      </w:r>
      <w:r w:rsidRPr="00563AD3">
        <w:t xml:space="preserve">trained </w:t>
      </w:r>
      <w:r w:rsidR="00A36D69" w:rsidRPr="00563AD3">
        <w:t>in</w:t>
      </w:r>
      <w:r w:rsidRPr="00563AD3">
        <w:t xml:space="preserve"> use </w:t>
      </w:r>
      <w:r w:rsidR="00A36D69" w:rsidRPr="00563AD3">
        <w:t xml:space="preserve">of </w:t>
      </w:r>
      <w:r w:rsidR="00070560" w:rsidRPr="00563AD3">
        <w:t>DCM™</w:t>
      </w:r>
      <w:r w:rsidRPr="00563AD3">
        <w:t xml:space="preserve"> (mappers)</w:t>
      </w:r>
      <w:r w:rsidR="0007401C" w:rsidRPr="00563AD3">
        <w:t xml:space="preserve">. </w:t>
      </w:r>
      <w:r w:rsidR="001A3BC3" w:rsidRPr="00563AD3">
        <w:t>T</w:t>
      </w:r>
      <w:r w:rsidR="004768E9" w:rsidRPr="00563AD3">
        <w:t xml:space="preserve">o ensure timely progression from care home randomisation to </w:t>
      </w:r>
      <w:r w:rsidR="00070560" w:rsidRPr="00563AD3">
        <w:t>DCM™</w:t>
      </w:r>
      <w:r w:rsidR="004768E9" w:rsidRPr="00563AD3">
        <w:t xml:space="preserve"> training, </w:t>
      </w:r>
      <w:r w:rsidR="001B39CC" w:rsidRPr="00563AD3">
        <w:t xml:space="preserve">and to avoid selection bias, </w:t>
      </w:r>
      <w:r w:rsidR="004768E9" w:rsidRPr="00563AD3">
        <w:t>t</w:t>
      </w:r>
      <w:r w:rsidRPr="00563AD3">
        <w:t xml:space="preserve">wo mappers </w:t>
      </w:r>
      <w:r w:rsidR="004768E9" w:rsidRPr="00563AD3">
        <w:t>were identified in every consenting home at car</w:t>
      </w:r>
      <w:r w:rsidR="00A36D69" w:rsidRPr="00563AD3">
        <w:t>e home recruitment and their informed consent</w:t>
      </w:r>
      <w:r w:rsidR="004768E9" w:rsidRPr="00563AD3">
        <w:t xml:space="preserve"> to </w:t>
      </w:r>
      <w:r w:rsidR="004A5041" w:rsidRPr="00563AD3">
        <w:t xml:space="preserve">undertake </w:t>
      </w:r>
      <w:r w:rsidR="004768E9" w:rsidRPr="00563AD3">
        <w:t>the mapper role</w:t>
      </w:r>
      <w:r w:rsidR="00A36D69" w:rsidRPr="00563AD3">
        <w:t xml:space="preserve"> was gained</w:t>
      </w:r>
      <w:r w:rsidRPr="00563AD3">
        <w:t>.</w:t>
      </w:r>
      <w:r w:rsidR="004768E9" w:rsidRPr="00563AD3">
        <w:t xml:space="preserve"> To be eligible staff had to be a permanent or contracted staff member, h</w:t>
      </w:r>
      <w:r w:rsidRPr="00563AD3">
        <w:t xml:space="preserve">ave the right skills and qualities </w:t>
      </w:r>
      <w:r w:rsidR="004768E9" w:rsidRPr="00563AD3">
        <w:t xml:space="preserve">as assessed by the home manager against a mapper role descriptor provided by the research team (see </w:t>
      </w:r>
      <w:r w:rsidR="00191950" w:rsidRPr="00191950">
        <w:rPr>
          <w:i/>
        </w:rPr>
        <w:t>Supplementary Material</w:t>
      </w:r>
      <w:r w:rsidR="004768E9" w:rsidRPr="00563AD3">
        <w:t>)</w:t>
      </w:r>
      <w:r w:rsidR="00A36D69" w:rsidRPr="00563AD3">
        <w:t>,</w:t>
      </w:r>
      <w:r w:rsidR="004768E9" w:rsidRPr="00563AD3">
        <w:t xml:space="preserve"> agree to implement </w:t>
      </w:r>
      <w:r w:rsidR="00070560" w:rsidRPr="00563AD3">
        <w:t>DCM™</w:t>
      </w:r>
      <w:r w:rsidR="004768E9" w:rsidRPr="00563AD3">
        <w:t xml:space="preserve"> per protocol and to take part in the process evaluation</w:t>
      </w:r>
      <w:r w:rsidR="001B39CC" w:rsidRPr="00563AD3">
        <w:t>,</w:t>
      </w:r>
      <w:r w:rsidR="004768E9" w:rsidRPr="00563AD3">
        <w:t xml:space="preserve"> if required.</w:t>
      </w:r>
    </w:p>
    <w:p w14:paraId="72E6C0C6" w14:textId="68900CCA" w:rsidR="00602636" w:rsidRPr="00563AD3" w:rsidRDefault="00602636" w:rsidP="009B13F3">
      <w:r w:rsidRPr="00563AD3">
        <w:t xml:space="preserve">Potential mappers </w:t>
      </w:r>
      <w:r w:rsidR="004768E9" w:rsidRPr="00563AD3">
        <w:t>were</w:t>
      </w:r>
      <w:r w:rsidRPr="00563AD3">
        <w:t xml:space="preserve"> initially approached by the manager </w:t>
      </w:r>
      <w:r w:rsidR="00A36D69" w:rsidRPr="00563AD3">
        <w:t>with reference to the</w:t>
      </w:r>
      <w:r w:rsidR="004768E9" w:rsidRPr="00563AD3">
        <w:t xml:space="preserve"> </w:t>
      </w:r>
      <w:r w:rsidRPr="00563AD3">
        <w:t>written mapper</w:t>
      </w:r>
      <w:r w:rsidR="004A5041" w:rsidRPr="00563AD3">
        <w:t xml:space="preserve"> role description</w:t>
      </w:r>
      <w:r w:rsidRPr="00563AD3">
        <w:t xml:space="preserve">. Once verbal consent </w:t>
      </w:r>
      <w:r w:rsidR="004768E9" w:rsidRPr="00563AD3">
        <w:t xml:space="preserve">was </w:t>
      </w:r>
      <w:r w:rsidRPr="00563AD3">
        <w:t>obtained</w:t>
      </w:r>
      <w:r w:rsidR="001B39CC" w:rsidRPr="00563AD3">
        <w:t>,</w:t>
      </w:r>
      <w:r w:rsidRPr="00563AD3">
        <w:t xml:space="preserve"> </w:t>
      </w:r>
      <w:r w:rsidR="004768E9" w:rsidRPr="00563AD3">
        <w:t xml:space="preserve">the </w:t>
      </w:r>
      <w:r w:rsidR="00A36D69" w:rsidRPr="00563AD3">
        <w:t>r</w:t>
      </w:r>
      <w:r w:rsidRPr="00563AD3">
        <w:t>esearcher</w:t>
      </w:r>
      <w:r w:rsidR="004768E9" w:rsidRPr="00563AD3">
        <w:t xml:space="preserve"> discussed the role and responsibilities</w:t>
      </w:r>
      <w:r w:rsidRPr="00563AD3">
        <w:t xml:space="preserve"> of mappers </w:t>
      </w:r>
      <w:r w:rsidR="004768E9" w:rsidRPr="00563AD3">
        <w:t xml:space="preserve">again </w:t>
      </w:r>
      <w:r w:rsidR="00A36D69" w:rsidRPr="00563AD3">
        <w:t>with reference</w:t>
      </w:r>
      <w:r w:rsidR="0007401C" w:rsidRPr="00563AD3">
        <w:t xml:space="preserve"> to the </w:t>
      </w:r>
      <w:r w:rsidR="00A36D69" w:rsidRPr="00563AD3">
        <w:t>role descriptor</w:t>
      </w:r>
      <w:r w:rsidR="004A5041" w:rsidRPr="00563AD3">
        <w:t xml:space="preserve"> and mapper information sheet</w:t>
      </w:r>
      <w:r w:rsidR="0007401C" w:rsidRPr="00563AD3">
        <w:t xml:space="preserve">, </w:t>
      </w:r>
      <w:r w:rsidRPr="00563AD3">
        <w:t>before gaining their written informed consent</w:t>
      </w:r>
      <w:r w:rsidR="00234AE6" w:rsidRPr="00563AD3">
        <w:t xml:space="preserve"> (see Supplementary Material)</w:t>
      </w:r>
      <w:r w:rsidRPr="00563AD3">
        <w:t xml:space="preserve">. </w:t>
      </w:r>
      <w:r w:rsidR="004768E9" w:rsidRPr="00563AD3">
        <w:t xml:space="preserve">If a </w:t>
      </w:r>
      <w:r w:rsidRPr="00563AD3">
        <w:t xml:space="preserve">mapper </w:t>
      </w:r>
      <w:r w:rsidR="004768E9" w:rsidRPr="00563AD3">
        <w:t xml:space="preserve">withdrew or left </w:t>
      </w:r>
      <w:r w:rsidRPr="00563AD3">
        <w:t>the care home before the end of the trial, where feasible</w:t>
      </w:r>
      <w:r w:rsidR="0007401C" w:rsidRPr="00563AD3">
        <w:t>,</w:t>
      </w:r>
      <w:r w:rsidRPr="00563AD3">
        <w:t xml:space="preserve"> a</w:t>
      </w:r>
      <w:r w:rsidR="00A36D69" w:rsidRPr="00563AD3">
        <w:t>nother</w:t>
      </w:r>
      <w:r w:rsidRPr="00563AD3">
        <w:t xml:space="preserve"> suitable member of staff </w:t>
      </w:r>
      <w:r w:rsidR="004768E9" w:rsidRPr="00563AD3">
        <w:t>was</w:t>
      </w:r>
      <w:r w:rsidRPr="00563AD3">
        <w:t xml:space="preserve"> identified, consented and trained </w:t>
      </w:r>
      <w:r w:rsidR="001B39CC" w:rsidRPr="00563AD3">
        <w:t xml:space="preserve">using a similar procedure, </w:t>
      </w:r>
      <w:r w:rsidRPr="00563AD3">
        <w:t xml:space="preserve">to ensure continuity of </w:t>
      </w:r>
      <w:r w:rsidR="00A61329" w:rsidRPr="00563AD3">
        <w:t>DCM™</w:t>
      </w:r>
      <w:r w:rsidRPr="00563AD3">
        <w:t xml:space="preserve"> implementation in the home.</w:t>
      </w:r>
    </w:p>
    <w:p w14:paraId="1DD6F66A" w14:textId="60E6D4B1" w:rsidR="00602636" w:rsidRPr="00563AD3" w:rsidRDefault="00F252EC" w:rsidP="009B13F3">
      <w:pPr>
        <w:pStyle w:val="Heading4"/>
      </w:pPr>
      <w:bookmarkStart w:id="70" w:name="_Toc455576288"/>
      <w:r w:rsidRPr="00563AD3">
        <w:t xml:space="preserve">2.5.2.2 </w:t>
      </w:r>
      <w:r w:rsidR="00602636" w:rsidRPr="00563AD3">
        <w:t>Training</w:t>
      </w:r>
      <w:bookmarkEnd w:id="70"/>
    </w:p>
    <w:p w14:paraId="5E571003" w14:textId="0868E001" w:rsidR="005A2E6F" w:rsidRPr="00563AD3" w:rsidRDefault="005A2E6F" w:rsidP="009B13F3">
      <w:r w:rsidRPr="00563AD3">
        <w:t xml:space="preserve">Following randomisation, care homes allocated to intervention received </w:t>
      </w:r>
      <w:r w:rsidR="0078407C" w:rsidRPr="00563AD3">
        <w:t xml:space="preserve">DCM™ </w:t>
      </w:r>
      <w:r w:rsidRPr="00563AD3">
        <w:t xml:space="preserve">training as soon as </w:t>
      </w:r>
      <w:r w:rsidR="001B39CC" w:rsidRPr="00563AD3">
        <w:t xml:space="preserve">their mappers were </w:t>
      </w:r>
      <w:r w:rsidRPr="00563AD3">
        <w:t>able</w:t>
      </w:r>
      <w:r w:rsidR="001B39CC" w:rsidRPr="00563AD3">
        <w:t>,</w:t>
      </w:r>
      <w:r w:rsidRPr="00563AD3">
        <w:t xml:space="preserve"> </w:t>
      </w:r>
      <w:r w:rsidR="0078407C" w:rsidRPr="00563AD3">
        <w:t xml:space="preserve">depending </w:t>
      </w:r>
      <w:r w:rsidR="001B39CC" w:rsidRPr="00563AD3">
        <w:t xml:space="preserve">in part </w:t>
      </w:r>
      <w:r w:rsidRPr="00563AD3">
        <w:t xml:space="preserve">upon the course schedule. </w:t>
      </w:r>
    </w:p>
    <w:p w14:paraId="6081E069" w14:textId="09F9456B" w:rsidR="00602636" w:rsidRPr="00563AD3" w:rsidRDefault="004713A3" w:rsidP="009B13F3">
      <w:pPr>
        <w:spacing w:after="120"/>
      </w:pPr>
      <w:r w:rsidRPr="00563AD3">
        <w:t>All trial mappers attended a standard four-day DCM™ training course held in Bradford or London and provided by the University of Bradford. It included</w:t>
      </w:r>
      <w:r w:rsidR="00602636" w:rsidRPr="00563AD3">
        <w:t xml:space="preserve"> an assessment of competency in use of </w:t>
      </w:r>
      <w:r w:rsidR="008A5202" w:rsidRPr="00563AD3">
        <w:rPr>
          <w:lang w:eastAsia="en-US"/>
        </w:rPr>
        <w:t>DCM</w:t>
      </w:r>
      <w:r w:rsidR="008A5202" w:rsidRPr="00563AD3">
        <w:t>™</w:t>
      </w:r>
      <w:r w:rsidR="00602636" w:rsidRPr="00563AD3">
        <w:t xml:space="preserve">. </w:t>
      </w:r>
      <w:r w:rsidR="00F252EC" w:rsidRPr="00563AD3">
        <w:t xml:space="preserve">One further </w:t>
      </w:r>
      <w:r w:rsidR="0078407C" w:rsidRPr="00563AD3">
        <w:t xml:space="preserve">attempt at the </w:t>
      </w:r>
      <w:r w:rsidR="00602636" w:rsidRPr="00563AD3">
        <w:t>assessment</w:t>
      </w:r>
      <w:r w:rsidR="004407A8" w:rsidRPr="00563AD3">
        <w:t xml:space="preserve"> </w:t>
      </w:r>
      <w:r w:rsidR="00602636" w:rsidRPr="00563AD3">
        <w:t xml:space="preserve">for </w:t>
      </w:r>
      <w:r w:rsidR="001B39CC" w:rsidRPr="00563AD3">
        <w:t>attendees</w:t>
      </w:r>
      <w:r w:rsidR="0078407C" w:rsidRPr="00563AD3">
        <w:t xml:space="preserve"> fail</w:t>
      </w:r>
      <w:r w:rsidR="001A3BC3" w:rsidRPr="00563AD3">
        <w:t>ing</w:t>
      </w:r>
      <w:r w:rsidR="0078407C" w:rsidRPr="00563AD3">
        <w:t xml:space="preserve"> to</w:t>
      </w:r>
      <w:r w:rsidR="00602636" w:rsidRPr="00563AD3">
        <w:t xml:space="preserve"> </w:t>
      </w:r>
      <w:r w:rsidR="0078407C" w:rsidRPr="00563AD3">
        <w:t xml:space="preserve">achieve </w:t>
      </w:r>
      <w:r w:rsidR="00602636" w:rsidRPr="00563AD3">
        <w:t xml:space="preserve">a </w:t>
      </w:r>
      <w:r w:rsidR="00F252EC" w:rsidRPr="00563AD3">
        <w:t>pass mark at the first attempt</w:t>
      </w:r>
      <w:r w:rsidR="001A3BC3" w:rsidRPr="00563AD3">
        <w:t>, was permitted</w:t>
      </w:r>
      <w:r w:rsidR="00F252EC" w:rsidRPr="00563AD3">
        <w:t xml:space="preserve">. </w:t>
      </w:r>
      <w:r w:rsidR="00602636" w:rsidRPr="00563AD3">
        <w:t xml:space="preserve">The course trainers </w:t>
      </w:r>
      <w:r w:rsidR="001A3BC3" w:rsidRPr="00563AD3">
        <w:t xml:space="preserve">were informed </w:t>
      </w:r>
      <w:r w:rsidR="001B39CC" w:rsidRPr="00563AD3">
        <w:t xml:space="preserve">which attendees were </w:t>
      </w:r>
      <w:r w:rsidR="00F252EC" w:rsidRPr="00563AD3">
        <w:t>EPIC trial mappers in advance</w:t>
      </w:r>
      <w:r w:rsidR="001B39CC" w:rsidRPr="00563AD3">
        <w:t>.</w:t>
      </w:r>
      <w:r w:rsidR="00F252EC" w:rsidRPr="00563AD3">
        <w:t xml:space="preserve"> </w:t>
      </w:r>
      <w:r w:rsidR="001B39CC" w:rsidRPr="00563AD3">
        <w:t>T</w:t>
      </w:r>
      <w:r w:rsidRPr="00563AD3">
        <w:t xml:space="preserve">hey </w:t>
      </w:r>
      <w:r w:rsidR="00F252EC" w:rsidRPr="00563AD3">
        <w:t xml:space="preserve">provided data </w:t>
      </w:r>
      <w:r w:rsidRPr="00563AD3">
        <w:t>as to</w:t>
      </w:r>
      <w:r w:rsidR="00F252EC" w:rsidRPr="00563AD3">
        <w:t xml:space="preserve"> </w:t>
      </w:r>
      <w:r w:rsidR="001A3BC3" w:rsidRPr="00563AD3">
        <w:t>which</w:t>
      </w:r>
      <w:r w:rsidRPr="00563AD3">
        <w:t xml:space="preserve"> </w:t>
      </w:r>
      <w:r w:rsidR="004407A8" w:rsidRPr="00563AD3">
        <w:t>mappers</w:t>
      </w:r>
      <w:r w:rsidR="00602636" w:rsidRPr="00563AD3">
        <w:t xml:space="preserve"> </w:t>
      </w:r>
      <w:r w:rsidR="0078407C" w:rsidRPr="00563AD3">
        <w:t xml:space="preserve">had </w:t>
      </w:r>
      <w:r w:rsidR="00602636" w:rsidRPr="00563AD3">
        <w:t>successful</w:t>
      </w:r>
      <w:r w:rsidR="00F252EC" w:rsidRPr="00563AD3">
        <w:t>ly completed</w:t>
      </w:r>
      <w:r w:rsidR="00602636" w:rsidRPr="00563AD3">
        <w:t xml:space="preserve"> </w:t>
      </w:r>
      <w:r w:rsidR="0078407C" w:rsidRPr="00563AD3">
        <w:t xml:space="preserve">and passed </w:t>
      </w:r>
      <w:r w:rsidR="00602636" w:rsidRPr="00563AD3">
        <w:t>the course.</w:t>
      </w:r>
    </w:p>
    <w:p w14:paraId="002D3B1F" w14:textId="30E25DA9" w:rsidR="00602636" w:rsidRPr="00563AD3" w:rsidRDefault="00F252EC" w:rsidP="009B13F3">
      <w:pPr>
        <w:pStyle w:val="Heading4"/>
      </w:pPr>
      <w:bookmarkStart w:id="71" w:name="_Toc455576289"/>
      <w:r w:rsidRPr="00563AD3">
        <w:t xml:space="preserve">2.5.2.3 </w:t>
      </w:r>
      <w:r w:rsidR="00602636" w:rsidRPr="00563AD3">
        <w:t>Implementation</w:t>
      </w:r>
      <w:bookmarkEnd w:id="71"/>
    </w:p>
    <w:p w14:paraId="6241C3D7" w14:textId="06EF2137" w:rsidR="00602636" w:rsidRPr="00563AD3" w:rsidRDefault="001B4512" w:rsidP="009B13F3">
      <w:pPr>
        <w:rPr>
          <w:rFonts w:eastAsiaTheme="minorHAnsi"/>
          <w:szCs w:val="24"/>
        </w:rPr>
      </w:pPr>
      <w:r w:rsidRPr="00563AD3">
        <w:rPr>
          <w:rFonts w:eastAsiaTheme="minorHAnsi"/>
          <w:szCs w:val="24"/>
        </w:rPr>
        <w:t>Following completion of the formal, assessed training course, i</w:t>
      </w:r>
      <w:r w:rsidR="00602636" w:rsidRPr="00563AD3">
        <w:rPr>
          <w:rFonts w:eastAsiaTheme="minorHAnsi"/>
          <w:szCs w:val="24"/>
        </w:rPr>
        <w:t xml:space="preserve">mplementation of </w:t>
      </w:r>
      <w:r w:rsidR="00A61329" w:rsidRPr="00563AD3">
        <w:rPr>
          <w:rFonts w:eastAsiaTheme="minorHAnsi"/>
          <w:szCs w:val="24"/>
        </w:rPr>
        <w:t>DCM™</w:t>
      </w:r>
      <w:r w:rsidR="004407A8" w:rsidRPr="00563AD3">
        <w:rPr>
          <w:rFonts w:eastAsiaTheme="minorHAnsi"/>
          <w:szCs w:val="24"/>
        </w:rPr>
        <w:t xml:space="preserve"> commenced, </w:t>
      </w:r>
      <w:r w:rsidR="001B39CC" w:rsidRPr="00563AD3">
        <w:rPr>
          <w:rFonts w:eastAsiaTheme="minorHAnsi"/>
          <w:szCs w:val="24"/>
        </w:rPr>
        <w:t>comprising</w:t>
      </w:r>
      <w:r w:rsidR="00602636" w:rsidRPr="00563AD3">
        <w:rPr>
          <w:rFonts w:eastAsiaTheme="minorHAnsi"/>
          <w:szCs w:val="24"/>
        </w:rPr>
        <w:t xml:space="preserve"> a practice development cycle of</w:t>
      </w:r>
      <w:r w:rsidR="00AE119B" w:rsidRPr="00563AD3">
        <w:rPr>
          <w:rFonts w:eastAsiaTheme="minorHAnsi"/>
          <w:szCs w:val="24"/>
        </w:rPr>
        <w:t>:</w:t>
      </w:r>
      <w:r w:rsidR="00602636" w:rsidRPr="00563AD3">
        <w:rPr>
          <w:rFonts w:eastAsiaTheme="minorHAnsi"/>
          <w:szCs w:val="24"/>
        </w:rPr>
        <w:t xml:space="preserve"> briefing the staff team</w:t>
      </w:r>
      <w:r w:rsidR="00AE119B" w:rsidRPr="00563AD3">
        <w:rPr>
          <w:rFonts w:eastAsiaTheme="minorHAnsi"/>
          <w:szCs w:val="24"/>
        </w:rPr>
        <w:t>;</w:t>
      </w:r>
      <w:r w:rsidR="00602636" w:rsidRPr="00563AD3">
        <w:rPr>
          <w:rFonts w:eastAsiaTheme="minorHAnsi"/>
          <w:szCs w:val="24"/>
        </w:rPr>
        <w:t xml:space="preserve"> observation</w:t>
      </w:r>
      <w:r w:rsidR="004713A3" w:rsidRPr="00563AD3">
        <w:rPr>
          <w:rFonts w:eastAsiaTheme="minorHAnsi"/>
          <w:szCs w:val="24"/>
        </w:rPr>
        <w:t xml:space="preserve"> over a number of hours</w:t>
      </w:r>
      <w:r w:rsidR="00AE119B" w:rsidRPr="00563AD3">
        <w:rPr>
          <w:rFonts w:eastAsiaTheme="minorHAnsi"/>
          <w:szCs w:val="24"/>
        </w:rPr>
        <w:t>;</w:t>
      </w:r>
      <w:r w:rsidR="00602636" w:rsidRPr="00563AD3">
        <w:rPr>
          <w:rFonts w:eastAsiaTheme="minorHAnsi"/>
          <w:szCs w:val="24"/>
        </w:rPr>
        <w:t xml:space="preserve"> data analysis</w:t>
      </w:r>
      <w:r w:rsidR="00AE119B" w:rsidRPr="00563AD3">
        <w:rPr>
          <w:rFonts w:eastAsiaTheme="minorHAnsi"/>
          <w:szCs w:val="24"/>
        </w:rPr>
        <w:t xml:space="preserve">, </w:t>
      </w:r>
      <w:r w:rsidRPr="00563AD3">
        <w:rPr>
          <w:rFonts w:eastAsiaTheme="minorHAnsi"/>
          <w:szCs w:val="24"/>
        </w:rPr>
        <w:t>reporting</w:t>
      </w:r>
      <w:r w:rsidR="00AE119B" w:rsidRPr="00563AD3">
        <w:rPr>
          <w:rFonts w:eastAsiaTheme="minorHAnsi"/>
          <w:szCs w:val="24"/>
        </w:rPr>
        <w:t xml:space="preserve"> and</w:t>
      </w:r>
      <w:r w:rsidR="00602636" w:rsidRPr="00563AD3">
        <w:rPr>
          <w:rFonts w:eastAsiaTheme="minorHAnsi"/>
          <w:szCs w:val="24"/>
        </w:rPr>
        <w:t xml:space="preserve"> feedback to the staff team</w:t>
      </w:r>
      <w:r w:rsidR="00AE119B" w:rsidRPr="00563AD3">
        <w:rPr>
          <w:rFonts w:eastAsiaTheme="minorHAnsi"/>
          <w:szCs w:val="24"/>
        </w:rPr>
        <w:t>;</w:t>
      </w:r>
      <w:r w:rsidRPr="00563AD3">
        <w:rPr>
          <w:rFonts w:eastAsiaTheme="minorHAnsi"/>
          <w:szCs w:val="24"/>
        </w:rPr>
        <w:t xml:space="preserve"> and</w:t>
      </w:r>
      <w:r w:rsidR="00602636" w:rsidRPr="00563AD3">
        <w:rPr>
          <w:rFonts w:eastAsiaTheme="minorHAnsi"/>
          <w:szCs w:val="24"/>
        </w:rPr>
        <w:t xml:space="preserve"> action planning</w:t>
      </w:r>
      <w:r w:rsidRPr="00563AD3">
        <w:rPr>
          <w:rFonts w:eastAsiaTheme="minorHAnsi"/>
          <w:szCs w:val="24"/>
        </w:rPr>
        <w:t>. R</w:t>
      </w:r>
      <w:r w:rsidR="00602636" w:rsidRPr="00563AD3">
        <w:rPr>
          <w:rFonts w:eastAsiaTheme="minorHAnsi"/>
          <w:szCs w:val="24"/>
        </w:rPr>
        <w:t>e</w:t>
      </w:r>
      <w:r w:rsidRPr="00563AD3">
        <w:rPr>
          <w:rFonts w:eastAsiaTheme="minorHAnsi"/>
          <w:szCs w:val="24"/>
        </w:rPr>
        <w:t>-</w:t>
      </w:r>
      <w:r w:rsidR="00602636" w:rsidRPr="00563AD3">
        <w:rPr>
          <w:rFonts w:eastAsiaTheme="minorHAnsi"/>
          <w:szCs w:val="24"/>
        </w:rPr>
        <w:t>mapping</w:t>
      </w:r>
      <w:r w:rsidRPr="00563AD3">
        <w:rPr>
          <w:rFonts w:eastAsiaTheme="minorHAnsi"/>
          <w:szCs w:val="24"/>
        </w:rPr>
        <w:t xml:space="preserve"> at regular intervals </w:t>
      </w:r>
      <w:r w:rsidR="004407A8" w:rsidRPr="00563AD3">
        <w:rPr>
          <w:rFonts w:eastAsiaTheme="minorHAnsi"/>
          <w:szCs w:val="24"/>
        </w:rPr>
        <w:t xml:space="preserve">forms part of the standard process, </w:t>
      </w:r>
      <w:r w:rsidRPr="00563AD3">
        <w:rPr>
          <w:rFonts w:eastAsiaTheme="minorHAnsi"/>
          <w:szCs w:val="24"/>
        </w:rPr>
        <w:t xml:space="preserve">to monitor progress and set new action </w:t>
      </w:r>
      <w:r w:rsidR="001B39CC" w:rsidRPr="00563AD3">
        <w:rPr>
          <w:rFonts w:eastAsiaTheme="minorHAnsi"/>
          <w:szCs w:val="24"/>
        </w:rPr>
        <w:t>plans</w:t>
      </w:r>
      <w:r w:rsidR="00602636" w:rsidRPr="00563AD3">
        <w:rPr>
          <w:rFonts w:eastAsiaTheme="minorHAnsi"/>
          <w:szCs w:val="24"/>
        </w:rPr>
        <w:t xml:space="preserve">. </w:t>
      </w:r>
      <w:r w:rsidR="005A2E6F" w:rsidRPr="00563AD3">
        <w:rPr>
          <w:rFonts w:eastAsiaTheme="minorHAnsi"/>
          <w:szCs w:val="24"/>
        </w:rPr>
        <w:t xml:space="preserve">Intervention homes were scheduled </w:t>
      </w:r>
      <w:r w:rsidR="005A2E6F" w:rsidRPr="00563AD3">
        <w:t xml:space="preserve">to complete their first cycle at 3-months </w:t>
      </w:r>
      <w:r w:rsidRPr="00563AD3">
        <w:t xml:space="preserve">post randomisation </w:t>
      </w:r>
      <w:r w:rsidR="005A2E6F" w:rsidRPr="00563AD3">
        <w:t xml:space="preserve">(or as soon as practicable), their second cycle at 8-months and their final cycle at 13-months. </w:t>
      </w:r>
      <w:r w:rsidR="00602636" w:rsidRPr="00563AD3">
        <w:rPr>
          <w:rFonts w:eastAsiaTheme="minorHAnsi"/>
          <w:szCs w:val="24"/>
        </w:rPr>
        <w:t xml:space="preserve">Ahead of each mapping cycle the </w:t>
      </w:r>
      <w:r w:rsidR="004407A8" w:rsidRPr="00563AD3">
        <w:rPr>
          <w:rFonts w:eastAsiaTheme="minorHAnsi"/>
          <w:szCs w:val="24"/>
        </w:rPr>
        <w:t>tri</w:t>
      </w:r>
      <w:r w:rsidR="001B39CC" w:rsidRPr="00563AD3">
        <w:rPr>
          <w:rFonts w:eastAsiaTheme="minorHAnsi"/>
          <w:szCs w:val="24"/>
        </w:rPr>
        <w:t>a</w:t>
      </w:r>
      <w:r w:rsidR="004407A8" w:rsidRPr="00563AD3">
        <w:rPr>
          <w:rFonts w:eastAsiaTheme="minorHAnsi"/>
          <w:szCs w:val="24"/>
        </w:rPr>
        <w:t xml:space="preserve">l manager at </w:t>
      </w:r>
      <w:r w:rsidR="00602636" w:rsidRPr="00563AD3">
        <w:rPr>
          <w:rFonts w:eastAsiaTheme="minorHAnsi"/>
          <w:szCs w:val="24"/>
        </w:rPr>
        <w:t>CTRU contact</w:t>
      </w:r>
      <w:r w:rsidR="001F7712" w:rsidRPr="00563AD3">
        <w:rPr>
          <w:rFonts w:eastAsiaTheme="minorHAnsi"/>
          <w:szCs w:val="24"/>
        </w:rPr>
        <w:t>ed</w:t>
      </w:r>
      <w:r w:rsidR="00602636" w:rsidRPr="00563AD3">
        <w:rPr>
          <w:rFonts w:eastAsiaTheme="minorHAnsi"/>
          <w:szCs w:val="24"/>
        </w:rPr>
        <w:t xml:space="preserve"> mapper</w:t>
      </w:r>
      <w:r w:rsidR="001B39CC" w:rsidRPr="00563AD3">
        <w:rPr>
          <w:rFonts w:eastAsiaTheme="minorHAnsi"/>
          <w:szCs w:val="24"/>
        </w:rPr>
        <w:t>s individually</w:t>
      </w:r>
      <w:r w:rsidR="00602636" w:rsidRPr="00563AD3">
        <w:rPr>
          <w:rFonts w:eastAsiaTheme="minorHAnsi"/>
          <w:szCs w:val="24"/>
        </w:rPr>
        <w:t xml:space="preserve"> via SMS to remind them of the upcoming cycle</w:t>
      </w:r>
      <w:r w:rsidR="001B39CC" w:rsidRPr="00563AD3">
        <w:rPr>
          <w:rFonts w:eastAsiaTheme="minorHAnsi"/>
          <w:szCs w:val="24"/>
        </w:rPr>
        <w:t>.</w:t>
      </w:r>
      <w:r w:rsidR="001F7712" w:rsidRPr="00563AD3">
        <w:rPr>
          <w:rFonts w:eastAsiaTheme="minorHAnsi"/>
          <w:szCs w:val="24"/>
        </w:rPr>
        <w:t xml:space="preserve"> </w:t>
      </w:r>
      <w:r w:rsidR="001B39CC" w:rsidRPr="00563AD3">
        <w:rPr>
          <w:rFonts w:eastAsiaTheme="minorHAnsi"/>
          <w:szCs w:val="24"/>
        </w:rPr>
        <w:t>Paper</w:t>
      </w:r>
      <w:r w:rsidR="001F7712" w:rsidRPr="00563AD3">
        <w:rPr>
          <w:rFonts w:eastAsiaTheme="minorHAnsi"/>
          <w:szCs w:val="24"/>
        </w:rPr>
        <w:t xml:space="preserve"> documents were posted to </w:t>
      </w:r>
      <w:r w:rsidR="0078407C" w:rsidRPr="00563AD3">
        <w:rPr>
          <w:rFonts w:eastAsiaTheme="minorHAnsi"/>
          <w:szCs w:val="24"/>
        </w:rPr>
        <w:t>them to prompt</w:t>
      </w:r>
      <w:r w:rsidR="001F7712" w:rsidRPr="00563AD3">
        <w:rPr>
          <w:rFonts w:eastAsiaTheme="minorHAnsi"/>
          <w:szCs w:val="24"/>
        </w:rPr>
        <w:t xml:space="preserve"> completion of the cycle</w:t>
      </w:r>
      <w:r w:rsidR="00602636" w:rsidRPr="00563AD3">
        <w:rPr>
          <w:rFonts w:eastAsiaTheme="minorHAnsi"/>
          <w:szCs w:val="24"/>
        </w:rPr>
        <w:t>.</w:t>
      </w:r>
    </w:p>
    <w:p w14:paraId="5CA67557" w14:textId="6B453D61" w:rsidR="00602636" w:rsidRPr="00563AD3" w:rsidRDefault="00701654" w:rsidP="009B13F3">
      <w:pPr>
        <w:pStyle w:val="Heading5"/>
      </w:pPr>
      <w:r w:rsidRPr="00563AD3">
        <w:t xml:space="preserve">2.5.2.3.1 </w:t>
      </w:r>
      <w:r w:rsidR="00602636" w:rsidRPr="00563AD3">
        <w:t>Briefing</w:t>
      </w:r>
    </w:p>
    <w:p w14:paraId="78F066EA" w14:textId="64750630" w:rsidR="00602636" w:rsidRPr="00563AD3" w:rsidRDefault="00602636" w:rsidP="009B13F3">
      <w:r w:rsidRPr="00563AD3">
        <w:t xml:space="preserve">Mappers </w:t>
      </w:r>
      <w:r w:rsidR="0065224D" w:rsidRPr="00563AD3">
        <w:t xml:space="preserve">were asked to run </w:t>
      </w:r>
      <w:r w:rsidR="001F7712" w:rsidRPr="00563AD3">
        <w:t>at least</w:t>
      </w:r>
      <w:r w:rsidRPr="00563AD3">
        <w:t xml:space="preserve"> one briefing session 1-2 weeks prior to undertaking the mapping observations. Briefing sessions inform</w:t>
      </w:r>
      <w:r w:rsidR="0078407C" w:rsidRPr="00563AD3">
        <w:t>ed</w:t>
      </w:r>
      <w:r w:rsidRPr="00563AD3">
        <w:t xml:space="preserve"> the care home staff about </w:t>
      </w:r>
      <w:r w:rsidR="00070560" w:rsidRPr="00563AD3">
        <w:t>DCM™</w:t>
      </w:r>
      <w:r w:rsidRPr="00563AD3">
        <w:t xml:space="preserve"> and the process of implementation</w:t>
      </w:r>
      <w:r w:rsidR="001F7712" w:rsidRPr="00563AD3">
        <w:t xml:space="preserve"> and </w:t>
      </w:r>
      <w:r w:rsidR="00877393" w:rsidRPr="00563AD3">
        <w:t>provid</w:t>
      </w:r>
      <w:r w:rsidR="0078407C" w:rsidRPr="00563AD3">
        <w:t>ed</w:t>
      </w:r>
      <w:r w:rsidRPr="00563AD3">
        <w:t xml:space="preserve"> an opportunity for staff to ask questions and for mappers to address any </w:t>
      </w:r>
      <w:r w:rsidR="001F7712" w:rsidRPr="00563AD3">
        <w:t>staff concerns</w:t>
      </w:r>
      <w:r w:rsidRPr="00563AD3">
        <w:t>.</w:t>
      </w:r>
    </w:p>
    <w:p w14:paraId="6DA39AA8" w14:textId="46C62639" w:rsidR="00602636" w:rsidRPr="00563AD3" w:rsidRDefault="00701654" w:rsidP="009B13F3">
      <w:pPr>
        <w:pStyle w:val="Heading5"/>
      </w:pPr>
      <w:r w:rsidRPr="00563AD3">
        <w:t xml:space="preserve">2.5.2.3.2 </w:t>
      </w:r>
      <w:r w:rsidR="00602636" w:rsidRPr="00563AD3">
        <w:t>Observation</w:t>
      </w:r>
    </w:p>
    <w:p w14:paraId="17CC8E97" w14:textId="6A0A79DF" w:rsidR="0065224D" w:rsidRPr="00563AD3" w:rsidRDefault="004407A8" w:rsidP="009B13F3">
      <w:pPr>
        <w:rPr>
          <w:rFonts w:eastAsiaTheme="minorHAnsi"/>
        </w:rPr>
      </w:pPr>
      <w:r w:rsidRPr="00563AD3">
        <w:rPr>
          <w:rFonts w:eastAsiaTheme="minorHAnsi"/>
          <w:szCs w:val="24"/>
        </w:rPr>
        <w:t xml:space="preserve">Mappers used the standard </w:t>
      </w:r>
      <w:r w:rsidR="00A61329" w:rsidRPr="00563AD3">
        <w:rPr>
          <w:rFonts w:eastAsiaTheme="minorHAnsi"/>
          <w:szCs w:val="24"/>
        </w:rPr>
        <w:t>DCM™</w:t>
      </w:r>
      <w:r w:rsidR="00602636" w:rsidRPr="00563AD3">
        <w:rPr>
          <w:rFonts w:eastAsiaTheme="minorHAnsi"/>
          <w:szCs w:val="24"/>
        </w:rPr>
        <w:t xml:space="preserve"> </w:t>
      </w:r>
      <w:r w:rsidRPr="00563AD3">
        <w:rPr>
          <w:rFonts w:eastAsiaTheme="minorHAnsi"/>
          <w:szCs w:val="24"/>
        </w:rPr>
        <w:t>procedure</w:t>
      </w:r>
      <w:r w:rsidR="004713A3" w:rsidRPr="00563AD3">
        <w:rPr>
          <w:rFonts w:eastAsiaTheme="minorHAnsi"/>
          <w:szCs w:val="24"/>
        </w:rPr>
        <w:t xml:space="preserve">. </w:t>
      </w:r>
      <w:r w:rsidRPr="00563AD3">
        <w:rPr>
          <w:rFonts w:eastAsiaTheme="minorHAnsi"/>
          <w:szCs w:val="24"/>
        </w:rPr>
        <w:t xml:space="preserve"> </w:t>
      </w:r>
      <w:r w:rsidR="00A92C21" w:rsidRPr="00563AD3">
        <w:rPr>
          <w:rFonts w:eastAsiaTheme="minorHAnsi"/>
        </w:rPr>
        <w:t xml:space="preserve">They were asked to observe </w:t>
      </w:r>
      <w:r w:rsidR="004713A3" w:rsidRPr="00563AD3">
        <w:rPr>
          <w:rFonts w:eastAsiaTheme="minorHAnsi"/>
        </w:rPr>
        <w:t xml:space="preserve">as many individuals, up to a total of five, as they felt confident to, </w:t>
      </w:r>
      <w:r w:rsidR="00A92C21" w:rsidRPr="00563AD3">
        <w:rPr>
          <w:rFonts w:eastAsiaTheme="minorHAnsi"/>
        </w:rPr>
        <w:t>for up to six consecutive hours on a single day if possible</w:t>
      </w:r>
      <w:r w:rsidR="004713A3" w:rsidRPr="00563AD3">
        <w:rPr>
          <w:rFonts w:eastAsiaTheme="minorHAnsi"/>
        </w:rPr>
        <w:t>.</w:t>
      </w:r>
      <w:r w:rsidR="00A92C21" w:rsidRPr="00563AD3">
        <w:rPr>
          <w:rFonts w:eastAsiaTheme="minorHAnsi"/>
        </w:rPr>
        <w:t xml:space="preserve"> </w:t>
      </w:r>
      <w:r w:rsidR="004713A3" w:rsidRPr="00563AD3">
        <w:rPr>
          <w:rFonts w:eastAsiaTheme="minorHAnsi"/>
        </w:rPr>
        <w:t>Alternatively,</w:t>
      </w:r>
      <w:r w:rsidR="00A92C21" w:rsidRPr="00563AD3">
        <w:rPr>
          <w:rFonts w:eastAsiaTheme="minorHAnsi"/>
        </w:rPr>
        <w:t xml:space="preserve"> </w:t>
      </w:r>
      <w:r w:rsidR="004713A3" w:rsidRPr="00563AD3">
        <w:rPr>
          <w:rFonts w:eastAsiaTheme="minorHAnsi"/>
        </w:rPr>
        <w:t xml:space="preserve">they could </w:t>
      </w:r>
      <w:r w:rsidR="00A92C21" w:rsidRPr="00563AD3">
        <w:rPr>
          <w:rFonts w:eastAsiaTheme="minorHAnsi"/>
        </w:rPr>
        <w:t xml:space="preserve">observe for as long as possible on consecutive days up to a total of six-hours. </w:t>
      </w:r>
      <w:r w:rsidR="0065224D" w:rsidRPr="00563AD3">
        <w:rPr>
          <w:rFonts w:eastAsiaTheme="minorHAnsi"/>
          <w:szCs w:val="24"/>
        </w:rPr>
        <w:t xml:space="preserve">A detailed description of the </w:t>
      </w:r>
      <w:r w:rsidR="00070560" w:rsidRPr="00563AD3">
        <w:rPr>
          <w:rFonts w:eastAsiaTheme="minorHAnsi"/>
          <w:szCs w:val="24"/>
        </w:rPr>
        <w:t>DCM™</w:t>
      </w:r>
      <w:r w:rsidR="0065224D" w:rsidRPr="00563AD3">
        <w:rPr>
          <w:rFonts w:eastAsiaTheme="minorHAnsi"/>
          <w:szCs w:val="24"/>
        </w:rPr>
        <w:t xml:space="preserve"> tool is published elsewhere </w:t>
      </w:r>
      <w:r w:rsidR="0065224D" w:rsidRPr="00563AD3">
        <w:rPr>
          <w:rFonts w:eastAsiaTheme="minorHAnsi"/>
          <w:szCs w:val="24"/>
        </w:rPr>
        <w:fldChar w:fldCharType="begin"/>
      </w:r>
      <w:r w:rsidR="00A126E7">
        <w:rPr>
          <w:rFonts w:eastAsiaTheme="minorHAnsi"/>
          <w:szCs w:val="24"/>
        </w:rPr>
        <w:instrText xml:space="preserve"> ADDIN EN.CITE &lt;EndNote&gt;&lt;Cite&gt;&lt;Author&gt;Brooker&lt;/Author&gt;&lt;Year&gt;2006&lt;/Year&gt;&lt;RecNum&gt;852&lt;/RecNum&gt;&lt;DisplayText&gt;&lt;style face="superscript"&gt;83, 109&lt;/style&gt;&lt;/DisplayText&gt;&lt;record&gt;&lt;rec-number&gt;852&lt;/rec-number&gt;&lt;foreign-keys&gt;&lt;key app="EN" db-id="wprxwptv75dtdree0t5x2ptmvadptw5fr2ww" timestamp="1269348633"&gt;852&lt;/key&gt;&lt;/foreign-keys&gt;&lt;ref-type name="Journal Article"&gt;17&lt;/ref-type&gt;&lt;contributors&gt;&lt;authors&gt;&lt;author&gt;Brooker, D.&lt;/author&gt;&lt;author&gt;Surr, C.&lt;/author&gt;&lt;/authors&gt;&lt;/contributors&gt;&lt;titles&gt;&lt;title&gt;Dementia Care Mapping (DCM): initial validation of DCM 8 in UK field trials&lt;/title&gt;&lt;secondary-title&gt;International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1018-1025&lt;/pages&gt;&lt;volume&gt;21&lt;/volume&gt;&lt;number&gt;11&lt;/number&gt;&lt;dates&gt;&lt;year&gt;2006&lt;/year&gt;&lt;/dates&gt;&lt;urls&gt;&lt;/urls&gt;&lt;/record&gt;&lt;/Cite&gt;&lt;Cite&gt;&lt;Author&gt;BSI&lt;/Author&gt;&lt;Year&gt;2010&lt;/Year&gt;&lt;RecNum&gt;1073&lt;/RecNum&gt;&lt;record&gt;&lt;rec-number&gt;1073&lt;/rec-number&gt;&lt;foreign-keys&gt;&lt;key app="EN" db-id="wprxwptv75dtdree0t5x2ptmvadptw5fr2ww" timestamp="1269349134"&gt;1073&lt;/key&gt;&lt;/foreign-keys&gt;&lt;ref-type name="Standard"&gt;58&lt;/ref-type&gt;&lt;contributors&gt;&lt;authors&gt;&lt;author&gt;BSI&lt;/author&gt;&lt;/authors&gt;&lt;/contributors&gt;&lt;titles&gt;&lt;title&gt;PAS 800:2010. Use of Dementia Care Mapping for improved person-centred care in a care provider organization. Guide&lt;/title&gt;&lt;/titles&gt;&lt;dates&gt;&lt;year&gt;2010&lt;/year&gt;&lt;/dates&gt;&lt;pub-location&gt;London&lt;/pub-location&gt;&lt;publisher&gt;BSI&lt;/publisher&gt;&lt;urls&gt;&lt;/urls&gt;&lt;/record&gt;&lt;/Cite&gt;&lt;/EndNote&gt;</w:instrText>
      </w:r>
      <w:r w:rsidR="0065224D" w:rsidRPr="00563AD3">
        <w:rPr>
          <w:rFonts w:eastAsiaTheme="minorHAnsi"/>
          <w:szCs w:val="24"/>
        </w:rPr>
        <w:fldChar w:fldCharType="separate"/>
      </w:r>
      <w:r w:rsidR="00A126E7" w:rsidRPr="00A126E7">
        <w:rPr>
          <w:rFonts w:eastAsiaTheme="minorHAnsi"/>
          <w:noProof/>
          <w:szCs w:val="24"/>
          <w:vertAlign w:val="superscript"/>
        </w:rPr>
        <w:t>83, 109</w:t>
      </w:r>
      <w:r w:rsidR="0065224D" w:rsidRPr="00563AD3">
        <w:rPr>
          <w:rFonts w:eastAsiaTheme="minorHAnsi"/>
          <w:szCs w:val="24"/>
        </w:rPr>
        <w:fldChar w:fldCharType="end"/>
      </w:r>
      <w:r w:rsidR="001A3BC3" w:rsidRPr="00563AD3">
        <w:rPr>
          <w:rFonts w:eastAsiaTheme="minorHAnsi"/>
          <w:szCs w:val="24"/>
        </w:rPr>
        <w:t xml:space="preserve"> and summarised here: </w:t>
      </w:r>
      <w:r w:rsidR="0065224D" w:rsidRPr="00563AD3">
        <w:rPr>
          <w:rFonts w:eastAsiaTheme="minorHAnsi"/>
          <w:szCs w:val="24"/>
        </w:rPr>
        <w:t>e</w:t>
      </w:r>
      <w:r w:rsidR="00602636" w:rsidRPr="00563AD3">
        <w:rPr>
          <w:rFonts w:eastAsiaTheme="minorHAnsi"/>
          <w:szCs w:val="24"/>
        </w:rPr>
        <w:t>very 5</w:t>
      </w:r>
      <w:r w:rsidR="0065224D" w:rsidRPr="00563AD3">
        <w:rPr>
          <w:rFonts w:eastAsiaTheme="minorHAnsi"/>
          <w:szCs w:val="24"/>
        </w:rPr>
        <w:t>-</w:t>
      </w:r>
      <w:r w:rsidR="00877393" w:rsidRPr="00563AD3">
        <w:rPr>
          <w:rFonts w:eastAsiaTheme="minorHAnsi"/>
          <w:szCs w:val="24"/>
        </w:rPr>
        <w:t xml:space="preserve">minutes the </w:t>
      </w:r>
      <w:r w:rsidR="00602636" w:rsidRPr="00563AD3">
        <w:rPr>
          <w:rFonts w:eastAsiaTheme="minorHAnsi"/>
          <w:szCs w:val="24"/>
        </w:rPr>
        <w:t>mapper record</w:t>
      </w:r>
      <w:r w:rsidR="0065224D" w:rsidRPr="00563AD3">
        <w:rPr>
          <w:rFonts w:eastAsiaTheme="minorHAnsi"/>
          <w:szCs w:val="24"/>
        </w:rPr>
        <w:t>s</w:t>
      </w:r>
      <w:r w:rsidR="00602636" w:rsidRPr="00563AD3">
        <w:rPr>
          <w:rFonts w:eastAsiaTheme="minorHAnsi"/>
          <w:szCs w:val="24"/>
        </w:rPr>
        <w:t xml:space="preserve"> </w:t>
      </w:r>
      <w:r w:rsidR="0065224D" w:rsidRPr="00563AD3">
        <w:rPr>
          <w:rFonts w:eastAsiaTheme="minorHAnsi"/>
          <w:szCs w:val="24"/>
        </w:rPr>
        <w:t>two</w:t>
      </w:r>
      <w:r w:rsidR="00602636" w:rsidRPr="00563AD3">
        <w:rPr>
          <w:rFonts w:eastAsiaTheme="minorHAnsi"/>
          <w:szCs w:val="24"/>
        </w:rPr>
        <w:t xml:space="preserve"> pieces of information about each person they are observing, a Behaviour Category Code (BCC) and a Mood/Engagement (ME) Value. There are 23 possible BCCs for the mapper to choose from, and they capture what the person with dementia is doing within that </w:t>
      </w:r>
      <w:r w:rsidR="00202BF3" w:rsidRPr="00563AD3">
        <w:rPr>
          <w:rFonts w:eastAsiaTheme="minorHAnsi"/>
          <w:szCs w:val="24"/>
        </w:rPr>
        <w:t>5</w:t>
      </w:r>
      <w:r w:rsidR="00602636" w:rsidRPr="00563AD3">
        <w:rPr>
          <w:rFonts w:eastAsiaTheme="minorHAnsi"/>
          <w:szCs w:val="24"/>
        </w:rPr>
        <w:t>-minute period. The ME Value encapsulates the associated mood and engagement level of the person with dementia and is chosen from a 6-point scale</w:t>
      </w:r>
      <w:r w:rsidR="0065224D" w:rsidRPr="00563AD3">
        <w:rPr>
          <w:rFonts w:eastAsiaTheme="minorHAnsi"/>
          <w:szCs w:val="24"/>
        </w:rPr>
        <w:t xml:space="preserve"> (+5</w:t>
      </w:r>
      <w:r w:rsidR="001B39CC" w:rsidRPr="00563AD3">
        <w:rPr>
          <w:rFonts w:eastAsiaTheme="minorHAnsi"/>
          <w:szCs w:val="24"/>
        </w:rPr>
        <w:t xml:space="preserve">, +3, +1, -1, -3, </w:t>
      </w:r>
      <w:r w:rsidR="0065224D" w:rsidRPr="00563AD3">
        <w:rPr>
          <w:rFonts w:eastAsiaTheme="minorHAnsi"/>
          <w:szCs w:val="24"/>
        </w:rPr>
        <w:t>-5)</w:t>
      </w:r>
      <w:r w:rsidR="00602636" w:rsidRPr="00563AD3">
        <w:rPr>
          <w:rFonts w:eastAsiaTheme="minorHAnsi"/>
          <w:szCs w:val="24"/>
        </w:rPr>
        <w:t xml:space="preserve">. </w:t>
      </w:r>
      <w:r w:rsidR="0078407C" w:rsidRPr="00563AD3">
        <w:rPr>
          <w:rFonts w:eastAsiaTheme="minorHAnsi"/>
          <w:szCs w:val="24"/>
        </w:rPr>
        <w:t xml:space="preserve">A set of rules is used to determine which BCC and ME to code. </w:t>
      </w:r>
      <w:r w:rsidR="00602636" w:rsidRPr="00563AD3">
        <w:rPr>
          <w:rFonts w:eastAsiaTheme="minorHAnsi"/>
          <w:szCs w:val="24"/>
        </w:rPr>
        <w:t>The mapper also record</w:t>
      </w:r>
      <w:r w:rsidR="0065224D" w:rsidRPr="00563AD3">
        <w:rPr>
          <w:rFonts w:eastAsiaTheme="minorHAnsi"/>
          <w:szCs w:val="24"/>
        </w:rPr>
        <w:t>s</w:t>
      </w:r>
      <w:r w:rsidR="00602636" w:rsidRPr="00563AD3">
        <w:rPr>
          <w:rFonts w:eastAsiaTheme="minorHAnsi"/>
          <w:szCs w:val="24"/>
        </w:rPr>
        <w:t xml:space="preserve"> instances when a person with dementia is ‘put down’ by a care worker, known as personal detractions (PDs), and examples of excellent care, called personal enhancers (PEs). These </w:t>
      </w:r>
      <w:r w:rsidR="0065224D" w:rsidRPr="00563AD3">
        <w:rPr>
          <w:rFonts w:eastAsiaTheme="minorHAnsi"/>
          <w:szCs w:val="24"/>
        </w:rPr>
        <w:t>are</w:t>
      </w:r>
      <w:r w:rsidR="00602636" w:rsidRPr="00563AD3">
        <w:rPr>
          <w:rFonts w:eastAsiaTheme="minorHAnsi"/>
          <w:szCs w:val="24"/>
        </w:rPr>
        <w:t xml:space="preserve"> recorded as and when they occur.</w:t>
      </w:r>
      <w:r w:rsidR="0065224D" w:rsidRPr="00563AD3">
        <w:rPr>
          <w:rFonts w:eastAsiaTheme="minorHAnsi"/>
          <w:szCs w:val="24"/>
        </w:rPr>
        <w:t xml:space="preserve"> </w:t>
      </w:r>
      <w:r w:rsidR="00602636" w:rsidRPr="00563AD3">
        <w:rPr>
          <w:rFonts w:eastAsiaTheme="minorHAnsi"/>
        </w:rPr>
        <w:t xml:space="preserve">Since </w:t>
      </w:r>
      <w:r w:rsidR="00A61329" w:rsidRPr="00563AD3">
        <w:rPr>
          <w:rFonts w:eastAsiaTheme="minorHAnsi"/>
        </w:rPr>
        <w:t>DCM™</w:t>
      </w:r>
      <w:r w:rsidR="00602636" w:rsidRPr="00563AD3">
        <w:rPr>
          <w:rFonts w:eastAsiaTheme="minorHAnsi"/>
        </w:rPr>
        <w:t xml:space="preserve"> is grounded in person-centred care, for reasons of privacy and dignity, observations only take place in communal living areas, such as the lounge, dining room and corridors. </w:t>
      </w:r>
      <w:r w:rsidR="0065224D" w:rsidRPr="00563AD3">
        <w:rPr>
          <w:rFonts w:eastAsiaTheme="minorHAnsi"/>
        </w:rPr>
        <w:t>M</w:t>
      </w:r>
      <w:r w:rsidR="00602636" w:rsidRPr="00563AD3">
        <w:rPr>
          <w:rFonts w:eastAsiaTheme="minorHAnsi"/>
        </w:rPr>
        <w:t>apper</w:t>
      </w:r>
      <w:r w:rsidR="0065224D" w:rsidRPr="00563AD3">
        <w:rPr>
          <w:rFonts w:eastAsiaTheme="minorHAnsi"/>
        </w:rPr>
        <w:t>s do</w:t>
      </w:r>
      <w:r w:rsidR="00602636" w:rsidRPr="00563AD3">
        <w:rPr>
          <w:rFonts w:eastAsiaTheme="minorHAnsi"/>
        </w:rPr>
        <w:t xml:space="preserve"> not observe in bedrooms or bathrooms. </w:t>
      </w:r>
    </w:p>
    <w:p w14:paraId="718C62CB" w14:textId="0F615B00" w:rsidR="00602636" w:rsidRPr="00563AD3" w:rsidRDefault="00701654" w:rsidP="009B13F3">
      <w:pPr>
        <w:pStyle w:val="Heading5"/>
      </w:pPr>
      <w:r w:rsidRPr="00563AD3">
        <w:t xml:space="preserve">2.5.2.3.3 </w:t>
      </w:r>
      <w:r w:rsidR="00602636" w:rsidRPr="00563AD3">
        <w:t>Data analysis</w:t>
      </w:r>
      <w:r w:rsidR="00877393" w:rsidRPr="00563AD3">
        <w:t xml:space="preserve">, </w:t>
      </w:r>
      <w:r w:rsidR="0065224D" w:rsidRPr="00563AD3">
        <w:t>reporting</w:t>
      </w:r>
      <w:r w:rsidR="008075E9" w:rsidRPr="00563AD3">
        <w:t xml:space="preserve"> and feedback</w:t>
      </w:r>
    </w:p>
    <w:p w14:paraId="4193AEB4" w14:textId="6E449B41" w:rsidR="00602636" w:rsidRPr="00563AD3" w:rsidRDefault="00164324" w:rsidP="009B13F3">
      <w:pPr>
        <w:rPr>
          <w:rFonts w:eastAsiaTheme="minorHAnsi"/>
        </w:rPr>
      </w:pPr>
      <w:r w:rsidRPr="00563AD3">
        <w:rPr>
          <w:rFonts w:eastAsiaTheme="minorHAnsi"/>
        </w:rPr>
        <w:t xml:space="preserve">For the purposes of trial data analysis, reporting and feedback were considered as a single phase, rather than the two separate phases of implementation described in the DCM™ literature. </w:t>
      </w:r>
      <w:r w:rsidR="0065224D" w:rsidRPr="00563AD3">
        <w:rPr>
          <w:rFonts w:eastAsiaTheme="minorHAnsi"/>
        </w:rPr>
        <w:t xml:space="preserve">Once the data had been collected </w:t>
      </w:r>
      <w:r w:rsidR="00D92869" w:rsidRPr="00563AD3">
        <w:rPr>
          <w:rFonts w:eastAsiaTheme="minorHAnsi"/>
        </w:rPr>
        <w:t>they were</w:t>
      </w:r>
      <w:r w:rsidR="0065224D" w:rsidRPr="00563AD3">
        <w:rPr>
          <w:rFonts w:eastAsiaTheme="minorHAnsi"/>
        </w:rPr>
        <w:t xml:space="preserve"> analysed by the mappers and presented in a standardised report format for the purposes of feedback to the care team. </w:t>
      </w:r>
      <w:r w:rsidR="001B39CC" w:rsidRPr="00563AD3">
        <w:rPr>
          <w:rFonts w:eastAsiaTheme="minorHAnsi"/>
        </w:rPr>
        <w:t>In the trial a</w:t>
      </w:r>
      <w:r w:rsidR="0065224D" w:rsidRPr="00563AD3">
        <w:rPr>
          <w:rFonts w:eastAsiaTheme="minorHAnsi"/>
        </w:rPr>
        <w:t xml:space="preserve"> standard template for </w:t>
      </w:r>
      <w:r w:rsidR="00070560" w:rsidRPr="00563AD3">
        <w:rPr>
          <w:rFonts w:eastAsiaTheme="minorHAnsi"/>
        </w:rPr>
        <w:t>DCM™</w:t>
      </w:r>
      <w:r w:rsidR="0065224D" w:rsidRPr="00563AD3">
        <w:rPr>
          <w:rFonts w:eastAsiaTheme="minorHAnsi"/>
        </w:rPr>
        <w:t xml:space="preserve"> reporting was given to the mappers by the research team</w:t>
      </w:r>
      <w:r w:rsidR="007B62A3" w:rsidRPr="00563AD3">
        <w:rPr>
          <w:rFonts w:eastAsiaTheme="minorHAnsi"/>
        </w:rPr>
        <w:t xml:space="preserve"> (see </w:t>
      </w:r>
      <w:r w:rsidR="00234AE6" w:rsidRPr="00563AD3">
        <w:rPr>
          <w:rFonts w:eastAsiaTheme="minorHAnsi"/>
        </w:rPr>
        <w:t>Supplementary Material</w:t>
      </w:r>
      <w:r w:rsidR="007B62A3" w:rsidRPr="00563AD3">
        <w:rPr>
          <w:rFonts w:eastAsiaTheme="minorHAnsi"/>
        </w:rPr>
        <w:t>)</w:t>
      </w:r>
      <w:r w:rsidR="0065224D" w:rsidRPr="00563AD3">
        <w:rPr>
          <w:rFonts w:eastAsiaTheme="minorHAnsi"/>
        </w:rPr>
        <w:t>.</w:t>
      </w:r>
      <w:r w:rsidR="001B39CC" w:rsidRPr="00563AD3">
        <w:rPr>
          <w:rFonts w:eastAsiaTheme="minorHAnsi"/>
        </w:rPr>
        <w:t xml:space="preserve"> DCM™ feedback sessions provide an opportunity for mappers to share their observations with the staff team and for collective discussion about good care practices and areas for improvement. In the trial m</w:t>
      </w:r>
      <w:r w:rsidR="00A92C21" w:rsidRPr="00563AD3">
        <w:rPr>
          <w:rFonts w:eastAsiaTheme="minorHAnsi"/>
        </w:rPr>
        <w:t xml:space="preserve">appers were requested to run one or more feedback sessions with as many of the staff team as possible, within one-month of conducting the observations. </w:t>
      </w:r>
    </w:p>
    <w:p w14:paraId="20F906E7" w14:textId="5808AFCA" w:rsidR="001B4512" w:rsidRPr="00563AD3" w:rsidRDefault="00701654" w:rsidP="009B13F3">
      <w:pPr>
        <w:pStyle w:val="Heading5"/>
      </w:pPr>
      <w:r w:rsidRPr="00563AD3">
        <w:t>2.5.2.3.</w:t>
      </w:r>
      <w:r w:rsidR="008075E9" w:rsidRPr="00563AD3">
        <w:t>4</w:t>
      </w:r>
      <w:r w:rsidRPr="00563AD3">
        <w:t xml:space="preserve"> </w:t>
      </w:r>
      <w:r w:rsidR="001B4512" w:rsidRPr="00563AD3">
        <w:rPr>
          <w:rFonts w:eastAsiaTheme="minorHAnsi"/>
        </w:rPr>
        <w:t>Action planning</w:t>
      </w:r>
      <w:r w:rsidR="001B4512" w:rsidRPr="00563AD3">
        <w:t xml:space="preserve"> </w:t>
      </w:r>
    </w:p>
    <w:p w14:paraId="3C09EEA8" w14:textId="4F54078D" w:rsidR="001B4512" w:rsidRPr="00563AD3" w:rsidRDefault="001B4512" w:rsidP="009B13F3">
      <w:r w:rsidRPr="00563AD3">
        <w:t xml:space="preserve">Action plans of ways to improve care </w:t>
      </w:r>
      <w:r w:rsidR="00A92C21" w:rsidRPr="00563AD3">
        <w:t>we</w:t>
      </w:r>
      <w:r w:rsidRPr="00563AD3">
        <w:t>re then produced. As part of the feedback session, or in a subsequent meeting</w:t>
      </w:r>
      <w:r w:rsidR="00D92869" w:rsidRPr="00563AD3">
        <w:t>,</w:t>
      </w:r>
      <w:r w:rsidRPr="00563AD3">
        <w:t xml:space="preserve"> staff and mappers were asked to jointly develop agreed, achievable group (care home level) and individual resident level action plans containing short, medium and longer term goals they wished to implement. </w:t>
      </w:r>
      <w:r w:rsidR="00A92C21" w:rsidRPr="00563AD3">
        <w:t>Mappers were asked to monitor progress on these actions during the next mapping cycle.</w:t>
      </w:r>
    </w:p>
    <w:p w14:paraId="345D13C7" w14:textId="6DE441BD" w:rsidR="001B4512" w:rsidRPr="00563AD3" w:rsidRDefault="00701654" w:rsidP="009B13F3">
      <w:pPr>
        <w:pStyle w:val="Heading4"/>
      </w:pPr>
      <w:r w:rsidRPr="00563AD3">
        <w:t xml:space="preserve">2.5.2.4 </w:t>
      </w:r>
      <w:r w:rsidR="001B4512" w:rsidRPr="00563AD3">
        <w:t>Resident consent for mapping</w:t>
      </w:r>
    </w:p>
    <w:p w14:paraId="71CC8DBC" w14:textId="4F1433E1" w:rsidR="001B4512" w:rsidRPr="00563AD3" w:rsidRDefault="001B4512" w:rsidP="009B13F3">
      <w:r w:rsidRPr="00563AD3">
        <w:t xml:space="preserve">Prior to mapping, residents </w:t>
      </w:r>
      <w:r w:rsidR="00A92C21" w:rsidRPr="00563AD3">
        <w:t>we</w:t>
      </w:r>
      <w:r w:rsidRPr="00563AD3">
        <w:t>re selected to be mapped through discussions between the care team and mappers, during the briefing session</w:t>
      </w:r>
      <w:r w:rsidR="00A92C21" w:rsidRPr="00563AD3">
        <w:t xml:space="preserve"> or on the day of mapping</w:t>
      </w:r>
      <w:r w:rsidRPr="00563AD3">
        <w:t xml:space="preserve">. </w:t>
      </w:r>
      <w:r w:rsidR="00202BF3" w:rsidRPr="00563AD3">
        <w:t xml:space="preserve">Mappers followed </w:t>
      </w:r>
      <w:r w:rsidR="00A92C21" w:rsidRPr="00563AD3">
        <w:t>DCM™</w:t>
      </w:r>
      <w:r w:rsidR="00202BF3" w:rsidRPr="00563AD3">
        <w:t xml:space="preserve"> guidance, which </w:t>
      </w:r>
      <w:r w:rsidR="00A92C21" w:rsidRPr="00563AD3">
        <w:t>states</w:t>
      </w:r>
      <w:r w:rsidR="00202BF3" w:rsidRPr="00563AD3">
        <w:t xml:space="preserve"> that</w:t>
      </w:r>
      <w:r w:rsidR="00A92C21" w:rsidRPr="00563AD3">
        <w:t xml:space="preserve"> r</w:t>
      </w:r>
      <w:r w:rsidRPr="00563AD3">
        <w:t xml:space="preserve">esidents may be selected for observation </w:t>
      </w:r>
      <w:r w:rsidR="001B39CC" w:rsidRPr="00563AD3">
        <w:t>due to reflecting</w:t>
      </w:r>
      <w:r w:rsidRPr="00563AD3">
        <w:t xml:space="preserve"> a range of abilities or having particular care needs staff members have difficulties meeting or understanding. </w:t>
      </w:r>
      <w:r w:rsidR="00A92C21" w:rsidRPr="00563AD3">
        <w:t>R</w:t>
      </w:r>
      <w:r w:rsidRPr="00563AD3">
        <w:t xml:space="preserve">esidents selected for mapping observations did not need to be consenting trial participants, since </w:t>
      </w:r>
      <w:r w:rsidR="00070560" w:rsidRPr="00563AD3">
        <w:t>DCM™</w:t>
      </w:r>
      <w:r w:rsidRPr="00563AD3">
        <w:t xml:space="preserve"> was implemented as a whole home intervention. Consent </w:t>
      </w:r>
      <w:r w:rsidR="00422371" w:rsidRPr="00563AD3">
        <w:t xml:space="preserve">was </w:t>
      </w:r>
      <w:r w:rsidRPr="00563AD3">
        <w:t xml:space="preserve">gained verbally </w:t>
      </w:r>
      <w:r w:rsidR="00422371" w:rsidRPr="00563AD3">
        <w:t xml:space="preserve">by the mappers, </w:t>
      </w:r>
      <w:r w:rsidR="00A92C21" w:rsidRPr="00563AD3">
        <w:t xml:space="preserve">from the resident or in discussion with their relative </w:t>
      </w:r>
      <w:r w:rsidRPr="00563AD3">
        <w:t xml:space="preserve">prior to observations taking place, in accordance with the usual consent process utilised in </w:t>
      </w:r>
      <w:r w:rsidR="00070560" w:rsidRPr="00563AD3">
        <w:t>DCM™</w:t>
      </w:r>
      <w:r w:rsidRPr="00563AD3">
        <w:t xml:space="preserve">. Any resident data collected as part of the </w:t>
      </w:r>
      <w:r w:rsidR="00070560" w:rsidRPr="00563AD3">
        <w:t>DCM™</w:t>
      </w:r>
      <w:r w:rsidRPr="00563AD3">
        <w:t xml:space="preserve"> process, subsequently used for monitoring intervention fidelity</w:t>
      </w:r>
      <w:r w:rsidR="00422371" w:rsidRPr="00563AD3">
        <w:t>,</w:t>
      </w:r>
      <w:r w:rsidRPr="00563AD3">
        <w:t xml:space="preserve"> or</w:t>
      </w:r>
      <w:r w:rsidR="00422371" w:rsidRPr="00563AD3">
        <w:t xml:space="preserve"> for any other purposes </w:t>
      </w:r>
      <w:r w:rsidRPr="00563AD3">
        <w:t xml:space="preserve">in the </w:t>
      </w:r>
      <w:r w:rsidR="0078407C" w:rsidRPr="00563AD3">
        <w:t>trial</w:t>
      </w:r>
      <w:r w:rsidRPr="00563AD3">
        <w:t xml:space="preserve">, was anonymised </w:t>
      </w:r>
      <w:r w:rsidR="004713A3" w:rsidRPr="00563AD3">
        <w:t>by the mappers</w:t>
      </w:r>
      <w:r w:rsidRPr="00563AD3">
        <w:t xml:space="preserve"> before being </w:t>
      </w:r>
      <w:r w:rsidR="004713A3" w:rsidRPr="00563AD3">
        <w:t>sent to</w:t>
      </w:r>
      <w:r w:rsidRPr="00563AD3">
        <w:t xml:space="preserve"> the research team.</w:t>
      </w:r>
    </w:p>
    <w:p w14:paraId="11186FE3" w14:textId="6CF957E6" w:rsidR="005A2E6F" w:rsidRPr="00563AD3" w:rsidRDefault="00701654" w:rsidP="009B13F3">
      <w:pPr>
        <w:pStyle w:val="Heading4"/>
      </w:pPr>
      <w:r w:rsidRPr="00563AD3">
        <w:t>2.5.2.5</w:t>
      </w:r>
      <w:r w:rsidR="005A2E6F" w:rsidRPr="00563AD3">
        <w:t xml:space="preserve"> </w:t>
      </w:r>
      <w:r w:rsidR="00A4193C" w:rsidRPr="00563AD3">
        <w:t xml:space="preserve">DCM™ </w:t>
      </w:r>
      <w:r w:rsidR="005A2E6F" w:rsidRPr="00563AD3">
        <w:t>Expert mapper support for cycle one</w:t>
      </w:r>
    </w:p>
    <w:p w14:paraId="374ED95C" w14:textId="4E2AFB09" w:rsidR="00602636" w:rsidRPr="00563AD3" w:rsidRDefault="00202BF3" w:rsidP="009B13F3">
      <w:r w:rsidRPr="00563AD3">
        <w:t>This</w:t>
      </w:r>
      <w:r w:rsidR="005A2E6F" w:rsidRPr="00563AD3">
        <w:t xml:space="preserve"> pragmatic trial aimed to ensure that </w:t>
      </w:r>
      <w:r w:rsidRPr="00563AD3">
        <w:t xml:space="preserve">DCM™ </w:t>
      </w:r>
      <w:r w:rsidR="005A2E6F" w:rsidRPr="00563AD3">
        <w:t xml:space="preserve">implementation reflected what is possible in a typical </w:t>
      </w:r>
      <w:r w:rsidR="004713A3" w:rsidRPr="00563AD3">
        <w:t xml:space="preserve">UK </w:t>
      </w:r>
      <w:r w:rsidR="00477F75" w:rsidRPr="00563AD3">
        <w:t>care home,</w:t>
      </w:r>
      <w:r w:rsidR="005A2E6F" w:rsidRPr="00563AD3">
        <w:t xml:space="preserve"> maximising relevance to practice. </w:t>
      </w:r>
      <w:r w:rsidR="009C62E3" w:rsidRPr="00563AD3">
        <w:t>However, t</w:t>
      </w:r>
      <w:r w:rsidR="00602636" w:rsidRPr="00563AD3">
        <w:t xml:space="preserve">he first cycle of mapping </w:t>
      </w:r>
      <w:r w:rsidR="00C842B5" w:rsidRPr="00563AD3">
        <w:t>was</w:t>
      </w:r>
      <w:r w:rsidR="00602636" w:rsidRPr="00563AD3">
        <w:t xml:space="preserve"> supported by an expert </w:t>
      </w:r>
      <w:r w:rsidR="00A4193C" w:rsidRPr="00563AD3">
        <w:t xml:space="preserve">in use of </w:t>
      </w:r>
      <w:r w:rsidR="00A61329" w:rsidRPr="00563AD3">
        <w:t>DCM™</w:t>
      </w:r>
      <w:r w:rsidR="00602636" w:rsidRPr="00563AD3">
        <w:t xml:space="preserve"> </w:t>
      </w:r>
      <w:r w:rsidR="00A4193C" w:rsidRPr="00563AD3">
        <w:t>(DCM™ expert mapper)</w:t>
      </w:r>
      <w:r w:rsidR="00477F75" w:rsidRPr="00563AD3">
        <w:t>,</w:t>
      </w:r>
      <w:r w:rsidR="009C62E3" w:rsidRPr="00563AD3">
        <w:t xml:space="preserve"> provided by the research team. This is not standard practi</w:t>
      </w:r>
      <w:r w:rsidR="00477F75" w:rsidRPr="00563AD3">
        <w:t xml:space="preserve">ce </w:t>
      </w:r>
      <w:r w:rsidR="009C62E3" w:rsidRPr="00563AD3">
        <w:t xml:space="preserve">as trained mappers would usually engage in </w:t>
      </w:r>
      <w:r w:rsidR="00477F75" w:rsidRPr="00563AD3">
        <w:t>DCM™</w:t>
      </w:r>
      <w:r w:rsidR="009C62E3" w:rsidRPr="00563AD3">
        <w:t xml:space="preserve"> without further support following training completion. However, it was implemented in the trial </w:t>
      </w:r>
      <w:r w:rsidR="00602636" w:rsidRPr="00563AD3">
        <w:t xml:space="preserve">to support </w:t>
      </w:r>
      <w:r w:rsidRPr="00563AD3">
        <w:t xml:space="preserve">implementation fidelity </w:t>
      </w:r>
      <w:r w:rsidR="0097220C" w:rsidRPr="00563AD3">
        <w:t>across clusters</w:t>
      </w:r>
      <w:r w:rsidR="00C57428" w:rsidRPr="00563AD3">
        <w:t xml:space="preserve"> (see also </w:t>
      </w:r>
      <w:r w:rsidR="00C57428" w:rsidRPr="006352CA">
        <w:rPr>
          <w:i/>
        </w:rPr>
        <w:t>section 2.9</w:t>
      </w:r>
      <w:r w:rsidR="00C57428" w:rsidRPr="00563AD3">
        <w:t>)</w:t>
      </w:r>
      <w:r w:rsidR="0097220C" w:rsidRPr="00563AD3">
        <w:t>, provide coaching for care home mappers</w:t>
      </w:r>
      <w:r w:rsidR="00D92869" w:rsidRPr="00563AD3">
        <w:t>,</w:t>
      </w:r>
      <w:r w:rsidR="0097220C" w:rsidRPr="00563AD3">
        <w:t xml:space="preserve"> </w:t>
      </w:r>
      <w:r w:rsidR="00C57428" w:rsidRPr="00563AD3">
        <w:t xml:space="preserve">to encourage implementation </w:t>
      </w:r>
      <w:r w:rsidR="0097220C" w:rsidRPr="00563AD3">
        <w:t xml:space="preserve">and to support </w:t>
      </w:r>
      <w:r w:rsidR="00602636" w:rsidRPr="00563AD3">
        <w:t xml:space="preserve">establishment of inter-rater reliability of </w:t>
      </w:r>
      <w:r w:rsidR="00A61329" w:rsidRPr="00563AD3">
        <w:t>DCM™</w:t>
      </w:r>
      <w:r w:rsidR="00602636" w:rsidRPr="00563AD3">
        <w:t xml:space="preserve"> coding between trained mappers in each care home. </w:t>
      </w:r>
      <w:r w:rsidR="001774F3" w:rsidRPr="00563AD3">
        <w:t>T</w:t>
      </w:r>
      <w:r w:rsidR="00877393" w:rsidRPr="00563AD3">
        <w:t xml:space="preserve">he </w:t>
      </w:r>
      <w:r w:rsidR="00A4193C" w:rsidRPr="00563AD3">
        <w:t xml:space="preserve">DCM™ </w:t>
      </w:r>
      <w:r w:rsidR="00877393" w:rsidRPr="00563AD3">
        <w:t xml:space="preserve">expert </w:t>
      </w:r>
      <w:r w:rsidR="00A4193C" w:rsidRPr="00563AD3">
        <w:t xml:space="preserve">mapper </w:t>
      </w:r>
      <w:r w:rsidR="00877393" w:rsidRPr="00563AD3">
        <w:t>work</w:t>
      </w:r>
      <w:r w:rsidR="00477F75" w:rsidRPr="00563AD3">
        <w:t>ed</w:t>
      </w:r>
      <w:r w:rsidR="00877393" w:rsidRPr="00563AD3">
        <w:t xml:space="preserve"> alongside the mappers during their first DCM</w:t>
      </w:r>
      <w:r w:rsidR="00877393" w:rsidRPr="00563AD3">
        <w:rPr>
          <w:vertAlign w:val="superscript"/>
        </w:rPr>
        <w:t xml:space="preserve">TM </w:t>
      </w:r>
      <w:r w:rsidR="00477F75" w:rsidRPr="00563AD3">
        <w:t>cycle, spending</w:t>
      </w:r>
      <w:r w:rsidR="00877393" w:rsidRPr="00563AD3">
        <w:t xml:space="preserve"> three days in the care home supporting establishment of inter-rater reliability on </w:t>
      </w:r>
      <w:r w:rsidR="008A5202" w:rsidRPr="00563AD3">
        <w:rPr>
          <w:lang w:eastAsia="en-US"/>
        </w:rPr>
        <w:t>DCM</w:t>
      </w:r>
      <w:r w:rsidR="008A5202" w:rsidRPr="00563AD3">
        <w:t>™</w:t>
      </w:r>
      <w:r w:rsidR="00877393" w:rsidRPr="00563AD3">
        <w:t xml:space="preserve"> coding frames, briefing, mapping observations and delivery of the feedback </w:t>
      </w:r>
      <w:r w:rsidR="00D92869" w:rsidRPr="00563AD3">
        <w:t xml:space="preserve">and action planning </w:t>
      </w:r>
      <w:r w:rsidR="00877393" w:rsidRPr="00563AD3">
        <w:t>sessi</w:t>
      </w:r>
      <w:r w:rsidR="00555A29" w:rsidRPr="00563AD3">
        <w:t>on. Two additional days of desk-</w:t>
      </w:r>
      <w:r w:rsidR="00877393" w:rsidRPr="00563AD3">
        <w:t xml:space="preserve">based support were provided </w:t>
      </w:r>
      <w:r w:rsidR="00477F75" w:rsidRPr="00563AD3">
        <w:t>on</w:t>
      </w:r>
      <w:r w:rsidR="00877393" w:rsidRPr="00563AD3">
        <w:t xml:space="preserve"> preparation of briefing documentation, the feedback report and action plans. T</w:t>
      </w:r>
      <w:r w:rsidR="005A2E6F" w:rsidRPr="00563AD3">
        <w:t xml:space="preserve">elephone and e-mail support for </w:t>
      </w:r>
      <w:r w:rsidR="00A61329" w:rsidRPr="00563AD3">
        <w:t>DCM™</w:t>
      </w:r>
      <w:r w:rsidR="005A2E6F" w:rsidRPr="00563AD3">
        <w:t xml:space="preserve"> implementation, from the </w:t>
      </w:r>
      <w:r w:rsidR="00070560" w:rsidRPr="00563AD3">
        <w:t>DCM™</w:t>
      </w:r>
      <w:r w:rsidR="005A2E6F" w:rsidRPr="00563AD3">
        <w:t xml:space="preserve"> </w:t>
      </w:r>
      <w:r w:rsidR="00D92869" w:rsidRPr="00563AD3">
        <w:t xml:space="preserve">Intervention </w:t>
      </w:r>
      <w:r w:rsidR="005A2E6F" w:rsidRPr="00563AD3">
        <w:t>Lead was available to all intervention homes thereafter, if required.</w:t>
      </w:r>
    </w:p>
    <w:p w14:paraId="36500144" w14:textId="12AE2D61" w:rsidR="00C72105" w:rsidRPr="00563AD3" w:rsidRDefault="00C72105" w:rsidP="009B13F3"/>
    <w:p w14:paraId="4619F375" w14:textId="113F9264" w:rsidR="002C413C" w:rsidRPr="00563AD3" w:rsidRDefault="00C245EA" w:rsidP="009B13F3">
      <w:pPr>
        <w:pStyle w:val="Heading2"/>
      </w:pPr>
      <w:bookmarkStart w:id="72" w:name="_Toc525543968"/>
      <w:r w:rsidRPr="00563AD3">
        <w:t>2.6</w:t>
      </w:r>
      <w:r w:rsidR="008A60E2" w:rsidRPr="00563AD3">
        <w:t xml:space="preserve"> </w:t>
      </w:r>
      <w:r w:rsidR="002C413C" w:rsidRPr="00563AD3">
        <w:t>Outcomes</w:t>
      </w:r>
      <w:bookmarkEnd w:id="72"/>
    </w:p>
    <w:p w14:paraId="5A0537E2" w14:textId="0B1417AB" w:rsidR="00617EF5" w:rsidRPr="00563AD3" w:rsidRDefault="005D5A41" w:rsidP="009B13F3">
      <w:pPr>
        <w:pStyle w:val="Heading3"/>
      </w:pPr>
      <w:bookmarkStart w:id="73" w:name="_Toc525543969"/>
      <w:r w:rsidRPr="00563AD3">
        <w:t xml:space="preserve">2.6.1 </w:t>
      </w:r>
      <w:r w:rsidR="00617EF5" w:rsidRPr="00563AD3">
        <w:t>Primary endpoint</w:t>
      </w:r>
      <w:bookmarkEnd w:id="73"/>
    </w:p>
    <w:p w14:paraId="153DBC89" w14:textId="55F9A291" w:rsidR="00617EF5" w:rsidRDefault="00617EF5" w:rsidP="009B13F3">
      <w:pPr>
        <w:spacing w:after="35"/>
      </w:pPr>
      <w:r w:rsidRPr="00563AD3">
        <w:t>The primary endpoint was a</w:t>
      </w:r>
      <w:r w:rsidR="00FB3685" w:rsidRPr="00563AD3">
        <w:t>gitation at 16-</w:t>
      </w:r>
      <w:r w:rsidRPr="00563AD3">
        <w:t xml:space="preserve">months following randomisation measured by the </w:t>
      </w:r>
      <w:r w:rsidR="00A749D8" w:rsidRPr="00563AD3">
        <w:t>Cohen-Mansfield Agitation Inventory (</w:t>
      </w:r>
      <w:r w:rsidRPr="00563AD3">
        <w:t>CMAI</w:t>
      </w:r>
      <w:r w:rsidR="00A749D8" w:rsidRPr="00563AD3">
        <w:t>)</w:t>
      </w:r>
      <w:r w:rsidR="0078407C" w:rsidRPr="00563AD3">
        <w:t>, as</w:t>
      </w:r>
      <w:r w:rsidRPr="00563AD3">
        <w:t xml:space="preserve"> rated by staff </w:t>
      </w:r>
      <w:r w:rsidR="00555A29" w:rsidRPr="00563AD3">
        <w:t>proxy</w:t>
      </w:r>
      <w:r w:rsidRPr="00563AD3">
        <w:t xml:space="preserve">. </w:t>
      </w:r>
      <w:r w:rsidR="00624E5E" w:rsidRPr="00563AD3">
        <w:t>The Pittsburgh Agitation Scale (PAS) and a modified observational CMAI (CMAI-O), rated by independent researchers provided a means of assessing concurrent validity, addressing the issue of potential detection bias, based on the inability to blind staff to intervention allocation status.</w:t>
      </w:r>
    </w:p>
    <w:p w14:paraId="64DE6958" w14:textId="77777777" w:rsidR="00BE094B" w:rsidRPr="00563AD3" w:rsidRDefault="00BE094B" w:rsidP="009B13F3">
      <w:pPr>
        <w:spacing w:after="35"/>
      </w:pPr>
    </w:p>
    <w:p w14:paraId="6A65EB19" w14:textId="3AD84037" w:rsidR="00617EF5" w:rsidRPr="00563AD3" w:rsidRDefault="005D5A41" w:rsidP="009B13F3">
      <w:pPr>
        <w:pStyle w:val="Heading3"/>
      </w:pPr>
      <w:bookmarkStart w:id="74" w:name="_Toc525543970"/>
      <w:r w:rsidRPr="00563AD3">
        <w:t xml:space="preserve">2.6.2 </w:t>
      </w:r>
      <w:r w:rsidR="00617EF5" w:rsidRPr="00563AD3">
        <w:t>Health economic endpoints</w:t>
      </w:r>
      <w:bookmarkEnd w:id="74"/>
    </w:p>
    <w:p w14:paraId="4C9E498B" w14:textId="7ACF0EF8" w:rsidR="00C55F36" w:rsidRPr="00563AD3" w:rsidRDefault="00C55F36" w:rsidP="009B13F3">
      <w:bookmarkStart w:id="75" w:name="_Toc490633608"/>
      <w:r w:rsidRPr="00563AD3">
        <w:t>The primary health economic endpoint</w:t>
      </w:r>
      <w:bookmarkEnd w:id="75"/>
      <w:r w:rsidRPr="00563AD3">
        <w:t xml:space="preserve"> was cost per quality-adjusted life year (QALY) at 16-months. A secondary endpoint was cost per unit of improvement in CMAI at 16-months. Both of these adopted the health and personal social service provider perspective.</w:t>
      </w:r>
    </w:p>
    <w:p w14:paraId="49197808" w14:textId="01549626" w:rsidR="00617EF5" w:rsidRPr="00563AD3" w:rsidRDefault="005D5A41" w:rsidP="009B13F3">
      <w:pPr>
        <w:pStyle w:val="Heading3"/>
      </w:pPr>
      <w:bookmarkStart w:id="76" w:name="_Toc525543971"/>
      <w:r w:rsidRPr="00563AD3">
        <w:t xml:space="preserve">2.6.3 </w:t>
      </w:r>
      <w:r w:rsidR="00617EF5" w:rsidRPr="00563AD3">
        <w:t>Secondary endpoints</w:t>
      </w:r>
      <w:bookmarkEnd w:id="76"/>
      <w:r w:rsidR="00617EF5" w:rsidRPr="00563AD3">
        <w:tab/>
      </w:r>
    </w:p>
    <w:p w14:paraId="711EB5C0" w14:textId="77777777" w:rsidR="00617EF5" w:rsidRPr="00563AD3" w:rsidRDefault="00617EF5" w:rsidP="009B13F3">
      <w:pPr>
        <w:spacing w:after="35"/>
      </w:pPr>
      <w:r w:rsidRPr="00563AD3">
        <w:t>Secondary endpoints relating to residents were:</w:t>
      </w:r>
    </w:p>
    <w:p w14:paraId="422F87B4" w14:textId="339F2721" w:rsidR="00617EF5" w:rsidRPr="00563AD3" w:rsidRDefault="00617EF5" w:rsidP="009B13F3">
      <w:pPr>
        <w:numPr>
          <w:ilvl w:val="0"/>
          <w:numId w:val="10"/>
        </w:numPr>
        <w:spacing w:after="35"/>
        <w:contextualSpacing/>
      </w:pPr>
      <w:r w:rsidRPr="00563AD3">
        <w:t>Behaviours Staff find Challenging</w:t>
      </w:r>
      <w:r w:rsidR="002D0667" w:rsidRPr="00563AD3">
        <w:t xml:space="preserve"> (NPI)</w:t>
      </w:r>
      <w:r w:rsidRPr="00563AD3">
        <w:t>;</w:t>
      </w:r>
    </w:p>
    <w:p w14:paraId="3475CF18" w14:textId="77777777" w:rsidR="00617EF5" w:rsidRPr="00563AD3" w:rsidRDefault="00617EF5" w:rsidP="009B13F3">
      <w:pPr>
        <w:numPr>
          <w:ilvl w:val="0"/>
          <w:numId w:val="10"/>
        </w:numPr>
        <w:spacing w:after="35"/>
        <w:contextualSpacing/>
      </w:pPr>
      <w:r w:rsidRPr="00563AD3">
        <w:t>Mood (NPI);</w:t>
      </w:r>
    </w:p>
    <w:p w14:paraId="2696A93B" w14:textId="77777777" w:rsidR="00617EF5" w:rsidRPr="00563AD3" w:rsidRDefault="00617EF5" w:rsidP="009B13F3">
      <w:pPr>
        <w:numPr>
          <w:ilvl w:val="0"/>
          <w:numId w:val="10"/>
        </w:numPr>
        <w:spacing w:after="35"/>
        <w:contextualSpacing/>
      </w:pPr>
      <w:r w:rsidRPr="00563AD3">
        <w:t>Quality of Life (QUALID, QOL-AD, DEMQOL, EQ-5D-5L);</w:t>
      </w:r>
    </w:p>
    <w:p w14:paraId="7CE70A48" w14:textId="77777777" w:rsidR="00617EF5" w:rsidRPr="00563AD3" w:rsidRDefault="00617EF5" w:rsidP="009B13F3">
      <w:pPr>
        <w:numPr>
          <w:ilvl w:val="0"/>
          <w:numId w:val="10"/>
        </w:numPr>
        <w:spacing w:after="35"/>
        <w:contextualSpacing/>
      </w:pPr>
      <w:r w:rsidRPr="00563AD3">
        <w:t>Prescribed Medication;</w:t>
      </w:r>
    </w:p>
    <w:p w14:paraId="468261CB" w14:textId="77777777" w:rsidR="00617EF5" w:rsidRPr="00563AD3" w:rsidRDefault="00617EF5" w:rsidP="009B13F3">
      <w:pPr>
        <w:numPr>
          <w:ilvl w:val="0"/>
          <w:numId w:val="10"/>
        </w:numPr>
        <w:spacing w:after="35"/>
        <w:contextualSpacing/>
      </w:pPr>
      <w:r w:rsidRPr="00563AD3">
        <w:t>Safety (SAEs, Safeguarding).</w:t>
      </w:r>
    </w:p>
    <w:p w14:paraId="12EE897B" w14:textId="77777777" w:rsidR="00617EF5" w:rsidRPr="00563AD3" w:rsidRDefault="00617EF5" w:rsidP="009B13F3">
      <w:pPr>
        <w:spacing w:after="35"/>
      </w:pPr>
      <w:r w:rsidRPr="00563AD3">
        <w:t>Secondary endpoints relating to staff were:</w:t>
      </w:r>
    </w:p>
    <w:p w14:paraId="641CFA44" w14:textId="77777777" w:rsidR="00617EF5" w:rsidRPr="00563AD3" w:rsidRDefault="00617EF5" w:rsidP="009B13F3">
      <w:pPr>
        <w:numPr>
          <w:ilvl w:val="0"/>
          <w:numId w:val="10"/>
        </w:numPr>
        <w:spacing w:after="35"/>
        <w:contextualSpacing/>
      </w:pPr>
      <w:r w:rsidRPr="00563AD3">
        <w:t>Sense of Competence in Dementia Care Staff (SCIDS) Scale.</w:t>
      </w:r>
    </w:p>
    <w:p w14:paraId="46B9E097" w14:textId="77777777" w:rsidR="00617EF5" w:rsidRPr="00563AD3" w:rsidRDefault="00617EF5" w:rsidP="009B13F3">
      <w:pPr>
        <w:spacing w:after="35"/>
      </w:pPr>
      <w:r w:rsidRPr="00563AD3">
        <w:t>Secondary endpoints relating to homes were:</w:t>
      </w:r>
    </w:p>
    <w:p w14:paraId="1B24AB1C" w14:textId="77777777" w:rsidR="00617EF5" w:rsidRPr="00563AD3" w:rsidRDefault="00617EF5" w:rsidP="009B13F3">
      <w:pPr>
        <w:numPr>
          <w:ilvl w:val="0"/>
          <w:numId w:val="10"/>
        </w:numPr>
        <w:spacing w:after="35"/>
        <w:contextualSpacing/>
      </w:pPr>
      <w:r w:rsidRPr="00563AD3">
        <w:t>Quality of Interactions Schedule (QUIS).</w:t>
      </w:r>
    </w:p>
    <w:p w14:paraId="09665754" w14:textId="2BEFBB90" w:rsidR="00EF595E" w:rsidRPr="00563AD3" w:rsidRDefault="006A0D8E" w:rsidP="009B13F3">
      <w:pPr>
        <w:spacing w:after="35"/>
      </w:pPr>
      <w:r w:rsidRPr="00563AD3">
        <w:t xml:space="preserve">Furthermore, intervention fidelity was assessed. </w:t>
      </w:r>
      <w:r w:rsidR="00617EF5" w:rsidRPr="00563AD3">
        <w:t>All other data are potential mediators or mode</w:t>
      </w:r>
      <w:r w:rsidR="00157E18">
        <w:t xml:space="preserve">rators of the treatment effect. </w:t>
      </w:r>
      <w:r w:rsidR="00477F75" w:rsidRPr="00563AD3">
        <w:t>M</w:t>
      </w:r>
      <w:r w:rsidR="003E41F6" w:rsidRPr="00563AD3">
        <w:t>easures,</w:t>
      </w:r>
      <w:r w:rsidR="00EF595E" w:rsidRPr="00563AD3">
        <w:t xml:space="preserve"> collection time-points and </w:t>
      </w:r>
      <w:r w:rsidR="003E41F6" w:rsidRPr="00563AD3">
        <w:t xml:space="preserve">method of completion </w:t>
      </w:r>
      <w:r w:rsidR="00EF595E" w:rsidRPr="00563AD3">
        <w:t>are summarised in Table 2.</w:t>
      </w:r>
    </w:p>
    <w:p w14:paraId="0AF64B29" w14:textId="77777777" w:rsidR="00EF595E" w:rsidRPr="00563AD3" w:rsidRDefault="00EF595E" w:rsidP="009B13F3">
      <w:pPr>
        <w:spacing w:after="35"/>
      </w:pPr>
    </w:p>
    <w:p w14:paraId="4F276DB0" w14:textId="33012133" w:rsidR="00305F9E" w:rsidRDefault="00F61C26" w:rsidP="00F61C26">
      <w:pPr>
        <w:rPr>
          <w:b/>
        </w:rPr>
      </w:pPr>
      <w:r w:rsidRPr="00563AD3">
        <w:t>To ensure a consistent data set was available for each resident at each time-point, the main informant for the primary outcome and for proxy completed secondary outcomes was a staff proxy informant. These data were supplemented, where possible, by information provided by the resident (where able) and their relative/friend (where available).</w:t>
      </w:r>
    </w:p>
    <w:p w14:paraId="67FB1852" w14:textId="77777777" w:rsidR="00F61C26" w:rsidRDefault="00F61C26" w:rsidP="009B13F3">
      <w:pPr>
        <w:pStyle w:val="Tableheading"/>
        <w:sectPr w:rsidR="00F61C26" w:rsidSect="003A6740">
          <w:footerReference w:type="default" r:id="rId10"/>
          <w:headerReference w:type="first" r:id="rId11"/>
          <w:pgSz w:w="11906" w:h="16838"/>
          <w:pgMar w:top="1440" w:right="1440" w:bottom="1440" w:left="1440" w:header="708" w:footer="708" w:gutter="0"/>
          <w:cols w:space="708"/>
          <w:titlePg/>
          <w:docGrid w:linePitch="360"/>
        </w:sectPr>
      </w:pPr>
    </w:p>
    <w:p w14:paraId="25AE083D" w14:textId="031216A3" w:rsidR="00EF595E" w:rsidRPr="00563AD3" w:rsidRDefault="00EF595E" w:rsidP="009B13F3">
      <w:pPr>
        <w:pStyle w:val="Tableheading"/>
      </w:pPr>
      <w:bookmarkStart w:id="77" w:name="_Toc948199"/>
      <w:r w:rsidRPr="00563AD3">
        <w:t xml:space="preserve">Table 2: Summary of </w:t>
      </w:r>
      <w:r w:rsidR="00617EF5" w:rsidRPr="00563AD3">
        <w:t>data collected</w:t>
      </w:r>
      <w:bookmarkEnd w:id="77"/>
    </w:p>
    <w:tbl>
      <w:tblPr>
        <w:tblStyle w:val="TableGrid1"/>
        <w:tblW w:w="5000" w:type="pct"/>
        <w:jc w:val="center"/>
        <w:tblLook w:val="04A0" w:firstRow="1" w:lastRow="0" w:firstColumn="1" w:lastColumn="0" w:noHBand="0" w:noVBand="1"/>
      </w:tblPr>
      <w:tblGrid>
        <w:gridCol w:w="2400"/>
        <w:gridCol w:w="2698"/>
        <w:gridCol w:w="3261"/>
        <w:gridCol w:w="1135"/>
        <w:gridCol w:w="1135"/>
        <w:gridCol w:w="1135"/>
        <w:gridCol w:w="990"/>
        <w:gridCol w:w="1194"/>
      </w:tblGrid>
      <w:tr w:rsidR="00F61C26" w:rsidRPr="00563AD3" w14:paraId="799290DA" w14:textId="77777777" w:rsidTr="00F61C26">
        <w:trPr>
          <w:trHeight w:val="138"/>
          <w:jc w:val="center"/>
        </w:trPr>
        <w:tc>
          <w:tcPr>
            <w:tcW w:w="860" w:type="pct"/>
            <w:vMerge w:val="restart"/>
            <w:vAlign w:val="center"/>
          </w:tcPr>
          <w:p w14:paraId="207EC34F" w14:textId="77777777" w:rsidR="00617EF5" w:rsidRPr="00563AD3" w:rsidRDefault="00617EF5" w:rsidP="006352CA">
            <w:pPr>
              <w:spacing w:line="240" w:lineRule="auto"/>
              <w:jc w:val="center"/>
              <w:rPr>
                <w:rFonts w:eastAsiaTheme="minorHAnsi"/>
                <w:b/>
                <w:sz w:val="16"/>
                <w:szCs w:val="16"/>
              </w:rPr>
            </w:pPr>
            <w:r w:rsidRPr="00563AD3">
              <w:rPr>
                <w:rFonts w:eastAsiaTheme="minorHAnsi"/>
                <w:b/>
                <w:sz w:val="16"/>
                <w:szCs w:val="16"/>
              </w:rPr>
              <w:t>Assessment</w:t>
            </w:r>
          </w:p>
        </w:tc>
        <w:tc>
          <w:tcPr>
            <w:tcW w:w="967" w:type="pct"/>
            <w:vMerge w:val="restart"/>
            <w:vAlign w:val="center"/>
          </w:tcPr>
          <w:p w14:paraId="3B913D2F" w14:textId="77777777" w:rsidR="00617EF5" w:rsidRPr="00563AD3" w:rsidRDefault="00617EF5" w:rsidP="006352CA">
            <w:pPr>
              <w:spacing w:line="240" w:lineRule="auto"/>
              <w:jc w:val="center"/>
              <w:rPr>
                <w:rFonts w:eastAsiaTheme="minorHAnsi"/>
                <w:b/>
                <w:sz w:val="16"/>
                <w:szCs w:val="16"/>
              </w:rPr>
            </w:pPr>
            <w:r w:rsidRPr="00563AD3">
              <w:rPr>
                <w:rFonts w:eastAsiaTheme="minorHAnsi"/>
                <w:b/>
                <w:sz w:val="16"/>
                <w:szCs w:val="16"/>
              </w:rPr>
              <w:t>Method of Completion</w:t>
            </w:r>
          </w:p>
          <w:p w14:paraId="31EB9F7F" w14:textId="5D994210" w:rsidR="00617EF5" w:rsidRPr="00563AD3" w:rsidRDefault="00617EF5" w:rsidP="006352CA">
            <w:pPr>
              <w:spacing w:line="240" w:lineRule="auto"/>
              <w:jc w:val="center"/>
              <w:rPr>
                <w:rFonts w:eastAsiaTheme="minorHAnsi"/>
                <w:b/>
                <w:sz w:val="16"/>
                <w:szCs w:val="16"/>
              </w:rPr>
            </w:pPr>
            <w:r w:rsidRPr="00563AD3">
              <w:rPr>
                <w:rFonts w:eastAsiaTheme="minorHAnsi"/>
                <w:b/>
                <w:sz w:val="16"/>
                <w:szCs w:val="16"/>
              </w:rPr>
              <w:t>(completed with/on)</w:t>
            </w:r>
          </w:p>
        </w:tc>
        <w:tc>
          <w:tcPr>
            <w:tcW w:w="1169" w:type="pct"/>
            <w:vMerge w:val="restart"/>
          </w:tcPr>
          <w:p w14:paraId="4F942DC2" w14:textId="77777777" w:rsidR="00617EF5" w:rsidRPr="00563AD3" w:rsidRDefault="00617EF5" w:rsidP="006352CA">
            <w:pPr>
              <w:spacing w:line="240" w:lineRule="auto"/>
              <w:jc w:val="center"/>
              <w:rPr>
                <w:rFonts w:eastAsiaTheme="minorHAnsi"/>
                <w:b/>
                <w:sz w:val="16"/>
                <w:szCs w:val="16"/>
              </w:rPr>
            </w:pPr>
          </w:p>
          <w:p w14:paraId="6D8CDAEF" w14:textId="4BAE5EDB" w:rsidR="00617EF5" w:rsidRPr="00563AD3" w:rsidRDefault="00617EF5" w:rsidP="006352CA">
            <w:pPr>
              <w:spacing w:line="240" w:lineRule="auto"/>
              <w:jc w:val="center"/>
              <w:rPr>
                <w:rFonts w:eastAsiaTheme="minorHAnsi"/>
                <w:b/>
                <w:sz w:val="16"/>
                <w:szCs w:val="16"/>
              </w:rPr>
            </w:pPr>
            <w:r w:rsidRPr="00563AD3">
              <w:rPr>
                <w:rFonts w:eastAsiaTheme="minorHAnsi"/>
                <w:b/>
                <w:sz w:val="16"/>
                <w:szCs w:val="16"/>
              </w:rPr>
              <w:t>Purpose</w:t>
            </w:r>
          </w:p>
        </w:tc>
        <w:tc>
          <w:tcPr>
            <w:tcW w:w="407" w:type="pct"/>
            <w:vMerge w:val="restart"/>
          </w:tcPr>
          <w:p w14:paraId="3533F196" w14:textId="77777777" w:rsidR="00617EF5" w:rsidRPr="00563AD3" w:rsidRDefault="00617EF5" w:rsidP="006352CA">
            <w:pPr>
              <w:spacing w:line="240" w:lineRule="auto"/>
              <w:jc w:val="center"/>
              <w:rPr>
                <w:rFonts w:eastAsiaTheme="minorHAnsi"/>
                <w:b/>
                <w:sz w:val="16"/>
                <w:szCs w:val="16"/>
              </w:rPr>
            </w:pPr>
          </w:p>
          <w:p w14:paraId="46D08F90" w14:textId="598E5740" w:rsidR="00617EF5" w:rsidRPr="00563AD3" w:rsidRDefault="00617EF5" w:rsidP="006352CA">
            <w:pPr>
              <w:spacing w:line="240" w:lineRule="auto"/>
              <w:jc w:val="center"/>
              <w:rPr>
                <w:rFonts w:eastAsiaTheme="minorHAnsi"/>
                <w:b/>
                <w:sz w:val="16"/>
                <w:szCs w:val="16"/>
              </w:rPr>
            </w:pPr>
            <w:r w:rsidRPr="00563AD3">
              <w:rPr>
                <w:rFonts w:eastAsiaTheme="minorHAnsi"/>
                <w:b/>
                <w:sz w:val="16"/>
                <w:szCs w:val="16"/>
              </w:rPr>
              <w:t>Level</w:t>
            </w:r>
          </w:p>
        </w:tc>
        <w:tc>
          <w:tcPr>
            <w:tcW w:w="1597" w:type="pct"/>
            <w:gridSpan w:val="4"/>
            <w:vAlign w:val="center"/>
          </w:tcPr>
          <w:p w14:paraId="3752ABB8" w14:textId="1DBF168B" w:rsidR="00617EF5" w:rsidRPr="00563AD3" w:rsidRDefault="00617EF5" w:rsidP="006352CA">
            <w:pPr>
              <w:spacing w:line="240" w:lineRule="auto"/>
              <w:jc w:val="center"/>
              <w:rPr>
                <w:rFonts w:eastAsiaTheme="minorHAnsi"/>
                <w:b/>
                <w:sz w:val="16"/>
                <w:szCs w:val="16"/>
              </w:rPr>
            </w:pPr>
            <w:r w:rsidRPr="00563AD3">
              <w:rPr>
                <w:rFonts w:eastAsiaTheme="minorHAnsi"/>
                <w:b/>
                <w:sz w:val="16"/>
                <w:szCs w:val="16"/>
              </w:rPr>
              <w:t>Timeline</w:t>
            </w:r>
          </w:p>
        </w:tc>
      </w:tr>
      <w:tr w:rsidR="00F61C26" w:rsidRPr="00563AD3" w14:paraId="595245E4" w14:textId="77777777" w:rsidTr="00F61C26">
        <w:trPr>
          <w:jc w:val="center"/>
        </w:trPr>
        <w:tc>
          <w:tcPr>
            <w:tcW w:w="860" w:type="pct"/>
            <w:vMerge/>
            <w:vAlign w:val="center"/>
          </w:tcPr>
          <w:p w14:paraId="06CBE154" w14:textId="77777777" w:rsidR="00617EF5" w:rsidRPr="00563AD3" w:rsidRDefault="00617EF5" w:rsidP="006352CA">
            <w:pPr>
              <w:spacing w:line="240" w:lineRule="auto"/>
              <w:jc w:val="center"/>
              <w:rPr>
                <w:rFonts w:eastAsiaTheme="minorHAnsi"/>
                <w:b/>
                <w:sz w:val="16"/>
                <w:szCs w:val="16"/>
              </w:rPr>
            </w:pPr>
          </w:p>
        </w:tc>
        <w:tc>
          <w:tcPr>
            <w:tcW w:w="967" w:type="pct"/>
            <w:vMerge/>
            <w:vAlign w:val="center"/>
          </w:tcPr>
          <w:p w14:paraId="6BFC2BE1" w14:textId="77777777" w:rsidR="00617EF5" w:rsidRPr="00563AD3" w:rsidRDefault="00617EF5" w:rsidP="006352CA">
            <w:pPr>
              <w:spacing w:line="240" w:lineRule="auto"/>
              <w:jc w:val="center"/>
              <w:rPr>
                <w:rFonts w:eastAsiaTheme="minorHAnsi"/>
                <w:b/>
                <w:sz w:val="16"/>
                <w:szCs w:val="16"/>
              </w:rPr>
            </w:pPr>
          </w:p>
        </w:tc>
        <w:tc>
          <w:tcPr>
            <w:tcW w:w="1169" w:type="pct"/>
            <w:vMerge/>
          </w:tcPr>
          <w:p w14:paraId="6109E8CF" w14:textId="77777777" w:rsidR="00617EF5" w:rsidRPr="00563AD3" w:rsidRDefault="00617EF5" w:rsidP="006352CA">
            <w:pPr>
              <w:spacing w:line="240" w:lineRule="auto"/>
              <w:jc w:val="center"/>
              <w:rPr>
                <w:rFonts w:eastAsiaTheme="minorHAnsi"/>
                <w:b/>
                <w:sz w:val="16"/>
                <w:szCs w:val="16"/>
              </w:rPr>
            </w:pPr>
          </w:p>
        </w:tc>
        <w:tc>
          <w:tcPr>
            <w:tcW w:w="407" w:type="pct"/>
            <w:vMerge/>
          </w:tcPr>
          <w:p w14:paraId="57728462" w14:textId="4FB800F7" w:rsidR="00617EF5" w:rsidRPr="00563AD3" w:rsidRDefault="00617EF5" w:rsidP="006352CA">
            <w:pPr>
              <w:spacing w:line="240" w:lineRule="auto"/>
              <w:jc w:val="center"/>
              <w:rPr>
                <w:rFonts w:eastAsiaTheme="minorHAnsi"/>
                <w:b/>
                <w:sz w:val="16"/>
                <w:szCs w:val="16"/>
              </w:rPr>
            </w:pPr>
          </w:p>
        </w:tc>
        <w:tc>
          <w:tcPr>
            <w:tcW w:w="407" w:type="pct"/>
            <w:vAlign w:val="center"/>
          </w:tcPr>
          <w:p w14:paraId="442C37EC" w14:textId="4A206293" w:rsidR="00617EF5" w:rsidRPr="00563AD3" w:rsidRDefault="00617EF5" w:rsidP="006352CA">
            <w:pPr>
              <w:spacing w:line="240" w:lineRule="auto"/>
              <w:jc w:val="center"/>
              <w:rPr>
                <w:rFonts w:eastAsiaTheme="minorHAnsi"/>
                <w:b/>
                <w:sz w:val="16"/>
                <w:szCs w:val="16"/>
              </w:rPr>
            </w:pPr>
            <w:r w:rsidRPr="00563AD3">
              <w:rPr>
                <w:rFonts w:eastAsiaTheme="minorHAnsi"/>
                <w:b/>
                <w:sz w:val="16"/>
                <w:szCs w:val="16"/>
              </w:rPr>
              <w:t>Screening</w:t>
            </w:r>
          </w:p>
        </w:tc>
        <w:tc>
          <w:tcPr>
            <w:tcW w:w="407" w:type="pct"/>
            <w:vAlign w:val="center"/>
          </w:tcPr>
          <w:p w14:paraId="6F6A22D6" w14:textId="77777777" w:rsidR="00617EF5" w:rsidRPr="00563AD3" w:rsidRDefault="00617EF5" w:rsidP="006352CA">
            <w:pPr>
              <w:spacing w:line="240" w:lineRule="auto"/>
              <w:jc w:val="center"/>
              <w:rPr>
                <w:rFonts w:eastAsiaTheme="minorHAnsi"/>
                <w:b/>
                <w:sz w:val="16"/>
                <w:szCs w:val="16"/>
              </w:rPr>
            </w:pPr>
            <w:r w:rsidRPr="00563AD3">
              <w:rPr>
                <w:rFonts w:eastAsiaTheme="minorHAnsi"/>
                <w:b/>
                <w:sz w:val="16"/>
                <w:szCs w:val="16"/>
              </w:rPr>
              <w:t>Baseline</w:t>
            </w:r>
          </w:p>
        </w:tc>
        <w:tc>
          <w:tcPr>
            <w:tcW w:w="355" w:type="pct"/>
            <w:vAlign w:val="center"/>
          </w:tcPr>
          <w:p w14:paraId="55C75E3B" w14:textId="79F91414" w:rsidR="00617EF5" w:rsidRPr="00563AD3" w:rsidRDefault="00617EF5" w:rsidP="006352CA">
            <w:pPr>
              <w:spacing w:line="240" w:lineRule="auto"/>
              <w:jc w:val="center"/>
              <w:rPr>
                <w:rFonts w:eastAsiaTheme="minorHAnsi"/>
                <w:b/>
                <w:sz w:val="16"/>
                <w:szCs w:val="16"/>
              </w:rPr>
            </w:pPr>
            <w:r w:rsidRPr="00563AD3">
              <w:rPr>
                <w:rFonts w:eastAsiaTheme="minorHAnsi"/>
                <w:b/>
                <w:sz w:val="16"/>
                <w:szCs w:val="16"/>
              </w:rPr>
              <w:t>6</w:t>
            </w:r>
            <w:r w:rsidR="00B80810">
              <w:rPr>
                <w:rFonts w:eastAsiaTheme="minorHAnsi"/>
                <w:b/>
                <w:sz w:val="16"/>
                <w:szCs w:val="16"/>
              </w:rPr>
              <w:t>-</w:t>
            </w:r>
            <w:r w:rsidRPr="00563AD3">
              <w:rPr>
                <w:rFonts w:eastAsiaTheme="minorHAnsi"/>
                <w:b/>
                <w:sz w:val="16"/>
                <w:szCs w:val="16"/>
              </w:rPr>
              <w:t xml:space="preserve"> </w:t>
            </w:r>
            <w:r w:rsidR="00B80810">
              <w:rPr>
                <w:rFonts w:eastAsiaTheme="minorHAnsi"/>
                <w:b/>
                <w:sz w:val="16"/>
                <w:szCs w:val="16"/>
              </w:rPr>
              <w:t>m</w:t>
            </w:r>
            <w:r w:rsidRPr="00563AD3">
              <w:rPr>
                <w:rFonts w:eastAsiaTheme="minorHAnsi"/>
                <w:b/>
                <w:sz w:val="16"/>
                <w:szCs w:val="16"/>
              </w:rPr>
              <w:t>onths</w:t>
            </w:r>
          </w:p>
        </w:tc>
        <w:tc>
          <w:tcPr>
            <w:tcW w:w="428" w:type="pct"/>
            <w:vAlign w:val="center"/>
          </w:tcPr>
          <w:p w14:paraId="5C76EC40" w14:textId="52D9C748" w:rsidR="00617EF5" w:rsidRPr="00563AD3" w:rsidRDefault="00617EF5" w:rsidP="006352CA">
            <w:pPr>
              <w:spacing w:line="240" w:lineRule="auto"/>
              <w:jc w:val="center"/>
              <w:rPr>
                <w:rFonts w:eastAsiaTheme="minorHAnsi"/>
                <w:b/>
                <w:sz w:val="16"/>
                <w:szCs w:val="16"/>
              </w:rPr>
            </w:pPr>
            <w:r w:rsidRPr="00563AD3">
              <w:rPr>
                <w:rFonts w:eastAsiaTheme="minorHAnsi"/>
                <w:b/>
                <w:sz w:val="16"/>
                <w:szCs w:val="16"/>
              </w:rPr>
              <w:t>16</w:t>
            </w:r>
            <w:r w:rsidR="00B80810">
              <w:rPr>
                <w:rFonts w:eastAsiaTheme="minorHAnsi"/>
                <w:b/>
                <w:sz w:val="16"/>
                <w:szCs w:val="16"/>
              </w:rPr>
              <w:t>- m</w:t>
            </w:r>
            <w:r w:rsidRPr="00563AD3">
              <w:rPr>
                <w:rFonts w:eastAsiaTheme="minorHAnsi"/>
                <w:b/>
                <w:sz w:val="16"/>
                <w:szCs w:val="16"/>
              </w:rPr>
              <w:t>onths</w:t>
            </w:r>
          </w:p>
        </w:tc>
      </w:tr>
      <w:tr w:rsidR="00F61C26" w:rsidRPr="00563AD3" w14:paraId="6AC0575A" w14:textId="77777777" w:rsidTr="00F61C26">
        <w:trPr>
          <w:jc w:val="center"/>
        </w:trPr>
        <w:tc>
          <w:tcPr>
            <w:tcW w:w="860" w:type="pct"/>
            <w:vAlign w:val="center"/>
          </w:tcPr>
          <w:p w14:paraId="5E38D87D" w14:textId="03676089"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Resident Demographics</w:t>
            </w:r>
          </w:p>
        </w:tc>
        <w:tc>
          <w:tcPr>
            <w:tcW w:w="967" w:type="pct"/>
            <w:vAlign w:val="center"/>
          </w:tcPr>
          <w:p w14:paraId="45D62108" w14:textId="02DB32BA"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Assessment (CM, CR)</w:t>
            </w:r>
          </w:p>
        </w:tc>
        <w:tc>
          <w:tcPr>
            <w:tcW w:w="1169" w:type="pct"/>
          </w:tcPr>
          <w:p w14:paraId="42BDFFC8" w14:textId="77777777" w:rsidR="00590C47" w:rsidRPr="00563AD3" w:rsidRDefault="00590C47" w:rsidP="006352CA">
            <w:pPr>
              <w:spacing w:line="240" w:lineRule="auto"/>
              <w:jc w:val="center"/>
              <w:rPr>
                <w:rFonts w:eastAsiaTheme="minorHAnsi"/>
                <w:sz w:val="16"/>
                <w:szCs w:val="16"/>
              </w:rPr>
            </w:pPr>
          </w:p>
        </w:tc>
        <w:tc>
          <w:tcPr>
            <w:tcW w:w="407" w:type="pct"/>
          </w:tcPr>
          <w:p w14:paraId="0E0A6743" w14:textId="2E35BB5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40283361"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6147F95C" w14:textId="5E602A02"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2136388F" w14:textId="2A386AD1"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38247C46" w14:textId="5166907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189C3039" w14:textId="77777777" w:rsidTr="00F61C26">
        <w:trPr>
          <w:jc w:val="center"/>
        </w:trPr>
        <w:tc>
          <w:tcPr>
            <w:tcW w:w="860" w:type="pct"/>
            <w:vAlign w:val="center"/>
          </w:tcPr>
          <w:p w14:paraId="787DD607" w14:textId="200DD6F7"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Cohen Mansfield Agitation Inventory (CMAI)</w:t>
            </w:r>
          </w:p>
        </w:tc>
        <w:tc>
          <w:tcPr>
            <w:tcW w:w="967" w:type="pct"/>
            <w:vAlign w:val="center"/>
          </w:tcPr>
          <w:p w14:paraId="0E88B16C" w14:textId="4DFC83A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Interview (SP)</w:t>
            </w:r>
          </w:p>
        </w:tc>
        <w:tc>
          <w:tcPr>
            <w:tcW w:w="1169" w:type="pct"/>
          </w:tcPr>
          <w:p w14:paraId="2D0B3ED9" w14:textId="6B540AF7"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Primary endpoint</w:t>
            </w:r>
          </w:p>
        </w:tc>
        <w:tc>
          <w:tcPr>
            <w:tcW w:w="407" w:type="pct"/>
          </w:tcPr>
          <w:p w14:paraId="2376D0AB" w14:textId="1235896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202FEEB0"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69E4A31D" w14:textId="2AE464EC"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03526CD3" w14:textId="17006FED"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0C25939A" w14:textId="06D2A7CD"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40D8BE15" w14:textId="77777777" w:rsidTr="00F61C26">
        <w:trPr>
          <w:jc w:val="center"/>
        </w:trPr>
        <w:tc>
          <w:tcPr>
            <w:tcW w:w="860" w:type="pct"/>
            <w:vAlign w:val="center"/>
          </w:tcPr>
          <w:p w14:paraId="2A2AEFA1" w14:textId="547FE2A1"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Cohen Mansfield Agitation Inventory Observational (CMAI-O)</w:t>
            </w:r>
          </w:p>
        </w:tc>
        <w:tc>
          <w:tcPr>
            <w:tcW w:w="967" w:type="pct"/>
            <w:vAlign w:val="center"/>
          </w:tcPr>
          <w:p w14:paraId="4C37B606" w14:textId="49261F91"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Independent Researcher Observations (R)</w:t>
            </w:r>
          </w:p>
        </w:tc>
        <w:tc>
          <w:tcPr>
            <w:tcW w:w="1169" w:type="pct"/>
          </w:tcPr>
          <w:p w14:paraId="104EE969" w14:textId="5695D8CA"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Independent assessment of concurrent validity of CMAI for detection of potential bias</w:t>
            </w:r>
          </w:p>
        </w:tc>
        <w:tc>
          <w:tcPr>
            <w:tcW w:w="407" w:type="pct"/>
          </w:tcPr>
          <w:p w14:paraId="3E5D23D5" w14:textId="4DAA926D"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16346F2F"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749A1884" w14:textId="23C03FA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56AB73DE" w14:textId="2156E4A1"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0A88E57E" w14:textId="1D8DAABD"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15CBF337" w14:textId="77777777" w:rsidTr="00F61C26">
        <w:trPr>
          <w:jc w:val="center"/>
        </w:trPr>
        <w:tc>
          <w:tcPr>
            <w:tcW w:w="860" w:type="pct"/>
            <w:vAlign w:val="center"/>
          </w:tcPr>
          <w:p w14:paraId="5599917D" w14:textId="69DB1817"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Pittsburgh Agitation Scale (PAS)</w:t>
            </w:r>
          </w:p>
        </w:tc>
        <w:tc>
          <w:tcPr>
            <w:tcW w:w="967" w:type="pct"/>
            <w:vAlign w:val="center"/>
          </w:tcPr>
          <w:p w14:paraId="69562E0B" w14:textId="15380E8A"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Independent Researcher Observations (R)</w:t>
            </w:r>
          </w:p>
        </w:tc>
        <w:tc>
          <w:tcPr>
            <w:tcW w:w="1169" w:type="pct"/>
          </w:tcPr>
          <w:p w14:paraId="16585A1C" w14:textId="229271FE"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Independent assessment of concurrent validity of CMAI for detection of potential bias</w:t>
            </w:r>
          </w:p>
        </w:tc>
        <w:tc>
          <w:tcPr>
            <w:tcW w:w="407" w:type="pct"/>
          </w:tcPr>
          <w:p w14:paraId="3A848D37" w14:textId="672BD70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2A313E87" w14:textId="04C84D8E" w:rsidR="00590C47" w:rsidRPr="00563AD3" w:rsidRDefault="00590C47" w:rsidP="006352CA">
            <w:pPr>
              <w:spacing w:line="240" w:lineRule="auto"/>
              <w:jc w:val="center"/>
              <w:rPr>
                <w:rFonts w:eastAsiaTheme="minorHAnsi"/>
                <w:sz w:val="16"/>
                <w:szCs w:val="16"/>
              </w:rPr>
            </w:pPr>
          </w:p>
        </w:tc>
        <w:tc>
          <w:tcPr>
            <w:tcW w:w="407" w:type="pct"/>
            <w:vAlign w:val="center"/>
          </w:tcPr>
          <w:p w14:paraId="3E38956A" w14:textId="17E59C90"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1BC8CB37" w14:textId="5EB3F270"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0128D04E" w14:textId="3868A062"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37057592" w14:textId="77777777" w:rsidTr="00F61C26">
        <w:trPr>
          <w:jc w:val="center"/>
        </w:trPr>
        <w:tc>
          <w:tcPr>
            <w:tcW w:w="860" w:type="pct"/>
            <w:vAlign w:val="center"/>
          </w:tcPr>
          <w:p w14:paraId="62B20C3B" w14:textId="4AAE58FC"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Neuropsychiatric Inventory (NPI-NH)</w:t>
            </w:r>
          </w:p>
        </w:tc>
        <w:tc>
          <w:tcPr>
            <w:tcW w:w="967" w:type="pct"/>
            <w:vAlign w:val="center"/>
          </w:tcPr>
          <w:p w14:paraId="13A8D145" w14:textId="1D989C22"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Interview (SP)</w:t>
            </w:r>
          </w:p>
        </w:tc>
        <w:tc>
          <w:tcPr>
            <w:tcW w:w="1169" w:type="pct"/>
          </w:tcPr>
          <w:p w14:paraId="5F06223E" w14:textId="02AA7D00"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Secondary endpoint</w:t>
            </w:r>
          </w:p>
        </w:tc>
        <w:tc>
          <w:tcPr>
            <w:tcW w:w="407" w:type="pct"/>
          </w:tcPr>
          <w:p w14:paraId="13C78156" w14:textId="618A28C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4E71087A" w14:textId="0692DE0C" w:rsidR="00590C47" w:rsidRPr="00563AD3" w:rsidRDefault="00590C47" w:rsidP="006352CA">
            <w:pPr>
              <w:spacing w:line="240" w:lineRule="auto"/>
              <w:jc w:val="center"/>
              <w:rPr>
                <w:rFonts w:eastAsiaTheme="minorHAnsi"/>
                <w:sz w:val="16"/>
                <w:szCs w:val="16"/>
              </w:rPr>
            </w:pPr>
          </w:p>
        </w:tc>
        <w:tc>
          <w:tcPr>
            <w:tcW w:w="407" w:type="pct"/>
            <w:vAlign w:val="center"/>
          </w:tcPr>
          <w:p w14:paraId="615F03F0" w14:textId="0C4AB0CA"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1527034E" w14:textId="286CE7BD"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14B67725" w14:textId="7502F38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6B9742E8" w14:textId="77777777" w:rsidTr="00F61C26">
        <w:trPr>
          <w:jc w:val="center"/>
        </w:trPr>
        <w:tc>
          <w:tcPr>
            <w:tcW w:w="860" w:type="pct"/>
            <w:vAlign w:val="center"/>
          </w:tcPr>
          <w:p w14:paraId="677C458B" w14:textId="7B7F1F35"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DEMQOL Proxy</w:t>
            </w:r>
          </w:p>
        </w:tc>
        <w:tc>
          <w:tcPr>
            <w:tcW w:w="967" w:type="pct"/>
            <w:vAlign w:val="center"/>
          </w:tcPr>
          <w:p w14:paraId="71EF096D" w14:textId="56DD2086"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Interview (SP and RF)</w:t>
            </w:r>
          </w:p>
        </w:tc>
        <w:tc>
          <w:tcPr>
            <w:tcW w:w="1169" w:type="pct"/>
          </w:tcPr>
          <w:p w14:paraId="3CD2E2AC" w14:textId="7C35A0A6"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Health economics endpoint</w:t>
            </w:r>
          </w:p>
        </w:tc>
        <w:tc>
          <w:tcPr>
            <w:tcW w:w="407" w:type="pct"/>
          </w:tcPr>
          <w:p w14:paraId="513D0425" w14:textId="3060F6B1"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7A499926" w14:textId="457E014D" w:rsidR="00590C47" w:rsidRPr="00563AD3" w:rsidRDefault="00590C47" w:rsidP="006352CA">
            <w:pPr>
              <w:spacing w:line="240" w:lineRule="auto"/>
              <w:jc w:val="center"/>
              <w:rPr>
                <w:rFonts w:eastAsiaTheme="minorHAnsi"/>
                <w:sz w:val="16"/>
                <w:szCs w:val="16"/>
              </w:rPr>
            </w:pPr>
          </w:p>
        </w:tc>
        <w:tc>
          <w:tcPr>
            <w:tcW w:w="407" w:type="pct"/>
            <w:vAlign w:val="center"/>
          </w:tcPr>
          <w:p w14:paraId="74853F10" w14:textId="12E4BDD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36D1372F" w14:textId="6C53BD44"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133ECEFC" w14:textId="6390C39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4E2B592A" w14:textId="77777777" w:rsidTr="00F61C26">
        <w:trPr>
          <w:jc w:val="center"/>
        </w:trPr>
        <w:tc>
          <w:tcPr>
            <w:tcW w:w="860" w:type="pct"/>
            <w:vAlign w:val="center"/>
          </w:tcPr>
          <w:p w14:paraId="24EEA250" w14:textId="43ABD191"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EQ 5D 5L/EQ 5D 5L-proxy</w:t>
            </w:r>
          </w:p>
        </w:tc>
        <w:tc>
          <w:tcPr>
            <w:tcW w:w="967" w:type="pct"/>
            <w:vAlign w:val="center"/>
          </w:tcPr>
          <w:p w14:paraId="2B050137" w14:textId="3193887C"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Interview (R and RF and SP)</w:t>
            </w:r>
          </w:p>
        </w:tc>
        <w:tc>
          <w:tcPr>
            <w:tcW w:w="1169" w:type="pct"/>
          </w:tcPr>
          <w:p w14:paraId="4462F2EB" w14:textId="03E7CA9A"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Health economics endpoint</w:t>
            </w:r>
          </w:p>
        </w:tc>
        <w:tc>
          <w:tcPr>
            <w:tcW w:w="407" w:type="pct"/>
          </w:tcPr>
          <w:p w14:paraId="7BDA19C0" w14:textId="6E54295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7A0C71D2" w14:textId="2CD4D41D" w:rsidR="00590C47" w:rsidRPr="00563AD3" w:rsidRDefault="00590C47" w:rsidP="006352CA">
            <w:pPr>
              <w:spacing w:line="240" w:lineRule="auto"/>
              <w:jc w:val="center"/>
              <w:rPr>
                <w:rFonts w:eastAsiaTheme="minorHAnsi"/>
                <w:sz w:val="16"/>
                <w:szCs w:val="16"/>
              </w:rPr>
            </w:pPr>
          </w:p>
        </w:tc>
        <w:tc>
          <w:tcPr>
            <w:tcW w:w="407" w:type="pct"/>
            <w:vAlign w:val="center"/>
          </w:tcPr>
          <w:p w14:paraId="4A777322" w14:textId="2DC30609"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6388C447" w14:textId="2DCB64D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10DECB56" w14:textId="6EE8FA60"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315E29BA" w14:textId="77777777" w:rsidTr="00F61C26">
        <w:trPr>
          <w:jc w:val="center"/>
        </w:trPr>
        <w:tc>
          <w:tcPr>
            <w:tcW w:w="860" w:type="pct"/>
            <w:vAlign w:val="center"/>
          </w:tcPr>
          <w:p w14:paraId="05BAD662" w14:textId="7ADA266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QUALID</w:t>
            </w:r>
          </w:p>
        </w:tc>
        <w:tc>
          <w:tcPr>
            <w:tcW w:w="967" w:type="pct"/>
            <w:vAlign w:val="center"/>
          </w:tcPr>
          <w:p w14:paraId="6BBF2B0A" w14:textId="1DFFAB5D"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Interview (SP and RF)</w:t>
            </w:r>
          </w:p>
        </w:tc>
        <w:tc>
          <w:tcPr>
            <w:tcW w:w="1169" w:type="pct"/>
          </w:tcPr>
          <w:p w14:paraId="1FE31CBD" w14:textId="745DCAF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Secondary endpoint</w:t>
            </w:r>
          </w:p>
        </w:tc>
        <w:tc>
          <w:tcPr>
            <w:tcW w:w="407" w:type="pct"/>
          </w:tcPr>
          <w:p w14:paraId="66D24D1C" w14:textId="4D3FC702"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2CE50BD5"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6A03A9FE" w14:textId="22C285F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299D5748" w14:textId="1B99762C"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142A2F1D" w14:textId="695746F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3F15D7F8" w14:textId="77777777" w:rsidTr="00F61C26">
        <w:trPr>
          <w:jc w:val="center"/>
        </w:trPr>
        <w:tc>
          <w:tcPr>
            <w:tcW w:w="860" w:type="pct"/>
            <w:vAlign w:val="center"/>
          </w:tcPr>
          <w:p w14:paraId="4A307BB0" w14:textId="3B8630F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QOL-AD (care home)</w:t>
            </w:r>
          </w:p>
        </w:tc>
        <w:tc>
          <w:tcPr>
            <w:tcW w:w="967" w:type="pct"/>
            <w:vAlign w:val="center"/>
          </w:tcPr>
          <w:p w14:paraId="4105FDFB" w14:textId="5A493171"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Interview (R)</w:t>
            </w:r>
          </w:p>
        </w:tc>
        <w:tc>
          <w:tcPr>
            <w:tcW w:w="1169" w:type="pct"/>
          </w:tcPr>
          <w:p w14:paraId="1DED675E" w14:textId="44FAAAC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Secondary endpoint</w:t>
            </w:r>
          </w:p>
        </w:tc>
        <w:tc>
          <w:tcPr>
            <w:tcW w:w="407" w:type="pct"/>
          </w:tcPr>
          <w:p w14:paraId="37A34B2E" w14:textId="5F77196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0E87E8E0"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0EFD7F97" w14:textId="7716F862"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2E148FC2" w14:textId="4743B1A0"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65DBDF63" w14:textId="0B0221DE"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2ECD86CE" w14:textId="77777777" w:rsidTr="00F61C26">
        <w:trPr>
          <w:jc w:val="center"/>
        </w:trPr>
        <w:tc>
          <w:tcPr>
            <w:tcW w:w="860" w:type="pct"/>
            <w:vAlign w:val="center"/>
          </w:tcPr>
          <w:p w14:paraId="5DF62C95" w14:textId="39654196"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Healthcare Resource Use</w:t>
            </w:r>
          </w:p>
        </w:tc>
        <w:tc>
          <w:tcPr>
            <w:tcW w:w="967" w:type="pct"/>
            <w:vAlign w:val="center"/>
          </w:tcPr>
          <w:p w14:paraId="48194325" w14:textId="7C91F2E7"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Assessment (CR)</w:t>
            </w:r>
          </w:p>
        </w:tc>
        <w:tc>
          <w:tcPr>
            <w:tcW w:w="1169" w:type="pct"/>
          </w:tcPr>
          <w:p w14:paraId="0C31B551" w14:textId="062078D7"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Health economics endpoint</w:t>
            </w:r>
          </w:p>
        </w:tc>
        <w:tc>
          <w:tcPr>
            <w:tcW w:w="407" w:type="pct"/>
          </w:tcPr>
          <w:p w14:paraId="6A0593DA" w14:textId="26C87965"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73061192"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4ADD0626" w14:textId="73E5CE6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1C41C03D" w14:textId="522B9CB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2178B53C" w14:textId="6E289A02"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519FA7AC" w14:textId="77777777" w:rsidTr="00F61C26">
        <w:trPr>
          <w:jc w:val="center"/>
        </w:trPr>
        <w:tc>
          <w:tcPr>
            <w:tcW w:w="860" w:type="pct"/>
            <w:vAlign w:val="center"/>
          </w:tcPr>
          <w:p w14:paraId="049F4410" w14:textId="164F036E"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Prescription Medications</w:t>
            </w:r>
          </w:p>
        </w:tc>
        <w:tc>
          <w:tcPr>
            <w:tcW w:w="967" w:type="pct"/>
            <w:vAlign w:val="center"/>
          </w:tcPr>
          <w:p w14:paraId="6D02C9FD" w14:textId="7043629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Assessment (CR)</w:t>
            </w:r>
          </w:p>
        </w:tc>
        <w:tc>
          <w:tcPr>
            <w:tcW w:w="1169" w:type="pct"/>
          </w:tcPr>
          <w:p w14:paraId="1F0BE73F" w14:textId="642AD7B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Secondary endpoint</w:t>
            </w:r>
          </w:p>
        </w:tc>
        <w:tc>
          <w:tcPr>
            <w:tcW w:w="407" w:type="pct"/>
          </w:tcPr>
          <w:p w14:paraId="26B32AF0" w14:textId="5AA311D9"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428304DE"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375E7DA9" w14:textId="3CF0A7C5"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3F077B09" w14:textId="776106A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1D07DC6B" w14:textId="60494FE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39960814" w14:textId="77777777" w:rsidTr="00F61C26">
        <w:trPr>
          <w:jc w:val="center"/>
        </w:trPr>
        <w:tc>
          <w:tcPr>
            <w:tcW w:w="860" w:type="pct"/>
            <w:vAlign w:val="center"/>
          </w:tcPr>
          <w:p w14:paraId="6254242E" w14:textId="0F042E45"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Resident Comorbidities</w:t>
            </w:r>
          </w:p>
        </w:tc>
        <w:tc>
          <w:tcPr>
            <w:tcW w:w="967" w:type="pct"/>
            <w:vAlign w:val="center"/>
          </w:tcPr>
          <w:p w14:paraId="50FCF4A4" w14:textId="2E6FBEBF"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Assessment (CR)</w:t>
            </w:r>
          </w:p>
        </w:tc>
        <w:tc>
          <w:tcPr>
            <w:tcW w:w="1169" w:type="pct"/>
          </w:tcPr>
          <w:p w14:paraId="1342220E" w14:textId="77777777" w:rsidR="00590C47" w:rsidRPr="00563AD3" w:rsidRDefault="00590C47" w:rsidP="006352CA">
            <w:pPr>
              <w:spacing w:line="240" w:lineRule="auto"/>
              <w:jc w:val="center"/>
              <w:rPr>
                <w:rFonts w:eastAsiaTheme="minorHAnsi"/>
                <w:sz w:val="16"/>
                <w:szCs w:val="16"/>
              </w:rPr>
            </w:pPr>
          </w:p>
        </w:tc>
        <w:tc>
          <w:tcPr>
            <w:tcW w:w="407" w:type="pct"/>
          </w:tcPr>
          <w:p w14:paraId="6B212AD5" w14:textId="0FF56946"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72750C9C"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0F71B7C8" w14:textId="54D46BA2"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18A437EB" w14:textId="74321172"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6F01F80D" w14:textId="3FD43C5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2FF35E72" w14:textId="77777777" w:rsidTr="00F61C26">
        <w:trPr>
          <w:jc w:val="center"/>
        </w:trPr>
        <w:tc>
          <w:tcPr>
            <w:tcW w:w="860" w:type="pct"/>
            <w:vAlign w:val="center"/>
          </w:tcPr>
          <w:p w14:paraId="3A0C6ECE" w14:textId="6CA17747"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Clinical Dementia Rating (CDR)</w:t>
            </w:r>
          </w:p>
        </w:tc>
        <w:tc>
          <w:tcPr>
            <w:tcW w:w="967" w:type="pct"/>
            <w:vAlign w:val="center"/>
          </w:tcPr>
          <w:p w14:paraId="0A03B2BA" w14:textId="0969BD22"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Interview (SP)</w:t>
            </w:r>
          </w:p>
        </w:tc>
        <w:tc>
          <w:tcPr>
            <w:tcW w:w="1169" w:type="pct"/>
          </w:tcPr>
          <w:p w14:paraId="4AEC2D89" w14:textId="388968D7"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Process measure</w:t>
            </w:r>
          </w:p>
        </w:tc>
        <w:tc>
          <w:tcPr>
            <w:tcW w:w="407" w:type="pct"/>
          </w:tcPr>
          <w:p w14:paraId="619BC1CD" w14:textId="0A87CF62"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2F66B7EE"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12AAF2DD" w14:textId="172B9CD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4333D41D" w14:textId="7F2C034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365D2F7B" w14:textId="568760BC"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1B3441FC" w14:textId="77777777" w:rsidTr="00F61C26">
        <w:trPr>
          <w:jc w:val="center"/>
        </w:trPr>
        <w:tc>
          <w:tcPr>
            <w:tcW w:w="860" w:type="pct"/>
            <w:vAlign w:val="center"/>
          </w:tcPr>
          <w:p w14:paraId="008C4CBA" w14:textId="74DCDC61"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Functional Assessment Staging (FAST)</w:t>
            </w:r>
          </w:p>
        </w:tc>
        <w:tc>
          <w:tcPr>
            <w:tcW w:w="967" w:type="pct"/>
            <w:vAlign w:val="center"/>
          </w:tcPr>
          <w:p w14:paraId="2168204A" w14:textId="57FF63C2"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Interview (SP)</w:t>
            </w:r>
          </w:p>
        </w:tc>
        <w:tc>
          <w:tcPr>
            <w:tcW w:w="1169" w:type="pct"/>
          </w:tcPr>
          <w:p w14:paraId="32AB6A83" w14:textId="77777777" w:rsidR="00590C47" w:rsidRPr="00563AD3" w:rsidRDefault="00590C47" w:rsidP="006352CA">
            <w:pPr>
              <w:spacing w:line="240" w:lineRule="auto"/>
              <w:jc w:val="center"/>
              <w:rPr>
                <w:rFonts w:eastAsiaTheme="minorHAnsi"/>
                <w:sz w:val="16"/>
                <w:szCs w:val="16"/>
              </w:rPr>
            </w:pPr>
          </w:p>
        </w:tc>
        <w:tc>
          <w:tcPr>
            <w:tcW w:w="407" w:type="pct"/>
          </w:tcPr>
          <w:p w14:paraId="7521E855" w14:textId="7BA2E051"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Individual</w:t>
            </w:r>
          </w:p>
        </w:tc>
        <w:tc>
          <w:tcPr>
            <w:tcW w:w="407" w:type="pct"/>
            <w:vAlign w:val="center"/>
          </w:tcPr>
          <w:p w14:paraId="30DB0B0A"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5E434E21" w14:textId="32847146"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57193D7A" w14:textId="1DFA48FF"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7E5843F6" w14:textId="25CF2BD1"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3273D179" w14:textId="77777777" w:rsidTr="00F61C26">
        <w:trPr>
          <w:jc w:val="center"/>
        </w:trPr>
        <w:tc>
          <w:tcPr>
            <w:tcW w:w="860" w:type="pct"/>
            <w:vAlign w:val="center"/>
          </w:tcPr>
          <w:p w14:paraId="4ECA799B" w14:textId="2CC09367"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General Health Questionnaire (GHQ-12)*</w:t>
            </w:r>
          </w:p>
        </w:tc>
        <w:tc>
          <w:tcPr>
            <w:tcW w:w="967" w:type="pct"/>
            <w:vAlign w:val="center"/>
          </w:tcPr>
          <w:p w14:paraId="48A80C72" w14:textId="72E39F7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Self-Completed (S)</w:t>
            </w:r>
          </w:p>
        </w:tc>
        <w:tc>
          <w:tcPr>
            <w:tcW w:w="1169" w:type="pct"/>
          </w:tcPr>
          <w:p w14:paraId="71F242C9" w14:textId="2169C29F"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Secondary endpoint</w:t>
            </w:r>
          </w:p>
        </w:tc>
        <w:tc>
          <w:tcPr>
            <w:tcW w:w="407" w:type="pct"/>
          </w:tcPr>
          <w:p w14:paraId="75F8FCE5"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6C0AE256"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7899F4E6" w14:textId="715C0355"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45551EE7" w14:textId="71F8CF35"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6D8F6DCA" w14:textId="77777777" w:rsidR="00590C47" w:rsidRPr="00563AD3" w:rsidRDefault="00590C47" w:rsidP="006352CA">
            <w:pPr>
              <w:spacing w:line="240" w:lineRule="auto"/>
              <w:jc w:val="center"/>
              <w:rPr>
                <w:rFonts w:eastAsiaTheme="minorHAnsi"/>
                <w:sz w:val="16"/>
                <w:szCs w:val="16"/>
              </w:rPr>
            </w:pPr>
          </w:p>
        </w:tc>
      </w:tr>
      <w:tr w:rsidR="00F61C26" w:rsidRPr="00563AD3" w14:paraId="3CB35255" w14:textId="77777777" w:rsidTr="00F61C26">
        <w:trPr>
          <w:jc w:val="center"/>
        </w:trPr>
        <w:tc>
          <w:tcPr>
            <w:tcW w:w="860" w:type="pct"/>
            <w:vAlign w:val="center"/>
          </w:tcPr>
          <w:p w14:paraId="140BE6B0" w14:textId="304BA70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Sense of Competence in Dementia care Staff (SCIDS)</w:t>
            </w:r>
          </w:p>
        </w:tc>
        <w:tc>
          <w:tcPr>
            <w:tcW w:w="967" w:type="pct"/>
            <w:vAlign w:val="center"/>
          </w:tcPr>
          <w:p w14:paraId="279DA037" w14:textId="61539F8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Self-Completed (S)</w:t>
            </w:r>
          </w:p>
        </w:tc>
        <w:tc>
          <w:tcPr>
            <w:tcW w:w="1169" w:type="pct"/>
          </w:tcPr>
          <w:p w14:paraId="6518333F" w14:textId="601C75D4"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Secondary endpoint</w:t>
            </w:r>
          </w:p>
        </w:tc>
        <w:tc>
          <w:tcPr>
            <w:tcW w:w="407" w:type="pct"/>
          </w:tcPr>
          <w:p w14:paraId="6C72ECD9"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0FF52F6E"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4C294655" w14:textId="3EE13A2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667C0DA2" w14:textId="6180D8D6"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4023E920" w14:textId="270B6E7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132E6384" w14:textId="77777777" w:rsidTr="00F61C26">
        <w:trPr>
          <w:jc w:val="center"/>
        </w:trPr>
        <w:tc>
          <w:tcPr>
            <w:tcW w:w="860" w:type="pct"/>
            <w:vAlign w:val="center"/>
          </w:tcPr>
          <w:p w14:paraId="5CA9F3F2" w14:textId="4CBE79C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Quality of Interactions Schedule (QUIS)</w:t>
            </w:r>
          </w:p>
        </w:tc>
        <w:tc>
          <w:tcPr>
            <w:tcW w:w="967" w:type="pct"/>
            <w:vAlign w:val="center"/>
          </w:tcPr>
          <w:p w14:paraId="7F008053" w14:textId="4252086E"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Observations (R,S)</w:t>
            </w:r>
          </w:p>
        </w:tc>
        <w:tc>
          <w:tcPr>
            <w:tcW w:w="1169" w:type="pct"/>
          </w:tcPr>
          <w:p w14:paraId="5147E231" w14:textId="601A2E96"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Process measure</w:t>
            </w:r>
          </w:p>
        </w:tc>
        <w:tc>
          <w:tcPr>
            <w:tcW w:w="407" w:type="pct"/>
          </w:tcPr>
          <w:p w14:paraId="4DBD5D53" w14:textId="677A2D65"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Cluster</w:t>
            </w:r>
          </w:p>
        </w:tc>
        <w:tc>
          <w:tcPr>
            <w:tcW w:w="407" w:type="pct"/>
            <w:vAlign w:val="center"/>
          </w:tcPr>
          <w:p w14:paraId="74B205BA"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6C92A2D5" w14:textId="552C7406"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507DC5BB" w14:textId="256BFF72"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0417769F" w14:textId="3B33762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1594FB62" w14:textId="77777777" w:rsidTr="00F61C26">
        <w:trPr>
          <w:jc w:val="center"/>
        </w:trPr>
        <w:tc>
          <w:tcPr>
            <w:tcW w:w="860" w:type="pct"/>
            <w:vAlign w:val="center"/>
          </w:tcPr>
          <w:p w14:paraId="3D49DF91" w14:textId="08A49E5C"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Care Home Demographics</w:t>
            </w:r>
          </w:p>
        </w:tc>
        <w:tc>
          <w:tcPr>
            <w:tcW w:w="967" w:type="pct"/>
            <w:vAlign w:val="center"/>
          </w:tcPr>
          <w:p w14:paraId="56129F75" w14:textId="2E5BDC2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Interview (CM)</w:t>
            </w:r>
          </w:p>
        </w:tc>
        <w:tc>
          <w:tcPr>
            <w:tcW w:w="1169" w:type="pct"/>
          </w:tcPr>
          <w:p w14:paraId="237C26EB" w14:textId="77777777" w:rsidR="00590C47" w:rsidRPr="00563AD3" w:rsidRDefault="00590C47" w:rsidP="006352CA">
            <w:pPr>
              <w:spacing w:line="240" w:lineRule="auto"/>
              <w:jc w:val="center"/>
              <w:rPr>
                <w:rFonts w:eastAsiaTheme="minorHAnsi"/>
                <w:sz w:val="16"/>
                <w:szCs w:val="16"/>
              </w:rPr>
            </w:pPr>
          </w:p>
        </w:tc>
        <w:tc>
          <w:tcPr>
            <w:tcW w:w="407" w:type="pct"/>
          </w:tcPr>
          <w:p w14:paraId="6CEDCFEC" w14:textId="1519AEDE"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Cluster</w:t>
            </w:r>
          </w:p>
        </w:tc>
        <w:tc>
          <w:tcPr>
            <w:tcW w:w="407" w:type="pct"/>
            <w:vAlign w:val="center"/>
          </w:tcPr>
          <w:p w14:paraId="7A4E86AB"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31914ABA" w14:textId="1556474E"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2DEC9E1C" w14:textId="29FA27D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697A5829" w14:textId="7CD75F42"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29DBC370" w14:textId="77777777" w:rsidTr="00F61C26">
        <w:trPr>
          <w:jc w:val="center"/>
        </w:trPr>
        <w:tc>
          <w:tcPr>
            <w:tcW w:w="860" w:type="pct"/>
            <w:vAlign w:val="center"/>
          </w:tcPr>
          <w:p w14:paraId="498DF6A6" w14:textId="2407546A"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Environmental Audit Tool (EAT)</w:t>
            </w:r>
          </w:p>
        </w:tc>
        <w:tc>
          <w:tcPr>
            <w:tcW w:w="967" w:type="pct"/>
            <w:vAlign w:val="center"/>
          </w:tcPr>
          <w:p w14:paraId="663C0E67" w14:textId="483E382E"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Observations (CH)</w:t>
            </w:r>
          </w:p>
        </w:tc>
        <w:tc>
          <w:tcPr>
            <w:tcW w:w="1169" w:type="pct"/>
          </w:tcPr>
          <w:p w14:paraId="290165ED" w14:textId="15FE161A"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Process measure</w:t>
            </w:r>
          </w:p>
        </w:tc>
        <w:tc>
          <w:tcPr>
            <w:tcW w:w="407" w:type="pct"/>
          </w:tcPr>
          <w:p w14:paraId="35B00D24" w14:textId="4FA2B1A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Cluster</w:t>
            </w:r>
          </w:p>
        </w:tc>
        <w:tc>
          <w:tcPr>
            <w:tcW w:w="407" w:type="pct"/>
            <w:vAlign w:val="center"/>
          </w:tcPr>
          <w:p w14:paraId="3DF4E1F7"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768D89EF" w14:textId="2F86DF3D"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2EF1816C" w14:textId="642EF32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01FEDFC9" w14:textId="7832669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2EEB80F1" w14:textId="77777777" w:rsidTr="00F61C26">
        <w:trPr>
          <w:jc w:val="center"/>
        </w:trPr>
        <w:tc>
          <w:tcPr>
            <w:tcW w:w="860" w:type="pct"/>
            <w:vAlign w:val="center"/>
          </w:tcPr>
          <w:p w14:paraId="78E24C47" w14:textId="1D48E00E"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Group Living Home Characteristics (GLHC)</w:t>
            </w:r>
          </w:p>
        </w:tc>
        <w:tc>
          <w:tcPr>
            <w:tcW w:w="967" w:type="pct"/>
            <w:vAlign w:val="center"/>
          </w:tcPr>
          <w:p w14:paraId="1C954565" w14:textId="0FC8441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Assessment (CH)</w:t>
            </w:r>
          </w:p>
        </w:tc>
        <w:tc>
          <w:tcPr>
            <w:tcW w:w="1169" w:type="pct"/>
          </w:tcPr>
          <w:p w14:paraId="2593E213" w14:textId="10E8F961"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Secondary endpoint</w:t>
            </w:r>
          </w:p>
        </w:tc>
        <w:tc>
          <w:tcPr>
            <w:tcW w:w="407" w:type="pct"/>
          </w:tcPr>
          <w:p w14:paraId="3554B717" w14:textId="54B3BB9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Cluster</w:t>
            </w:r>
          </w:p>
        </w:tc>
        <w:tc>
          <w:tcPr>
            <w:tcW w:w="407" w:type="pct"/>
            <w:vAlign w:val="center"/>
          </w:tcPr>
          <w:p w14:paraId="0E00AC13" w14:textId="77777777" w:rsidR="00590C47" w:rsidRPr="00563AD3" w:rsidRDefault="00590C47" w:rsidP="006352CA">
            <w:pPr>
              <w:spacing w:line="240" w:lineRule="auto"/>
              <w:jc w:val="center"/>
              <w:rPr>
                <w:rFonts w:eastAsiaTheme="minorHAnsi"/>
                <w:sz w:val="16"/>
                <w:szCs w:val="16"/>
              </w:rPr>
            </w:pPr>
          </w:p>
        </w:tc>
        <w:tc>
          <w:tcPr>
            <w:tcW w:w="407" w:type="pct"/>
            <w:vAlign w:val="center"/>
          </w:tcPr>
          <w:p w14:paraId="4AD609A7" w14:textId="0E30FA16"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355" w:type="pct"/>
            <w:vAlign w:val="center"/>
          </w:tcPr>
          <w:p w14:paraId="103D20B7" w14:textId="07F6CA21"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141CC62E" w14:textId="21B506F1"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0A7E6686" w14:textId="77777777" w:rsidTr="00F61C26">
        <w:trPr>
          <w:jc w:val="center"/>
        </w:trPr>
        <w:tc>
          <w:tcPr>
            <w:tcW w:w="860" w:type="pct"/>
            <w:vAlign w:val="center"/>
          </w:tcPr>
          <w:p w14:paraId="327A41B6" w14:textId="25FA70D2" w:rsidR="00590C47" w:rsidRPr="00563AD3" w:rsidRDefault="00590C47" w:rsidP="006352CA">
            <w:pPr>
              <w:spacing w:line="240" w:lineRule="auto"/>
              <w:jc w:val="center"/>
              <w:rPr>
                <w:rFonts w:eastAsiaTheme="minorHAnsi"/>
                <w:sz w:val="16"/>
                <w:szCs w:val="16"/>
              </w:rPr>
            </w:pPr>
            <w:r w:rsidRPr="00563AD3">
              <w:rPr>
                <w:rFonts w:eastAsiaTheme="minorHAnsi"/>
                <w:sz w:val="16"/>
                <w:szCs w:val="16"/>
                <w:lang w:val="en-US"/>
              </w:rPr>
              <w:t>Assessment</w:t>
            </w:r>
            <w:r w:rsidRPr="00563AD3" w:rsidDel="002777D4">
              <w:rPr>
                <w:rFonts w:eastAsiaTheme="minorHAnsi"/>
                <w:sz w:val="16"/>
                <w:szCs w:val="16"/>
                <w:lang w:val="en-US"/>
              </w:rPr>
              <w:t xml:space="preserve"> </w:t>
            </w:r>
            <w:r w:rsidRPr="00563AD3">
              <w:rPr>
                <w:rFonts w:eastAsiaTheme="minorHAnsi"/>
                <w:sz w:val="16"/>
                <w:szCs w:val="16"/>
                <w:lang w:val="en-US"/>
              </w:rPr>
              <w:t xml:space="preserve">of Dementia Awareness and Person-Centred Care Training </w:t>
            </w:r>
            <w:r w:rsidRPr="00563AD3">
              <w:rPr>
                <w:rFonts w:eastAsiaTheme="minorHAnsi"/>
                <w:sz w:val="16"/>
                <w:szCs w:val="16"/>
              </w:rPr>
              <w:t>(ADAPT) audit</w:t>
            </w:r>
          </w:p>
        </w:tc>
        <w:tc>
          <w:tcPr>
            <w:tcW w:w="967" w:type="pct"/>
            <w:vAlign w:val="center"/>
          </w:tcPr>
          <w:p w14:paraId="1737A85B" w14:textId="00BE3AC0"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Assessment (CM, CR)</w:t>
            </w:r>
          </w:p>
        </w:tc>
        <w:tc>
          <w:tcPr>
            <w:tcW w:w="1169" w:type="pct"/>
          </w:tcPr>
          <w:p w14:paraId="4D42583D" w14:textId="1CE080E3"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Pre-baseline benchmarking for provision of additional person-centred dementia awareness training and usual care monitoring</w:t>
            </w:r>
          </w:p>
        </w:tc>
        <w:tc>
          <w:tcPr>
            <w:tcW w:w="407" w:type="pct"/>
          </w:tcPr>
          <w:p w14:paraId="05400A4F" w14:textId="6BBD5397"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Cluster</w:t>
            </w:r>
          </w:p>
        </w:tc>
        <w:tc>
          <w:tcPr>
            <w:tcW w:w="407" w:type="pct"/>
            <w:vAlign w:val="center"/>
          </w:tcPr>
          <w:p w14:paraId="04D82CA1" w14:textId="593CA600"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07" w:type="pct"/>
            <w:vAlign w:val="center"/>
          </w:tcPr>
          <w:p w14:paraId="7434CB3E" w14:textId="77777777" w:rsidR="00590C47" w:rsidRPr="00563AD3" w:rsidRDefault="00590C47" w:rsidP="006352CA">
            <w:pPr>
              <w:spacing w:line="240" w:lineRule="auto"/>
              <w:jc w:val="center"/>
              <w:rPr>
                <w:rFonts w:eastAsiaTheme="minorHAnsi"/>
                <w:sz w:val="16"/>
                <w:szCs w:val="16"/>
              </w:rPr>
            </w:pPr>
          </w:p>
        </w:tc>
        <w:tc>
          <w:tcPr>
            <w:tcW w:w="355" w:type="pct"/>
            <w:vAlign w:val="center"/>
          </w:tcPr>
          <w:p w14:paraId="2865F08D" w14:textId="06B94404"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c>
          <w:tcPr>
            <w:tcW w:w="428" w:type="pct"/>
            <w:vAlign w:val="center"/>
          </w:tcPr>
          <w:p w14:paraId="69CA21C5" w14:textId="0C730427"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X</w:t>
            </w:r>
          </w:p>
        </w:tc>
      </w:tr>
      <w:tr w:rsidR="00F61C26" w:rsidRPr="00563AD3" w14:paraId="4C61FD9B" w14:textId="77777777" w:rsidTr="00F61C26">
        <w:trPr>
          <w:jc w:val="center"/>
        </w:trPr>
        <w:tc>
          <w:tcPr>
            <w:tcW w:w="860" w:type="pct"/>
            <w:vAlign w:val="center"/>
          </w:tcPr>
          <w:p w14:paraId="71A7EDB1" w14:textId="3189FB0B"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Safety Reporting</w:t>
            </w:r>
          </w:p>
        </w:tc>
        <w:tc>
          <w:tcPr>
            <w:tcW w:w="967" w:type="pct"/>
            <w:vAlign w:val="center"/>
          </w:tcPr>
          <w:p w14:paraId="5C693544" w14:textId="1570A087"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Assessment (CM)</w:t>
            </w:r>
          </w:p>
        </w:tc>
        <w:tc>
          <w:tcPr>
            <w:tcW w:w="1169" w:type="pct"/>
          </w:tcPr>
          <w:p w14:paraId="7E5E8588" w14:textId="1CCB121E"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Safety</w:t>
            </w:r>
          </w:p>
        </w:tc>
        <w:tc>
          <w:tcPr>
            <w:tcW w:w="407" w:type="pct"/>
          </w:tcPr>
          <w:p w14:paraId="215CD3FD" w14:textId="26ACEFFC" w:rsidR="00590C47" w:rsidRPr="00563AD3" w:rsidRDefault="00590C47" w:rsidP="006352CA">
            <w:pPr>
              <w:spacing w:line="240" w:lineRule="auto"/>
              <w:jc w:val="center"/>
              <w:rPr>
                <w:rFonts w:eastAsiaTheme="minorHAnsi"/>
                <w:sz w:val="16"/>
                <w:szCs w:val="16"/>
              </w:rPr>
            </w:pPr>
          </w:p>
        </w:tc>
        <w:tc>
          <w:tcPr>
            <w:tcW w:w="407" w:type="pct"/>
            <w:vAlign w:val="center"/>
          </w:tcPr>
          <w:p w14:paraId="4B2D60BF" w14:textId="212B9E18" w:rsidR="00590C47" w:rsidRPr="00563AD3" w:rsidRDefault="00590C47" w:rsidP="006352CA">
            <w:pPr>
              <w:spacing w:line="240" w:lineRule="auto"/>
              <w:jc w:val="center"/>
              <w:rPr>
                <w:rFonts w:eastAsiaTheme="minorHAnsi"/>
                <w:sz w:val="16"/>
                <w:szCs w:val="16"/>
              </w:rPr>
            </w:pPr>
          </w:p>
        </w:tc>
        <w:tc>
          <w:tcPr>
            <w:tcW w:w="1190" w:type="pct"/>
            <w:gridSpan w:val="3"/>
            <w:vAlign w:val="center"/>
          </w:tcPr>
          <w:p w14:paraId="1E01F6B3" w14:textId="3582CFC8"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Monthly following Randomisation</w:t>
            </w:r>
          </w:p>
        </w:tc>
      </w:tr>
      <w:tr w:rsidR="00F61C26" w:rsidRPr="00563AD3" w14:paraId="40430442" w14:textId="77777777" w:rsidTr="00F61C26">
        <w:trPr>
          <w:jc w:val="center"/>
        </w:trPr>
        <w:tc>
          <w:tcPr>
            <w:tcW w:w="860" w:type="pct"/>
            <w:vAlign w:val="center"/>
          </w:tcPr>
          <w:p w14:paraId="664AEF35" w14:textId="7669FF0C"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RUSAE Report</w:t>
            </w:r>
          </w:p>
        </w:tc>
        <w:tc>
          <w:tcPr>
            <w:tcW w:w="967" w:type="pct"/>
            <w:vAlign w:val="center"/>
          </w:tcPr>
          <w:p w14:paraId="01CB6E0D" w14:textId="5B6A75EE"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Researcher Assessment (CM)</w:t>
            </w:r>
          </w:p>
        </w:tc>
        <w:tc>
          <w:tcPr>
            <w:tcW w:w="1169" w:type="pct"/>
          </w:tcPr>
          <w:p w14:paraId="2739EF2D" w14:textId="1E3B0DFE"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Safety</w:t>
            </w:r>
          </w:p>
        </w:tc>
        <w:tc>
          <w:tcPr>
            <w:tcW w:w="407" w:type="pct"/>
          </w:tcPr>
          <w:p w14:paraId="2A85ECD3" w14:textId="361CB549" w:rsidR="00590C47" w:rsidRPr="00563AD3" w:rsidRDefault="00590C47" w:rsidP="006352CA">
            <w:pPr>
              <w:spacing w:line="240" w:lineRule="auto"/>
              <w:jc w:val="center"/>
              <w:rPr>
                <w:rFonts w:eastAsiaTheme="minorHAnsi"/>
                <w:sz w:val="16"/>
                <w:szCs w:val="16"/>
              </w:rPr>
            </w:pPr>
          </w:p>
        </w:tc>
        <w:tc>
          <w:tcPr>
            <w:tcW w:w="407" w:type="pct"/>
            <w:vAlign w:val="center"/>
          </w:tcPr>
          <w:p w14:paraId="744997A0" w14:textId="013D5F84" w:rsidR="00590C47" w:rsidRPr="00563AD3" w:rsidRDefault="00590C47" w:rsidP="006352CA">
            <w:pPr>
              <w:spacing w:line="240" w:lineRule="auto"/>
              <w:jc w:val="center"/>
              <w:rPr>
                <w:rFonts w:eastAsiaTheme="minorHAnsi"/>
                <w:sz w:val="16"/>
                <w:szCs w:val="16"/>
              </w:rPr>
            </w:pPr>
          </w:p>
        </w:tc>
        <w:tc>
          <w:tcPr>
            <w:tcW w:w="1190" w:type="pct"/>
            <w:gridSpan w:val="3"/>
            <w:vAlign w:val="center"/>
          </w:tcPr>
          <w:p w14:paraId="79F17C85" w14:textId="5A949DA4" w:rsidR="00590C47" w:rsidRPr="00563AD3" w:rsidRDefault="00590C47" w:rsidP="006352CA">
            <w:pPr>
              <w:spacing w:line="240" w:lineRule="auto"/>
              <w:jc w:val="center"/>
              <w:rPr>
                <w:rFonts w:eastAsiaTheme="minorHAnsi"/>
                <w:sz w:val="16"/>
                <w:szCs w:val="16"/>
              </w:rPr>
            </w:pPr>
            <w:r w:rsidRPr="00563AD3">
              <w:rPr>
                <w:rFonts w:eastAsiaTheme="minorHAnsi"/>
                <w:sz w:val="16"/>
                <w:szCs w:val="16"/>
              </w:rPr>
              <w:t>As highlighted.</w:t>
            </w:r>
          </w:p>
        </w:tc>
      </w:tr>
    </w:tbl>
    <w:p w14:paraId="16725637" w14:textId="6E38E262" w:rsidR="00EF595E" w:rsidRPr="00563AD3" w:rsidRDefault="00EF595E" w:rsidP="009B13F3">
      <w:pPr>
        <w:rPr>
          <w:sz w:val="16"/>
          <w:szCs w:val="16"/>
        </w:rPr>
      </w:pPr>
      <w:r w:rsidRPr="00563AD3">
        <w:rPr>
          <w:b/>
          <w:sz w:val="16"/>
          <w:szCs w:val="16"/>
        </w:rPr>
        <w:t>Key</w:t>
      </w:r>
      <w:r w:rsidRPr="00563AD3">
        <w:rPr>
          <w:sz w:val="16"/>
          <w:szCs w:val="16"/>
        </w:rPr>
        <w:t xml:space="preserve">: CM – Care Home Manager, CH – Care Home Observations, </w:t>
      </w:r>
      <w:r w:rsidR="005269FB" w:rsidRPr="00563AD3">
        <w:rPr>
          <w:sz w:val="16"/>
          <w:szCs w:val="16"/>
        </w:rPr>
        <w:t xml:space="preserve">CR – Care Home Records, </w:t>
      </w:r>
      <w:r w:rsidRPr="00563AD3">
        <w:rPr>
          <w:sz w:val="16"/>
          <w:szCs w:val="16"/>
        </w:rPr>
        <w:t>R – Resident, S – Staff, SP – Staff Proxy Informant, RF – Relative/Friend Proxy Informant</w:t>
      </w:r>
    </w:p>
    <w:p w14:paraId="71692255" w14:textId="77777777" w:rsidR="00F61C26" w:rsidRDefault="00EB52D8" w:rsidP="009B13F3">
      <w:pPr>
        <w:rPr>
          <w:sz w:val="16"/>
          <w:szCs w:val="16"/>
        </w:rPr>
        <w:sectPr w:rsidR="00F61C26" w:rsidSect="00F61C26">
          <w:pgSz w:w="16838" w:h="11906" w:orient="landscape"/>
          <w:pgMar w:top="1440" w:right="1440" w:bottom="1440" w:left="1440" w:header="708" w:footer="708" w:gutter="0"/>
          <w:cols w:space="708"/>
          <w:docGrid w:linePitch="360"/>
        </w:sectPr>
      </w:pPr>
      <w:r w:rsidRPr="00563AD3">
        <w:rPr>
          <w:b/>
          <w:sz w:val="16"/>
          <w:szCs w:val="16"/>
        </w:rPr>
        <w:t xml:space="preserve">Note* </w:t>
      </w:r>
      <w:r w:rsidRPr="00563AD3">
        <w:rPr>
          <w:sz w:val="16"/>
          <w:szCs w:val="16"/>
        </w:rPr>
        <w:t>Collection of GHQ data from staff was ceased during trial – see section 2.1</w:t>
      </w:r>
      <w:r w:rsidR="00576A74" w:rsidRPr="00563AD3">
        <w:rPr>
          <w:sz w:val="16"/>
          <w:szCs w:val="16"/>
        </w:rPr>
        <w:t>0</w:t>
      </w:r>
    </w:p>
    <w:p w14:paraId="0EB175BD" w14:textId="7EF45203" w:rsidR="000E7F40" w:rsidRPr="00563AD3" w:rsidRDefault="000E7F40" w:rsidP="009B13F3">
      <w:pPr>
        <w:pStyle w:val="Heading3"/>
      </w:pPr>
      <w:bookmarkStart w:id="78" w:name="_Toc525543972"/>
      <w:r w:rsidRPr="00563AD3">
        <w:t>2.6.</w:t>
      </w:r>
      <w:r w:rsidR="005D5A41" w:rsidRPr="00563AD3">
        <w:t>4</w:t>
      </w:r>
      <w:r w:rsidRPr="00563AD3">
        <w:t xml:space="preserve"> </w:t>
      </w:r>
      <w:r w:rsidR="00D93FC9" w:rsidRPr="00563AD3">
        <w:t>Resident Measures</w:t>
      </w:r>
      <w:bookmarkEnd w:id="78"/>
      <w:r w:rsidR="00D93FC9" w:rsidRPr="00563AD3">
        <w:t xml:space="preserve"> </w:t>
      </w:r>
    </w:p>
    <w:p w14:paraId="3B4ECE82" w14:textId="523AAA8B" w:rsidR="009536B2" w:rsidRPr="00563AD3" w:rsidRDefault="000E7F40" w:rsidP="009B13F3">
      <w:pPr>
        <w:pStyle w:val="Heading4"/>
      </w:pPr>
      <w:r w:rsidRPr="00563AD3">
        <w:t>2.6.</w:t>
      </w:r>
      <w:r w:rsidR="005D5A41" w:rsidRPr="00563AD3">
        <w:t>4</w:t>
      </w:r>
      <w:r w:rsidRPr="00563AD3">
        <w:t>.1</w:t>
      </w:r>
      <w:r w:rsidR="009536B2" w:rsidRPr="00563AD3">
        <w:t>: Primary Outcome Measure</w:t>
      </w:r>
      <w:r w:rsidR="00D93FC9" w:rsidRPr="00563AD3">
        <w:t xml:space="preserve">: </w:t>
      </w:r>
    </w:p>
    <w:p w14:paraId="25EBDA58" w14:textId="25220A7F" w:rsidR="00EF595E" w:rsidRPr="00563AD3" w:rsidRDefault="00EF595E" w:rsidP="009B13F3">
      <w:pPr>
        <w:pStyle w:val="Heading5"/>
      </w:pPr>
      <w:r w:rsidRPr="00563AD3">
        <w:t xml:space="preserve">Cohen Mansfield Agitation Inventory (CMAI) </w:t>
      </w:r>
      <w:r w:rsidRPr="00563AD3">
        <w:fldChar w:fldCharType="begin"/>
      </w:r>
      <w:r w:rsidR="008C7FD1">
        <w:instrText xml:space="preserve"> ADDIN EN.CITE &lt;EndNote&gt;&lt;Cite&gt;&lt;Author&gt;Cohen-Mansfield&lt;/Author&gt;&lt;Year&gt;1991&lt;/Year&gt;&lt;RecNum&gt;1173&lt;/RecNum&gt;&lt;DisplayText&gt;&lt;style face="superscript"&gt;42, 43&lt;/style&gt;&lt;/DisplayText&gt;&lt;record&gt;&lt;rec-number&gt;1173&lt;/rec-number&gt;&lt;foreign-keys&gt;&lt;key app="EN" db-id="wprxwptv75dtdree0t5x2ptmvadptw5fr2ww" timestamp="1320920056"&gt;1173&lt;/key&gt;&lt;/foreign-keys&gt;&lt;ref-type name="Report"&gt;27&lt;/ref-type&gt;&lt;contributors&gt;&lt;authors&gt;&lt;author&gt;Cohen-Mansfield, J.&lt;/author&gt;&lt;/authors&gt;&lt;/contributors&gt;&lt;titles&gt;&lt;title&gt;Instruction manual for the Cohen-Mansfield agitation inventory (CMAI)&lt;/title&gt;&lt;/titles&gt;&lt;dates&gt;&lt;year&gt;1991&lt;/year&gt;&lt;/dates&gt;&lt;pub-location&gt;Maryland&lt;/pub-location&gt;&lt;publisher&gt;The Research Institute of the Hebrew Home of Greater Washington&lt;/publisher&gt;&lt;urls&gt;&lt;/urls&gt;&lt;/record&gt;&lt;/Cite&gt;&lt;Cite&gt;&lt;Author&gt;Cohen-Mansfield&lt;/Author&gt;&lt;Year&gt;1989&lt;/Year&gt;&lt;RecNum&gt;1112&lt;/RecNum&gt;&lt;record&gt;&lt;rec-number&gt;1112&lt;/rec-number&gt;&lt;foreign-keys&gt;&lt;key app="EN" db-id="wprxwptv75dtdree0t5x2ptmvadptw5fr2ww" timestamp="1300367013"&gt;1112&lt;/key&gt;&lt;/foreign-keys&gt;&lt;ref-type name="Journal Article"&gt;17&lt;/ref-type&gt;&lt;contributors&gt;&lt;authors&gt;&lt;author&gt;Cohen-Mansfield, J.&lt;/author&gt;&lt;author&gt;Marx, M.S.&lt;/author&gt;&lt;author&gt;Rosenthal, A.S.&lt;/author&gt;&lt;/authors&gt;&lt;/contributors&gt;&lt;titles&gt;&lt;title&gt;A description of agitation in a nursing home&lt;/title&gt;&lt;secondary-title&gt;The Journal of Gerontology&lt;/secondary-title&gt;&lt;/titles&gt;&lt;pages&gt;M77-M84&lt;/pages&gt;&lt;volume&gt;44&lt;/volume&gt;&lt;number&gt;3&lt;/number&gt;&lt;dates&gt;&lt;year&gt;1989&lt;/year&gt;&lt;/dates&gt;&lt;urls&gt;&lt;/urls&gt;&lt;/record&gt;&lt;/Cite&gt;&lt;/EndNote&gt;</w:instrText>
      </w:r>
      <w:r w:rsidRPr="00563AD3">
        <w:fldChar w:fldCharType="separate"/>
      </w:r>
      <w:r w:rsidR="007301D7" w:rsidRPr="007301D7">
        <w:rPr>
          <w:noProof/>
          <w:vertAlign w:val="superscript"/>
        </w:rPr>
        <w:t>42, 43</w:t>
      </w:r>
      <w:r w:rsidRPr="00563AD3">
        <w:fldChar w:fldCharType="end"/>
      </w:r>
    </w:p>
    <w:p w14:paraId="642439B5" w14:textId="6C67006D" w:rsidR="00EF595E" w:rsidRPr="00563AD3" w:rsidRDefault="00EF595E" w:rsidP="009B13F3">
      <w:r w:rsidRPr="00563AD3">
        <w:t>The CMAI measures 29 agitated or aggressive behaviours</w:t>
      </w:r>
      <w:r w:rsidR="006D7D65">
        <w:t>.</w:t>
      </w:r>
      <w:r w:rsidRPr="00563AD3">
        <w:t xml:space="preserve"> </w:t>
      </w:r>
      <w:r w:rsidRPr="00563AD3">
        <w:fldChar w:fldCharType="begin"/>
      </w:r>
      <w:r w:rsidR="00A126E7">
        <w:instrText xml:space="preserve"> ADDIN EN.CITE &lt;EndNote&gt;&lt;Cite&gt;&lt;Author&gt;Cohen-Mansfield&lt;/Author&gt;&lt;Year&gt;1986&lt;/Year&gt;&lt;RecNum&gt;1223&lt;/RecNum&gt;&lt;DisplayText&gt;&lt;style face="superscript"&gt;110&lt;/style&gt;&lt;/DisplayText&gt;&lt;record&gt;&lt;rec-number&gt;1223&lt;/rec-number&gt;&lt;foreign-keys&gt;&lt;key app="EN" db-id="wprxwptv75dtdree0t5x2ptmvadptw5fr2ww" timestamp="1322570739"&gt;1223&lt;/key&gt;&lt;/foreign-keys&gt;&lt;ref-type name="Journal Article"&gt;17&lt;/ref-type&gt;&lt;contributors&gt;&lt;authors&gt;&lt;author&gt;Cohen-Mansfield, J.&lt;/author&gt;&lt;author&gt;Billig, N.&lt;/author&gt;&lt;/authors&gt;&lt;/contributors&gt;&lt;titles&gt;&lt;title&gt;Agitated behaviours in the elderly. I. A conceptual review.&lt;/title&gt;&lt;secondary-title&gt;Journal of the American Geriatrics Society&lt;/secondary-title&gt;&lt;/titles&gt;&lt;periodical&gt;&lt;full-title&gt;Journal of the American Geriatrics Society&lt;/full-title&gt;&lt;abbr-1&gt;J. Am. Geriatr. Soc.&lt;/abbr-1&gt;&lt;abbr-2&gt;J Am Geriatr Soc&lt;/abbr-2&gt;&lt;/periodical&gt;&lt;pages&gt;711-21&lt;/pages&gt;&lt;volume&gt;34&lt;/volume&gt;&lt;number&gt;10&lt;/number&gt;&lt;dates&gt;&lt;year&gt;1986&lt;/year&gt;&lt;/dates&gt;&lt;urls&gt;&lt;/urls&gt;&lt;/record&gt;&lt;/Cite&gt;&lt;/EndNote&gt;</w:instrText>
      </w:r>
      <w:r w:rsidRPr="00563AD3">
        <w:fldChar w:fldCharType="separate"/>
      </w:r>
      <w:r w:rsidR="00A126E7" w:rsidRPr="00A126E7">
        <w:rPr>
          <w:noProof/>
          <w:vertAlign w:val="superscript"/>
        </w:rPr>
        <w:t>110</w:t>
      </w:r>
      <w:r w:rsidRPr="00563AD3">
        <w:fldChar w:fldCharType="end"/>
      </w:r>
      <w:r w:rsidRPr="00563AD3">
        <w:t xml:space="preserve"> The frequency of each symptom is rated on a seven-point scale (1-7) ranging from “never” to “several times an hour”, based upon</w:t>
      </w:r>
      <w:r w:rsidR="000E7F40" w:rsidRPr="00563AD3">
        <w:t xml:space="preserve"> observations over the </w:t>
      </w:r>
      <w:r w:rsidR="00655603" w:rsidRPr="00563AD3">
        <w:t>previous</w:t>
      </w:r>
      <w:r w:rsidR="000E7F40" w:rsidRPr="00563AD3">
        <w:t xml:space="preserve"> two-</w:t>
      </w:r>
      <w:r w:rsidRPr="00563AD3">
        <w:t>week</w:t>
      </w:r>
      <w:r w:rsidR="00655603" w:rsidRPr="00563AD3">
        <w:t>s</w:t>
      </w:r>
      <w:r w:rsidRPr="00563AD3">
        <w:t>. A total score is o</w:t>
      </w:r>
      <w:r w:rsidR="00655603" w:rsidRPr="00563AD3">
        <w:t>btained by summing the</w:t>
      </w:r>
      <w:r w:rsidRPr="00563AD3">
        <w:t xml:space="preserve"> individual frequency scores, yielding a total score </w:t>
      </w:r>
      <w:r w:rsidR="00655603" w:rsidRPr="00563AD3">
        <w:t>ranging</w:t>
      </w:r>
      <w:r w:rsidRPr="00563AD3">
        <w:t xml:space="preserve"> from 29 to 203.</w:t>
      </w:r>
      <w:r w:rsidR="000753D2" w:rsidRPr="00563AD3">
        <w:t xml:space="preserve"> </w:t>
      </w:r>
      <w:r w:rsidRPr="00563AD3">
        <w:t xml:space="preserve">The CMAI has good psychometric properties </w:t>
      </w:r>
      <w:r w:rsidRPr="00563AD3">
        <w:fldChar w:fldCharType="begin"/>
      </w:r>
      <w:r w:rsidR="00A126E7">
        <w:instrText xml:space="preserve"> ADDIN EN.CITE &lt;EndNote&gt;&lt;Cite&gt;&lt;Author&gt;Shah&lt;/Author&gt;&lt;Year&gt;1998&lt;/Year&gt;&lt;RecNum&gt;1176&lt;/RecNum&gt;&lt;DisplayText&gt;&lt;style face="superscript"&gt;111&lt;/style&gt;&lt;/DisplayText&gt;&lt;record&gt;&lt;rec-number&gt;1176&lt;/rec-number&gt;&lt;foreign-keys&gt;&lt;key app="EN" db-id="wprxwptv75dtdree0t5x2ptmvadptw5fr2ww" timestamp="1320920536"&gt;1176&lt;/key&gt;&lt;/foreign-keys&gt;&lt;ref-type name="Journal Article"&gt;17&lt;/ref-type&gt;&lt;contributors&gt;&lt;authors&gt;&lt;author&gt;Shah, A.&lt;/author&gt;&lt;author&gt;Evans, H.&lt;/author&gt;&lt;author&gt;Parkash, N.&lt;/author&gt;&lt;/authors&gt;&lt;/contributors&gt;&lt;titles&gt;&lt;title&gt;Evaluation of three aggression/agitation behaviour rating scales for use on an acute admission and assessment psychogeriatric ward&lt;/title&gt;&lt;secondary-title&gt;International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Psychiatry&lt;/abbr-2&gt;&lt;/periodical&gt;&lt;pages&gt;415-420&lt;/pages&gt;&lt;volume&gt;13&lt;/volume&gt;&lt;dates&gt;&lt;year&gt;1998&lt;/year&gt;&lt;/dates&gt;&lt;urls&gt;&lt;/urls&gt;&lt;/record&gt;&lt;/Cite&gt;&lt;/EndNote&gt;</w:instrText>
      </w:r>
      <w:r w:rsidRPr="00563AD3">
        <w:fldChar w:fldCharType="separate"/>
      </w:r>
      <w:r w:rsidR="00A126E7" w:rsidRPr="00A126E7">
        <w:rPr>
          <w:noProof/>
          <w:vertAlign w:val="superscript"/>
        </w:rPr>
        <w:t>111</w:t>
      </w:r>
      <w:r w:rsidRPr="00563AD3">
        <w:fldChar w:fldCharType="end"/>
      </w:r>
      <w:r w:rsidRPr="00563AD3">
        <w:t xml:space="preserve"> when used in a care home setting. </w:t>
      </w:r>
      <w:r w:rsidR="00FA7AC1" w:rsidRPr="00563AD3">
        <w:t>D</w:t>
      </w:r>
      <w:r w:rsidR="00655603" w:rsidRPr="00563AD3">
        <w:t xml:space="preserve">ata </w:t>
      </w:r>
      <w:r w:rsidR="00FA7AC1" w:rsidRPr="00563AD3">
        <w:t>from previous similar studies provides</w:t>
      </w:r>
      <w:r w:rsidRPr="00563AD3">
        <w:t xml:space="preserve"> expected points change </w:t>
      </w:r>
      <w:r w:rsidR="00FA7AC1" w:rsidRPr="00563AD3">
        <w:t xml:space="preserve">to inform the </w:t>
      </w:r>
      <w:r w:rsidRPr="00563AD3">
        <w:t xml:space="preserve">sample size calculation. The CMAI </w:t>
      </w:r>
      <w:r w:rsidR="005E26ED" w:rsidRPr="00563AD3">
        <w:t>was</w:t>
      </w:r>
      <w:r w:rsidRPr="00563AD3">
        <w:t xml:space="preserve"> completed </w:t>
      </w:r>
      <w:r w:rsidR="006B4B6B" w:rsidRPr="00563AD3">
        <w:t xml:space="preserve">via </w:t>
      </w:r>
      <w:r w:rsidR="00555A29" w:rsidRPr="00563AD3">
        <w:t>r</w:t>
      </w:r>
      <w:r w:rsidR="006B4B6B" w:rsidRPr="00563AD3">
        <w:t xml:space="preserve">esearcher interview with the </w:t>
      </w:r>
      <w:r w:rsidR="00555A29" w:rsidRPr="00563AD3">
        <w:t>s</w:t>
      </w:r>
      <w:r w:rsidR="006B4B6B" w:rsidRPr="00563AD3">
        <w:t xml:space="preserve">taff </w:t>
      </w:r>
      <w:r w:rsidR="00555A29" w:rsidRPr="00563AD3">
        <w:t>proxy i</w:t>
      </w:r>
      <w:r w:rsidR="006B4B6B" w:rsidRPr="00563AD3">
        <w:t xml:space="preserve">nformant, </w:t>
      </w:r>
      <w:r w:rsidRPr="00563AD3">
        <w:t>in accordance with the CMAI Manual</w:t>
      </w:r>
      <w:r w:rsidR="006D7D65">
        <w:t>.</w:t>
      </w:r>
      <w:r w:rsidRPr="00563AD3">
        <w:t xml:space="preserve"> </w:t>
      </w:r>
      <w:r w:rsidRPr="00563AD3">
        <w:fldChar w:fldCharType="begin"/>
      </w:r>
      <w:r w:rsidR="007301D7">
        <w:instrText xml:space="preserve"> ADDIN EN.CITE &lt;EndNote&gt;&lt;Cite&gt;&lt;Author&gt;Cohen-Mansfield&lt;/Author&gt;&lt;Year&gt;1991&lt;/Year&gt;&lt;RecNum&gt;1173&lt;/RecNum&gt;&lt;DisplayText&gt;&lt;style face="superscript"&gt;43&lt;/style&gt;&lt;/DisplayText&gt;&lt;record&gt;&lt;rec-number&gt;1173&lt;/rec-number&gt;&lt;foreign-keys&gt;&lt;key app="EN" db-id="wprxwptv75dtdree0t5x2ptmvadptw5fr2ww" timestamp="1320920056"&gt;1173&lt;/key&gt;&lt;/foreign-keys&gt;&lt;ref-type name="Report"&gt;27&lt;/ref-type&gt;&lt;contributors&gt;&lt;authors&gt;&lt;author&gt;Cohen-Mansfield, J.&lt;/author&gt;&lt;/authors&gt;&lt;/contributors&gt;&lt;titles&gt;&lt;title&gt;Instruction manual for the Cohen-Mansfield agitation inventory (CMAI)&lt;/title&gt;&lt;/titles&gt;&lt;dates&gt;&lt;year&gt;1991&lt;/year&gt;&lt;/dates&gt;&lt;pub-location&gt;Maryland&lt;/pub-location&gt;&lt;publisher&gt;The Research Institute of the Hebrew Home of Greater Washington&lt;/publisher&gt;&lt;urls&gt;&lt;/urls&gt;&lt;/record&gt;&lt;/Cite&gt;&lt;/EndNote&gt;</w:instrText>
      </w:r>
      <w:r w:rsidRPr="00563AD3">
        <w:fldChar w:fldCharType="separate"/>
      </w:r>
      <w:r w:rsidR="007301D7" w:rsidRPr="007301D7">
        <w:rPr>
          <w:noProof/>
          <w:vertAlign w:val="superscript"/>
        </w:rPr>
        <w:t>43</w:t>
      </w:r>
      <w:r w:rsidRPr="00563AD3">
        <w:fldChar w:fldCharType="end"/>
      </w:r>
    </w:p>
    <w:p w14:paraId="7196F846" w14:textId="1AF88C70" w:rsidR="006B4B6B" w:rsidRDefault="006B4B6B" w:rsidP="009B13F3">
      <w:r w:rsidRPr="00563AD3">
        <w:t>Since blinding staff to intervention allocation was not possible</w:t>
      </w:r>
      <w:r w:rsidR="00682360" w:rsidRPr="00563AD3">
        <w:t>,</w:t>
      </w:r>
      <w:r w:rsidRPr="00563AD3">
        <w:t xml:space="preserve"> two independent observational measures of agitation were collected to assess potential bias in staff proxy informant completion of the CMAI</w:t>
      </w:r>
      <w:r w:rsidR="00F36340" w:rsidRPr="00563AD3">
        <w:t xml:space="preserve"> (see </w:t>
      </w:r>
      <w:r w:rsidR="006D7D65" w:rsidRPr="006D7D65">
        <w:rPr>
          <w:i/>
        </w:rPr>
        <w:t xml:space="preserve">section </w:t>
      </w:r>
      <w:r w:rsidR="00F36340" w:rsidRPr="006D7D65">
        <w:rPr>
          <w:i/>
        </w:rPr>
        <w:t>2.6.</w:t>
      </w:r>
      <w:r w:rsidR="00655603" w:rsidRPr="006D7D65">
        <w:rPr>
          <w:i/>
        </w:rPr>
        <w:t>4</w:t>
      </w:r>
      <w:r w:rsidR="00F36340" w:rsidRPr="006D7D65">
        <w:rPr>
          <w:i/>
        </w:rPr>
        <w:t>.2</w:t>
      </w:r>
      <w:r w:rsidR="00F36340" w:rsidRPr="00563AD3">
        <w:t>)</w:t>
      </w:r>
      <w:r w:rsidRPr="00563AD3">
        <w:t xml:space="preserve">. </w:t>
      </w:r>
      <w:r w:rsidR="006F4287" w:rsidRPr="00563AD3">
        <w:t xml:space="preserve">Observation scales have been shown to have good convergence with informant measures of agitation </w:t>
      </w:r>
      <w:r w:rsidR="006F4287" w:rsidRPr="00563AD3">
        <w:fldChar w:fldCharType="begin"/>
      </w:r>
      <w:r w:rsidR="00A126E7">
        <w:instrText xml:space="preserve"> ADDIN EN.CITE &lt;EndNote&gt;&lt;Cite&gt;&lt;Author&gt;Cohen-Mansfield&lt;/Author&gt;&lt;Year&gt;2004&lt;/Year&gt;&lt;RecNum&gt;1210&lt;/RecNum&gt;&lt;DisplayText&gt;&lt;style face="superscript"&gt;112&lt;/style&gt;&lt;/DisplayText&gt;&lt;record&gt;&lt;rec-number&gt;1210&lt;/rec-number&gt;&lt;foreign-keys&gt;&lt;key app="EN" db-id="wprxwptv75dtdree0t5x2ptmvadptw5fr2ww" timestamp="1322066384"&gt;1210&lt;/key&gt;&lt;/foreign-keys&gt;&lt;ref-type name="Journal Article"&gt;17&lt;/ref-type&gt;&lt;contributors&gt;&lt;authors&gt;&lt;author&gt;Cohen-Mansfield, J.&lt;/author&gt;&lt;author&gt;Libin, A.&lt;/author&gt;&lt;/authors&gt;&lt;/contributors&gt;&lt;titles&gt;&lt;title&gt;Assessment of agitation in elderly patients with dementia: correlations between informant rating and direct observation&lt;/title&gt;&lt;secondary-title&gt;International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Psychiatry&lt;/abbr-2&gt;&lt;/periodical&gt;&lt;pages&gt;881-91&lt;/pages&gt;&lt;volume&gt;19&lt;/volume&gt;&lt;dates&gt;&lt;year&gt;2004&lt;/year&gt;&lt;/dates&gt;&lt;urls&gt;&lt;/urls&gt;&lt;/record&gt;&lt;/Cite&gt;&lt;/EndNote&gt;</w:instrText>
      </w:r>
      <w:r w:rsidR="006F4287" w:rsidRPr="00563AD3">
        <w:fldChar w:fldCharType="separate"/>
      </w:r>
      <w:r w:rsidR="00A126E7" w:rsidRPr="00A126E7">
        <w:rPr>
          <w:noProof/>
          <w:vertAlign w:val="superscript"/>
        </w:rPr>
        <w:t>112</w:t>
      </w:r>
      <w:r w:rsidR="006F4287" w:rsidRPr="00563AD3">
        <w:fldChar w:fldCharType="end"/>
      </w:r>
      <w:r w:rsidR="006F4287" w:rsidRPr="00563AD3">
        <w:t xml:space="preserve">. </w:t>
      </w:r>
      <w:r w:rsidRPr="00563AD3">
        <w:t xml:space="preserve">Observations were completed by an independent </w:t>
      </w:r>
      <w:r w:rsidR="00655603" w:rsidRPr="00563AD3">
        <w:t xml:space="preserve">blinded </w:t>
      </w:r>
      <w:r w:rsidRPr="00563AD3">
        <w:t xml:space="preserve">researcher who was not involved in </w:t>
      </w:r>
      <w:r w:rsidR="00F74B72" w:rsidRPr="00563AD3">
        <w:t xml:space="preserve">any other data </w:t>
      </w:r>
      <w:r w:rsidRPr="00563AD3">
        <w:t>collection in the care home.</w:t>
      </w:r>
    </w:p>
    <w:p w14:paraId="154654B3" w14:textId="77777777" w:rsidR="006D7D65" w:rsidRPr="00563AD3" w:rsidRDefault="006D7D65" w:rsidP="009B13F3"/>
    <w:p w14:paraId="193D1360" w14:textId="2622C23F" w:rsidR="009536B2" w:rsidRPr="00563AD3" w:rsidRDefault="000E7F40" w:rsidP="009B13F3">
      <w:pPr>
        <w:pStyle w:val="Heading4"/>
      </w:pPr>
      <w:r w:rsidRPr="00563AD3">
        <w:t>2.6.</w:t>
      </w:r>
      <w:r w:rsidR="005D5A41" w:rsidRPr="00563AD3">
        <w:t>4</w:t>
      </w:r>
      <w:r w:rsidRPr="00563AD3">
        <w:t>.2</w:t>
      </w:r>
      <w:r w:rsidR="009536B2" w:rsidRPr="00563AD3">
        <w:t xml:space="preserve"> Agitation measures</w:t>
      </w:r>
      <w:r w:rsidR="00597D22" w:rsidRPr="00563AD3">
        <w:t xml:space="preserve"> (supportive outcomes)</w:t>
      </w:r>
      <w:r w:rsidRPr="00563AD3">
        <w:t xml:space="preserve"> </w:t>
      </w:r>
    </w:p>
    <w:p w14:paraId="5CC6C97E" w14:textId="462A71C1" w:rsidR="00EF595E" w:rsidRPr="00563AD3" w:rsidRDefault="000E7F40" w:rsidP="009B13F3">
      <w:pPr>
        <w:pStyle w:val="Heading5"/>
      </w:pPr>
      <w:r w:rsidRPr="00563AD3">
        <w:t>Cohen Mansfield Agitation Inventory</w:t>
      </w:r>
      <w:r w:rsidR="005D5A41" w:rsidRPr="00563AD3">
        <w:t xml:space="preserve"> - Observation</w:t>
      </w:r>
      <w:r w:rsidRPr="00563AD3">
        <w:t xml:space="preserve"> (CMAI</w:t>
      </w:r>
      <w:r w:rsidR="005D5A41" w:rsidRPr="00563AD3">
        <w:t>-O</w:t>
      </w:r>
      <w:r w:rsidRPr="00563AD3">
        <w:t>)</w:t>
      </w:r>
      <w:r w:rsidR="00411708">
        <w:t xml:space="preserve"> </w:t>
      </w:r>
      <w:r w:rsidR="00411708">
        <w:fldChar w:fldCharType="begin"/>
      </w:r>
      <w:r w:rsidR="00411708">
        <w:instrText xml:space="preserve"> ADDIN EN.CITE &lt;EndNote&gt;&lt;Cite&gt;&lt;Author&gt;Griffiths&lt;/Author&gt;&lt;Year&gt;in press&lt;/Year&gt;&lt;RecNum&gt;1918&lt;/RecNum&gt;&lt;DisplayText&gt;&lt;style face="superscript"&gt;113&lt;/style&gt;&lt;/DisplayText&gt;&lt;record&gt;&lt;rec-number&gt;1918&lt;/rec-number&gt;&lt;foreign-keys&gt;&lt;key app="EN" db-id="wprxwptv75dtdree0t5x2ptmvadptw5fr2ww" timestamp="1537768773"&gt;1918&lt;/key&gt;&lt;/foreign-keys&gt;&lt;ref-type name="Journal Article"&gt;17&lt;/ref-type&gt;&lt;contributors&gt;&lt;authors&gt;&lt;author&gt;Griffiths, A.W.&lt;/author&gt;&lt;author&gt;Albertyn, C.P.&lt;/author&gt;&lt;author&gt;Burnley, N.L.&lt;/author&gt;&lt;author&gt;Creese, B.&lt;/author&gt;&lt;author&gt;Walwyn, R.&lt;/author&gt;&lt;author&gt;Holloway, I.&lt;/author&gt;&lt;author&gt;Safarikova, J.&lt;/author&gt;&lt;author&gt;Surr, C.A.&lt;/author&gt;&lt;/authors&gt;&lt;/contributors&gt;&lt;titles&gt;&lt;title&gt;Development and validation of an observational version of the Cohen-Mansfield Agitation Inventory&lt;/title&gt;&lt;secondary-title&gt;International Psychogeriatrics&lt;/secondary-title&gt;&lt;/titles&gt;&lt;periodical&gt;&lt;full-title&gt;International Psychogeriatrics&lt;/full-title&gt;&lt;abbr-1&gt;Int. Psychogeriatr.&lt;/abbr-1&gt;&lt;abbr-2&gt;Int Psychogeriatr&lt;/abbr-2&gt;&lt;/periodical&gt;&lt;dates&gt;&lt;year&gt;in press&lt;/year&gt;&lt;/dates&gt;&lt;urls&gt;&lt;/urls&gt;&lt;/record&gt;&lt;/Cite&gt;&lt;/EndNote&gt;</w:instrText>
      </w:r>
      <w:r w:rsidR="00411708">
        <w:fldChar w:fldCharType="separate"/>
      </w:r>
      <w:r w:rsidR="00411708" w:rsidRPr="00411708">
        <w:rPr>
          <w:noProof/>
          <w:vertAlign w:val="superscript"/>
        </w:rPr>
        <w:t>113</w:t>
      </w:r>
      <w:r w:rsidR="00411708">
        <w:fldChar w:fldCharType="end"/>
      </w:r>
      <w:r w:rsidRPr="00563AD3">
        <w:t xml:space="preserve"> </w:t>
      </w:r>
    </w:p>
    <w:p w14:paraId="512CC076" w14:textId="70143835" w:rsidR="00EF595E" w:rsidRPr="00563AD3" w:rsidRDefault="00EF595E" w:rsidP="009B13F3">
      <w:r w:rsidRPr="00563AD3">
        <w:t>The CMAI</w:t>
      </w:r>
      <w:r w:rsidR="005D5A41" w:rsidRPr="00563AD3">
        <w:t>-O</w:t>
      </w:r>
      <w:r w:rsidRPr="00563AD3">
        <w:t xml:space="preserve"> </w:t>
      </w:r>
      <w:r w:rsidR="000E7F40" w:rsidRPr="00563AD3">
        <w:t>was developed by the trial team,</w:t>
      </w:r>
      <w:r w:rsidR="00EC2AA2">
        <w:t xml:space="preserve"> </w:t>
      </w:r>
      <w:r w:rsidR="000E7F40" w:rsidRPr="00563AD3">
        <w:t>with the permission of the CMAI’s author</w:t>
      </w:r>
      <w:r w:rsidR="006B4B6B" w:rsidRPr="00563AD3">
        <w:t>,</w:t>
      </w:r>
      <w:r w:rsidR="000E7F40" w:rsidRPr="00563AD3">
        <w:t xml:space="preserve"> to provide an observational</w:t>
      </w:r>
      <w:r w:rsidR="005E26ED" w:rsidRPr="00563AD3">
        <w:t xml:space="preserve"> measure of agitation</w:t>
      </w:r>
      <w:r w:rsidR="006B4B6B" w:rsidRPr="00563AD3">
        <w:t>.</w:t>
      </w:r>
      <w:r w:rsidR="000E7F40" w:rsidRPr="00563AD3">
        <w:t xml:space="preserve"> </w:t>
      </w:r>
      <w:r w:rsidR="006B4B6B" w:rsidRPr="00563AD3">
        <w:t xml:space="preserve">It </w:t>
      </w:r>
      <w:r w:rsidRPr="00563AD3">
        <w:t>is rated on a four-point scale (1-4) ranging from “never” to “several times an hour”, based upon observations over one day. The CMAI</w:t>
      </w:r>
      <w:r w:rsidR="00655603" w:rsidRPr="00563AD3">
        <w:t>-O</w:t>
      </w:r>
      <w:r w:rsidR="006B4B6B" w:rsidRPr="00563AD3">
        <w:t xml:space="preserve"> </w:t>
      </w:r>
      <w:r w:rsidRPr="00563AD3">
        <w:t xml:space="preserve">data collection </w:t>
      </w:r>
      <w:r w:rsidR="006B4B6B" w:rsidRPr="00563AD3">
        <w:t>was completed on</w:t>
      </w:r>
      <w:r w:rsidRPr="00563AD3">
        <w:t xml:space="preserve"> </w:t>
      </w:r>
      <w:r w:rsidR="006B4B6B" w:rsidRPr="00563AD3">
        <w:t>participating</w:t>
      </w:r>
      <w:r w:rsidRPr="00563AD3">
        <w:t xml:space="preserve"> </w:t>
      </w:r>
      <w:r w:rsidR="00655603" w:rsidRPr="00563AD3">
        <w:t xml:space="preserve">trial </w:t>
      </w:r>
      <w:r w:rsidRPr="00563AD3">
        <w:t>residents in communal areas between</w:t>
      </w:r>
      <w:r w:rsidR="00AC0211" w:rsidRPr="00563AD3">
        <w:t xml:space="preserve"> approximately</w:t>
      </w:r>
      <w:r w:rsidR="00655603" w:rsidRPr="00563AD3">
        <w:t xml:space="preserve"> 10:00-</w:t>
      </w:r>
      <w:r w:rsidRPr="00563AD3">
        <w:t xml:space="preserve"> </w:t>
      </w:r>
      <w:r w:rsidR="00F74B72" w:rsidRPr="00563AD3">
        <w:t>12</w:t>
      </w:r>
      <w:r w:rsidR="00655603" w:rsidRPr="00563AD3">
        <w:t>:00 and 14:00-</w:t>
      </w:r>
      <w:r w:rsidRPr="00563AD3">
        <w:t>17:00</w:t>
      </w:r>
      <w:r w:rsidR="00655603" w:rsidRPr="00563AD3">
        <w:t xml:space="preserve"> (dependent on meal times </w:t>
      </w:r>
      <w:r w:rsidR="00AC0211" w:rsidRPr="00563AD3">
        <w:t>in each care home)</w:t>
      </w:r>
      <w:r w:rsidRPr="00563AD3">
        <w:t>.</w:t>
      </w:r>
      <w:r w:rsidR="00A126E7">
        <w:t xml:space="preserve"> A copy is available from the authors on request.</w:t>
      </w:r>
      <w:r w:rsidRPr="00563AD3">
        <w:t xml:space="preserve"> </w:t>
      </w:r>
    </w:p>
    <w:p w14:paraId="3B256A48" w14:textId="0559FED2" w:rsidR="005E26ED" w:rsidRPr="00563AD3" w:rsidRDefault="005E26ED" w:rsidP="009B13F3">
      <w:pPr>
        <w:pStyle w:val="Heading5"/>
        <w:rPr>
          <w:rStyle w:val="Heading5Char"/>
          <w:i/>
        </w:rPr>
      </w:pPr>
      <w:r w:rsidRPr="00563AD3">
        <w:rPr>
          <w:rStyle w:val="Heading5Char"/>
          <w:i/>
        </w:rPr>
        <w:t>Pittsburgh Agitation Scale</w:t>
      </w:r>
      <w:r w:rsidR="006B4B6B" w:rsidRPr="00563AD3">
        <w:rPr>
          <w:rStyle w:val="Heading5Char"/>
          <w:i/>
        </w:rPr>
        <w:t xml:space="preserve"> (PAS)</w:t>
      </w:r>
      <w:r w:rsidRPr="00563AD3">
        <w:rPr>
          <w:rStyle w:val="Heading5Char"/>
          <w:i/>
        </w:rPr>
        <w:t xml:space="preserve"> </w:t>
      </w:r>
      <w:r w:rsidRPr="00563AD3">
        <w:rPr>
          <w:rStyle w:val="Heading5Char"/>
          <w:i/>
        </w:rPr>
        <w:fldChar w:fldCharType="begin">
          <w:fldData xml:space="preserve">PEVuZE5vdGU+PENpdGU+PEF1dGhvcj5Sb3NlbjwvQXV0aG9yPjxZZWFyPjE5OTQ8L1llYXI+PFJl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==
</w:fldData>
        </w:fldChar>
      </w:r>
      <w:r w:rsidR="00411708">
        <w:rPr>
          <w:rStyle w:val="Heading5Char"/>
          <w:i/>
        </w:rPr>
        <w:instrText xml:space="preserve"> ADDIN EN.CITE </w:instrText>
      </w:r>
      <w:r w:rsidR="00411708">
        <w:rPr>
          <w:rStyle w:val="Heading5Char"/>
          <w:i/>
        </w:rPr>
        <w:fldChar w:fldCharType="begin">
          <w:fldData xml:space="preserve">PEVuZE5vdGU+PENpdGU+PEF1dGhvcj5Sb3NlbjwvQXV0aG9yPjxZZWFyPjE5OTQ8L1llYXI+PFJl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==
</w:fldData>
        </w:fldChar>
      </w:r>
      <w:r w:rsidR="00411708">
        <w:rPr>
          <w:rStyle w:val="Heading5Char"/>
          <w:i/>
        </w:rPr>
        <w:instrText xml:space="preserve"> ADDIN EN.CITE.DATA </w:instrText>
      </w:r>
      <w:r w:rsidR="00411708">
        <w:rPr>
          <w:rStyle w:val="Heading5Char"/>
          <w:i/>
        </w:rPr>
      </w:r>
      <w:r w:rsidR="00411708">
        <w:rPr>
          <w:rStyle w:val="Heading5Char"/>
          <w:i/>
        </w:rPr>
        <w:fldChar w:fldCharType="end"/>
      </w:r>
      <w:r w:rsidRPr="00563AD3">
        <w:rPr>
          <w:rStyle w:val="Heading5Char"/>
          <w:i/>
        </w:rPr>
      </w:r>
      <w:r w:rsidRPr="00563AD3">
        <w:rPr>
          <w:rStyle w:val="Heading5Char"/>
          <w:i/>
        </w:rPr>
        <w:fldChar w:fldCharType="separate"/>
      </w:r>
      <w:r w:rsidR="00411708" w:rsidRPr="00411708">
        <w:rPr>
          <w:rStyle w:val="Heading5Char"/>
          <w:i/>
          <w:noProof/>
          <w:vertAlign w:val="superscript"/>
        </w:rPr>
        <w:t>114</w:t>
      </w:r>
      <w:r w:rsidRPr="00563AD3">
        <w:rPr>
          <w:rStyle w:val="Heading5Char"/>
          <w:i/>
        </w:rPr>
        <w:fldChar w:fldCharType="end"/>
      </w:r>
    </w:p>
    <w:p w14:paraId="256B1942" w14:textId="4A7E92D4" w:rsidR="005E26ED" w:rsidRDefault="006B4B6B" w:rsidP="009B13F3">
      <w:r w:rsidRPr="00563AD3">
        <w:t>The PAS</w:t>
      </w:r>
      <w:r w:rsidR="005E26ED" w:rsidRPr="00563AD3">
        <w:t xml:space="preserve"> is an </w:t>
      </w:r>
      <w:r w:rsidR="00217F46" w:rsidRPr="00563AD3">
        <w:t xml:space="preserve">established </w:t>
      </w:r>
      <w:r w:rsidR="005E26ED" w:rsidRPr="00563AD3">
        <w:t>observational rating of agitation. The scale has good reported reliability and validity</w:t>
      </w:r>
      <w:r w:rsidR="006D7D65">
        <w:t>.</w:t>
      </w:r>
      <w:r w:rsidR="005E26ED" w:rsidRPr="00563AD3">
        <w:t xml:space="preserve"> </w:t>
      </w:r>
      <w:r w:rsidR="005E26ED" w:rsidRPr="00563AD3">
        <w:fldChar w:fldCharType="begin"/>
      </w:r>
      <w:r w:rsidR="00411708">
        <w:instrText xml:space="preserve"> ADDIN EN.CITE &lt;EndNote&gt;&lt;Cite&gt;&lt;Author&gt;Rosen&lt;/Author&gt;&lt;Year&gt;1994&lt;/Year&gt;&lt;RecNum&gt;1209&lt;/RecNum&gt;&lt;DisplayText&gt;&lt;style face="superscript"&gt;114&lt;/style&gt;&lt;/DisplayText&gt;&lt;record&gt;&lt;rec-number&gt;1209&lt;/rec-number&gt;&lt;foreign-keys&gt;&lt;key app="EN" db-id="wprxwptv75dtdree0t5x2ptmvadptw5fr2ww" timestamp="1322059780"&gt;1209&lt;/key&gt;&lt;/foreign-keys&gt;&lt;ref-type name="Journal Article"&gt;17&lt;/ref-type&gt;&lt;contributors&gt;&lt;authors&gt;&lt;author&gt;Rosen, J.&lt;/author&gt;&lt;author&gt;Burgio, L.D.&lt;/author&gt;&lt;author&gt;Kollar, M.&lt;/author&gt;&lt;author&gt;Cain, M.&lt;/author&gt;&lt;author&gt;Allison, M.&lt;/author&gt;&lt;author&gt;Fogleman, M.&lt;/author&gt;&lt;author&gt;Michael, M.&lt;/author&gt;&lt;author&gt;Zubenko, G.S.&lt;/author&gt;&lt;/authors&gt;&lt;/contributors&gt;&lt;titles&gt;&lt;title&gt;The Pittsburgh Agitation Scale: A user-friendly instrument for rating agitation in dementia patients&lt;/title&gt;&lt;secondary-title&gt;American Journal of Geriatric Psychiatry&lt;/secondary-title&gt;&lt;/titles&gt;&lt;periodical&gt;&lt;full-title&gt;American Journal of Geriatric Psychiatry&lt;/full-title&gt;&lt;abbr-1&gt;Am. J. Geriatr. Psychiatry&lt;/abbr-1&gt;&lt;abbr-2&gt;Am J Geriatr Psychiatry&lt;/abbr-2&gt;&lt;/periodical&gt;&lt;pages&gt;52-59&lt;/pages&gt;&lt;volume&gt;2&lt;/volume&gt;&lt;number&gt;1&lt;/number&gt;&lt;dates&gt;&lt;year&gt;1994&lt;/year&gt;&lt;/dates&gt;&lt;urls&gt;&lt;/urls&gt;&lt;/record&gt;&lt;/Cite&gt;&lt;/EndNote&gt;</w:instrText>
      </w:r>
      <w:r w:rsidR="005E26ED" w:rsidRPr="00563AD3">
        <w:fldChar w:fldCharType="separate"/>
      </w:r>
      <w:r w:rsidR="00411708" w:rsidRPr="00411708">
        <w:rPr>
          <w:noProof/>
          <w:vertAlign w:val="superscript"/>
        </w:rPr>
        <w:t>114</w:t>
      </w:r>
      <w:r w:rsidR="005E26ED" w:rsidRPr="00563AD3">
        <w:fldChar w:fldCharType="end"/>
      </w:r>
      <w:r w:rsidR="005E26ED" w:rsidRPr="00563AD3">
        <w:t xml:space="preserve">  Observations are condu</w:t>
      </w:r>
      <w:r w:rsidR="006F4287" w:rsidRPr="00563AD3">
        <w:t>cted for between 1 and 8 hours. PAS data w</w:t>
      </w:r>
      <w:r w:rsidR="00AD53DD" w:rsidRPr="00563AD3">
        <w:t>ere</w:t>
      </w:r>
      <w:r w:rsidR="006F4287" w:rsidRPr="00563AD3">
        <w:t xml:space="preserve"> collected on participating </w:t>
      </w:r>
      <w:r w:rsidR="00AD53DD" w:rsidRPr="00563AD3">
        <w:t>tr</w:t>
      </w:r>
      <w:r w:rsidR="00217F46" w:rsidRPr="00563AD3">
        <w:t>i</w:t>
      </w:r>
      <w:r w:rsidR="00AD53DD" w:rsidRPr="00563AD3">
        <w:t>a</w:t>
      </w:r>
      <w:r w:rsidR="00217F46" w:rsidRPr="00563AD3">
        <w:t xml:space="preserve">l </w:t>
      </w:r>
      <w:r w:rsidR="006F4287" w:rsidRPr="00563AD3">
        <w:t>resident</w:t>
      </w:r>
      <w:r w:rsidR="00217F46" w:rsidRPr="00563AD3">
        <w:t>s</w:t>
      </w:r>
      <w:r w:rsidR="006F4287" w:rsidRPr="00563AD3">
        <w:t xml:space="preserve"> </w:t>
      </w:r>
      <w:r w:rsidR="005E26ED" w:rsidRPr="00563AD3">
        <w:t>in communal areas between 10:00</w:t>
      </w:r>
      <w:r w:rsidR="00217F46" w:rsidRPr="00563AD3">
        <w:t>-12:00 and 14:00-</w:t>
      </w:r>
      <w:r w:rsidR="005E26ED" w:rsidRPr="00563AD3">
        <w:t xml:space="preserve">17:00. </w:t>
      </w:r>
    </w:p>
    <w:p w14:paraId="7DF9E61C" w14:textId="77777777" w:rsidR="006D7D65" w:rsidRPr="00563AD3" w:rsidRDefault="006D7D65" w:rsidP="009B13F3"/>
    <w:p w14:paraId="18270C9E" w14:textId="688DB213" w:rsidR="00EF595E" w:rsidRPr="00563AD3" w:rsidRDefault="00EF595E" w:rsidP="009B13F3">
      <w:pPr>
        <w:pStyle w:val="Heading5"/>
        <w:rPr>
          <w:rStyle w:val="Heading5Char"/>
        </w:rPr>
      </w:pPr>
      <w:r w:rsidRPr="00563AD3">
        <w:t xml:space="preserve">Neuropsychiatric Inventory </w:t>
      </w:r>
      <w:r w:rsidR="00217F46" w:rsidRPr="00563AD3">
        <w:t xml:space="preserve">Nursing Home </w:t>
      </w:r>
      <w:r w:rsidRPr="00563AD3">
        <w:t>(NPI-NH)</w:t>
      </w:r>
      <w:r w:rsidRPr="00563AD3">
        <w:rPr>
          <w:rStyle w:val="Heading5Char"/>
        </w:rPr>
        <w:t xml:space="preserve"> </w:t>
      </w:r>
      <w:r w:rsidRPr="00563AD3">
        <w:rPr>
          <w:rStyle w:val="Heading5Char"/>
        </w:rPr>
        <w:fldChar w:fldCharType="begin"/>
      </w:r>
      <w:r w:rsidR="00411708">
        <w:rPr>
          <w:rStyle w:val="Heading5Char"/>
        </w:rPr>
        <w:instrText xml:space="preserve"> ADDIN EN.CITE &lt;EndNote&gt;&lt;Cite&gt;&lt;Author&gt;Cummings&lt;/Author&gt;&lt;Year&gt;1994&lt;/Year&gt;&lt;RecNum&gt;1184&lt;/RecNum&gt;&lt;DisplayText&gt;&lt;style face="superscript"&gt;115&lt;/style&gt;&lt;/DisplayText&gt;&lt;record&gt;&lt;rec-number&gt;1184&lt;/rec-number&gt;&lt;foreign-keys&gt;&lt;key app="EN" db-id="wprxwptv75dtdree0t5x2ptmvadptw5fr2ww" timestamp="1320923608"&gt;1184&lt;/key&gt;&lt;/foreign-keys&gt;&lt;ref-type name="Journal Article"&gt;17&lt;/ref-type&gt;&lt;contributors&gt;&lt;authors&gt;&lt;author&gt;Cummings, J.L.&lt;/author&gt;&lt;author&gt;Mega, M.&lt;/author&gt;&lt;author&gt;Gray, K.&lt;/author&gt;&lt;author&gt;Rosenberg-Thompson, S.&lt;/author&gt;&lt;author&gt;Carusi, D.A.&lt;/author&gt;&lt;author&gt;Gombein, J.&lt;/author&gt;&lt;/authors&gt;&lt;/contributors&gt;&lt;titles&gt;&lt;title&gt;The Neuropsychiatric Inventory. Comprehensive assessment of psychopathology in dementia.&lt;/title&gt;&lt;secondary-title&gt;Neurology&lt;/secondary-title&gt;&lt;/titles&gt;&lt;periodical&gt;&lt;full-title&gt;Neurology&lt;/full-title&gt;&lt;abbr-1&gt;Neurology&lt;/abbr-1&gt;&lt;abbr-2&gt;Neurology&lt;/abbr-2&gt;&lt;/periodical&gt;&lt;pages&gt;2308&lt;/pages&gt;&lt;volume&gt;44&lt;/volume&gt;&lt;number&gt;12&lt;/number&gt;&lt;dates&gt;&lt;year&gt;1994&lt;/year&gt;&lt;/dates&gt;&lt;urls&gt;&lt;/urls&gt;&lt;/record&gt;&lt;/Cite&gt;&lt;/EndNote&gt;</w:instrText>
      </w:r>
      <w:r w:rsidRPr="00563AD3">
        <w:rPr>
          <w:rStyle w:val="Heading5Char"/>
        </w:rPr>
        <w:fldChar w:fldCharType="separate"/>
      </w:r>
      <w:r w:rsidR="00411708" w:rsidRPr="00411708">
        <w:rPr>
          <w:rStyle w:val="Heading5Char"/>
          <w:noProof/>
          <w:vertAlign w:val="superscript"/>
        </w:rPr>
        <w:t>115</w:t>
      </w:r>
      <w:r w:rsidRPr="00563AD3">
        <w:rPr>
          <w:rStyle w:val="Heading5Char"/>
        </w:rPr>
        <w:fldChar w:fldCharType="end"/>
      </w:r>
    </w:p>
    <w:p w14:paraId="2D1BC737" w14:textId="1F16E60F" w:rsidR="00EF595E" w:rsidRPr="00563AD3" w:rsidRDefault="00EF595E" w:rsidP="009B13F3">
      <w:r w:rsidRPr="00563AD3">
        <w:t>The NPI-NH records a broader range of BSC including delusions, hallucinations, agitation/aggression, depression/dysphoria, anxiety, elation/euphoria, apathy/indifference, disinhibition, irritability/lability, aberrant motor behaviour, sleep and night-time behaviour disorders and appetite/eating disorders. T</w:t>
      </w:r>
      <w:r w:rsidR="00217F46" w:rsidRPr="00563AD3">
        <w:t xml:space="preserve">he NPI-NH is a 12-item version </w:t>
      </w:r>
      <w:r w:rsidRPr="00563AD3">
        <w:t>designed for use with nursing home/care home populations</w:t>
      </w:r>
      <w:r w:rsidR="000F655E" w:rsidRPr="00563AD3">
        <w:t xml:space="preserve">, </w:t>
      </w:r>
      <w:r w:rsidR="00217F46" w:rsidRPr="00563AD3">
        <w:t>and</w:t>
      </w:r>
      <w:r w:rsidR="000F655E" w:rsidRPr="00563AD3">
        <w:t xml:space="preserve"> has good reported reliability and validity</w:t>
      </w:r>
      <w:r w:rsidR="006D7D65">
        <w:t>.</w:t>
      </w:r>
      <w:r w:rsidRPr="00563AD3">
        <w:t xml:space="preserve"> </w:t>
      </w:r>
      <w:r w:rsidRPr="00563AD3">
        <w:fldChar w:fldCharType="begin"/>
      </w:r>
      <w:r w:rsidR="00411708">
        <w:instrText xml:space="preserve"> ADDIN EN.CITE &lt;EndNote&gt;&lt;Cite&gt;&lt;Author&gt;Cummings&lt;/Author&gt;&lt;Year&gt;1994&lt;/Year&gt;&lt;RecNum&gt;1184&lt;/RecNum&gt;&lt;DisplayText&gt;&lt;style face="superscript"&gt;115&lt;/style&gt;&lt;/DisplayText&gt;&lt;record&gt;&lt;rec-number&gt;1184&lt;/rec-number&gt;&lt;foreign-keys&gt;&lt;key app="EN" db-id="wprxwptv75dtdree0t5x2ptmvadptw5fr2ww" timestamp="1320923608"&gt;1184&lt;/key&gt;&lt;/foreign-keys&gt;&lt;ref-type name="Journal Article"&gt;17&lt;/ref-type&gt;&lt;contributors&gt;&lt;authors&gt;&lt;author&gt;Cummings, J.L.&lt;/author&gt;&lt;author&gt;Mega, M.&lt;/author&gt;&lt;author&gt;Gray, K.&lt;/author&gt;&lt;author&gt;Rosenberg-Thompson, S.&lt;/author&gt;&lt;author&gt;Carusi, D.A.&lt;/author&gt;&lt;author&gt;Gombein, J.&lt;/author&gt;&lt;/authors&gt;&lt;/contributors&gt;&lt;titles&gt;&lt;title&gt;The Neuropsychiatric Inventory. Comprehensive assessment of psychopathology in dementia.&lt;/title&gt;&lt;secondary-title&gt;Neurology&lt;/secondary-title&gt;&lt;/titles&gt;&lt;periodical&gt;&lt;full-title&gt;Neurology&lt;/full-title&gt;&lt;abbr-1&gt;Neurology&lt;/abbr-1&gt;&lt;abbr-2&gt;Neurology&lt;/abbr-2&gt;&lt;/periodical&gt;&lt;pages&gt;2308&lt;/pages&gt;&lt;volume&gt;44&lt;/volume&gt;&lt;number&gt;12&lt;/number&gt;&lt;dates&gt;&lt;year&gt;1994&lt;/year&gt;&lt;/dates&gt;&lt;urls&gt;&lt;/urls&gt;&lt;/record&gt;&lt;/Cite&gt;&lt;/EndNote&gt;</w:instrText>
      </w:r>
      <w:r w:rsidRPr="00563AD3">
        <w:fldChar w:fldCharType="separate"/>
      </w:r>
      <w:r w:rsidR="00411708" w:rsidRPr="00411708">
        <w:rPr>
          <w:noProof/>
          <w:vertAlign w:val="superscript"/>
        </w:rPr>
        <w:t>115</w:t>
      </w:r>
      <w:r w:rsidRPr="00563AD3">
        <w:fldChar w:fldCharType="end"/>
      </w:r>
    </w:p>
    <w:p w14:paraId="1DB65D34" w14:textId="77777777" w:rsidR="00EF595E" w:rsidRPr="00563AD3" w:rsidRDefault="00EF595E" w:rsidP="009B13F3">
      <w:pPr>
        <w:rPr>
          <w:b/>
        </w:rPr>
      </w:pPr>
    </w:p>
    <w:p w14:paraId="01E881B8" w14:textId="43183ED2" w:rsidR="009536B2" w:rsidRPr="00563AD3" w:rsidRDefault="00E8735F" w:rsidP="009B13F3">
      <w:pPr>
        <w:pStyle w:val="Heading4"/>
      </w:pPr>
      <w:r w:rsidRPr="00563AD3">
        <w:t>2.6.4.</w:t>
      </w:r>
      <w:r w:rsidR="009536B2" w:rsidRPr="00563AD3">
        <w:t>3 Quality of life</w:t>
      </w:r>
      <w:r w:rsidRPr="00563AD3">
        <w:t xml:space="preserve"> </w:t>
      </w:r>
    </w:p>
    <w:p w14:paraId="78224DA8" w14:textId="0B5A982F" w:rsidR="00EF595E" w:rsidRPr="00563AD3" w:rsidRDefault="00E8735F" w:rsidP="009B13F3">
      <w:pPr>
        <w:pStyle w:val="Heading5"/>
      </w:pPr>
      <w:r w:rsidRPr="00563AD3">
        <w:t>DEMQo</w:t>
      </w:r>
      <w:r w:rsidR="00EF595E" w:rsidRPr="00563AD3">
        <w:t xml:space="preserve">L-Proxy </w:t>
      </w:r>
      <w:r w:rsidR="00EF595E" w:rsidRPr="00563AD3">
        <w:fldChar w:fldCharType="begin"/>
      </w:r>
      <w:r w:rsidR="00411708">
        <w:instrText xml:space="preserve"> ADDIN EN.CITE &lt;EndNote&gt;&lt;Cite&gt;&lt;Author&gt;Smith&lt;/Author&gt;&lt;Year&gt;2007&lt;/Year&gt;&lt;RecNum&gt;1151&lt;/RecNum&gt;&lt;DisplayText&gt;&lt;style face="superscript"&gt;116&lt;/style&gt;&lt;/DisplayText&gt;&lt;record&gt;&lt;rec-number&gt;1151&lt;/rec-number&gt;&lt;foreign-keys&gt;&lt;key app="EN" db-id="wprxwptv75dtdree0t5x2ptmvadptw5fr2ww" timestamp="1320700711"&gt;1151&lt;/key&gt;&lt;/foreign-keys&gt;&lt;ref-type name="Journal Article"&gt;17&lt;/ref-type&gt;&lt;contributors&gt;&lt;authors&gt;&lt;author&gt;Smith, S.C. &lt;/author&gt;&lt;author&gt;Lamping, D.L. &lt;/author&gt;&lt;author&gt;Banerjee, S. &lt;/author&gt;&lt;author&gt;Harwood, R.H. &lt;/author&gt;&lt;author&gt;Foley, B.&lt;/author&gt;&lt;author&gt;Smith, P. &lt;/author&gt;&lt;author&gt;Cook, J.C. &lt;/author&gt;&lt;author&gt;Murray, J.S. &lt;/author&gt;&lt;author&gt;Prince, M. &lt;/author&gt;&lt;author&gt;Levin, E.&lt;/author&gt;&lt;author&gt;Mann, A. &lt;/author&gt;&lt;author&gt;Knapp, M. &lt;/author&gt;&lt;/authors&gt;&lt;/contributors&gt;&lt;titles&gt;&lt;title&gt;Development of a new measure of health-related quality of life for people with dementia: DEMQOL.&lt;/title&gt;&lt;secondary-title&gt;Psychological Medicine&lt;/secondary-title&gt;&lt;/titles&gt;&lt;periodical&gt;&lt;full-title&gt;Psychological Medicine&lt;/full-title&gt;&lt;abbr-1&gt;Psychol. Med.&lt;/abbr-1&gt;&lt;abbr-2&gt;Psychol Med&lt;/abbr-2&gt;&lt;/periodical&gt;&lt;pages&gt;737-46&lt;/pages&gt;&lt;volume&gt;37&lt;/volume&gt;&lt;number&gt;5&lt;/number&gt;&lt;dates&gt;&lt;year&gt;2007&lt;/year&gt;&lt;/dates&gt;&lt;urls&gt;&lt;/urls&gt;&lt;/record&gt;&lt;/Cite&gt;&lt;/EndNote&gt;</w:instrText>
      </w:r>
      <w:r w:rsidR="00EF595E" w:rsidRPr="00563AD3">
        <w:fldChar w:fldCharType="separate"/>
      </w:r>
      <w:r w:rsidR="00411708" w:rsidRPr="00411708">
        <w:rPr>
          <w:noProof/>
          <w:vertAlign w:val="superscript"/>
        </w:rPr>
        <w:t>116</w:t>
      </w:r>
      <w:r w:rsidR="00EF595E" w:rsidRPr="00563AD3">
        <w:fldChar w:fldCharType="end"/>
      </w:r>
    </w:p>
    <w:p w14:paraId="570A27F5" w14:textId="7A52ECDF" w:rsidR="00EF595E" w:rsidRPr="00563AD3" w:rsidRDefault="00EF595E" w:rsidP="009B13F3">
      <w:r w:rsidRPr="00563AD3">
        <w:t xml:space="preserve">The </w:t>
      </w:r>
      <w:r w:rsidR="00E8735F" w:rsidRPr="00563AD3">
        <w:t xml:space="preserve">DEMQoL-proxy </w:t>
      </w:r>
      <w:r w:rsidRPr="00563AD3">
        <w:t xml:space="preserve">is a quality of life </w:t>
      </w:r>
      <w:r w:rsidR="00217F46" w:rsidRPr="00563AD3">
        <w:t xml:space="preserve">(QoL) </w:t>
      </w:r>
      <w:r w:rsidRPr="00563AD3">
        <w:t xml:space="preserve">questionnaire designed specifically for use in </w:t>
      </w:r>
      <w:r w:rsidR="00A749D8" w:rsidRPr="00563AD3">
        <w:t xml:space="preserve">people with </w:t>
      </w:r>
      <w:r w:rsidRPr="00563AD3">
        <w:t>dementia</w:t>
      </w:r>
      <w:r w:rsidR="00E8735F" w:rsidRPr="00563AD3">
        <w:t xml:space="preserve">. It </w:t>
      </w:r>
      <w:r w:rsidRPr="00563AD3">
        <w:t>has 32</w:t>
      </w:r>
      <w:r w:rsidR="00217F46" w:rsidRPr="00563AD3">
        <w:t xml:space="preserve"> </w:t>
      </w:r>
      <w:r w:rsidRPr="00563AD3">
        <w:t>items</w:t>
      </w:r>
      <w:r w:rsidR="00217F46" w:rsidRPr="00563AD3">
        <w:t>,</w:t>
      </w:r>
      <w:r w:rsidRPr="00563AD3">
        <w:t xml:space="preserve"> covering </w:t>
      </w:r>
      <w:r w:rsidR="00E8735F" w:rsidRPr="00563AD3">
        <w:t>mood, behavioural symptoms, cognition and memory, physical and social functioning and general health</w:t>
      </w:r>
      <w:r w:rsidR="00217F46" w:rsidRPr="00563AD3">
        <w:t>. It is</w:t>
      </w:r>
      <w:r w:rsidR="00E8735F" w:rsidRPr="00563AD3">
        <w:t xml:space="preserve"> administered by interview with </w:t>
      </w:r>
      <w:r w:rsidRPr="00563AD3">
        <w:t xml:space="preserve">a carer </w:t>
      </w:r>
      <w:r w:rsidR="00E8735F" w:rsidRPr="00563AD3">
        <w:t xml:space="preserve">(formal or family) </w:t>
      </w:r>
      <w:r w:rsidRPr="00563AD3">
        <w:t>of the person with dementia</w:t>
      </w:r>
      <w:r w:rsidR="00E8735F" w:rsidRPr="00563AD3">
        <w:t>. The DEMQo</w:t>
      </w:r>
      <w:r w:rsidRPr="00563AD3">
        <w:t>L</w:t>
      </w:r>
      <w:r w:rsidR="00E8735F" w:rsidRPr="00563AD3">
        <w:t>-proxy</w:t>
      </w:r>
      <w:r w:rsidRPr="00563AD3">
        <w:t xml:space="preserve"> </w:t>
      </w:r>
      <w:r w:rsidR="00E8735F" w:rsidRPr="00563AD3">
        <w:t>has</w:t>
      </w:r>
      <w:r w:rsidRPr="00563AD3">
        <w:t xml:space="preserve"> acceptable psychometric properties for measuring </w:t>
      </w:r>
      <w:r w:rsidR="00217F46" w:rsidRPr="00563AD3">
        <w:t>QoL</w:t>
      </w:r>
      <w:r w:rsidRPr="00563AD3">
        <w:t xml:space="preserve"> in dementia </w:t>
      </w:r>
      <w:r w:rsidRPr="00563AD3">
        <w:fldChar w:fldCharType="begin"/>
      </w:r>
      <w:r w:rsidR="00411708">
        <w:instrText xml:space="preserve"> ADDIN EN.CITE &lt;EndNote&gt;&lt;Cite&gt;&lt;Author&gt;Smith&lt;/Author&gt;&lt;Year&gt;2005&lt;/Year&gt;&lt;RecNum&gt;1199&lt;/RecNum&gt;&lt;DisplayText&gt;&lt;style face="superscript"&gt;117&lt;/style&gt;&lt;/DisplayText&gt;&lt;record&gt;&lt;rec-number&gt;1199&lt;/rec-number&gt;&lt;foreign-keys&gt;&lt;key app="EN" db-id="wprxwptv75dtdree0t5x2ptmvadptw5fr2ww" timestamp="1321001808"&gt;1199&lt;/key&gt;&lt;/foreign-keys&gt;&lt;ref-type name="Journal Article"&gt;17&lt;/ref-type&gt;&lt;contributors&gt;&lt;authors&gt;&lt;author&gt;Smith, S.C.&lt;/author&gt;&lt;author&gt;Lamping, D.L.&lt;/author&gt;&lt;author&gt;Banerjee, S.&lt;/author&gt;&lt;author&gt;Harwood, R.H.&lt;/author&gt;&lt;author&gt;Foley, B.&lt;/author&gt;&lt;author&gt;Smith, P.&lt;/author&gt;&lt;author&gt;Cook, J.C.&lt;/author&gt;&lt;author&gt;Murray, J.&lt;/author&gt;&lt;author&gt;Prince, M.&lt;/author&gt;&lt;author&gt;Levin, E.&lt;/author&gt;&lt;author&gt;Mann, A.&lt;/author&gt;&lt;author&gt;Knapp, M.&lt;/author&gt;&lt;/authors&gt;&lt;/contributors&gt;&lt;titles&gt;&lt;title&gt;Measurement of health-related quality of life for people with dementia: development of a new instrument (DEMQOL) and an evaluation of current methodology&lt;/title&gt;&lt;secondary-title&gt;Health Technology Assessment&lt;/secondary-title&gt;&lt;/titles&gt;&lt;periodical&gt;&lt;full-title&gt;Health Technology Assessment&lt;/full-title&gt;&lt;abbr-1&gt;Health Technol. Assess.&lt;/abbr-1&gt;&lt;abbr-2&gt;Health Technol Assess&lt;/abbr-2&gt;&lt;/periodical&gt;&lt;pages&gt;1-93&lt;/pages&gt;&lt;volume&gt;9&lt;/volume&gt;&lt;number&gt;10&lt;/number&gt;&lt;dates&gt;&lt;year&gt;2005&lt;/year&gt;&lt;/dates&gt;&lt;urls&gt;&lt;/urls&gt;&lt;/record&gt;&lt;/Cite&gt;&lt;/EndNote&gt;</w:instrText>
      </w:r>
      <w:r w:rsidRPr="00563AD3">
        <w:fldChar w:fldCharType="separate"/>
      </w:r>
      <w:r w:rsidR="00411708" w:rsidRPr="00411708">
        <w:rPr>
          <w:noProof/>
          <w:vertAlign w:val="superscript"/>
        </w:rPr>
        <w:t>117</w:t>
      </w:r>
      <w:r w:rsidRPr="00563AD3">
        <w:fldChar w:fldCharType="end"/>
      </w:r>
      <w:r w:rsidR="00E8735F" w:rsidRPr="00563AD3">
        <w:t xml:space="preserve"> and</w:t>
      </w:r>
      <w:r w:rsidR="00555A29" w:rsidRPr="00563AD3">
        <w:t xml:space="preserve"> is</w:t>
      </w:r>
      <w:r w:rsidR="00E8735F" w:rsidRPr="00563AD3">
        <w:t xml:space="preserve"> </w:t>
      </w:r>
      <w:r w:rsidR="005A1CC8" w:rsidRPr="00563AD3">
        <w:t>modelled</w:t>
      </w:r>
      <w:r w:rsidRPr="00563AD3">
        <w:t xml:space="preserve"> to enab</w:t>
      </w:r>
      <w:r w:rsidR="00AD53DD" w:rsidRPr="00563AD3">
        <w:t>le the derivation of preference-</w:t>
      </w:r>
      <w:r w:rsidRPr="00563AD3">
        <w:t>based indices (utility values)</w:t>
      </w:r>
      <w:r w:rsidR="00A749D8" w:rsidRPr="00563AD3">
        <w:t xml:space="preserve">, the latter of which were </w:t>
      </w:r>
      <w:r w:rsidRPr="00563AD3">
        <w:t xml:space="preserve">employed in </w:t>
      </w:r>
      <w:r w:rsidR="00A749D8" w:rsidRPr="00563AD3">
        <w:t xml:space="preserve">the </w:t>
      </w:r>
      <w:r w:rsidRPr="00563AD3">
        <w:t>secondary cost-utility analyses</w:t>
      </w:r>
      <w:r w:rsidR="006D7D65">
        <w:t>.</w:t>
      </w:r>
      <w:r w:rsidRPr="00563AD3">
        <w:t xml:space="preserve"> </w:t>
      </w:r>
      <w:r w:rsidR="00BC1DCD">
        <w:fldChar w:fldCharType="begin"/>
      </w:r>
      <w:r w:rsidR="00411708">
        <w:instrText xml:space="preserve"> ADDIN EN.CITE &lt;EndNote&gt;&lt;Cite&gt;&lt;Author&gt;Rowen&lt;/Author&gt;&lt;Year&gt;2012&lt;/Year&gt;&lt;RecNum&gt;1777&lt;/RecNum&gt;&lt;DisplayText&gt;&lt;style face="superscript"&gt;118&lt;/style&gt;&lt;/DisplayText&gt;&lt;record&gt;&lt;rec-number&gt;1777&lt;/rec-number&gt;&lt;foreign-keys&gt;&lt;key app="EN" db-id="wprxwptv75dtdree0t5x2ptmvadptw5fr2ww" timestamp="1513610131"&gt;1777&lt;/key&gt;&lt;/foreign-keys&gt;&lt;ref-type name="Journal Article"&gt;17&lt;/ref-type&gt;&lt;contributors&gt;&lt;authors&gt;&lt;author&gt;Rowen, D.&lt;/author&gt;&lt;author&gt;Mulhern, B.&lt;/author&gt;&lt;author&gt;Banerjee, S.&lt;/author&gt;&lt;author&gt;Van Hout, B.&lt;/author&gt;&lt;author&gt;Young, T.A.&lt;/author&gt;&lt;author&gt;Knapp, M.&lt;/author&gt;&lt;author&gt;Smith, S.C.&lt;/author&gt;&lt;author&gt;Lamping, D.L.&lt;/author&gt;&lt;author&gt;Brazier, J.E.&lt;/author&gt;&lt;/authors&gt;&lt;/contributors&gt;&lt;titles&gt;&lt;title&gt;Estimating Preference-Based Single Index Measures for Dementia Using DEMQOL and DEMQOL-Proxy&lt;/title&gt;&lt;secondary-title&gt;Value in Health&lt;/secondary-title&gt;&lt;/titles&gt;&lt;periodical&gt;&lt;full-title&gt;Value in Health&lt;/full-title&gt;&lt;abbr-1&gt;Value Health&lt;/abbr-1&gt;&lt;abbr-2&gt;Value Health&lt;/abbr-2&gt;&lt;/periodical&gt;&lt;pages&gt;346-356&lt;/pages&gt;&lt;volume&gt;15&lt;/volume&gt;&lt;number&gt;2&lt;/number&gt;&lt;dates&gt;&lt;year&gt;2012&lt;/year&gt;&lt;/dates&gt;&lt;urls&gt;&lt;/urls&gt;&lt;/record&gt;&lt;/Cite&gt;&lt;/EndNote&gt;</w:instrText>
      </w:r>
      <w:r w:rsidR="00BC1DCD">
        <w:fldChar w:fldCharType="separate"/>
      </w:r>
      <w:r w:rsidR="00411708" w:rsidRPr="00411708">
        <w:rPr>
          <w:noProof/>
          <w:vertAlign w:val="superscript"/>
        </w:rPr>
        <w:t>118</w:t>
      </w:r>
      <w:r w:rsidR="00BC1DCD">
        <w:fldChar w:fldCharType="end"/>
      </w:r>
    </w:p>
    <w:p w14:paraId="46242136" w14:textId="2802F6A6" w:rsidR="00EF595E" w:rsidRPr="00563AD3" w:rsidRDefault="00EF595E" w:rsidP="009B13F3">
      <w:pPr>
        <w:pStyle w:val="Heading5"/>
      </w:pPr>
      <w:r w:rsidRPr="00563AD3">
        <w:t>EQ-5D-5L/EQ-5D-5L Proxy</w:t>
      </w:r>
      <w:r w:rsidRPr="00563AD3">
        <w:rPr>
          <w:rStyle w:val="Heading5Char"/>
        </w:rPr>
        <w:t xml:space="preserve"> </w:t>
      </w:r>
      <w:r w:rsidRPr="00563AD3">
        <w:rPr>
          <w:rStyle w:val="Heading5Char"/>
        </w:rPr>
        <w:fldChar w:fldCharType="begin"/>
      </w:r>
      <w:r w:rsidR="00411708">
        <w:rPr>
          <w:rStyle w:val="Heading5Char"/>
        </w:rPr>
        <w:instrText xml:space="preserve"> ADDIN EN.CITE &lt;EndNote&gt;&lt;Cite&gt;&lt;Author&gt;EuroQol Group&lt;/Author&gt;&lt;Year&gt;1990&lt;/Year&gt;&lt;RecNum&gt;1181&lt;/RecNum&gt;&lt;DisplayText&gt;&lt;style face="superscript"&gt;119&lt;/style&gt;&lt;/DisplayText&gt;&lt;record&gt;&lt;rec-number&gt;1181&lt;/rec-number&gt;&lt;foreign-keys&gt;&lt;key app="EN" db-id="wprxwptv75dtdree0t5x2ptmvadptw5fr2ww" timestamp="1320923107"&gt;1181&lt;/key&gt;&lt;/foreign-keys&gt;&lt;ref-type name="Journal Article"&gt;17&lt;/ref-type&gt;&lt;contributors&gt;&lt;authors&gt;&lt;author&gt;EuroQol Group,&lt;/author&gt;&lt;/authors&gt;&lt;/contributors&gt;&lt;titles&gt;&lt;title&gt;EuroQol - a new facility for the measurement of health-related quality of life.&lt;/title&gt;&lt;secondary-title&gt;Health Policy&lt;/secondary-title&gt;&lt;/titles&gt;&lt;periodical&gt;&lt;full-title&gt;Health Policy&lt;/full-title&gt;&lt;abbr-1&gt;Health Policy&lt;/abbr-1&gt;&lt;abbr-2&gt;Health Policy&lt;/abbr-2&gt;&lt;/periodical&gt;&lt;pages&gt;199-208&lt;/pages&gt;&lt;volume&gt;16&lt;/volume&gt;&lt;number&gt;3&lt;/number&gt;&lt;dates&gt;&lt;year&gt;1990&lt;/year&gt;&lt;/dates&gt;&lt;urls&gt;&lt;/urls&gt;&lt;/record&gt;&lt;/Cite&gt;&lt;/EndNote&gt;</w:instrText>
      </w:r>
      <w:r w:rsidRPr="00563AD3">
        <w:rPr>
          <w:rStyle w:val="Heading5Char"/>
        </w:rPr>
        <w:fldChar w:fldCharType="separate"/>
      </w:r>
      <w:r w:rsidR="00411708" w:rsidRPr="00411708">
        <w:rPr>
          <w:rStyle w:val="Heading5Char"/>
          <w:noProof/>
          <w:vertAlign w:val="superscript"/>
        </w:rPr>
        <w:t>119</w:t>
      </w:r>
      <w:r w:rsidRPr="00563AD3">
        <w:rPr>
          <w:rStyle w:val="Heading5Char"/>
        </w:rPr>
        <w:fldChar w:fldCharType="end"/>
      </w:r>
    </w:p>
    <w:p w14:paraId="731AE337" w14:textId="7C39E57A" w:rsidR="00EF595E" w:rsidRPr="00563AD3" w:rsidRDefault="00EF595E" w:rsidP="009B13F3">
      <w:r w:rsidRPr="00563AD3">
        <w:t>EQ-5D is an accepted standardised</w:t>
      </w:r>
      <w:r w:rsidR="003621B6" w:rsidRPr="00563AD3">
        <w:t>,</w:t>
      </w:r>
      <w:r w:rsidRPr="00563AD3">
        <w:t xml:space="preserve"> </w:t>
      </w:r>
      <w:r w:rsidR="003621B6" w:rsidRPr="00563AD3">
        <w:t xml:space="preserve">five-item </w:t>
      </w:r>
      <w:r w:rsidRPr="00563AD3">
        <w:t xml:space="preserve">measure of health outcome that provides a single index value for health status </w:t>
      </w:r>
      <w:r w:rsidRPr="00563AD3">
        <w:fldChar w:fldCharType="begin"/>
      </w:r>
      <w:r w:rsidR="00411708">
        <w:instrText xml:space="preserve"> ADDIN EN.CITE &lt;EndNote&gt;&lt;Cite&gt;&lt;Author&gt;Herdman&lt;/Author&gt;&lt;Year&gt;2011&lt;/Year&gt;&lt;RecNum&gt;1919&lt;/RecNum&gt;&lt;DisplayText&gt;&lt;style face="superscript"&gt;120&lt;/style&gt;&lt;/DisplayText&gt;&lt;record&gt;&lt;rec-number&gt;1919&lt;/rec-number&gt;&lt;foreign-keys&gt;&lt;key app="EN" db-id="wprxwptv75dtdree0t5x2ptmvadptw5fr2ww" timestamp="1537771509"&gt;1919&lt;/key&gt;&lt;/foreign-keys&gt;&lt;ref-type name="Journal Article"&gt;17&lt;/ref-type&gt;&lt;contributors&gt;&lt;authors&gt;&lt;author&gt;Herdman, M.G.C.&lt;/author&gt;&lt;author&gt;Lloyd, A.&lt;/author&gt;&lt;author&gt;Janssen, M.&lt;/author&gt;&lt;author&gt;Kind, P.&lt;/author&gt;&lt;author&gt;Parkin, D.&lt;/author&gt;&lt;author&gt;Bonsel, G.&lt;/author&gt;&lt;author&gt;Badia, X.&lt;/author&gt;&lt;/authors&gt;&lt;/contributors&gt;&lt;titles&gt;&lt;title&gt;Development and preliminary testing of the new five-level version of EQ-5D (EQ-5D-5L)&lt;/title&gt;&lt;secondary-title&gt;Qual Life Res&lt;/secondary-title&gt;&lt;/titles&gt;&lt;periodical&gt;&lt;full-title&gt;Quality of Life Research&lt;/full-title&gt;&lt;abbr-1&gt;Qual. Life Res.&lt;/abbr-1&gt;&lt;abbr-2&gt;Qual Life Res&lt;/abbr-2&gt;&lt;/periodical&gt;&lt;pages&gt;1727-36&lt;/pages&gt;&lt;volume&gt;10&lt;/volume&gt;&lt;dates&gt;&lt;year&gt;2011&lt;/year&gt;&lt;/dates&gt;&lt;urls&gt;&lt;/urls&gt;&lt;/record&gt;&lt;/Cite&gt;&lt;/EndNote&gt;</w:instrText>
      </w:r>
      <w:r w:rsidRPr="00563AD3">
        <w:fldChar w:fldCharType="separate"/>
      </w:r>
      <w:r w:rsidR="00411708" w:rsidRPr="00411708">
        <w:rPr>
          <w:noProof/>
          <w:vertAlign w:val="superscript"/>
        </w:rPr>
        <w:t>120</w:t>
      </w:r>
      <w:r w:rsidRPr="00563AD3">
        <w:fldChar w:fldCharType="end"/>
      </w:r>
      <w:r w:rsidR="003621B6" w:rsidRPr="00563AD3">
        <w:t xml:space="preserve"> </w:t>
      </w:r>
      <w:r w:rsidRPr="00563AD3">
        <w:t>covering: usual activities, self-care, mobility, pain and anxiety/depression, each with five response options (no problems, slight problems, moderate problems, severe problems and unable to do task).</w:t>
      </w:r>
      <w:r w:rsidR="003621B6" w:rsidRPr="00563AD3">
        <w:t xml:space="preserve"> </w:t>
      </w:r>
      <w:r w:rsidR="00AC0211" w:rsidRPr="00563AD3">
        <w:t>Both the</w:t>
      </w:r>
      <w:r w:rsidR="003621B6" w:rsidRPr="00563AD3">
        <w:t xml:space="preserve"> self-report and proxy version</w:t>
      </w:r>
      <w:r w:rsidR="00AC0211" w:rsidRPr="00563AD3">
        <w:t>s were used in the trial</w:t>
      </w:r>
      <w:r w:rsidR="003621B6" w:rsidRPr="00563AD3">
        <w:t>.</w:t>
      </w:r>
    </w:p>
    <w:p w14:paraId="2D0F1C24" w14:textId="73624E95" w:rsidR="00EF595E" w:rsidRPr="00563AD3" w:rsidRDefault="003621B6" w:rsidP="009B13F3">
      <w:pPr>
        <w:pStyle w:val="Heading5"/>
        <w:rPr>
          <w:rStyle w:val="Heading5Char"/>
        </w:rPr>
      </w:pPr>
      <w:r w:rsidRPr="00563AD3">
        <w:t>Quality of Life in Late Stage Dementia (</w:t>
      </w:r>
      <w:r w:rsidR="00EF595E" w:rsidRPr="00563AD3">
        <w:t>QUALID)</w:t>
      </w:r>
      <w:r w:rsidR="00EF595E" w:rsidRPr="00563AD3">
        <w:rPr>
          <w:rStyle w:val="Heading5Char"/>
        </w:rPr>
        <w:t xml:space="preserve"> </w:t>
      </w:r>
      <w:r w:rsidR="005A1CC8" w:rsidRPr="00563AD3">
        <w:rPr>
          <w:rStyle w:val="Heading5Char"/>
        </w:rPr>
        <w:fldChar w:fldCharType="begin"/>
      </w:r>
      <w:r w:rsidR="00411708">
        <w:rPr>
          <w:rStyle w:val="Heading5Char"/>
        </w:rPr>
        <w:instrText xml:space="preserve"> ADDIN EN.CITE &lt;EndNote&gt;&lt;Cite&gt;&lt;Author&gt;Weiner&lt;/Author&gt;&lt;Year&gt;2000&lt;/Year&gt;&lt;RecNum&gt;1731&lt;/RecNum&gt;&lt;DisplayText&gt;&lt;style face="superscript"&gt;121&lt;/style&gt;&lt;/DisplayText&gt;&lt;record&gt;&lt;rec-number&gt;1731&lt;/rec-number&gt;&lt;foreign-keys&gt;&lt;key app="EN" db-id="wprxwptv75dtdree0t5x2ptmvadptw5fr2ww" timestamp="1511537619"&gt;1731&lt;/key&gt;&lt;/foreign-keys&gt;&lt;ref-type name="Journal Article"&gt;17&lt;/ref-type&gt;&lt;contributors&gt;&lt;authors&gt;&lt;author&gt;Weiner, M.F.&lt;/author&gt;&lt;author&gt;Martin-Cook, K.&lt;/author&gt;&lt;author&gt;Svetlik, D.A.&lt;/author&gt;&lt;author&gt;Saine, K.&lt;/author&gt;&lt;author&gt;Foster, B.&amp;#xD;Fontaine, C.S.&lt;/author&gt;&lt;/authors&gt;&lt;/contributors&gt;&lt;titles&gt;&lt;title&gt;The Quality of Life in Late-Stage Dementia (QUALID) Scale&lt;/title&gt;&lt;secondary-title&gt;Journal of the American Medical Directors Association&lt;/secondary-title&gt;&lt;/titles&gt;&lt;periodical&gt;&lt;full-title&gt;Journal of the American Medical Directors Association&lt;/full-title&gt;&lt;abbr-1&gt;J. Am. Med. Dir. Assoc.&lt;/abbr-1&gt;&lt;abbr-2&gt;J Am Med Dir Assoc&lt;/abbr-2&gt;&lt;/periodical&gt;&lt;pages&gt;114-116&lt;/pages&gt;&lt;volume&gt;1&lt;/volume&gt;&lt;number&gt;May/June&lt;/number&gt;&lt;dates&gt;&lt;year&gt;2000&lt;/year&gt;&lt;/dates&gt;&lt;urls&gt;&lt;/urls&gt;&lt;/record&gt;&lt;/Cite&gt;&lt;/EndNote&gt;</w:instrText>
      </w:r>
      <w:r w:rsidR="005A1CC8" w:rsidRPr="00563AD3">
        <w:rPr>
          <w:rStyle w:val="Heading5Char"/>
        </w:rPr>
        <w:fldChar w:fldCharType="separate"/>
      </w:r>
      <w:r w:rsidR="00411708" w:rsidRPr="00411708">
        <w:rPr>
          <w:rStyle w:val="Heading5Char"/>
          <w:noProof/>
          <w:vertAlign w:val="superscript"/>
        </w:rPr>
        <w:t>121</w:t>
      </w:r>
      <w:r w:rsidR="005A1CC8" w:rsidRPr="00563AD3">
        <w:rPr>
          <w:rStyle w:val="Heading5Char"/>
        </w:rPr>
        <w:fldChar w:fldCharType="end"/>
      </w:r>
    </w:p>
    <w:p w14:paraId="37B74D79" w14:textId="35631854" w:rsidR="00EF595E" w:rsidRPr="00563AD3" w:rsidRDefault="00EF595E" w:rsidP="009B13F3">
      <w:r w:rsidRPr="00563AD3">
        <w:t xml:space="preserve">The QUALID is an 11-item scale that rates the presence and frequency of </w:t>
      </w:r>
      <w:r w:rsidR="0031048E" w:rsidRPr="00563AD3">
        <w:t>QoL</w:t>
      </w:r>
      <w:r w:rsidR="00A749D8" w:rsidRPr="00563AD3">
        <w:t xml:space="preserve"> indicators </w:t>
      </w:r>
      <w:r w:rsidRPr="00563AD3">
        <w:t>over the previous seven days</w:t>
      </w:r>
      <w:r w:rsidR="003621B6" w:rsidRPr="00563AD3">
        <w:t xml:space="preserve"> using proxy report</w:t>
      </w:r>
      <w:r w:rsidRPr="00563AD3">
        <w:t>. It is a reliable and valid scale for rating quality of life in people with moderate to severe dementia and has good internal consistency, test-retest reliability and inter-rater reliability</w:t>
      </w:r>
      <w:r w:rsidR="006D7D65">
        <w:t>.</w:t>
      </w:r>
      <w:r w:rsidR="00CB0ED6" w:rsidRPr="00563AD3">
        <w:t xml:space="preserve"> </w:t>
      </w:r>
      <w:r w:rsidR="00A749D8" w:rsidRPr="00563AD3">
        <w:fldChar w:fldCharType="begin"/>
      </w:r>
      <w:r w:rsidR="00411708">
        <w:instrText xml:space="preserve"> ADDIN EN.CITE &lt;EndNote&gt;&lt;Cite&gt;&lt;Author&gt;Weiner&lt;/Author&gt;&lt;Year&gt;2000&lt;/Year&gt;&lt;RecNum&gt;1731&lt;/RecNum&gt;&lt;DisplayText&gt;&lt;style face="superscript"&gt;121&lt;/style&gt;&lt;/DisplayText&gt;&lt;record&gt;&lt;rec-number&gt;1731&lt;/rec-number&gt;&lt;foreign-keys&gt;&lt;key app="EN" db-id="wprxwptv75dtdree0t5x2ptmvadptw5fr2ww" timestamp="1511537619"&gt;1731&lt;/key&gt;&lt;/foreign-keys&gt;&lt;ref-type name="Journal Article"&gt;17&lt;/ref-type&gt;&lt;contributors&gt;&lt;authors&gt;&lt;author&gt;Weiner, M.F.&lt;/author&gt;&lt;author&gt;Martin-Cook, K.&lt;/author&gt;&lt;author&gt;Svetlik, D.A.&lt;/author&gt;&lt;author&gt;Saine, K.&lt;/author&gt;&lt;author&gt;Foster, B.&amp;#xD;Fontaine, C.S.&lt;/author&gt;&lt;/authors&gt;&lt;/contributors&gt;&lt;titles&gt;&lt;title&gt;The Quality of Life in Late-Stage Dementia (QUALID) Scale&lt;/title&gt;&lt;secondary-title&gt;Journal of the American Medical Directors Association&lt;/secondary-title&gt;&lt;/titles&gt;&lt;periodical&gt;&lt;full-title&gt;Journal of the American Medical Directors Association&lt;/full-title&gt;&lt;abbr-1&gt;J. Am. Med. Dir. Assoc.&lt;/abbr-1&gt;&lt;abbr-2&gt;J Am Med Dir Assoc&lt;/abbr-2&gt;&lt;/periodical&gt;&lt;pages&gt;114-116&lt;/pages&gt;&lt;volume&gt;1&lt;/volume&gt;&lt;number&gt;May/June&lt;/number&gt;&lt;dates&gt;&lt;year&gt;2000&lt;/year&gt;&lt;/dates&gt;&lt;urls&gt;&lt;/urls&gt;&lt;/record&gt;&lt;/Cite&gt;&lt;/EndNote&gt;</w:instrText>
      </w:r>
      <w:r w:rsidR="00A749D8" w:rsidRPr="00563AD3">
        <w:fldChar w:fldCharType="separate"/>
      </w:r>
      <w:r w:rsidR="00411708" w:rsidRPr="00411708">
        <w:rPr>
          <w:noProof/>
          <w:vertAlign w:val="superscript"/>
        </w:rPr>
        <w:t>121</w:t>
      </w:r>
      <w:r w:rsidR="00A749D8" w:rsidRPr="00563AD3">
        <w:fldChar w:fldCharType="end"/>
      </w:r>
      <w:r w:rsidRPr="00563AD3">
        <w:t xml:space="preserve"> </w:t>
      </w:r>
    </w:p>
    <w:p w14:paraId="11036F5C" w14:textId="4D38E1C1" w:rsidR="00EF595E" w:rsidRPr="00563AD3" w:rsidRDefault="00EF595E" w:rsidP="009B13F3">
      <w:pPr>
        <w:pStyle w:val="Heading5"/>
        <w:rPr>
          <w:rStyle w:val="Heading5Char"/>
        </w:rPr>
      </w:pPr>
      <w:r w:rsidRPr="00563AD3">
        <w:t xml:space="preserve">QOL-AD </w:t>
      </w:r>
      <w:r w:rsidR="00F74B72" w:rsidRPr="00563AD3">
        <w:t>(</w:t>
      </w:r>
      <w:r w:rsidR="003621B6" w:rsidRPr="00563AD3">
        <w:t>care home</w:t>
      </w:r>
      <w:r w:rsidR="00F74B72" w:rsidRPr="00563AD3">
        <w:t>)</w:t>
      </w:r>
      <w:r w:rsidR="003621B6" w:rsidRPr="00563AD3">
        <w:rPr>
          <w:rStyle w:val="Heading5Char"/>
        </w:rPr>
        <w:t xml:space="preserve"> </w:t>
      </w:r>
      <w:r w:rsidR="005952D9">
        <w:rPr>
          <w:rStyle w:val="Heading5Char"/>
        </w:rPr>
        <w:fldChar w:fldCharType="begin"/>
      </w:r>
      <w:r w:rsidR="00411708">
        <w:rPr>
          <w:rStyle w:val="Heading5Char"/>
        </w:rPr>
        <w:instrText xml:space="preserve"> ADDIN EN.CITE &lt;EndNote&gt;&lt;Cite&gt;&lt;Author&gt;Logsdon&lt;/Author&gt;&lt;Year&gt;1999&lt;/Year&gt;&lt;RecNum&gt;781&lt;/RecNum&gt;&lt;DisplayText&gt;&lt;style face="superscript"&gt;122&lt;/style&gt;&lt;/DisplayText&gt;&lt;record&gt;&lt;rec-number&gt;781&lt;/rec-number&gt;&lt;foreign-keys&gt;&lt;key app="EN" db-id="wprxwptv75dtdree0t5x2ptmvadptw5fr2ww" timestamp="1269348633"&gt;781&lt;/key&gt;&lt;/foreign-keys&gt;&lt;ref-type name="Journal Article"&gt;17&lt;/ref-type&gt;&lt;contributors&gt;&lt;authors&gt;&lt;author&gt;Logsdon, R.G.&lt;/author&gt;&lt;author&gt;Albert, S.M.&lt;/author&gt;&lt;/authors&gt;&lt;/contributors&gt;&lt;titles&gt;&lt;title&gt;Assessing Quality of Life in Alzheimer&amp;apos;s Disease: Conceptual and Methodological Issues&lt;/title&gt;&lt;secondary-title&gt;Journal of Mental Health and Aging&lt;/secondary-title&gt;&lt;/titles&gt;&lt;pages&gt;3-6&lt;/pages&gt;&lt;volume&gt;5&lt;/volume&gt;&lt;number&gt;1&lt;/number&gt;&lt;dates&gt;&lt;year&gt;1999&lt;/year&gt;&lt;/dates&gt;&lt;urls&gt;&lt;/urls&gt;&lt;/record&gt;&lt;/Cite&gt;&lt;/EndNote&gt;</w:instrText>
      </w:r>
      <w:r w:rsidR="005952D9">
        <w:rPr>
          <w:rStyle w:val="Heading5Char"/>
        </w:rPr>
        <w:fldChar w:fldCharType="separate"/>
      </w:r>
      <w:r w:rsidR="00411708" w:rsidRPr="00411708">
        <w:rPr>
          <w:rStyle w:val="Heading5Char"/>
          <w:noProof/>
          <w:vertAlign w:val="superscript"/>
        </w:rPr>
        <w:t>122</w:t>
      </w:r>
      <w:r w:rsidR="005952D9">
        <w:rPr>
          <w:rStyle w:val="Heading5Char"/>
        </w:rPr>
        <w:fldChar w:fldCharType="end"/>
      </w:r>
    </w:p>
    <w:p w14:paraId="4BD3CA81" w14:textId="36CAA601" w:rsidR="00EF595E" w:rsidRPr="00563AD3" w:rsidRDefault="003621B6" w:rsidP="009B13F3">
      <w:r w:rsidRPr="00563AD3">
        <w:t xml:space="preserve">The QOL-AD </w:t>
      </w:r>
      <w:r w:rsidR="00981E16" w:rsidRPr="00563AD3">
        <w:t xml:space="preserve">is a 13-item self-report measure of quality of life with </w:t>
      </w:r>
      <w:r w:rsidRPr="00563AD3">
        <w:t>good reported internal reliability, test-retest reliability and convergent validity</w:t>
      </w:r>
      <w:r w:rsidR="006D7D65">
        <w:t>.</w:t>
      </w:r>
      <w:r w:rsidR="005A1CC8" w:rsidRPr="00563AD3">
        <w:t xml:space="preserve"> </w:t>
      </w:r>
      <w:r w:rsidR="00BC1DCD">
        <w:fldChar w:fldCharType="begin"/>
      </w:r>
      <w:r w:rsidR="00411708">
        <w:instrText xml:space="preserve"> ADDIN EN.CITE &lt;EndNote&gt;&lt;Cite&gt;&lt;Author&gt;Logsdon&lt;/Author&gt;&lt;Year&gt;1999&lt;/Year&gt;&lt;RecNum&gt;781&lt;/RecNum&gt;&lt;DisplayText&gt;&lt;style face="superscript"&gt;122&lt;/style&gt;&lt;/DisplayText&gt;&lt;record&gt;&lt;rec-number&gt;781&lt;/rec-number&gt;&lt;foreign-keys&gt;&lt;key app="EN" db-id="wprxwptv75dtdree0t5x2ptmvadptw5fr2ww" timestamp="1269348633"&gt;781&lt;/key&gt;&lt;/foreign-keys&gt;&lt;ref-type name="Journal Article"&gt;17&lt;/ref-type&gt;&lt;contributors&gt;&lt;authors&gt;&lt;author&gt;Logsdon, R.G.&lt;/author&gt;&lt;author&gt;Albert, S.M.&lt;/author&gt;&lt;/authors&gt;&lt;/contributors&gt;&lt;titles&gt;&lt;title&gt;Assessing Quality of Life in Alzheimer&amp;apos;s Disease: Conceptual and Methodological Issues&lt;/title&gt;&lt;secondary-title&gt;Journal of Mental Health and Aging&lt;/secondary-title&gt;&lt;/titles&gt;&lt;pages&gt;3-6&lt;/pages&gt;&lt;volume&gt;5&lt;/volume&gt;&lt;number&gt;1&lt;/number&gt;&lt;dates&gt;&lt;year&gt;1999&lt;/year&gt;&lt;/dates&gt;&lt;urls&gt;&lt;/urls&gt;&lt;/record&gt;&lt;/Cite&gt;&lt;/EndNote&gt;</w:instrText>
      </w:r>
      <w:r w:rsidR="00BC1DCD">
        <w:fldChar w:fldCharType="separate"/>
      </w:r>
      <w:r w:rsidR="00411708" w:rsidRPr="00411708">
        <w:rPr>
          <w:noProof/>
          <w:vertAlign w:val="superscript"/>
        </w:rPr>
        <w:t>122</w:t>
      </w:r>
      <w:r w:rsidR="00BC1DCD">
        <w:fldChar w:fldCharType="end"/>
      </w:r>
      <w:r w:rsidR="00981E16" w:rsidRPr="00563AD3">
        <w:t xml:space="preserve"> It is </w:t>
      </w:r>
      <w:r w:rsidRPr="00563AD3">
        <w:t xml:space="preserve">reported to be reliable in use </w:t>
      </w:r>
      <w:r w:rsidR="00BC1DCD">
        <w:t xml:space="preserve">with </w:t>
      </w:r>
      <w:r w:rsidR="00A749D8" w:rsidRPr="00563AD3">
        <w:t xml:space="preserve">people </w:t>
      </w:r>
      <w:r w:rsidR="00981E16" w:rsidRPr="00563AD3">
        <w:t>with</w:t>
      </w:r>
      <w:r w:rsidRPr="00563AD3">
        <w:t xml:space="preserve"> mild to </w:t>
      </w:r>
      <w:r w:rsidR="00981E16" w:rsidRPr="00563AD3">
        <w:t>severe</w:t>
      </w:r>
      <w:r w:rsidRPr="00563AD3">
        <w:t xml:space="preserve"> dementia</w:t>
      </w:r>
      <w:r w:rsidR="006D7D65">
        <w:t>.</w:t>
      </w:r>
      <w:r w:rsidRPr="00563AD3">
        <w:t xml:space="preserve"> </w:t>
      </w:r>
      <w:r w:rsidRPr="00563AD3">
        <w:fldChar w:fldCharType="begin">
          <w:fldData xml:space="preserve">PEVuZE5vdGU+PENpdGU+PEF1dGhvcj5Ib2U8L0F1dGhvcj48WWVhcj4yMDA1PC9ZZWFyPjxSZWNO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=
</w:fldData>
        </w:fldChar>
      </w:r>
      <w:r w:rsidR="00411708">
        <w:instrText xml:space="preserve"> ADDIN EN.CITE </w:instrText>
      </w:r>
      <w:r w:rsidR="00411708">
        <w:fldChar w:fldCharType="begin">
          <w:fldData xml:space="preserve">PEVuZE5vdGU+PENpdGU+PEF1dGhvcj5Ib2U8L0F1dGhvcj48WWVhcj4yMDA1PC9ZZWFyPjxSZWNO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=
</w:fldData>
        </w:fldChar>
      </w:r>
      <w:r w:rsidR="00411708">
        <w:instrText xml:space="preserve"> ADDIN EN.CITE.DATA </w:instrText>
      </w:r>
      <w:r w:rsidR="00411708">
        <w:fldChar w:fldCharType="end"/>
      </w:r>
      <w:r w:rsidRPr="00563AD3">
        <w:fldChar w:fldCharType="separate"/>
      </w:r>
      <w:r w:rsidR="00411708" w:rsidRPr="00411708">
        <w:rPr>
          <w:noProof/>
          <w:vertAlign w:val="superscript"/>
        </w:rPr>
        <w:t>123-125</w:t>
      </w:r>
      <w:r w:rsidRPr="00563AD3">
        <w:fldChar w:fldCharType="end"/>
      </w:r>
      <w:r w:rsidR="00CB0ED6" w:rsidRPr="00563AD3">
        <w:t xml:space="preserve"> </w:t>
      </w:r>
      <w:r w:rsidR="00EF595E" w:rsidRPr="00563AD3">
        <w:t>The adapted version of the QOL-AD</w:t>
      </w:r>
      <w:r w:rsidR="00DD29A4" w:rsidRPr="00563AD3">
        <w:t xml:space="preserve"> </w:t>
      </w:r>
      <w:r w:rsidR="00EF595E" w:rsidRPr="00563AD3">
        <w:fldChar w:fldCharType="begin"/>
      </w:r>
      <w:r w:rsidR="00411708">
        <w:instrText xml:space="preserve"> ADDIN EN.CITE &lt;EndNote&gt;&lt;Cite&gt;&lt;Author&gt;Edelman&lt;/Author&gt;&lt;Year&gt;2005&lt;/Year&gt;&lt;RecNum&gt;1563&lt;/RecNum&gt;&lt;DisplayText&gt;&lt;style face="superscript"&gt;126&lt;/style&gt;&lt;/DisplayText&gt;&lt;record&gt;&lt;rec-number&gt;1563&lt;/rec-number&gt;&lt;foreign-keys&gt;&lt;key app="EN" db-id="wprxwptv75dtdree0t5x2ptmvadptw5fr2ww"&gt;1563&lt;/key&gt;&lt;/foreign-keys&gt;&lt;ref-type name="Journal Article"&gt;17&lt;/ref-type&gt;&lt;contributors&gt;&lt;authors&gt;&lt;author&gt;Edelman, P.&lt;/author&gt;&lt;author&gt;Fulton, B.R.&lt;/author&gt;&lt;author&gt;Kuhn, D.&lt;/author&gt;&lt;author&gt;Chang, C-H.&lt;/author&gt;&lt;/authors&gt;&lt;/contributors&gt;&lt;titles&gt;&lt;title&gt;A comparison of three methods of measuring dementia-specific quality of life: perspectives of residents, staff and observers&lt;/title&gt;&lt;secondary-title&gt;The Gerontologist&lt;/secondary-title&gt;&lt;/titles&gt;&lt;periodical&gt;&lt;full-title&gt;The Gerontologist&lt;/full-title&gt;&lt;/periodical&gt;&lt;pages&gt;27-36&lt;/pages&gt;&lt;volume&gt;45&lt;/volume&gt;&lt;number&gt;S1&lt;/number&gt;&lt;dates&gt;&lt;year&gt;2005&lt;/year&gt;&lt;/dates&gt;&lt;urls&gt;&lt;/urls&gt;&lt;/record&gt;&lt;/Cite&gt;&lt;/EndNote&gt;</w:instrText>
      </w:r>
      <w:r w:rsidR="00EF595E" w:rsidRPr="00563AD3">
        <w:fldChar w:fldCharType="separate"/>
      </w:r>
      <w:r w:rsidR="00411708" w:rsidRPr="00411708">
        <w:rPr>
          <w:noProof/>
          <w:vertAlign w:val="superscript"/>
        </w:rPr>
        <w:t>126</w:t>
      </w:r>
      <w:r w:rsidR="00EF595E" w:rsidRPr="00563AD3">
        <w:fldChar w:fldCharType="end"/>
      </w:r>
      <w:r w:rsidR="00EF595E" w:rsidRPr="00563AD3">
        <w:t xml:space="preserve"> is a 15-item questionnaire dev</w:t>
      </w:r>
      <w:r w:rsidRPr="00563AD3">
        <w:t>eloped for use in care h</w:t>
      </w:r>
      <w:r w:rsidR="00EF595E" w:rsidRPr="00563AD3">
        <w:t xml:space="preserve">omes </w:t>
      </w:r>
      <w:r w:rsidRPr="00563AD3">
        <w:t xml:space="preserve">and </w:t>
      </w:r>
      <w:r w:rsidR="00EF595E" w:rsidRPr="00563AD3">
        <w:t xml:space="preserve">uses simple language and a four-response answer which is consistent across all questions (poor, fair, good, excellent). </w:t>
      </w:r>
      <w:r w:rsidRPr="00563AD3">
        <w:t>It includes minor changes to the standard QOL-AD scale to ensure re</w:t>
      </w:r>
      <w:r w:rsidR="0031048E" w:rsidRPr="00563AD3">
        <w:t>levance to those living in long-</w:t>
      </w:r>
      <w:r w:rsidRPr="00563AD3">
        <w:t xml:space="preserve">term care (e.g. amendment of wording of existing items, removal of questions on management of money and marriage status and addition of questions relating to relationships with staff, </w:t>
      </w:r>
      <w:r w:rsidR="00DD29A4" w:rsidRPr="00563AD3">
        <w:t xml:space="preserve">ability to take care of oneself, </w:t>
      </w:r>
      <w:r w:rsidRPr="00563AD3">
        <w:t>ability to live with others and ability to make choices). It has good reported internal consistency</w:t>
      </w:r>
      <w:r w:rsidR="006D7D65">
        <w:t>.</w:t>
      </w:r>
      <w:r w:rsidRPr="00563AD3">
        <w:t xml:space="preserve"> </w:t>
      </w:r>
      <w:r w:rsidRPr="00563AD3">
        <w:fldChar w:fldCharType="begin"/>
      </w:r>
      <w:r w:rsidR="00411708">
        <w:instrText xml:space="preserve"> ADDIN EN.CITE &lt;EndNote&gt;&lt;Cite&gt;&lt;Author&gt;Edelman&lt;/Author&gt;&lt;Year&gt;2005&lt;/Year&gt;&lt;RecNum&gt;1563&lt;/RecNum&gt;&lt;DisplayText&gt;&lt;style face="superscript"&gt;126&lt;/style&gt;&lt;/DisplayText&gt;&lt;record&gt;&lt;rec-number&gt;1563&lt;/rec-number&gt;&lt;foreign-keys&gt;&lt;key app="EN" db-id="wprxwptv75dtdree0t5x2ptmvadptw5fr2ww"&gt;1563&lt;/key&gt;&lt;/foreign-keys&gt;&lt;ref-type name="Journal Article"&gt;17&lt;/ref-type&gt;&lt;contributors&gt;&lt;authors&gt;&lt;author&gt;Edelman, P.&lt;/author&gt;&lt;author&gt;Fulton, B.R.&lt;/author&gt;&lt;author&gt;Kuhn, D.&lt;/author&gt;&lt;author&gt;Chang, C-H.&lt;/author&gt;&lt;/authors&gt;&lt;/contributors&gt;&lt;titles&gt;&lt;title&gt;A comparison of three methods of measuring dementia-specific quality of life: perspectives of residents, staff and observers&lt;/title&gt;&lt;secondary-title&gt;The Gerontologist&lt;/secondary-title&gt;&lt;/titles&gt;&lt;periodical&gt;&lt;full-title&gt;The Gerontologist&lt;/full-title&gt;&lt;/periodical&gt;&lt;pages&gt;27-36&lt;/pages&gt;&lt;volume&gt;45&lt;/volume&gt;&lt;number&gt;S1&lt;/number&gt;&lt;dates&gt;&lt;year&gt;2005&lt;/year&gt;&lt;/dates&gt;&lt;urls&gt;&lt;/urls&gt;&lt;/record&gt;&lt;/Cite&gt;&lt;/EndNote&gt;</w:instrText>
      </w:r>
      <w:r w:rsidRPr="00563AD3">
        <w:fldChar w:fldCharType="separate"/>
      </w:r>
      <w:r w:rsidR="00411708" w:rsidRPr="00411708">
        <w:rPr>
          <w:noProof/>
          <w:vertAlign w:val="superscript"/>
        </w:rPr>
        <w:t>126</w:t>
      </w:r>
      <w:r w:rsidRPr="00563AD3">
        <w:fldChar w:fldCharType="end"/>
      </w:r>
      <w:r w:rsidRPr="00563AD3">
        <w:t xml:space="preserve"> </w:t>
      </w:r>
    </w:p>
    <w:p w14:paraId="384B3474" w14:textId="77777777" w:rsidR="00F74B72" w:rsidRPr="00563AD3" w:rsidRDefault="00DD29A4" w:rsidP="009B13F3">
      <w:pPr>
        <w:pStyle w:val="Heading4"/>
      </w:pPr>
      <w:r w:rsidRPr="00563AD3">
        <w:t>2.6.</w:t>
      </w:r>
      <w:r w:rsidR="005D5A41" w:rsidRPr="00563AD3">
        <w:t>4</w:t>
      </w:r>
      <w:r w:rsidRPr="00563AD3">
        <w:t>.</w:t>
      </w:r>
      <w:r w:rsidR="009536B2" w:rsidRPr="00563AD3">
        <w:t>4</w:t>
      </w:r>
      <w:r w:rsidRPr="00563AD3">
        <w:t xml:space="preserve"> </w:t>
      </w:r>
      <w:r w:rsidR="00F74B72" w:rsidRPr="00563AD3">
        <w:t xml:space="preserve">Demographics, health and healthcare resource use </w:t>
      </w:r>
    </w:p>
    <w:p w14:paraId="3828229A" w14:textId="77777777" w:rsidR="00F74B72" w:rsidRPr="00563AD3" w:rsidRDefault="00F74B72" w:rsidP="009B13F3">
      <w:pPr>
        <w:pStyle w:val="Heading5"/>
      </w:pPr>
      <w:r w:rsidRPr="00563AD3">
        <w:t>Resident demographics</w:t>
      </w:r>
    </w:p>
    <w:p w14:paraId="76C44D53" w14:textId="77777777" w:rsidR="00F74B72" w:rsidRPr="00563AD3" w:rsidRDefault="00F74B72" w:rsidP="009B13F3">
      <w:r w:rsidRPr="00563AD3">
        <w:t>Standardised demographic information (sex, date of birth etc) was collected by the researcher via interview with the care home manager or other senior member of staff and review of the resident’s care records.</w:t>
      </w:r>
    </w:p>
    <w:p w14:paraId="63D7721F" w14:textId="77777777" w:rsidR="00F74B72" w:rsidRPr="00563AD3" w:rsidRDefault="00F74B72" w:rsidP="009B13F3">
      <w:pPr>
        <w:pStyle w:val="Heading5"/>
      </w:pPr>
      <w:r w:rsidRPr="00563AD3">
        <w:t>Healthcare resource use</w:t>
      </w:r>
    </w:p>
    <w:p w14:paraId="6A668BDC" w14:textId="44F743EF" w:rsidR="008752F1" w:rsidRPr="00563AD3" w:rsidRDefault="00BE6E6F" w:rsidP="009B13F3">
      <w:r w:rsidRPr="00563AD3">
        <w:t xml:space="preserve">This measure </w:t>
      </w:r>
      <w:r w:rsidR="009536B2" w:rsidRPr="00563AD3">
        <w:t>wa</w:t>
      </w:r>
      <w:r w:rsidRPr="00563AD3">
        <w:t xml:space="preserve">s adapted from one </w:t>
      </w:r>
      <w:r w:rsidR="009536B2" w:rsidRPr="00563AD3">
        <w:t>developed for</w:t>
      </w:r>
      <w:r w:rsidRPr="00563AD3">
        <w:t xml:space="preserve"> a care home feasibility trial</w:t>
      </w:r>
      <w:r w:rsidR="006D7D65">
        <w:t>.</w:t>
      </w:r>
      <w:r w:rsidR="001B1112" w:rsidRPr="00563AD3">
        <w:t xml:space="preserve"> </w:t>
      </w:r>
      <w:r w:rsidR="001B1112" w:rsidRPr="00563AD3">
        <w:fldChar w:fldCharType="begin"/>
      </w:r>
      <w:r w:rsidR="00411708">
        <w:instrText xml:space="preserve"> ADDIN EN.CITE &lt;EndNote&gt;&lt;Cite&gt;&lt;Author&gt;Siddiqi&lt;/Author&gt;&lt;Year&gt;2016&lt;/Year&gt;&lt;RecNum&gt;1704&lt;/RecNum&gt;&lt;DisplayText&gt;&lt;style face="superscript"&gt;127&lt;/style&gt;&lt;/DisplayText&gt;&lt;record&gt;&lt;rec-number&gt;1704&lt;/rec-number&gt;&lt;foreign-keys&gt;&lt;key app="EN" db-id="wprxwptv75dtdree0t5x2ptmvadptw5fr2ww" timestamp="1502694397"&gt;1704&lt;/key&gt;&lt;/foreign-keys&gt;&lt;ref-type name="Journal Article"&gt;17&lt;/ref-type&gt;&lt;contributors&gt;&lt;authors&gt;&lt;author&gt;Siddiqi, N.&lt;/author&gt;&lt;author&gt;Cheater, F.&lt;/author&gt;&lt;author&gt;Collinson, M.&lt;/author&gt;&lt;author&gt;Farrin, A.&lt;/author&gt;&lt;author&gt;Forster, A.&lt;/author&gt;&lt;author&gt;George, D.&lt;/author&gt;&lt;author&gt;Godfrey, M.&lt;/author&gt;&lt;author&gt;Graham, E.&lt;/author&gt;&lt;author&gt;Harrison, J.&lt;/author&gt;&lt;author&gt;Heaven, A.&lt;/author&gt;&lt;author&gt;Heudtlass, P.&lt;/author&gt;&lt;author&gt;Hulme, C.&lt;/author&gt;&lt;author&gt;Meads, D.&lt;/author&gt;&lt;author&gt;North, C.&lt;/author&gt;&lt;author&gt;Sturrock, A.&lt;/author&gt;&lt;author&gt;Young, J.&lt;/author&gt;&lt;/authors&gt;&lt;/contributors&gt;&lt;titles&gt;&lt;title&gt;The PiTSTOP study: a feasibility cluster randomized trial of delirium prevention in care homes for older people&lt;/title&gt;&lt;secondary-title&gt;Age and Ageing&lt;/secondary-title&gt;&lt;/titles&gt;&lt;periodical&gt;&lt;full-title&gt;Age and Ageing&lt;/full-title&gt;&lt;abbr-1&gt;Age Ageing&lt;/abbr-1&gt;&lt;abbr-2&gt;Age Ageing&lt;/abbr-2&gt;&lt;abbr-3&gt;Age &amp;amp; Ageing&lt;/abbr-3&gt;&lt;/periodical&gt;&lt;pages&gt;652-61&lt;/pages&gt;&lt;volume&gt;45&lt;/volume&gt;&lt;number&gt;5&lt;/number&gt;&lt;dates&gt;&lt;year&gt;2016&lt;/year&gt;&lt;/dates&gt;&lt;urls&gt;&lt;/urls&gt;&lt;/record&gt;&lt;/Cite&gt;&lt;/EndNote&gt;</w:instrText>
      </w:r>
      <w:r w:rsidR="001B1112" w:rsidRPr="00563AD3">
        <w:fldChar w:fldCharType="separate"/>
      </w:r>
      <w:r w:rsidR="00411708" w:rsidRPr="00411708">
        <w:rPr>
          <w:noProof/>
          <w:vertAlign w:val="superscript"/>
        </w:rPr>
        <w:t>127</w:t>
      </w:r>
      <w:r w:rsidR="001B1112" w:rsidRPr="00563AD3">
        <w:fldChar w:fldCharType="end"/>
      </w:r>
      <w:r w:rsidRPr="00563AD3">
        <w:t xml:space="preserve"> The measure captured use of primary and secondary </w:t>
      </w:r>
      <w:r w:rsidR="008752F1" w:rsidRPr="00563AD3">
        <w:t>care including hospital-based care (e.g. hospital and A&amp;E visits and stays), community-based care (e.g. GP visits and contact with other healthcare professionals such as physiotherapists and psychiatrists) and other costs (e.g. adapted beds and other aids) inc</w:t>
      </w:r>
      <w:r w:rsidR="00B80810">
        <w:t>urred during the previous three-</w:t>
      </w:r>
      <w:r w:rsidR="008752F1" w:rsidRPr="00563AD3">
        <w:t xml:space="preserve">months. </w:t>
      </w:r>
    </w:p>
    <w:p w14:paraId="12C8EEE0" w14:textId="5B55172A" w:rsidR="00F74B72" w:rsidRPr="00563AD3" w:rsidRDefault="00F74B72" w:rsidP="009B13F3">
      <w:pPr>
        <w:pStyle w:val="Heading5"/>
      </w:pPr>
      <w:r w:rsidRPr="00563AD3">
        <w:t>Prescription medications</w:t>
      </w:r>
    </w:p>
    <w:p w14:paraId="4180D513" w14:textId="18B0921B" w:rsidR="00F74B72" w:rsidRPr="00563AD3" w:rsidRDefault="00F74B72" w:rsidP="009B13F3">
      <w:r w:rsidRPr="00563AD3">
        <w:t>Prescription of medications within categories of interest (e.g. antipsychotic, benzodiazepine, non-benzodiazepine anxiolytic, non-benzodiazepine anti-psychotic, memantine, antidepressant, cholinesterase inhibitor, anti-convulsant, mood stabiliser, pain relief) and administration of these if prescribed on an as required (</w:t>
      </w:r>
      <w:r w:rsidR="00C74BB8" w:rsidRPr="00563AD3">
        <w:t>PRN</w:t>
      </w:r>
      <w:r w:rsidRPr="00563AD3">
        <w:t xml:space="preserve">) basis, was recorded on a standardised CRF. This was completed by the researcher through review of residents’ medication records for the previous month.  </w:t>
      </w:r>
    </w:p>
    <w:p w14:paraId="067B219B" w14:textId="77777777" w:rsidR="00F74B72" w:rsidRPr="00563AD3" w:rsidRDefault="00F74B72" w:rsidP="009B13F3">
      <w:pPr>
        <w:pStyle w:val="Heading5"/>
      </w:pPr>
      <w:r w:rsidRPr="00563AD3">
        <w:t>Resident comorbidities</w:t>
      </w:r>
    </w:p>
    <w:p w14:paraId="3CC4F9C5" w14:textId="77777777" w:rsidR="00F74B72" w:rsidRPr="00563AD3" w:rsidRDefault="00F74B72" w:rsidP="009B13F3">
      <w:r w:rsidRPr="00563AD3">
        <w:t>These were collected using a standardised CRF through researcher review of residents’ care records.</w:t>
      </w:r>
    </w:p>
    <w:p w14:paraId="57825828" w14:textId="00E9BED2" w:rsidR="00DD29A4" w:rsidRPr="00563AD3" w:rsidRDefault="00DD29A4" w:rsidP="009B13F3">
      <w:pPr>
        <w:pStyle w:val="Heading4"/>
      </w:pPr>
      <w:r w:rsidRPr="00563AD3">
        <w:t>2.6.</w:t>
      </w:r>
      <w:r w:rsidR="009536B2" w:rsidRPr="00563AD3">
        <w:t>4.5</w:t>
      </w:r>
      <w:r w:rsidRPr="00563AD3">
        <w:t xml:space="preserve"> Dementia severity</w:t>
      </w:r>
    </w:p>
    <w:p w14:paraId="74B183AB" w14:textId="31A46705" w:rsidR="00EF595E" w:rsidRPr="00563AD3" w:rsidRDefault="00EF595E" w:rsidP="009B13F3">
      <w:pPr>
        <w:pStyle w:val="Heading5"/>
      </w:pPr>
      <w:r w:rsidRPr="00563AD3">
        <w:t>Clinical Dementia Rating Scale</w:t>
      </w:r>
      <w:r w:rsidRPr="00563AD3">
        <w:rPr>
          <w:rStyle w:val="Heading5Char"/>
        </w:rPr>
        <w:t xml:space="preserve"> (CDR) </w:t>
      </w:r>
      <w:r w:rsidRPr="00563AD3">
        <w:rPr>
          <w:rStyle w:val="Heading5Char"/>
        </w:rPr>
        <w:fldChar w:fldCharType="begin"/>
      </w:r>
      <w:r w:rsidR="00411708">
        <w:rPr>
          <w:rStyle w:val="Heading5Char"/>
        </w:rPr>
        <w:instrText xml:space="preserve"> ADDIN EN.CITE &lt;EndNote&gt;&lt;Cite&gt;&lt;Author&gt;Hughes&lt;/Author&gt;&lt;Year&gt;1982&lt;/Year&gt;&lt;RecNum&gt;1075&lt;/RecNum&gt;&lt;DisplayText&gt;&lt;style face="superscript"&gt;128&lt;/style&gt;&lt;/DisplayText&gt;&lt;record&gt;&lt;rec-number&gt;1075&lt;/rec-number&gt;&lt;foreign-keys&gt;&lt;key app="EN" db-id="99xrrr0via90wweft93vf5vkasadfzfxfz0z"&gt;1075&lt;/key&gt;&lt;/foreign-keys&gt;&lt;ref-type name="Journal Article"&gt;17&lt;/ref-type&gt;&lt;contributors&gt;&lt;authors&gt;&lt;author&gt;Hughes, C.P.&lt;/author&gt;&lt;author&gt;Berg, L.&lt;/author&gt;&lt;author&gt;Danziger, W.L.&lt;/author&gt;&lt;author&gt;Coben, L.A.&lt;/author&gt;&lt;author&gt;Martin, R.L.&lt;/author&gt;&lt;/authors&gt;&lt;/contributors&gt;&lt;titles&gt;&lt;title&gt;A new clinical scale for the staging of dementia&lt;/title&gt;&lt;secondary-title&gt;The British Journal of Psychiatry&lt;/secondary-title&gt;&lt;/titles&gt;&lt;periodical&gt;&lt;full-title&gt;The British Journal of Psychiatry&lt;/full-title&gt;&lt;/periodical&gt;&lt;pages&gt;566-572&lt;/pages&gt;&lt;volume&gt;140&lt;/volume&gt;&lt;dates&gt;&lt;year&gt;1982&lt;/year&gt;&lt;/dates&gt;&lt;urls&gt;&lt;/urls&gt;&lt;/record&gt;&lt;/Cite&gt;&lt;Cite&gt;&lt;Author&gt;Hughes&lt;/Author&gt;&lt;Year&gt;1982&lt;/Year&gt;&lt;RecNum&gt;6&lt;/RecNum&gt;&lt;record&gt;&lt;rec-number&gt;6&lt;/rec-number&gt;&lt;foreign-keys&gt;&lt;key app="EN" db-id="f9s90pzdrwdrv4e29tmpfd9aa0ze25txa9xf"&gt;6&lt;/key&gt;&lt;/foreign-keys&gt;&lt;ref-type name="Journal Article"&gt;17&lt;/ref-type&gt;&lt;contributors&gt;&lt;authors&gt;&lt;author&gt;Hughes, C.P.&lt;/author&gt;&lt;author&gt;Berg, L.&lt;/author&gt;&lt;author&gt;Danziger, W.L.&lt;/author&gt;&lt;author&gt;Coben, L.A.&lt;/author&gt;&lt;author&gt;Martin, R.L.&lt;/author&gt;&lt;/authors&gt;&lt;/contributors&gt;&lt;titles&gt;&lt;title&gt;A new clinical scale for the staging of dementia&lt;/title&gt;&lt;secondary-title&gt;The British Journal of Psychiatry&lt;/secondary-title&gt;&lt;/titles&gt;&lt;pages&gt;566-572&lt;/pages&gt;&lt;volume&gt;140&lt;/volume&gt;&lt;dates&gt;&lt;year&gt;1982&lt;/year&gt;&lt;/dates&gt;&lt;urls&gt;&lt;/urls&gt;&lt;/record&gt;&lt;/Cite&gt;&lt;/EndNote&gt;</w:instrText>
      </w:r>
      <w:r w:rsidRPr="00563AD3">
        <w:rPr>
          <w:rStyle w:val="Heading5Char"/>
        </w:rPr>
        <w:fldChar w:fldCharType="separate"/>
      </w:r>
      <w:r w:rsidR="00411708" w:rsidRPr="00411708">
        <w:rPr>
          <w:rStyle w:val="Heading5Char"/>
          <w:noProof/>
          <w:vertAlign w:val="superscript"/>
        </w:rPr>
        <w:t>128</w:t>
      </w:r>
      <w:r w:rsidRPr="00563AD3">
        <w:rPr>
          <w:rStyle w:val="Heading5Char"/>
        </w:rPr>
        <w:fldChar w:fldCharType="end"/>
      </w:r>
    </w:p>
    <w:p w14:paraId="5915360C" w14:textId="590854A6" w:rsidR="00EF595E" w:rsidRPr="00563AD3" w:rsidRDefault="00EF595E" w:rsidP="009B13F3">
      <w:r w:rsidRPr="00563AD3">
        <w:t>The CDR is a well utilised, standardised scale for rating the severity of dementia from no cognitive impairment to severe or advanced dementia</w:t>
      </w:r>
      <w:r w:rsidR="006D7D65">
        <w:t>.</w:t>
      </w:r>
      <w:r w:rsidRPr="00563AD3">
        <w:t xml:space="preserve"> </w:t>
      </w:r>
      <w:r w:rsidRPr="00563AD3">
        <w:fldChar w:fldCharType="begin"/>
      </w:r>
      <w:r w:rsidR="00411708">
        <w:instrText xml:space="preserve"> ADDIN EN.CITE &lt;EndNote&gt;&lt;Cite&gt;&lt;Author&gt;Morris&lt;/Author&gt;&lt;Year&gt;1993&lt;/Year&gt;&lt;RecNum&gt;1078&lt;/RecNum&gt;&lt;DisplayText&gt;&lt;style face="superscript"&gt;129&lt;/style&gt;&lt;/DisplayText&gt;&lt;record&gt;&lt;rec-number&gt;1078&lt;/rec-number&gt;&lt;foreign-keys&gt;&lt;key app="EN" db-id="99xrrr0via90wweft93vf5vkasadfzfxfz0z"&gt;1078&lt;/key&gt;&lt;/foreign-keys&gt;&lt;ref-type name="Journal Article"&gt;17&lt;/ref-type&gt;&lt;contributors&gt;&lt;authors&gt;&lt;author&gt;Morris, J.C.&lt;/author&gt;&lt;/authors&gt;&lt;/contributors&gt;&lt;titles&gt;&lt;title&gt;The Clinical Dementia Rating (CDR): Current version and scoring rules&lt;/title&gt;&lt;secondary-title&gt;Neurology&lt;/secondary-title&gt;&lt;/titles&gt;&lt;periodical&gt;&lt;full-title&gt;Neurology&lt;/full-title&gt;&lt;/periodical&gt;&lt;pages&gt;2412-2414&lt;/pages&gt;&lt;volume&gt;43&lt;/volume&gt;&lt;number&gt;11&lt;/number&gt;&lt;dates&gt;&lt;year&gt;1993&lt;/year&gt;&lt;/dates&gt;&lt;urls&gt;&lt;/urls&gt;&lt;/record&gt;&lt;/Cite&gt;&lt;/EndNote&gt;</w:instrText>
      </w:r>
      <w:r w:rsidRPr="00563AD3">
        <w:fldChar w:fldCharType="separate"/>
      </w:r>
      <w:r w:rsidR="00411708" w:rsidRPr="00411708">
        <w:rPr>
          <w:noProof/>
          <w:vertAlign w:val="superscript"/>
        </w:rPr>
        <w:t>129</w:t>
      </w:r>
      <w:r w:rsidRPr="00563AD3">
        <w:fldChar w:fldCharType="end"/>
      </w:r>
      <w:r w:rsidRPr="00563AD3">
        <w:t xml:space="preserve"> Impairment on six cognitive categories is rated and an algorithm </w:t>
      </w:r>
      <w:r w:rsidR="00D45DF9" w:rsidRPr="00563AD3">
        <w:t xml:space="preserve">is </w:t>
      </w:r>
      <w:r w:rsidRPr="00563AD3">
        <w:t>used to calculate the overall severity rating. Severity is rated by a trained assessor via informal interview/conversation with the person</w:t>
      </w:r>
      <w:r w:rsidR="00555A29" w:rsidRPr="00563AD3">
        <w:t>,</w:t>
      </w:r>
      <w:r w:rsidR="00DD29A4" w:rsidRPr="00563AD3">
        <w:t xml:space="preserve"> or with a proxy who knows the person well</w:t>
      </w:r>
      <w:r w:rsidRPr="00563AD3">
        <w:t xml:space="preserve">. </w:t>
      </w:r>
      <w:r w:rsidR="003E617B" w:rsidRPr="00563AD3">
        <w:t>In this study the CDR was completed by the researcher through interview with a staff proxy who knew the resident well.</w:t>
      </w:r>
    </w:p>
    <w:p w14:paraId="049AFBA5" w14:textId="375E7D7C" w:rsidR="00EF595E" w:rsidRPr="00563AD3" w:rsidRDefault="00EF595E" w:rsidP="009B13F3">
      <w:pPr>
        <w:pStyle w:val="Heading5"/>
      </w:pPr>
      <w:r w:rsidRPr="00563AD3">
        <w:t>Functional Assessment Staging (FAST)</w:t>
      </w:r>
      <w:r w:rsidR="00DD29A4" w:rsidRPr="00563AD3">
        <w:t xml:space="preserve"> </w:t>
      </w:r>
      <w:r w:rsidRPr="00563AD3">
        <w:rPr>
          <w:rStyle w:val="Heading5Char"/>
        </w:rPr>
        <w:fldChar w:fldCharType="begin"/>
      </w:r>
      <w:r w:rsidR="008C7FD1">
        <w:rPr>
          <w:rStyle w:val="Heading5Char"/>
        </w:rPr>
        <w:instrText xml:space="preserve"> ADDIN EN.CITE &lt;EndNote&gt;&lt;Cite&gt;&lt;Author&gt;Reisberg&lt;/Author&gt;&lt;Year&gt;1988&lt;/Year&gt;&lt;RecNum&gt;1195&lt;/RecNum&gt;&lt;DisplayText&gt;&lt;style face="superscript"&gt;102&lt;/style&gt;&lt;/DisplayText&gt;&lt;record&gt;&lt;rec-number&gt;1195&lt;/rec-number&gt;&lt;foreign-keys&gt;&lt;key app="EN" db-id="wprxwptv75dtdree0t5x2ptmvadptw5fr2ww" timestamp="1320951591"&gt;1195&lt;/key&gt;&lt;/foreign-keys&gt;&lt;ref-type name="Journal Article"&gt;17&lt;/ref-type&gt;&lt;contributors&gt;&lt;authors&gt;&lt;author&gt;Reisberg, B.&lt;/author&gt;&lt;/authors&gt;&lt;/contributors&gt;&lt;titles&gt;&lt;title&gt;Functional assessment staging (FAST)&lt;/title&gt;&lt;secondary-title&gt;Psychopharmacology Bulletin&lt;/secondary-title&gt;&lt;/titles&gt;&lt;periodical&gt;&lt;full-title&gt;Psychopharmacology Bulletin&lt;/full-title&gt;&lt;abbr-1&gt;Psychopharmacol. Bull.&lt;/abbr-1&gt;&lt;abbr-2&gt;Psychopharmacol Bull&lt;/abbr-2&gt;&lt;/periodical&gt;&lt;pages&gt;653-59&lt;/pages&gt;&lt;volume&gt;24&lt;/volume&gt;&lt;dates&gt;&lt;year&gt;1988&lt;/year&gt;&lt;/dates&gt;&lt;urls&gt;&lt;/urls&gt;&lt;/record&gt;&lt;/Cite&gt;&lt;/EndNote&gt;</w:instrText>
      </w:r>
      <w:r w:rsidRPr="00563AD3">
        <w:rPr>
          <w:rStyle w:val="Heading5Char"/>
        </w:rPr>
        <w:fldChar w:fldCharType="separate"/>
      </w:r>
      <w:r w:rsidR="00EC2AA2" w:rsidRPr="00EC2AA2">
        <w:rPr>
          <w:rStyle w:val="Heading5Char"/>
          <w:noProof/>
          <w:vertAlign w:val="superscript"/>
        </w:rPr>
        <w:t>102</w:t>
      </w:r>
      <w:r w:rsidRPr="00563AD3">
        <w:rPr>
          <w:rStyle w:val="Heading5Char"/>
        </w:rPr>
        <w:fldChar w:fldCharType="end"/>
      </w:r>
      <w:r w:rsidRPr="00563AD3">
        <w:t xml:space="preserve"> </w:t>
      </w:r>
    </w:p>
    <w:p w14:paraId="48B4A88E" w14:textId="2EF6CAAF" w:rsidR="00EF595E" w:rsidRPr="00563AD3" w:rsidRDefault="00EF595E" w:rsidP="009B13F3">
      <w:r w:rsidRPr="00563AD3">
        <w:t xml:space="preserve">The FAST is a scale designed to </w:t>
      </w:r>
      <w:r w:rsidR="00D45DF9" w:rsidRPr="00563AD3">
        <w:t xml:space="preserve">record </w:t>
      </w:r>
      <w:r w:rsidRPr="00563AD3">
        <w:t xml:space="preserve">the functional severity of dementia. </w:t>
      </w:r>
      <w:r w:rsidR="00D45DF9" w:rsidRPr="00563AD3">
        <w:t>Scores range from 1</w:t>
      </w:r>
      <w:r w:rsidR="00DA2759" w:rsidRPr="00563AD3">
        <w:t xml:space="preserve"> (no dementia) to 7 (severe dementia) with</w:t>
      </w:r>
      <w:r w:rsidR="00B426F1" w:rsidRPr="00563AD3">
        <w:t xml:space="preserve"> levels 6 and 7 each having five sub-levels.</w:t>
      </w:r>
      <w:r w:rsidR="00D45DF9" w:rsidRPr="00563AD3">
        <w:t xml:space="preserve"> </w:t>
      </w:r>
      <w:r w:rsidRPr="00563AD3">
        <w:t>It is particularly designed for use in more moderate to severe dementia. It is completed by proxy report from a caregiver</w:t>
      </w:r>
      <w:r w:rsidR="00F45047">
        <w:t>.</w:t>
      </w:r>
      <w:r w:rsidR="00B426F1" w:rsidRPr="00563AD3">
        <w:t xml:space="preserve"> </w:t>
      </w:r>
      <w:r w:rsidR="00B426F1" w:rsidRPr="00563AD3">
        <w:fldChar w:fldCharType="begin"/>
      </w:r>
      <w:r w:rsidR="008C7FD1">
        <w:instrText xml:space="preserve"> ADDIN EN.CITE &lt;EndNote&gt;&lt;Cite&gt;&lt;Author&gt;Reisberg&lt;/Author&gt;&lt;Year&gt;1988&lt;/Year&gt;&lt;RecNum&gt;1195&lt;/RecNum&gt;&lt;DisplayText&gt;&lt;style face="superscript"&gt;102&lt;/style&gt;&lt;/DisplayText&gt;&lt;record&gt;&lt;rec-number&gt;1195&lt;/rec-number&gt;&lt;foreign-keys&gt;&lt;key app="EN" db-id="wprxwptv75dtdree0t5x2ptmvadptw5fr2ww" timestamp="1320951591"&gt;1195&lt;/key&gt;&lt;/foreign-keys&gt;&lt;ref-type name="Journal Article"&gt;17&lt;/ref-type&gt;&lt;contributors&gt;&lt;authors&gt;&lt;author&gt;Reisberg, B.&lt;/author&gt;&lt;/authors&gt;&lt;/contributors&gt;&lt;titles&gt;&lt;title&gt;Functional assessment staging (FAST)&lt;/title&gt;&lt;secondary-title&gt;Psychopharmacology Bulletin&lt;/secondary-title&gt;&lt;/titles&gt;&lt;periodical&gt;&lt;full-title&gt;Psychopharmacology Bulletin&lt;/full-title&gt;&lt;abbr-1&gt;Psychopharmacol. Bull.&lt;/abbr-1&gt;&lt;abbr-2&gt;Psychopharmacol Bull&lt;/abbr-2&gt;&lt;/periodical&gt;&lt;pages&gt;653-59&lt;/pages&gt;&lt;volume&gt;24&lt;/volume&gt;&lt;dates&gt;&lt;year&gt;1988&lt;/year&gt;&lt;/dates&gt;&lt;urls&gt;&lt;/urls&gt;&lt;/record&gt;&lt;/Cite&gt;&lt;/EndNote&gt;</w:instrText>
      </w:r>
      <w:r w:rsidR="00B426F1" w:rsidRPr="00563AD3">
        <w:fldChar w:fldCharType="separate"/>
      </w:r>
      <w:r w:rsidR="00EC2AA2" w:rsidRPr="00EC2AA2">
        <w:rPr>
          <w:noProof/>
          <w:vertAlign w:val="superscript"/>
        </w:rPr>
        <w:t>102</w:t>
      </w:r>
      <w:r w:rsidR="00B426F1" w:rsidRPr="00563AD3">
        <w:fldChar w:fldCharType="end"/>
      </w:r>
    </w:p>
    <w:p w14:paraId="6263A289" w14:textId="77777777" w:rsidR="00EF595E" w:rsidRPr="00563AD3" w:rsidRDefault="00EF595E" w:rsidP="009B13F3"/>
    <w:p w14:paraId="11E0A65F" w14:textId="4E1A9A06" w:rsidR="009536B2" w:rsidRPr="00563AD3" w:rsidRDefault="00DD29A4" w:rsidP="009B13F3">
      <w:pPr>
        <w:pStyle w:val="Heading3"/>
      </w:pPr>
      <w:bookmarkStart w:id="79" w:name="_Toc525543973"/>
      <w:r w:rsidRPr="00563AD3">
        <w:t>2.6.</w:t>
      </w:r>
      <w:r w:rsidR="009536B2" w:rsidRPr="00563AD3">
        <w:t>5</w:t>
      </w:r>
      <w:r w:rsidRPr="00563AD3">
        <w:t xml:space="preserve"> </w:t>
      </w:r>
      <w:r w:rsidR="009536B2" w:rsidRPr="00563AD3">
        <w:t>Staff Measures</w:t>
      </w:r>
      <w:bookmarkEnd w:id="79"/>
    </w:p>
    <w:p w14:paraId="5DF21C58" w14:textId="64B420F8" w:rsidR="00DD29A4" w:rsidRPr="00563AD3" w:rsidRDefault="009536B2" w:rsidP="009B13F3">
      <w:pPr>
        <w:pStyle w:val="Heading4"/>
      </w:pPr>
      <w:r w:rsidRPr="00563AD3">
        <w:t xml:space="preserve">2.6.5.1 </w:t>
      </w:r>
      <w:r w:rsidR="00DD29A4" w:rsidRPr="00563AD3">
        <w:t>Staff w</w:t>
      </w:r>
      <w:r w:rsidR="00EF595E" w:rsidRPr="00563AD3">
        <w:t xml:space="preserve">ork stress </w:t>
      </w:r>
    </w:p>
    <w:p w14:paraId="235F58D5" w14:textId="2B86AB2B" w:rsidR="00EF595E" w:rsidRPr="00563AD3" w:rsidRDefault="00EF595E" w:rsidP="009B13F3">
      <w:pPr>
        <w:pStyle w:val="Heading5"/>
        <w:rPr>
          <w:rStyle w:val="Heading5Char"/>
          <w:i/>
        </w:rPr>
      </w:pPr>
      <w:r w:rsidRPr="00563AD3">
        <w:t xml:space="preserve">General Health Questionnaire </w:t>
      </w:r>
      <w:r w:rsidR="0031048E" w:rsidRPr="00563AD3">
        <w:t>(</w:t>
      </w:r>
      <w:r w:rsidRPr="00563AD3">
        <w:t>12-item) (GHQ-12)</w:t>
      </w:r>
      <w:r w:rsidRPr="00563AD3">
        <w:rPr>
          <w:rStyle w:val="Heading5Char"/>
          <w:i/>
        </w:rPr>
        <w:t xml:space="preserve"> </w:t>
      </w:r>
      <w:r w:rsidRPr="00563AD3">
        <w:rPr>
          <w:rStyle w:val="Heading5Char"/>
          <w:i/>
        </w:rPr>
        <w:fldChar w:fldCharType="begin"/>
      </w:r>
      <w:r w:rsidR="00411708">
        <w:rPr>
          <w:rStyle w:val="Heading5Char"/>
          <w:i/>
        </w:rPr>
        <w:instrText xml:space="preserve"> ADDIN EN.CITE &lt;EndNote&gt;&lt;Cite&gt;&lt;Author&gt;Goldberg&lt;/Author&gt;&lt;Year&gt;1988&lt;/Year&gt;&lt;RecNum&gt;1202&lt;/RecNum&gt;&lt;DisplayText&gt;&lt;style face="superscript"&gt;130&lt;/style&gt;&lt;/DisplayText&gt;&lt;record&gt;&lt;rec-number&gt;1202&lt;/rec-number&gt;&lt;foreign-keys&gt;&lt;key app="EN" db-id="wprxwptv75dtdree0t5x2ptmvadptw5fr2ww" timestamp="1321004330"&gt;1202&lt;/key&gt;&lt;/foreign-keys&gt;&lt;ref-type name="Report"&gt;27&lt;/ref-type&gt;&lt;contributors&gt;&lt;authors&gt;&lt;author&gt;Goldberg, D.P.&lt;/author&gt;&lt;author&gt;Williams, P.A.&lt;/author&gt;&lt;/authors&gt;&lt;/contributors&gt;&lt;titles&gt;&lt;title&gt;User&amp;apos;s guide to the General Health Questionnaire&lt;/title&gt;&lt;/titles&gt;&lt;dates&gt;&lt;year&gt;1988&lt;/year&gt;&lt;/dates&gt;&lt;pub-location&gt;Windsor&lt;/pub-location&gt;&lt;publisher&gt;NFER-Nelson&lt;/publisher&gt;&lt;urls&gt;&lt;/urls&gt;&lt;/record&gt;&lt;/Cite&gt;&lt;/EndNote&gt;</w:instrText>
      </w:r>
      <w:r w:rsidRPr="00563AD3">
        <w:rPr>
          <w:rStyle w:val="Heading5Char"/>
          <w:i/>
        </w:rPr>
        <w:fldChar w:fldCharType="separate"/>
      </w:r>
      <w:r w:rsidR="00411708" w:rsidRPr="00411708">
        <w:rPr>
          <w:rStyle w:val="Heading5Char"/>
          <w:i/>
          <w:noProof/>
          <w:vertAlign w:val="superscript"/>
        </w:rPr>
        <w:t>130</w:t>
      </w:r>
      <w:r w:rsidRPr="00563AD3">
        <w:rPr>
          <w:rStyle w:val="Heading5Char"/>
          <w:i/>
        </w:rPr>
        <w:fldChar w:fldCharType="end"/>
      </w:r>
    </w:p>
    <w:p w14:paraId="1BDFAEE9" w14:textId="294B5DC5" w:rsidR="00EF595E" w:rsidRPr="00563AD3" w:rsidRDefault="00EF595E" w:rsidP="009B13F3">
      <w:r w:rsidRPr="00563AD3">
        <w:t xml:space="preserve">This is a measure of stress/psychological well-being used </w:t>
      </w:r>
      <w:r w:rsidR="00F74B72" w:rsidRPr="00563AD3">
        <w:t>in</w:t>
      </w:r>
      <w:r w:rsidRPr="00563AD3">
        <w:t xml:space="preserve"> the general population. It has good reported psychometric properties</w:t>
      </w:r>
      <w:r w:rsidR="006D7D65">
        <w:t>.</w:t>
      </w:r>
      <w:r w:rsidRPr="00563AD3">
        <w:t xml:space="preserve"> </w:t>
      </w:r>
      <w:r w:rsidRPr="00563AD3">
        <w:fldChar w:fldCharType="begin"/>
      </w:r>
      <w:r w:rsidR="00411708">
        <w:instrText xml:space="preserve"> ADDIN EN.CITE &lt;EndNote&gt;&lt;Cite&gt;&lt;Author&gt;Penninkilampi-Kerola&lt;/Author&gt;&lt;Year&gt;2006&lt;/Year&gt;&lt;RecNum&gt;1203&lt;/RecNum&gt;&lt;DisplayText&gt;&lt;style face="superscript"&gt;131&lt;/style&gt;&lt;/DisplayText&gt;&lt;record&gt;&lt;rec-number&gt;1203&lt;/rec-number&gt;&lt;foreign-keys&gt;&lt;key app="EN" db-id="wprxwptv75dtdree0t5x2ptmvadptw5fr2ww" timestamp="1321004644"&gt;1203&lt;/key&gt;&lt;/foreign-keys&gt;&lt;ref-type name="Journal Article"&gt;17&lt;/ref-type&gt;&lt;contributors&gt;&lt;authors&gt;&lt;author&gt;Penninkilampi-Kerola, V.&lt;/author&gt;&lt;author&gt;Meiettunen, J.&lt;/author&gt;&lt;author&gt;Ebeling, H.&lt;/author&gt;&lt;/authors&gt;&lt;/contributors&gt;&lt;titles&gt;&lt;title&gt;A comparative assessment of the factor structures and psychometric properties of the GHQ-12 and the GHQ-20 based on data from a Finnish population-based sample&lt;/title&gt;&lt;secondary-title&gt;Scandinavian Journal of Psychology&lt;/secondary-title&gt;&lt;/titles&gt;&lt;periodical&gt;&lt;full-title&gt;Scandinavian Journal of Psychology&lt;/full-title&gt;&lt;abbr-1&gt;Scand. J. Psychol.&lt;/abbr-1&gt;&lt;abbr-2&gt;Scand J Psychol&lt;/abbr-2&gt;&lt;/periodical&gt;&lt;pages&gt;431-40&lt;/pages&gt;&lt;volume&gt;47&lt;/volume&gt;&lt;dates&gt;&lt;year&gt;2006&lt;/year&gt;&lt;/dates&gt;&lt;urls&gt;&lt;/urls&gt;&lt;/record&gt;&lt;/Cite&gt;&lt;/EndNote&gt;</w:instrText>
      </w:r>
      <w:r w:rsidRPr="00563AD3">
        <w:fldChar w:fldCharType="separate"/>
      </w:r>
      <w:r w:rsidR="00411708" w:rsidRPr="00411708">
        <w:rPr>
          <w:noProof/>
          <w:vertAlign w:val="superscript"/>
        </w:rPr>
        <w:t>131</w:t>
      </w:r>
      <w:r w:rsidRPr="00563AD3">
        <w:fldChar w:fldCharType="end"/>
      </w:r>
      <w:r w:rsidRPr="00563AD3">
        <w:t xml:space="preserve"> </w:t>
      </w:r>
      <w:r w:rsidR="00B426F1" w:rsidRPr="00563AD3">
        <w:t xml:space="preserve">It contains 12-items related to mental health, each scored on a four-point scale of frequency of symptoms or behaviours (‘less than usual’ to ‘much more than usual’). </w:t>
      </w:r>
      <w:r w:rsidR="00555A29" w:rsidRPr="00563AD3">
        <w:t>Due to poor return rates c</w:t>
      </w:r>
      <w:r w:rsidR="001B1112" w:rsidRPr="00563AD3">
        <w:t>ollection of GHQ</w:t>
      </w:r>
      <w:r w:rsidR="0031048E" w:rsidRPr="00563AD3">
        <w:t>-12</w:t>
      </w:r>
      <w:r w:rsidR="001B1112" w:rsidRPr="00563AD3">
        <w:t xml:space="preserve"> data was ceased during the trial (see </w:t>
      </w:r>
      <w:r w:rsidR="001B1112" w:rsidRPr="006D7D65">
        <w:rPr>
          <w:i/>
        </w:rPr>
        <w:t>section 2.1</w:t>
      </w:r>
      <w:r w:rsidR="00576A74" w:rsidRPr="006D7D65">
        <w:rPr>
          <w:i/>
        </w:rPr>
        <w:t>0</w:t>
      </w:r>
      <w:r w:rsidR="00555A29" w:rsidRPr="00563AD3">
        <w:t xml:space="preserve"> for further details</w:t>
      </w:r>
      <w:r w:rsidR="001B1112" w:rsidRPr="00563AD3">
        <w:t>)</w:t>
      </w:r>
      <w:r w:rsidR="00AC0211" w:rsidRPr="00563AD3">
        <w:t>.</w:t>
      </w:r>
    </w:p>
    <w:p w14:paraId="17418598" w14:textId="2B671A15" w:rsidR="00DD29A4" w:rsidRPr="00563AD3" w:rsidRDefault="00DD29A4" w:rsidP="009B13F3">
      <w:pPr>
        <w:pStyle w:val="Heading4"/>
      </w:pPr>
      <w:r w:rsidRPr="00563AD3">
        <w:t>2.6.</w:t>
      </w:r>
      <w:r w:rsidR="00157423" w:rsidRPr="00563AD3">
        <w:t>5.2</w:t>
      </w:r>
      <w:r w:rsidRPr="00563AD3">
        <w:t xml:space="preserve"> </w:t>
      </w:r>
      <w:r w:rsidR="00EF595E" w:rsidRPr="00563AD3">
        <w:t xml:space="preserve">Job or role efficacy </w:t>
      </w:r>
    </w:p>
    <w:p w14:paraId="657174B9" w14:textId="266C0A8D" w:rsidR="00EF595E" w:rsidRPr="00563AD3" w:rsidRDefault="00EF595E" w:rsidP="009B13F3">
      <w:pPr>
        <w:pStyle w:val="Heading5"/>
      </w:pPr>
      <w:r w:rsidRPr="00563AD3">
        <w:t>Sense of Competence in Dementia Care Staff (SCIDS</w:t>
      </w:r>
      <w:r w:rsidR="00DD29A4" w:rsidRPr="00563AD3">
        <w:t>)</w:t>
      </w:r>
      <w:r w:rsidR="00F74B72" w:rsidRPr="00563AD3">
        <w:rPr>
          <w:rStyle w:val="Heading5Char"/>
        </w:rPr>
        <w:t xml:space="preserve"> </w:t>
      </w:r>
      <w:r w:rsidR="00564F83" w:rsidRPr="00563AD3">
        <w:rPr>
          <w:rStyle w:val="Heading5Char"/>
        </w:rPr>
        <w:fldChar w:fldCharType="begin"/>
      </w:r>
      <w:r w:rsidR="00411708">
        <w:rPr>
          <w:rStyle w:val="Heading5Char"/>
        </w:rPr>
        <w:instrText xml:space="preserve"> ADDIN EN.CITE &lt;EndNote&gt;&lt;Cite&gt;&lt;Author&gt;Schepers&lt;/Author&gt;&lt;Year&gt;2012&lt;/Year&gt;&lt;RecNum&gt;1406&lt;/RecNum&gt;&lt;DisplayText&gt;&lt;style face="superscript"&gt;132&lt;/style&gt;&lt;/DisplayText&gt;&lt;record&gt;&lt;rec-number&gt;1406&lt;/rec-number&gt;&lt;foreign-keys&gt;&lt;key app="EN" db-id="wprxwptv75dtdree0t5x2ptmvadptw5fr2ww" timestamp="1395063883"&gt;1406&lt;/key&gt;&lt;/foreign-keys&gt;&lt;ref-type name="Journal Article"&gt;17&lt;/ref-type&gt;&lt;contributors&gt;&lt;authors&gt;&lt;author&gt;Schepers, A.K.&lt;/author&gt;&lt;author&gt;Orrell, M.&lt;/author&gt;&lt;author&gt;Shanahan, N.&lt;/author&gt;&lt;author&gt;Spector, A.&lt;/author&gt;&lt;/authors&gt;&lt;/contributors&gt;&lt;titles&gt;&lt;title&gt;Sense of competence in Dementia Care Staff (SCIDS) scale: development, reliability and validity&lt;/title&gt;&lt;secondary-title&gt;International Psychogeriatrics&lt;/secondary-title&gt;&lt;/titles&gt;&lt;periodical&gt;&lt;full-title&gt;International Psychogeriatrics&lt;/full-title&gt;&lt;abbr-1&gt;Int. Psychogeriatr.&lt;/abbr-1&gt;&lt;abbr-2&gt;Int Psychogeriatr&lt;/abbr-2&gt;&lt;/periodical&gt;&lt;pages&gt;1153-62&lt;/pages&gt;&lt;volume&gt;24&lt;/volume&gt;&lt;number&gt;7&lt;/number&gt;&lt;dates&gt;&lt;year&gt;2012&lt;/year&gt;&lt;/dates&gt;&lt;urls&gt;&lt;/urls&gt;&lt;/record&gt;&lt;/Cite&gt;&lt;/EndNote&gt;</w:instrText>
      </w:r>
      <w:r w:rsidR="00564F83" w:rsidRPr="00563AD3">
        <w:rPr>
          <w:rStyle w:val="Heading5Char"/>
        </w:rPr>
        <w:fldChar w:fldCharType="separate"/>
      </w:r>
      <w:r w:rsidR="00411708" w:rsidRPr="00411708">
        <w:rPr>
          <w:rStyle w:val="Heading5Char"/>
          <w:noProof/>
          <w:vertAlign w:val="superscript"/>
        </w:rPr>
        <w:t>132</w:t>
      </w:r>
      <w:r w:rsidR="00564F83" w:rsidRPr="00563AD3">
        <w:rPr>
          <w:rStyle w:val="Heading5Char"/>
        </w:rPr>
        <w:fldChar w:fldCharType="end"/>
      </w:r>
      <w:r w:rsidRPr="00563AD3">
        <w:rPr>
          <w:rStyle w:val="Heading5Char"/>
        </w:rPr>
        <w:t xml:space="preserve"> </w:t>
      </w:r>
    </w:p>
    <w:p w14:paraId="4C97D71D" w14:textId="49B6767A" w:rsidR="00EF595E" w:rsidRPr="00563AD3" w:rsidRDefault="00EF595E" w:rsidP="009B13F3">
      <w:r w:rsidRPr="00563AD3">
        <w:t>The SCIDS is a user-friendly, self-complete</w:t>
      </w:r>
      <w:r w:rsidR="00AD53DD" w:rsidRPr="00563AD3">
        <w:t>,</w:t>
      </w:r>
      <w:r w:rsidRPr="00563AD3">
        <w:t xml:space="preserve"> 17-item scale</w:t>
      </w:r>
      <w:r w:rsidR="007C6544" w:rsidRPr="00563AD3">
        <w:t xml:space="preserve"> measuring staff </w:t>
      </w:r>
      <w:r w:rsidR="00B426F1" w:rsidRPr="00563AD3">
        <w:t>members’</w:t>
      </w:r>
      <w:r w:rsidR="007C6544" w:rsidRPr="00563AD3">
        <w:t xml:space="preserve"> competence in caring for people with dementia</w:t>
      </w:r>
      <w:r w:rsidRPr="00563AD3">
        <w:t>, across four sub-scales</w:t>
      </w:r>
      <w:r w:rsidR="00564F83" w:rsidRPr="00563AD3">
        <w:t xml:space="preserve"> (Professionalism, Building Relationships, Care Challenges, Sustaining Personhood)</w:t>
      </w:r>
      <w:r w:rsidRPr="00563AD3">
        <w:t xml:space="preserve">. </w:t>
      </w:r>
      <w:r w:rsidR="00564F83" w:rsidRPr="00563AD3">
        <w:t xml:space="preserve">Each item is rated on a four-point scale of confidence (‘Not at all’ to ‘Very Much’). </w:t>
      </w:r>
      <w:r w:rsidRPr="00563AD3">
        <w:t>It has acceptable internal consistency and test-retest reliability</w:t>
      </w:r>
      <w:r w:rsidR="006D7D65">
        <w:t>.</w:t>
      </w:r>
      <w:r w:rsidR="00B426F1" w:rsidRPr="00563AD3">
        <w:t xml:space="preserve"> </w:t>
      </w:r>
      <w:r w:rsidR="00B426F1" w:rsidRPr="00563AD3">
        <w:fldChar w:fldCharType="begin"/>
      </w:r>
      <w:r w:rsidR="00411708">
        <w:instrText xml:space="preserve"> ADDIN EN.CITE &lt;EndNote&gt;&lt;Cite&gt;&lt;Author&gt;Schepers&lt;/Author&gt;&lt;Year&gt;2012&lt;/Year&gt;&lt;RecNum&gt;1406&lt;/RecNum&gt;&lt;DisplayText&gt;&lt;style face="superscript"&gt;132&lt;/style&gt;&lt;/DisplayText&gt;&lt;record&gt;&lt;rec-number&gt;1406&lt;/rec-number&gt;&lt;foreign-keys&gt;&lt;key app="EN" db-id="wprxwptv75dtdree0t5x2ptmvadptw5fr2ww" timestamp="1395063883"&gt;1406&lt;/key&gt;&lt;/foreign-keys&gt;&lt;ref-type name="Journal Article"&gt;17&lt;/ref-type&gt;&lt;contributors&gt;&lt;authors&gt;&lt;author&gt;Schepers, A.K.&lt;/author&gt;&lt;author&gt;Orrell, M.&lt;/author&gt;&lt;author&gt;Shanahan, N.&lt;/author&gt;&lt;author&gt;Spector, A.&lt;/author&gt;&lt;/authors&gt;&lt;/contributors&gt;&lt;titles&gt;&lt;title&gt;Sense of competence in Dementia Care Staff (SCIDS) scale: development, reliability and validity&lt;/title&gt;&lt;secondary-title&gt;International Psychogeriatrics&lt;/secondary-title&gt;&lt;/titles&gt;&lt;periodical&gt;&lt;full-title&gt;International Psychogeriatrics&lt;/full-title&gt;&lt;abbr-1&gt;Int. Psychogeriatr.&lt;/abbr-1&gt;&lt;abbr-2&gt;Int Psychogeriatr&lt;/abbr-2&gt;&lt;/periodical&gt;&lt;pages&gt;1153-62&lt;/pages&gt;&lt;volume&gt;24&lt;/volume&gt;&lt;number&gt;7&lt;/number&gt;&lt;dates&gt;&lt;year&gt;2012&lt;/year&gt;&lt;/dates&gt;&lt;urls&gt;&lt;/urls&gt;&lt;/record&gt;&lt;/Cite&gt;&lt;/EndNote&gt;</w:instrText>
      </w:r>
      <w:r w:rsidR="00B426F1" w:rsidRPr="00563AD3">
        <w:fldChar w:fldCharType="separate"/>
      </w:r>
      <w:r w:rsidR="00411708" w:rsidRPr="00411708">
        <w:rPr>
          <w:noProof/>
          <w:vertAlign w:val="superscript"/>
        </w:rPr>
        <w:t>132</w:t>
      </w:r>
      <w:r w:rsidR="00B426F1" w:rsidRPr="00563AD3">
        <w:fldChar w:fldCharType="end"/>
      </w:r>
    </w:p>
    <w:p w14:paraId="782461AD" w14:textId="77777777" w:rsidR="00EF595E" w:rsidRPr="00563AD3" w:rsidRDefault="00EF595E" w:rsidP="009B13F3"/>
    <w:p w14:paraId="5885A1AB" w14:textId="64532F47" w:rsidR="00157423" w:rsidRPr="00563AD3" w:rsidRDefault="00DD29A4" w:rsidP="009B13F3">
      <w:pPr>
        <w:pStyle w:val="Heading3"/>
      </w:pPr>
      <w:bookmarkStart w:id="80" w:name="_Toc525543974"/>
      <w:r w:rsidRPr="00563AD3">
        <w:t>2.6.</w:t>
      </w:r>
      <w:r w:rsidR="00157423" w:rsidRPr="00563AD3">
        <w:t>6 Organisational Measures</w:t>
      </w:r>
      <w:bookmarkEnd w:id="80"/>
    </w:p>
    <w:p w14:paraId="6129C9E4" w14:textId="3099F839" w:rsidR="00DD29A4" w:rsidRPr="00563AD3" w:rsidRDefault="00DD29A4" w:rsidP="009B13F3">
      <w:pPr>
        <w:pStyle w:val="Heading4"/>
      </w:pPr>
      <w:r w:rsidRPr="00563AD3">
        <w:t xml:space="preserve"> </w:t>
      </w:r>
      <w:r w:rsidR="005821ED" w:rsidRPr="00563AD3">
        <w:t>2.6</w:t>
      </w:r>
      <w:r w:rsidR="00157423" w:rsidRPr="00563AD3">
        <w:t xml:space="preserve">.6.1 </w:t>
      </w:r>
      <w:r w:rsidRPr="00563AD3">
        <w:t xml:space="preserve">Care quality </w:t>
      </w:r>
    </w:p>
    <w:p w14:paraId="26C42A80" w14:textId="7DE3BD68" w:rsidR="00EF595E" w:rsidRPr="00563AD3" w:rsidRDefault="00EF595E" w:rsidP="009B13F3">
      <w:pPr>
        <w:pStyle w:val="Heading5"/>
      </w:pPr>
      <w:r w:rsidRPr="00563AD3">
        <w:t>Quality of Interactions Schedule (QUIS)</w:t>
      </w:r>
      <w:r w:rsidRPr="00563AD3">
        <w:rPr>
          <w:rStyle w:val="Heading5Char"/>
        </w:rPr>
        <w:t xml:space="preserve"> </w:t>
      </w:r>
      <w:r w:rsidRPr="00563AD3">
        <w:rPr>
          <w:rStyle w:val="Heading5Char"/>
        </w:rPr>
        <w:fldChar w:fldCharType="begin"/>
      </w:r>
      <w:r w:rsidR="00411708">
        <w:rPr>
          <w:rStyle w:val="Heading5Char"/>
        </w:rPr>
        <w:instrText xml:space="preserve"> ADDIN EN.CITE &lt;EndNote&gt;&lt;Cite&gt;&lt;Author&gt;Dean&lt;/Author&gt;&lt;Year&gt;1993&lt;/Year&gt;&lt;RecNum&gt;492&lt;/RecNum&gt;&lt;DisplayText&gt;&lt;style face="superscript"&gt;133&lt;/style&gt;&lt;/DisplayText&gt;&lt;record&gt;&lt;rec-number&gt;492&lt;/rec-number&gt;&lt;foreign-keys&gt;&lt;key app="EN" db-id="wprxwptv75dtdree0t5x2ptmvadptw5fr2ww" timestamp="1269348632"&gt;492&lt;/key&gt;&lt;/foreign-keys&gt;&lt;ref-type name="Journal Article"&gt;17&lt;/ref-type&gt;&lt;contributors&gt;&lt;authors&gt;&lt;author&gt;Dean, R.&lt;/author&gt;&lt;author&gt;Proudfoot, R.&lt;/author&gt;&lt;author&gt;Lindesay, J.&lt;/author&gt;&lt;/authors&gt;&lt;/contributors&gt;&lt;titles&gt;&lt;title&gt;The Quality of Interactions Schedule (QUIS): development, reliability and use in the evaluation of two domus units&lt;/title&gt;&lt;secondary-title&gt;International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Psychiatry&lt;/abbr-2&gt;&lt;/periodical&gt;&lt;pages&gt;819-826&lt;/pages&gt;&lt;volume&gt;8&lt;/volume&gt;&lt;dates&gt;&lt;year&gt;1993&lt;/year&gt;&lt;/dates&gt;&lt;urls&gt;&lt;/urls&gt;&lt;/record&gt;&lt;/Cite&gt;&lt;/EndNote&gt;</w:instrText>
      </w:r>
      <w:r w:rsidRPr="00563AD3">
        <w:rPr>
          <w:rStyle w:val="Heading5Char"/>
        </w:rPr>
        <w:fldChar w:fldCharType="separate"/>
      </w:r>
      <w:r w:rsidR="00411708" w:rsidRPr="00411708">
        <w:rPr>
          <w:rStyle w:val="Heading5Char"/>
          <w:noProof/>
          <w:vertAlign w:val="superscript"/>
        </w:rPr>
        <w:t>133</w:t>
      </w:r>
      <w:r w:rsidRPr="00563AD3">
        <w:rPr>
          <w:rStyle w:val="Heading5Char"/>
        </w:rPr>
        <w:fldChar w:fldCharType="end"/>
      </w:r>
    </w:p>
    <w:p w14:paraId="4E9F45B1" w14:textId="288BF1F5" w:rsidR="00EF595E" w:rsidRPr="00563AD3" w:rsidRDefault="00EF595E" w:rsidP="009B13F3">
      <w:r w:rsidRPr="00563AD3">
        <w:t xml:space="preserve">The QUIS </w:t>
      </w:r>
      <w:r w:rsidR="00DD29A4" w:rsidRPr="00563AD3">
        <w:t xml:space="preserve">is an observational measure of the quality and quantity of staff interactions with residents </w:t>
      </w:r>
      <w:r w:rsidR="00564F83" w:rsidRPr="00563AD3">
        <w:t xml:space="preserve">during care delivery, </w:t>
      </w:r>
      <w:r w:rsidR="00DD29A4" w:rsidRPr="00563AD3">
        <w:t xml:space="preserve">at a care home level. It </w:t>
      </w:r>
      <w:r w:rsidR="00564F83" w:rsidRPr="00563AD3">
        <w:t xml:space="preserve">records five types of interactions (positive social, positive care, neutral, negative protective, negative restrictive) and </w:t>
      </w:r>
      <w:r w:rsidRPr="00563AD3">
        <w:t>has reported adequate inter-rater reliability and sensitivity</w:t>
      </w:r>
      <w:r w:rsidR="00B23A66">
        <w:t>.</w:t>
      </w:r>
      <w:r w:rsidRPr="00563AD3">
        <w:t xml:space="preserve"> </w:t>
      </w:r>
      <w:r w:rsidRPr="00563AD3">
        <w:fldChar w:fldCharType="begin"/>
      </w:r>
      <w:r w:rsidR="00411708">
        <w:instrText xml:space="preserve"> ADDIN EN.CITE &lt;EndNote&gt;&lt;Cite&gt;&lt;Author&gt;Coates&lt;/Author&gt;&lt;Year&gt;1997&lt;/Year&gt;&lt;RecNum&gt;1204&lt;/RecNum&gt;&lt;DisplayText&gt;&lt;style face="superscript"&gt;134&lt;/style&gt;&lt;/DisplayText&gt;&lt;record&gt;&lt;rec-number&gt;1204&lt;/rec-number&gt;&lt;foreign-keys&gt;&lt;key app="EN" db-id="wprxwptv75dtdree0t5x2ptmvadptw5fr2ww" timestamp="1321007442"&gt;1204&lt;/key&gt;&lt;/foreign-keys&gt;&lt;ref-type name="Journal Article"&gt;17&lt;/ref-type&gt;&lt;contributors&gt;&lt;authors&gt;&lt;author&gt;Coates, C.J.&lt;/author&gt;&lt;/authors&gt;&lt;/contributors&gt;&lt;titles&gt;&lt;title&gt;The Caring Efficacy Scale: nurses&amp;apos; self-reports of caring in practice settings&lt;/title&gt;&lt;secondary-title&gt;Advanced Practice Nursing Quarterly&lt;/secondary-title&gt;&lt;/titles&gt;&lt;periodical&gt;&lt;full-title&gt;Advanced Practice Nursing Quarterly&lt;/full-title&gt;&lt;abbr-1&gt;Adv. Pract. Nurs. Q.&lt;/abbr-1&gt;&lt;abbr-2&gt;Adv Pract Nurs Q&lt;/abbr-2&gt;&lt;/periodical&gt;&lt;pages&gt;53-9&lt;/pages&gt;&lt;volume&gt;3&lt;/volume&gt;&lt;number&gt;1&lt;/number&gt;&lt;dates&gt;&lt;year&gt;1997&lt;/year&gt;&lt;/dates&gt;&lt;urls&gt;&lt;/urls&gt;&lt;/record&gt;&lt;/Cite&gt;&lt;/EndNote&gt;</w:instrText>
      </w:r>
      <w:r w:rsidRPr="00563AD3">
        <w:fldChar w:fldCharType="separate"/>
      </w:r>
      <w:r w:rsidR="00411708" w:rsidRPr="00411708">
        <w:rPr>
          <w:noProof/>
          <w:vertAlign w:val="superscript"/>
        </w:rPr>
        <w:t>134</w:t>
      </w:r>
      <w:r w:rsidRPr="00563AD3">
        <w:fldChar w:fldCharType="end"/>
      </w:r>
      <w:r w:rsidRPr="00563AD3">
        <w:t xml:space="preserve"> The QUIS </w:t>
      </w:r>
      <w:r w:rsidR="00DD29A4" w:rsidRPr="00563AD3">
        <w:t>was completed via</w:t>
      </w:r>
      <w:r w:rsidRPr="00563AD3">
        <w:t xml:space="preserve"> researcher observation, </w:t>
      </w:r>
      <w:r w:rsidR="00DD29A4" w:rsidRPr="00563AD3">
        <w:t>using</w:t>
      </w:r>
      <w:r w:rsidRPr="00563AD3">
        <w:t xml:space="preserve"> a time-sampling technique in each setting. In accordance with QUIS guidelines </w:t>
      </w:r>
      <w:r w:rsidRPr="00563AD3">
        <w:fldChar w:fldCharType="begin"/>
      </w:r>
      <w:r w:rsidR="00411708">
        <w:instrText xml:space="preserve"> ADDIN EN.CITE &lt;EndNote&gt;&lt;Cite&gt;&lt;Author&gt;Lindesay&lt;/Author&gt;&lt;Year&gt;1997&lt;/Year&gt;&lt;RecNum&gt;1205&lt;/RecNum&gt;&lt;DisplayText&gt;&lt;style face="superscript"&gt;133, 135&lt;/style&gt;&lt;/DisplayText&gt;&lt;record&gt;&lt;rec-number&gt;1205&lt;/rec-number&gt;&lt;foreign-keys&gt;&lt;key app="EN" db-id="wprxwptv75dtdree0t5x2ptmvadptw5fr2ww" timestamp="1321009675"&gt;1205&lt;/key&gt;&lt;/foreign-keys&gt;&lt;ref-type name="Journal Article"&gt;17&lt;/ref-type&gt;&lt;contributors&gt;&lt;authors&gt;&lt;author&gt;Lindesay, J.&lt;/author&gt;&lt;author&gt;Skea, D.&lt;/author&gt;&lt;/authors&gt;&lt;/contributors&gt;&lt;titles&gt;&lt;title&gt;Gender and interactions between care staff and elderly nursing home residents with dementia&lt;/title&gt;&lt;secondary-title&gt;International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344-48&lt;/pages&gt;&lt;volume&gt;12&lt;/volume&gt;&lt;dates&gt;&lt;year&gt;1997&lt;/year&gt;&lt;/dates&gt;&lt;urls&gt;&lt;/urls&gt;&lt;/record&gt;&lt;/Cite&gt;&lt;Cite&gt;&lt;Author&gt;Dean&lt;/Author&gt;&lt;Year&gt;1993&lt;/Year&gt;&lt;RecNum&gt;492&lt;/RecNum&gt;&lt;record&gt;&lt;rec-number&gt;492&lt;/rec-number&gt;&lt;foreign-keys&gt;&lt;key app="EN" db-id="wprxwptv75dtdree0t5x2ptmvadptw5fr2ww" timestamp="1269348632"&gt;492&lt;/key&gt;&lt;/foreign-keys&gt;&lt;ref-type name="Journal Article"&gt;17&lt;/ref-type&gt;&lt;contributors&gt;&lt;authors&gt;&lt;author&gt;Dean, R.&lt;/author&gt;&lt;author&gt;Proudfoot, R.&lt;/author&gt;&lt;author&gt;Lindesay, J.&lt;/author&gt;&lt;/authors&gt;&lt;/contributors&gt;&lt;titles&gt;&lt;title&gt;The Quality of Interactions Schedule (QUIS): development, reliability and use in the evaluation of two domus units&lt;/title&gt;&lt;secondary-title&gt;International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Psychiatry&lt;/abbr-2&gt;&lt;/periodical&gt;&lt;pages&gt;819-826&lt;/pages&gt;&lt;volume&gt;8&lt;/volume&gt;&lt;dates&gt;&lt;year&gt;1993&lt;/year&gt;&lt;/dates&gt;&lt;urls&gt;&lt;/urls&gt;&lt;/record&gt;&lt;/Cite&gt;&lt;/EndNote&gt;</w:instrText>
      </w:r>
      <w:r w:rsidRPr="00563AD3">
        <w:fldChar w:fldCharType="separate"/>
      </w:r>
      <w:r w:rsidR="00411708" w:rsidRPr="00411708">
        <w:rPr>
          <w:noProof/>
          <w:vertAlign w:val="superscript"/>
        </w:rPr>
        <w:t>133, 135</w:t>
      </w:r>
      <w:r w:rsidRPr="00563AD3">
        <w:fldChar w:fldCharType="end"/>
      </w:r>
      <w:r w:rsidR="00DD29A4" w:rsidRPr="00563AD3">
        <w:t xml:space="preserve"> o</w:t>
      </w:r>
      <w:r w:rsidRPr="00563AD3">
        <w:t xml:space="preserve">bservations </w:t>
      </w:r>
      <w:r w:rsidR="00DD29A4" w:rsidRPr="00563AD3">
        <w:t>of</w:t>
      </w:r>
      <w:r w:rsidRPr="00563AD3">
        <w:t xml:space="preserve"> interactions </w:t>
      </w:r>
      <w:r w:rsidR="00DD29A4" w:rsidRPr="00563AD3">
        <w:t>at</w:t>
      </w:r>
      <w:r w:rsidRPr="00563AD3">
        <w:t xml:space="preserve"> 5-minute intervals,</w:t>
      </w:r>
      <w:r w:rsidR="001B1112" w:rsidRPr="00563AD3">
        <w:t xml:space="preserve"> were conducted</w:t>
      </w:r>
      <w:r w:rsidRPr="00563AD3">
        <w:t xml:space="preserve"> in communal areas in the care home</w:t>
      </w:r>
      <w:r w:rsidR="007C6544" w:rsidRPr="00563AD3">
        <w:t xml:space="preserve"> and recorded summarised into 15-minute intervals</w:t>
      </w:r>
      <w:r w:rsidRPr="00563AD3">
        <w:t>. O</w:t>
      </w:r>
      <w:r w:rsidR="00555A29" w:rsidRPr="00563AD3">
        <w:t>ne-</w:t>
      </w:r>
      <w:r w:rsidR="007C6544" w:rsidRPr="00563AD3">
        <w:t>hour o</w:t>
      </w:r>
      <w:r w:rsidRPr="00563AD3">
        <w:t xml:space="preserve">bservations </w:t>
      </w:r>
      <w:r w:rsidR="001B1112" w:rsidRPr="00563AD3">
        <w:t>were</w:t>
      </w:r>
      <w:r w:rsidR="0031048E" w:rsidRPr="00563AD3">
        <w:t xml:space="preserve"> completed at two time-</w:t>
      </w:r>
      <w:r w:rsidRPr="00563AD3">
        <w:t>points (AM and PM) over t</w:t>
      </w:r>
      <w:r w:rsidR="001B1112" w:rsidRPr="00563AD3">
        <w:t>wo days within the same week (7-</w:t>
      </w:r>
      <w:r w:rsidRPr="00563AD3">
        <w:t>day period) in accordance with Care Home activity (i.e. morning coffee break) in the most populated communal area in the home.</w:t>
      </w:r>
      <w:r w:rsidR="005E706F" w:rsidRPr="00563AD3">
        <w:t xml:space="preserve"> For the purposes of analysis in this trial, the proportion of interactions that were positive (positive social and positive care)</w:t>
      </w:r>
      <w:r w:rsidRPr="00563AD3">
        <w:t xml:space="preserve"> </w:t>
      </w:r>
      <w:r w:rsidR="005E706F" w:rsidRPr="00563AD3">
        <w:t>was used.</w:t>
      </w:r>
    </w:p>
    <w:p w14:paraId="4F41854B" w14:textId="334B01A1" w:rsidR="00EF595E" w:rsidRPr="00563AD3" w:rsidRDefault="00DD29A4" w:rsidP="009B13F3">
      <w:pPr>
        <w:pStyle w:val="Heading4"/>
      </w:pPr>
      <w:r w:rsidRPr="00563AD3">
        <w:t>2.6.</w:t>
      </w:r>
      <w:r w:rsidR="005821ED" w:rsidRPr="00563AD3">
        <w:t xml:space="preserve">6.2 </w:t>
      </w:r>
      <w:r w:rsidRPr="00563AD3">
        <w:t xml:space="preserve">Care home </w:t>
      </w:r>
      <w:r w:rsidR="007050CA" w:rsidRPr="00563AD3">
        <w:t xml:space="preserve">environment and </w:t>
      </w:r>
      <w:r w:rsidRPr="00563AD3">
        <w:t>characteristics</w:t>
      </w:r>
    </w:p>
    <w:p w14:paraId="3E6272C2" w14:textId="77777777" w:rsidR="00EF67FE" w:rsidRPr="00563AD3" w:rsidRDefault="00EF67FE" w:rsidP="009B13F3">
      <w:pPr>
        <w:pStyle w:val="Heading5"/>
      </w:pPr>
      <w:r w:rsidRPr="00563AD3">
        <w:t>Care Home Demographics Questionnaire</w:t>
      </w:r>
    </w:p>
    <w:p w14:paraId="5F137AA0" w14:textId="77777777" w:rsidR="00F74B72" w:rsidRPr="00563AD3" w:rsidRDefault="00F74B72" w:rsidP="009B13F3">
      <w:r w:rsidRPr="00563AD3">
        <w:t>This</w:t>
      </w:r>
      <w:r w:rsidR="00EF67FE" w:rsidRPr="00563AD3">
        <w:t xml:space="preserve"> questionnaire</w:t>
      </w:r>
      <w:r w:rsidRPr="00563AD3">
        <w:t>,</w:t>
      </w:r>
      <w:r w:rsidR="00EF67FE" w:rsidRPr="00563AD3">
        <w:t xml:space="preserve"> designed by the study team</w:t>
      </w:r>
      <w:r w:rsidRPr="00563AD3">
        <w:t>,</w:t>
      </w:r>
      <w:r w:rsidR="00EF67FE" w:rsidRPr="00563AD3">
        <w:t xml:space="preserve"> collect</w:t>
      </w:r>
      <w:r w:rsidRPr="00563AD3">
        <w:t>ed</w:t>
      </w:r>
      <w:r w:rsidR="00EF67FE" w:rsidRPr="00563AD3">
        <w:t xml:space="preserve"> organisational data regarding </w:t>
      </w:r>
      <w:r w:rsidRPr="00563AD3">
        <w:t>each</w:t>
      </w:r>
      <w:r w:rsidR="00EF67FE" w:rsidRPr="00563AD3">
        <w:t xml:space="preserve"> care home (size, type, ownership, geography, staff turnover, staff ratio</w:t>
      </w:r>
      <w:r w:rsidRPr="00563AD3">
        <w:t>s, resident demographics, etc.) and</w:t>
      </w:r>
      <w:r w:rsidR="00EF67FE" w:rsidRPr="00563AD3">
        <w:t xml:space="preserve"> its manager (qualifications, length of time </w:t>
      </w:r>
      <w:r w:rsidRPr="00563AD3">
        <w:t>in post, leadership style etc.).</w:t>
      </w:r>
    </w:p>
    <w:p w14:paraId="1FA380F7" w14:textId="46E11D9F" w:rsidR="00EF595E" w:rsidRPr="00563AD3" w:rsidRDefault="00EF595E" w:rsidP="009B13F3">
      <w:pPr>
        <w:rPr>
          <w:rStyle w:val="Heading5Char"/>
        </w:rPr>
      </w:pPr>
      <w:r w:rsidRPr="00563AD3">
        <w:rPr>
          <w:i/>
        </w:rPr>
        <w:t>Environmental Audit Tool (EAT)</w:t>
      </w:r>
      <w:r w:rsidRPr="00563AD3">
        <w:rPr>
          <w:rStyle w:val="Heading5Char"/>
        </w:rPr>
        <w:t xml:space="preserve"> </w:t>
      </w:r>
      <w:r w:rsidRPr="00563AD3">
        <w:rPr>
          <w:rStyle w:val="Heading5Char"/>
          <w:i w:val="0"/>
        </w:rPr>
        <w:fldChar w:fldCharType="begin"/>
      </w:r>
      <w:r w:rsidR="00411708">
        <w:rPr>
          <w:rStyle w:val="Heading5Char"/>
          <w:i w:val="0"/>
        </w:rPr>
        <w:instrText xml:space="preserve"> ADDIN EN.CITE &lt;EndNote&gt;&lt;Cite&gt;&lt;Author&gt;Smith&lt;/Author&gt;&lt;Year&gt;2012&lt;/Year&gt;&lt;RecNum&gt;1225&lt;/RecNum&gt;&lt;DisplayText&gt;&lt;style face="superscript"&gt;136&lt;/style&gt;&lt;/DisplayText&gt;&lt;record&gt;&lt;rec-number&gt;1225&lt;/rec-number&gt;&lt;foreign-keys&gt;&lt;key app="EN" db-id="wprxwptv75dtdree0t5x2ptmvadptw5fr2ww" timestamp="1323093092"&gt;1225&lt;/key&gt;&lt;/foreign-keys&gt;&lt;ref-type name="Journal Article"&gt;17&lt;/ref-type&gt;&lt;contributors&gt;&lt;authors&gt;&lt;author&gt;Smith, R.&lt;/author&gt;&lt;author&gt;Fleming, R.&lt;/author&gt;&lt;author&gt;Chenoweth, L.&lt;/author&gt;&lt;author&gt;Jeon, Y.H.&lt;/author&gt;&lt;author&gt;Stein-Parbury, J.&lt;/author&gt;&lt;author&gt;Brodaty, H.&lt;/author&gt;&lt;/authors&gt;&lt;/contributors&gt;&lt;titles&gt;&lt;title&gt;Validation of the Environmental Audit Tool in both purpose-built and non-purpose-built dementia care settings&lt;/title&gt;&lt;secondary-title&gt;Australasian Journal on Ageing&lt;/secondary-title&gt;&lt;/titles&gt;&lt;periodical&gt;&lt;full-title&gt;Australasian Journal on Ageing&lt;/full-title&gt;&lt;abbr-1&gt;Australas. J. Ageing&lt;/abbr-1&gt;&lt;abbr-2&gt;Australas J Ageing&lt;/abbr-2&gt;&lt;/periodical&gt;&lt;pages&gt;159-163&lt;/pages&gt;&lt;volume&gt;31&lt;/volume&gt;&lt;number&gt;3&lt;/number&gt;&lt;dates&gt;&lt;year&gt;2012&lt;/year&gt;&lt;/dates&gt;&lt;urls&gt;&lt;/urls&gt;&lt;/record&gt;&lt;/Cite&gt;&lt;/EndNote&gt;</w:instrText>
      </w:r>
      <w:r w:rsidRPr="00563AD3">
        <w:rPr>
          <w:rStyle w:val="Heading5Char"/>
          <w:i w:val="0"/>
        </w:rPr>
        <w:fldChar w:fldCharType="separate"/>
      </w:r>
      <w:r w:rsidR="00411708" w:rsidRPr="00411708">
        <w:rPr>
          <w:rStyle w:val="Heading5Char"/>
          <w:i w:val="0"/>
          <w:noProof/>
          <w:vertAlign w:val="superscript"/>
        </w:rPr>
        <w:t>136</w:t>
      </w:r>
      <w:r w:rsidRPr="00563AD3">
        <w:rPr>
          <w:rStyle w:val="Heading5Char"/>
          <w:i w:val="0"/>
        </w:rPr>
        <w:fldChar w:fldCharType="end"/>
      </w:r>
    </w:p>
    <w:p w14:paraId="5E973ABA" w14:textId="59ACE497" w:rsidR="00EF595E" w:rsidRPr="00563AD3" w:rsidRDefault="00EF595E" w:rsidP="009B13F3">
      <w:pPr>
        <w:spacing w:after="200"/>
        <w:contextualSpacing/>
      </w:pPr>
      <w:r w:rsidRPr="00563AD3">
        <w:t>The EAT is a</w:t>
      </w:r>
      <w:r w:rsidR="00EF67FE" w:rsidRPr="00563AD3">
        <w:t>n</w:t>
      </w:r>
      <w:r w:rsidRPr="00563AD3">
        <w:t xml:space="preserve"> instrument </w:t>
      </w:r>
      <w:r w:rsidR="00EF67FE" w:rsidRPr="00563AD3">
        <w:t xml:space="preserve">with reported adequate reliability and validity </w:t>
      </w:r>
      <w:r w:rsidRPr="00563AD3">
        <w:t xml:space="preserve">used to differentiate between the quality of </w:t>
      </w:r>
      <w:r w:rsidR="00EF67FE" w:rsidRPr="00563AD3">
        <w:t xml:space="preserve">the physical environment </w:t>
      </w:r>
      <w:r w:rsidRPr="00563AD3">
        <w:t>in various types of dementia care facilities</w:t>
      </w:r>
      <w:r w:rsidR="00B23A66">
        <w:t>.</w:t>
      </w:r>
      <w:r w:rsidR="00564F83" w:rsidRPr="00563AD3">
        <w:t xml:space="preserve"> </w:t>
      </w:r>
      <w:r w:rsidR="00564F83" w:rsidRPr="00563AD3">
        <w:fldChar w:fldCharType="begin"/>
      </w:r>
      <w:r w:rsidR="00411708">
        <w:instrText xml:space="preserve"> ADDIN EN.CITE &lt;EndNote&gt;&lt;Cite&gt;&lt;Author&gt;Smith&lt;/Author&gt;&lt;Year&gt;2012&lt;/Year&gt;&lt;RecNum&gt;1225&lt;/RecNum&gt;&lt;DisplayText&gt;&lt;style face="superscript"&gt;136&lt;/style&gt;&lt;/DisplayText&gt;&lt;record&gt;&lt;rec-number&gt;1225&lt;/rec-number&gt;&lt;foreign-keys&gt;&lt;key app="EN" db-id="wprxwptv75dtdree0t5x2ptmvadptw5fr2ww" timestamp="1323093092"&gt;1225&lt;/key&gt;&lt;/foreign-keys&gt;&lt;ref-type name="Journal Article"&gt;17&lt;/ref-type&gt;&lt;contributors&gt;&lt;authors&gt;&lt;author&gt;Smith, R.&lt;/author&gt;&lt;author&gt;Fleming, R.&lt;/author&gt;&lt;author&gt;Chenoweth, L.&lt;/author&gt;&lt;author&gt;Jeon, Y.H.&lt;/author&gt;&lt;author&gt;Stein-Parbury, J.&lt;/author&gt;&lt;author&gt;Brodaty, H.&lt;/author&gt;&lt;/authors&gt;&lt;/contributors&gt;&lt;titles&gt;&lt;title&gt;Validation of the Environmental Audit Tool in both purpose-built and non-purpose-built dementia care settings&lt;/title&gt;&lt;secondary-title&gt;Australasian Journal on Ageing&lt;/secondary-title&gt;&lt;/titles&gt;&lt;periodical&gt;&lt;full-title&gt;Australasian Journal on Ageing&lt;/full-title&gt;&lt;abbr-1&gt;Australas. J. Ageing&lt;/abbr-1&gt;&lt;abbr-2&gt;Australas J Ageing&lt;/abbr-2&gt;&lt;/periodical&gt;&lt;pages&gt;159-163&lt;/pages&gt;&lt;volume&gt;31&lt;/volume&gt;&lt;number&gt;3&lt;/number&gt;&lt;dates&gt;&lt;year&gt;2012&lt;/year&gt;&lt;/dates&gt;&lt;urls&gt;&lt;/urls&gt;&lt;/record&gt;&lt;/Cite&gt;&lt;/EndNote&gt;</w:instrText>
      </w:r>
      <w:r w:rsidR="00564F83" w:rsidRPr="00563AD3">
        <w:fldChar w:fldCharType="separate"/>
      </w:r>
      <w:r w:rsidR="00411708" w:rsidRPr="00411708">
        <w:rPr>
          <w:noProof/>
          <w:vertAlign w:val="superscript"/>
        </w:rPr>
        <w:t>136</w:t>
      </w:r>
      <w:r w:rsidR="00564F83" w:rsidRPr="00563AD3">
        <w:fldChar w:fldCharType="end"/>
      </w:r>
      <w:r w:rsidR="007050CA" w:rsidRPr="00563AD3">
        <w:t xml:space="preserve"> It was completed by the researcher </w:t>
      </w:r>
      <w:r w:rsidR="00484C18" w:rsidRPr="00563AD3">
        <w:t>with the assistance of a staff member if required.</w:t>
      </w:r>
    </w:p>
    <w:p w14:paraId="36C97759" w14:textId="0F516A16" w:rsidR="00EF595E" w:rsidRPr="00563AD3" w:rsidRDefault="00EF595E" w:rsidP="009B13F3">
      <w:pPr>
        <w:pStyle w:val="Heading5"/>
      </w:pPr>
      <w:r w:rsidRPr="00563AD3">
        <w:t>Group Living Home Characteristics Questionnaire</w:t>
      </w:r>
      <w:r w:rsidRPr="00563AD3">
        <w:rPr>
          <w:rStyle w:val="Heading5Char"/>
        </w:rPr>
        <w:t xml:space="preserve"> </w:t>
      </w:r>
      <w:r w:rsidRPr="00563AD3">
        <w:rPr>
          <w:rStyle w:val="Heading5Char"/>
          <w:i/>
        </w:rPr>
        <w:t>(GLHC)</w:t>
      </w:r>
      <w:r w:rsidR="00F74B72" w:rsidRPr="00563AD3">
        <w:rPr>
          <w:rStyle w:val="Heading5Char"/>
          <w:i/>
        </w:rPr>
        <w:t xml:space="preserve"> </w:t>
      </w:r>
      <w:r w:rsidRPr="00563AD3">
        <w:rPr>
          <w:rStyle w:val="Heading5Char"/>
        </w:rPr>
        <w:fldChar w:fldCharType="begin"/>
      </w:r>
      <w:r w:rsidR="00411708">
        <w:rPr>
          <w:rStyle w:val="Heading5Char"/>
        </w:rPr>
        <w:instrText xml:space="preserve"> ADDIN EN.CITE &lt;EndNote&gt;&lt;Cite&gt;&lt;Author&gt;Te Boekhorst&lt;/Author&gt;&lt;Year&gt;2011&lt;/Year&gt;&lt;RecNum&gt;1074&lt;/RecNum&gt;&lt;DisplayText&gt;&lt;style face="superscript"&gt;137&lt;/style&gt;&lt;/DisplayText&gt;&lt;record&gt;&lt;rec-number&gt;1074&lt;/rec-number&gt;&lt;foreign-keys&gt;&lt;key app="EN" db-id="99xrrr0via90wweft93vf5vkasadfzfxfz0z"&gt;1074&lt;/key&gt;&lt;/foreign-keys&gt;&lt;ref-type name="Journal Article"&gt;17&lt;/ref-type&gt;&lt;contributors&gt;&lt;authors&gt;&lt;author&gt;Te Boekhorst, S.&lt;/author&gt;&lt;author&gt;Depla, M.F.I.A.&lt;/author&gt;&lt;author&gt;Pot, A.M.&lt;/author&gt;&lt;author&gt;De Lange, J.&lt;/author&gt;&lt;author&gt;Eefsting, J.A.&lt;/author&gt;&lt;/authors&gt;&lt;/contributors&gt;&lt;titles&gt;&lt;title&gt;The ideals of group living homes for people with dementia: do they practice what they preach?&lt;/title&gt;&lt;secondary-title&gt;International Psychogeriatrics&lt;/secondary-title&gt;&lt;/titles&gt;&lt;periodical&gt;&lt;full-title&gt;International Psychogeriatrics&lt;/full-title&gt;&lt;/periodical&gt;&lt;pages&gt;1526-1527&lt;/pages&gt;&lt;volume&gt;23&lt;/volume&gt;&lt;number&gt;9&lt;/number&gt;&lt;dates&gt;&lt;year&gt;2011&lt;/year&gt;&lt;/dates&gt;&lt;urls&gt;&lt;/urls&gt;&lt;/record&gt;&lt;/Cite&gt;&lt;/EndNote&gt;</w:instrText>
      </w:r>
      <w:r w:rsidRPr="00563AD3">
        <w:rPr>
          <w:rStyle w:val="Heading5Char"/>
        </w:rPr>
        <w:fldChar w:fldCharType="separate"/>
      </w:r>
      <w:r w:rsidR="00411708" w:rsidRPr="00411708">
        <w:rPr>
          <w:rStyle w:val="Heading5Char"/>
          <w:noProof/>
          <w:vertAlign w:val="superscript"/>
        </w:rPr>
        <w:t>137</w:t>
      </w:r>
      <w:r w:rsidRPr="00563AD3">
        <w:rPr>
          <w:rStyle w:val="Heading5Char"/>
        </w:rPr>
        <w:fldChar w:fldCharType="end"/>
      </w:r>
    </w:p>
    <w:p w14:paraId="23F1C622" w14:textId="533FD9AF" w:rsidR="00F74B72" w:rsidRPr="00563AD3" w:rsidRDefault="00EF595E" w:rsidP="009B13F3">
      <w:pPr>
        <w:spacing w:after="200"/>
        <w:contextualSpacing/>
      </w:pPr>
      <w:r w:rsidRPr="00563AD3">
        <w:t xml:space="preserve">This is a measure of the style of care being delivered in the home. It examines how ‘home-like’ care delivered is. It includes </w:t>
      </w:r>
      <w:r w:rsidR="00564F83" w:rsidRPr="00563AD3">
        <w:t>four</w:t>
      </w:r>
      <w:r w:rsidRPr="00563AD3">
        <w:t xml:space="preserve">-subscales </w:t>
      </w:r>
      <w:r w:rsidR="00564F83" w:rsidRPr="00563AD3">
        <w:t xml:space="preserve">(physical environment, residents, relatives/other visitors, staff) </w:t>
      </w:r>
      <w:r w:rsidRPr="00563AD3">
        <w:t>each containing at least three related statements</w:t>
      </w:r>
      <w:r w:rsidR="00564F83" w:rsidRPr="00563AD3">
        <w:t xml:space="preserve"> answered according to a five-point scale (‘Never’ to ‘Always’)</w:t>
      </w:r>
      <w:r w:rsidRPr="00563AD3">
        <w:t>.</w:t>
      </w:r>
      <w:r w:rsidR="007050CA" w:rsidRPr="00563AD3">
        <w:t xml:space="preserve"> It was completed by the researcher</w:t>
      </w:r>
      <w:r w:rsidR="00484C18" w:rsidRPr="00563AD3">
        <w:t>.</w:t>
      </w:r>
    </w:p>
    <w:p w14:paraId="077FC36A" w14:textId="07573AA7" w:rsidR="00F74B72" w:rsidRPr="00563AD3" w:rsidRDefault="00F74B72" w:rsidP="009B13F3">
      <w:pPr>
        <w:pStyle w:val="Heading5"/>
      </w:pPr>
      <w:r w:rsidRPr="00563AD3">
        <w:rPr>
          <w:lang w:val="en-US"/>
        </w:rPr>
        <w:t>Assessment</w:t>
      </w:r>
      <w:r w:rsidRPr="00563AD3" w:rsidDel="002777D4">
        <w:rPr>
          <w:lang w:val="en-US"/>
        </w:rPr>
        <w:t xml:space="preserve"> </w:t>
      </w:r>
      <w:r w:rsidRPr="00563AD3">
        <w:rPr>
          <w:lang w:val="en-US"/>
        </w:rPr>
        <w:t xml:space="preserve">of Dementia Awareness and Person-Centred Care Training </w:t>
      </w:r>
      <w:r w:rsidRPr="00563AD3">
        <w:t>(ADAPT)</w:t>
      </w:r>
      <w:r w:rsidR="00AF5B6E" w:rsidRPr="00563AD3">
        <w:t xml:space="preserve"> audit</w:t>
      </w:r>
      <w:r w:rsidR="002B6E25" w:rsidRPr="00563AD3">
        <w:t xml:space="preserve"> </w:t>
      </w:r>
      <w:r w:rsidR="002B6E25" w:rsidRPr="00563AD3">
        <w:fldChar w:fldCharType="begin"/>
      </w:r>
      <w:r w:rsidR="008C7FD1">
        <w:instrText xml:space="preserve"> ADDIN EN.CITE &lt;EndNote&gt;&lt;Cite&gt;&lt;Author&gt;Griffiths&lt;/Author&gt;&lt;Year&gt;2018&lt;/Year&gt;&lt;RecNum&gt;1852&lt;/RecNum&gt;&lt;DisplayText&gt;&lt;style face="superscript"&gt;99&lt;/style&gt;&lt;/DisplayText&gt;&lt;record&gt;&lt;rec-number&gt;1852&lt;/rec-number&gt;&lt;foreign-keys&gt;&lt;key app="EN" db-id="wprxwptv75dtdree0t5x2ptmvadptw5fr2ww" timestamp="1519403369"&gt;1852&lt;/key&gt;&lt;/foreign-keys&gt;&lt;ref-type name="Journal Article"&gt;17&lt;/ref-type&gt;&lt;contributors&gt;&lt;authors&gt;&lt;author&gt;Griffiths, A.W.&lt;/author&gt;&lt;author&gt;Creese, B.&lt;/author&gt;&lt;author&gt;Garrod, L.&lt;/author&gt;&lt;author&gt;Chenoweth, L.&lt;/author&gt;&lt;author&gt;Surr, C.&lt;/author&gt;&lt;/authors&gt;&lt;/contributors&gt;&lt;titles&gt;&lt;title&gt;The development and use of the Assessment of Dementia Awareness and Person-centred Care Training (ADAPT) tool in long-term care &lt;/title&gt;&lt;secondary-title&gt;Dementia: The international journal of social research and practice&lt;/secondary-title&gt;&lt;/titles&gt;&lt;dates&gt;&lt;year&gt;2018&lt;/year&gt;&lt;/dates&gt;&lt;urls&gt;&lt;/urls&gt;&lt;electronic-resource-num&gt;10.1177/1471301218768165&lt;/electronic-resource-num&gt;&lt;/record&gt;&lt;/Cite&gt;&lt;/EndNote&gt;</w:instrText>
      </w:r>
      <w:r w:rsidR="002B6E25" w:rsidRPr="00563AD3">
        <w:fldChar w:fldCharType="separate"/>
      </w:r>
      <w:r w:rsidR="00EC2AA2" w:rsidRPr="00EC2AA2">
        <w:rPr>
          <w:noProof/>
          <w:vertAlign w:val="superscript"/>
        </w:rPr>
        <w:t>99</w:t>
      </w:r>
      <w:r w:rsidR="002B6E25" w:rsidRPr="00563AD3">
        <w:fldChar w:fldCharType="end"/>
      </w:r>
    </w:p>
    <w:p w14:paraId="41FC5F15" w14:textId="4193CFF3" w:rsidR="00AF5B6E" w:rsidRPr="00563AD3" w:rsidRDefault="00AF5B6E" w:rsidP="009B13F3">
      <w:pPr>
        <w:spacing w:after="200"/>
        <w:contextualSpacing/>
      </w:pPr>
      <w:r w:rsidRPr="00563AD3">
        <w:t xml:space="preserve">See </w:t>
      </w:r>
      <w:r w:rsidRPr="00B23A66">
        <w:rPr>
          <w:i/>
        </w:rPr>
        <w:t>section 2.3.1.3</w:t>
      </w:r>
      <w:r w:rsidR="00B23A66">
        <w:rPr>
          <w:i/>
        </w:rPr>
        <w:t>.</w:t>
      </w:r>
    </w:p>
    <w:p w14:paraId="400614BE" w14:textId="04AA2DE7" w:rsidR="00F74B72" w:rsidRPr="00563AD3" w:rsidRDefault="00F74B72" w:rsidP="009B13F3">
      <w:pPr>
        <w:pStyle w:val="Heading5"/>
      </w:pPr>
      <w:r w:rsidRPr="00563AD3">
        <w:t>Safety and RUSAE reporting</w:t>
      </w:r>
    </w:p>
    <w:p w14:paraId="44568A0D" w14:textId="0CE43AD2" w:rsidR="00F74B72" w:rsidRPr="00563AD3" w:rsidRDefault="00F74B72" w:rsidP="009B13F3">
      <w:r w:rsidRPr="00563AD3">
        <w:t xml:space="preserve">See </w:t>
      </w:r>
      <w:r w:rsidRPr="00B23A66">
        <w:rPr>
          <w:i/>
        </w:rPr>
        <w:t>section 2.11</w:t>
      </w:r>
      <w:r w:rsidR="00B23A66">
        <w:rPr>
          <w:i/>
        </w:rPr>
        <w:t>.</w:t>
      </w:r>
    </w:p>
    <w:p w14:paraId="7AC67C3C" w14:textId="1E00132F" w:rsidR="000B4E72" w:rsidRDefault="000B4E72" w:rsidP="009B13F3"/>
    <w:p w14:paraId="03ECB9DC" w14:textId="77777777" w:rsidR="00BE094B" w:rsidRPr="00563AD3" w:rsidRDefault="00BE094B" w:rsidP="009B13F3"/>
    <w:p w14:paraId="2F660F8E" w14:textId="0F57973D" w:rsidR="002C413C" w:rsidRPr="00563AD3" w:rsidRDefault="001422DB" w:rsidP="009B13F3">
      <w:pPr>
        <w:pStyle w:val="Heading2"/>
      </w:pPr>
      <w:bookmarkStart w:id="81" w:name="_Toc525543975"/>
      <w:r w:rsidRPr="00563AD3">
        <w:t>2.7</w:t>
      </w:r>
      <w:r w:rsidR="008A60E2" w:rsidRPr="00563AD3">
        <w:t xml:space="preserve"> </w:t>
      </w:r>
      <w:r w:rsidR="002C413C" w:rsidRPr="00563AD3">
        <w:t>Sample size</w:t>
      </w:r>
      <w:bookmarkEnd w:id="81"/>
    </w:p>
    <w:p w14:paraId="4B03218F" w14:textId="2F9BCA1C" w:rsidR="001B1112" w:rsidRPr="00563AD3" w:rsidRDefault="0088749C" w:rsidP="009B13F3">
      <w:r w:rsidRPr="00563AD3">
        <w:t>The s</w:t>
      </w:r>
      <w:r w:rsidR="001B1112" w:rsidRPr="00563AD3">
        <w:t xml:space="preserve">ample size </w:t>
      </w:r>
      <w:r w:rsidR="009C727C" w:rsidRPr="00563AD3">
        <w:t xml:space="preserve">was </w:t>
      </w:r>
      <w:r w:rsidRPr="00563AD3">
        <w:t xml:space="preserve">calculated to detect a moderate standardised effect size of 0.4 </w:t>
      </w:r>
      <w:r w:rsidR="001B1112" w:rsidRPr="00563AD3">
        <w:t>on the primary outcome</w:t>
      </w:r>
      <w:r w:rsidRPr="00563AD3">
        <w:t>: the between-</w:t>
      </w:r>
      <w:r w:rsidR="001B1112" w:rsidRPr="00563AD3">
        <w:t>g</w:t>
      </w:r>
      <w:r w:rsidR="00365CE3" w:rsidRPr="00563AD3">
        <w:t xml:space="preserve">roup </w:t>
      </w:r>
      <w:r w:rsidRPr="00563AD3">
        <w:t xml:space="preserve">difference </w:t>
      </w:r>
      <w:r w:rsidR="00365CE3" w:rsidRPr="00563AD3">
        <w:t>in mean CMAI scores at 16-</w:t>
      </w:r>
      <w:r w:rsidR="001B1112" w:rsidRPr="00563AD3">
        <w:t xml:space="preserve">months. </w:t>
      </w:r>
      <w:r w:rsidR="00BF53CB" w:rsidRPr="00563AD3">
        <w:t>W</w:t>
      </w:r>
      <w:r w:rsidR="001B1112" w:rsidRPr="00563AD3">
        <w:t xml:space="preserve">e assumed the </w:t>
      </w:r>
      <w:r w:rsidR="00EF67FE" w:rsidRPr="00563AD3">
        <w:t xml:space="preserve">standard deviation </w:t>
      </w:r>
      <w:r w:rsidR="00365CE3" w:rsidRPr="00563AD3">
        <w:t xml:space="preserve">(SD) </w:t>
      </w:r>
      <w:r w:rsidR="00BF53CB" w:rsidRPr="00563AD3">
        <w:t xml:space="preserve">would </w:t>
      </w:r>
      <w:r w:rsidR="001B1112" w:rsidRPr="00563AD3">
        <w:t>be similar to that observed in a recent</w:t>
      </w:r>
      <w:r w:rsidR="00BF53CB" w:rsidRPr="00563AD3">
        <w:t>ly completed</w:t>
      </w:r>
      <w:r w:rsidR="001B1112" w:rsidRPr="00563AD3">
        <w:t xml:space="preserve"> trial in UK care home</w:t>
      </w:r>
      <w:r w:rsidR="00365CE3" w:rsidRPr="00563AD3">
        <w:t>s</w:t>
      </w:r>
      <w:r w:rsidR="001B1112" w:rsidRPr="00563AD3">
        <w:t xml:space="preserve"> (7.5 points</w:t>
      </w:r>
      <w:r w:rsidR="00B23A66">
        <w:t>).</w:t>
      </w:r>
      <w:r w:rsidR="001B1112" w:rsidRPr="00563AD3">
        <w:t xml:space="preserve"> </w:t>
      </w:r>
      <w:r w:rsidR="005A1D7B" w:rsidRPr="00563AD3">
        <w:fldChar w:fldCharType="begin"/>
      </w:r>
      <w:r w:rsidR="008C7FD1">
        <w:instrText xml:space="preserve"> ADDIN EN.CITE &lt;EndNote&gt;&lt;Cite&gt;&lt;Author&gt;Fossey&lt;/Author&gt;&lt;Year&gt;2006&lt;/Year&gt;&lt;RecNum&gt;1015&lt;/RecNum&gt;&lt;DisplayText&gt;&lt;style face="superscript"&gt;66&lt;/style&gt;&lt;/DisplayText&gt;&lt;record&gt;&lt;rec-number&gt;1015&lt;/rec-number&gt;&lt;foreign-keys&gt;&lt;key app="EN" db-id="wprxwptv75dtdree0t5x2ptmvadptw5fr2ww" timestamp="1269348634"&gt;1015&lt;/key&gt;&lt;/foreign-keys&gt;&lt;ref-type name="Journal Article"&gt;17&lt;/ref-type&gt;&lt;contributors&gt;&lt;authors&gt;&lt;author&gt;Fossey, J.&lt;/author&gt;&lt;author&gt;Ballard, C.&lt;/author&gt;&lt;author&gt;Juszczak, E.&lt;/author&gt;&lt;author&gt;James, I.&lt;/author&gt;&lt;author&gt;Alder, N.&lt;/author&gt;&lt;author&gt;Jacoby, R.&lt;/author&gt;&lt;author&gt;Howard, R.&lt;/author&gt;&lt;/authors&gt;&lt;/contributors&gt;&lt;titles&gt;&lt;title&gt;Effect of enhanced psychosocial care on antipsychotic use in nursing home residents with dementia: cluster randomised controlled trial&lt;/title&gt;&lt;secondary-title&gt;BMJ&lt;/secondary-title&gt;&lt;/titles&gt;&lt;periodical&gt;&lt;full-title&gt;BMJ&lt;/full-title&gt;&lt;abbr-1&gt;BMJ&lt;/abbr-1&gt;&lt;abbr-2&gt;BMJ&lt;/abbr-2&gt;&lt;/periodical&gt;&lt;pages&gt;756-8&lt;/pages&gt;&lt;volume&gt;332&lt;/volume&gt;&lt;number&gt;7544&lt;/number&gt;&lt;dates&gt;&lt;year&gt;2006&lt;/year&gt;&lt;/dates&gt;&lt;urls&gt;&lt;/urls&gt;&lt;/record&gt;&lt;/Cite&gt;&lt;/EndNote&gt;</w:instrText>
      </w:r>
      <w:r w:rsidR="005A1D7B" w:rsidRPr="00563AD3">
        <w:fldChar w:fldCharType="separate"/>
      </w:r>
      <w:r w:rsidR="007301D7" w:rsidRPr="007301D7">
        <w:rPr>
          <w:noProof/>
          <w:vertAlign w:val="superscript"/>
        </w:rPr>
        <w:t>66</w:t>
      </w:r>
      <w:r w:rsidR="005A1D7B" w:rsidRPr="00563AD3">
        <w:fldChar w:fldCharType="end"/>
      </w:r>
      <w:r w:rsidR="00365CE3" w:rsidRPr="00563AD3">
        <w:t xml:space="preserve"> T</w:t>
      </w:r>
      <w:r w:rsidR="001B1112" w:rsidRPr="00563AD3">
        <w:t>he moderate effect size translate</w:t>
      </w:r>
      <w:r w:rsidR="00BF53CB" w:rsidRPr="00563AD3">
        <w:t>d</w:t>
      </w:r>
      <w:r w:rsidR="001B1112" w:rsidRPr="00563AD3">
        <w:t xml:space="preserve"> to a minimum difference of 3 points. If greater variation in CMAI scores</w:t>
      </w:r>
      <w:r w:rsidR="00365CE3" w:rsidRPr="00563AD3">
        <w:t xml:space="preserve"> was observed</w:t>
      </w:r>
      <w:r w:rsidR="001B1112" w:rsidRPr="00563AD3">
        <w:t xml:space="preserve">, </w:t>
      </w:r>
      <w:r w:rsidR="00365CE3" w:rsidRPr="00563AD3">
        <w:t>(</w:t>
      </w:r>
      <w:r w:rsidR="001B1112" w:rsidRPr="00563AD3">
        <w:t>SDs ranging from 15 to 20 points as reported by Zuidema</w:t>
      </w:r>
      <w:r w:rsidR="00724342" w:rsidRPr="00563AD3">
        <w:t xml:space="preserve"> et al </w:t>
      </w:r>
      <w:r w:rsidR="00724342" w:rsidRPr="00563AD3">
        <w:fldChar w:fldCharType="begin"/>
      </w:r>
      <w:r w:rsidR="00411708">
        <w:instrText xml:space="preserve"> ADDIN EN.CITE &lt;EndNote&gt;&lt;Cite&gt;&lt;Author&gt;Zuidema&lt;/Author&gt;&lt;Year&gt;2011&lt;/Year&gt;&lt;RecNum&gt;1179&lt;/RecNum&gt;&lt;DisplayText&gt;&lt;style face="superscript"&gt;138&lt;/style&gt;&lt;/DisplayText&gt;&lt;record&gt;&lt;rec-number&gt;1179&lt;/rec-number&gt;&lt;foreign-keys&gt;&lt;key app="EN" db-id="wprxwptv75dtdree0t5x2ptmvadptw5fr2ww" timestamp="1320921210"&gt;1179&lt;/key&gt;&lt;/foreign-keys&gt;&lt;ref-type name="Journal Article"&gt;17&lt;/ref-type&gt;&lt;contributors&gt;&lt;authors&gt;&lt;author&gt;Zuidema, S.&lt;/author&gt;&lt;author&gt;Buursema, A.L.&lt;/author&gt;&lt;author&gt;Gerritsen, M.G.J.M.&lt;/author&gt;&lt;author&gt;Oosterwal, K.C.&lt;/author&gt;&lt;author&gt;Smits, M.M.M.&lt;/author&gt;&lt;author&gt;Koopmans, R.T.C.M.&lt;/author&gt;&lt;author&gt;de Jonghe, J.F.M.&lt;/author&gt;&lt;/authors&gt;&lt;/contributors&gt;&lt;titles&gt;&lt;title&gt;Assessing neuropsychiatric symptoms in nursing home patients with dementia: reliability and Reliable Change Index of the Neurpsychiatric Inventory and the Cohen-Mansfield Agitation Inventory&lt;/title&gt;&lt;secondary-title&gt;International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Psychiatry&lt;/abbr-2&gt;&lt;/periodical&gt;&lt;pages&gt;127-34&lt;/pages&gt;&lt;volume&gt;26&lt;/volume&gt;&lt;dates&gt;&lt;year&gt;2011&lt;/year&gt;&lt;/dates&gt;&lt;urls&gt;&lt;/urls&gt;&lt;/record&gt;&lt;/Cite&gt;&lt;/EndNote&gt;</w:instrText>
      </w:r>
      <w:r w:rsidR="00724342" w:rsidRPr="00563AD3">
        <w:fldChar w:fldCharType="separate"/>
      </w:r>
      <w:r w:rsidR="00411708" w:rsidRPr="00411708">
        <w:rPr>
          <w:noProof/>
          <w:vertAlign w:val="superscript"/>
        </w:rPr>
        <w:t>138</w:t>
      </w:r>
      <w:r w:rsidR="00724342" w:rsidRPr="00563AD3">
        <w:fldChar w:fldCharType="end"/>
      </w:r>
      <w:r w:rsidR="00365CE3" w:rsidRPr="00563AD3">
        <w:t>)</w:t>
      </w:r>
      <w:r w:rsidR="00724342" w:rsidRPr="00563AD3">
        <w:t>,</w:t>
      </w:r>
      <w:r w:rsidR="001B1112" w:rsidRPr="00563AD3">
        <w:t xml:space="preserve"> then for the same effect size a difference of 6 to 8 points </w:t>
      </w:r>
      <w:r w:rsidR="00365CE3" w:rsidRPr="00563AD3">
        <w:t xml:space="preserve">could be detected, </w:t>
      </w:r>
      <w:r w:rsidR="001B1112" w:rsidRPr="00563AD3">
        <w:t>respectively. A difference of 8 points on the CMAI is seen as indicative of real behavioural change</w:t>
      </w:r>
      <w:r w:rsidR="00B23A66">
        <w:t>.</w:t>
      </w:r>
      <w:r w:rsidR="00724342" w:rsidRPr="00563AD3">
        <w:t xml:space="preserve"> </w:t>
      </w:r>
      <w:r w:rsidR="00724342" w:rsidRPr="00563AD3">
        <w:fldChar w:fldCharType="begin"/>
      </w:r>
      <w:r w:rsidR="00411708">
        <w:instrText xml:space="preserve"> ADDIN EN.CITE &lt;EndNote&gt;&lt;Cite&gt;&lt;Author&gt;Zuidema&lt;/Author&gt;&lt;Year&gt;2011&lt;/Year&gt;&lt;RecNum&gt;1179&lt;/RecNum&gt;&lt;DisplayText&gt;&lt;style face="superscript"&gt;138&lt;/style&gt;&lt;/DisplayText&gt;&lt;record&gt;&lt;rec-number&gt;1179&lt;/rec-number&gt;&lt;foreign-keys&gt;&lt;key app="EN" db-id="wprxwptv75dtdree0t5x2ptmvadptw5fr2ww" timestamp="1320921210"&gt;1179&lt;/key&gt;&lt;/foreign-keys&gt;&lt;ref-type name="Journal Article"&gt;17&lt;/ref-type&gt;&lt;contributors&gt;&lt;authors&gt;&lt;author&gt;Zuidema, S.&lt;/author&gt;&lt;author&gt;Buursema, A.L.&lt;/author&gt;&lt;author&gt;Gerritsen, M.G.J.M.&lt;/author&gt;&lt;author&gt;Oosterwal, K.C.&lt;/author&gt;&lt;author&gt;Smits, M.M.M.&lt;/author&gt;&lt;author&gt;Koopmans, R.T.C.M.&lt;/author&gt;&lt;author&gt;de Jonghe, J.F.M.&lt;/author&gt;&lt;/authors&gt;&lt;/contributors&gt;&lt;titles&gt;&lt;title&gt;Assessing neuropsychiatric symptoms in nursing home patients with dementia: reliability and Reliable Change Index of the Neurpsychiatric Inventory and the Cohen-Mansfield Agitation Inventory&lt;/title&gt;&lt;secondary-title&gt;International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Psychiatry&lt;/abbr-2&gt;&lt;/periodical&gt;&lt;pages&gt;127-34&lt;/pages&gt;&lt;volume&gt;26&lt;/volume&gt;&lt;dates&gt;&lt;year&gt;2011&lt;/year&gt;&lt;/dates&gt;&lt;urls&gt;&lt;/urls&gt;&lt;/record&gt;&lt;/Cite&gt;&lt;/EndNote&gt;</w:instrText>
      </w:r>
      <w:r w:rsidR="00724342" w:rsidRPr="00563AD3">
        <w:fldChar w:fldCharType="separate"/>
      </w:r>
      <w:r w:rsidR="00411708" w:rsidRPr="00411708">
        <w:rPr>
          <w:noProof/>
          <w:vertAlign w:val="superscript"/>
        </w:rPr>
        <w:t>138</w:t>
      </w:r>
      <w:r w:rsidR="00724342" w:rsidRPr="00563AD3">
        <w:fldChar w:fldCharType="end"/>
      </w:r>
      <w:r w:rsidR="001B1112" w:rsidRPr="00563AD3">
        <w:t xml:space="preserve"> Fifty care homes, each recruiting 15 participants provide 90% power at </w:t>
      </w:r>
      <w:r w:rsidR="00365CE3" w:rsidRPr="00563AD3">
        <w:t xml:space="preserve">a </w:t>
      </w:r>
      <w:r w:rsidR="001B1112" w:rsidRPr="00563AD3">
        <w:t>5% significance level to detect a clinically important difference of 3 points (SD 7.5 points)</w:t>
      </w:r>
      <w:r w:rsidR="00365CE3" w:rsidRPr="00563AD3">
        <w:t xml:space="preserve">, assuming </w:t>
      </w:r>
      <w:r w:rsidR="001B1112" w:rsidRPr="00563AD3">
        <w:t>25% loss to follow-up (as see</w:t>
      </w:r>
      <w:r w:rsidR="00724342" w:rsidRPr="00563AD3">
        <w:t xml:space="preserve">n in Chenoweth et al. </w:t>
      </w:r>
      <w:r w:rsidR="00724342" w:rsidRPr="00563AD3">
        <w:fldChar w:fldCharType="begin"/>
      </w:r>
      <w:r w:rsidR="008C7FD1">
        <w:instrText xml:space="preserve"> ADDIN EN.CITE &lt;EndNote&gt;&lt;Cite&gt;&lt;Author&gt;Chenoweth&lt;/Author&gt;&lt;Year&gt;2009&lt;/Year&gt;&lt;RecNum&gt;1069&lt;/RecNum&gt;&lt;DisplayText&gt;&lt;style face="superscript"&gt;63&lt;/style&gt;&lt;/DisplayText&gt;&lt;record&gt;&lt;rec-number&gt;1069&lt;/rec-number&gt;&lt;foreign-keys&gt;&lt;key app="EN" db-id="wprxwptv75dtdree0t5x2ptmvadptw5fr2ww" timestamp="1269348634"&gt;1069&lt;/key&gt;&lt;/foreign-keys&gt;&lt;ref-type name="Journal Article"&gt;17&lt;/ref-type&gt;&lt;contributors&gt;&lt;authors&gt;&lt;author&gt;Chenoweth, L.&lt;/author&gt;&lt;author&gt;King, M.T.&lt;/author&gt;&lt;author&gt;Jeon, Y.H.&lt;/author&gt;&lt;author&gt;Brodaty, H.&lt;/author&gt;&lt;author&gt;Stein-Parbury, J.&lt;/author&gt;&lt;author&gt;Haas, M.&lt;/author&gt;&lt;author&gt;Luscombe, G.&lt;/author&gt;&lt;/authors&gt;&lt;/contributors&gt;&lt;titles&gt;&lt;title&gt;Caring for Aged Dementia Care Resident Study (CADRES) of person-centred dementia care, dementia-care mapping, and usual care in dementia: a cluster-randomised trial&lt;/title&gt;&lt;secondary-title&gt;The Lancet - Neurology&lt;/secondary-title&gt;&lt;/titles&gt;&lt;pages&gt;317-25&lt;/pages&gt;&lt;volume&gt;8&lt;/volume&gt;&lt;number&gt;April&lt;/number&gt;&lt;dates&gt;&lt;year&gt;2009&lt;/year&gt;&lt;/dates&gt;&lt;urls&gt;&lt;/urls&gt;&lt;/record&gt;&lt;/Cite&gt;&lt;/EndNote&gt;</w:instrText>
      </w:r>
      <w:r w:rsidR="00724342" w:rsidRPr="00563AD3">
        <w:fldChar w:fldCharType="separate"/>
      </w:r>
      <w:r w:rsidR="007301D7" w:rsidRPr="007301D7">
        <w:rPr>
          <w:noProof/>
          <w:vertAlign w:val="superscript"/>
        </w:rPr>
        <w:t>63</w:t>
      </w:r>
      <w:r w:rsidR="00724342" w:rsidRPr="00563AD3">
        <w:fldChar w:fldCharType="end"/>
      </w:r>
      <w:r w:rsidR="00BF53CB" w:rsidRPr="00563AD3">
        <w:t>)</w:t>
      </w:r>
      <w:r w:rsidR="00724342" w:rsidRPr="00563AD3">
        <w:t xml:space="preserve"> a</w:t>
      </w:r>
      <w:r w:rsidR="001B1112" w:rsidRPr="00563AD3">
        <w:t xml:space="preserve">nd an inflation factor of 2.0 (i.e. cluster size of 11 participants available for analysis after loss to follow-up and an intracluster correlation coefficient (ICC) no greater than 0.1 </w:t>
      </w:r>
      <w:r w:rsidR="005A1D7B" w:rsidRPr="00563AD3">
        <w:fldChar w:fldCharType="begin"/>
      </w:r>
      <w:r w:rsidR="008C7FD1">
        <w:instrText xml:space="preserve"> ADDIN EN.CITE &lt;EndNote&gt;&lt;Cite&gt;&lt;Author&gt;Fossey&lt;/Author&gt;&lt;Year&gt;2006&lt;/Year&gt;&lt;RecNum&gt;1015&lt;/RecNum&gt;&lt;DisplayText&gt;&lt;style face="superscript"&gt;66&lt;/style&gt;&lt;/DisplayText&gt;&lt;record&gt;&lt;rec-number&gt;1015&lt;/rec-number&gt;&lt;foreign-keys&gt;&lt;key app="EN" db-id="wprxwptv75dtdree0t5x2ptmvadptw5fr2ww" timestamp="1269348634"&gt;1015&lt;/key&gt;&lt;/foreign-keys&gt;&lt;ref-type name="Journal Article"&gt;17&lt;/ref-type&gt;&lt;contributors&gt;&lt;authors&gt;&lt;author&gt;Fossey, J.&lt;/author&gt;&lt;author&gt;Ballard, C.&lt;/author&gt;&lt;author&gt;Juszczak, E.&lt;/author&gt;&lt;author&gt;James, I.&lt;/author&gt;&lt;author&gt;Alder, N.&lt;/author&gt;&lt;author&gt;Jacoby, R.&lt;/author&gt;&lt;author&gt;Howard, R.&lt;/author&gt;&lt;/authors&gt;&lt;/contributors&gt;&lt;titles&gt;&lt;title&gt;Effect of enhanced psychosocial care on antipsychotic use in nursing home residents with dementia: cluster randomised controlled trial&lt;/title&gt;&lt;secondary-title&gt;BMJ&lt;/secondary-title&gt;&lt;/titles&gt;&lt;periodical&gt;&lt;full-title&gt;BMJ&lt;/full-title&gt;&lt;abbr-1&gt;BMJ&lt;/abbr-1&gt;&lt;abbr-2&gt;BMJ&lt;/abbr-2&gt;&lt;/periodical&gt;&lt;pages&gt;756-8&lt;/pages&gt;&lt;volume&gt;332&lt;/volume&gt;&lt;number&gt;7544&lt;/number&gt;&lt;dates&gt;&lt;year&gt;2006&lt;/year&gt;&lt;/dates&gt;&lt;urls&gt;&lt;/urls&gt;&lt;/record&gt;&lt;/Cite&gt;&lt;/EndNote&gt;</w:instrText>
      </w:r>
      <w:r w:rsidR="005A1D7B" w:rsidRPr="00563AD3">
        <w:fldChar w:fldCharType="separate"/>
      </w:r>
      <w:r w:rsidR="007301D7" w:rsidRPr="007301D7">
        <w:rPr>
          <w:noProof/>
          <w:vertAlign w:val="superscript"/>
        </w:rPr>
        <w:t>66</w:t>
      </w:r>
      <w:r w:rsidR="005A1D7B" w:rsidRPr="00563AD3">
        <w:fldChar w:fldCharType="end"/>
      </w:r>
      <w:r w:rsidR="00365CE3" w:rsidRPr="00563AD3">
        <w:t>)</w:t>
      </w:r>
      <w:r w:rsidR="005A1D7B" w:rsidRPr="00563AD3">
        <w:t xml:space="preserve">. </w:t>
      </w:r>
    </w:p>
    <w:p w14:paraId="522B562C" w14:textId="01B61B04" w:rsidR="001B1112" w:rsidRPr="00563AD3" w:rsidRDefault="001B1112" w:rsidP="009B13F3">
      <w:r w:rsidRPr="00563AD3">
        <w:t xml:space="preserve">As provision of care is a further source of clustering, </w:t>
      </w:r>
      <w:r w:rsidR="0076563B" w:rsidRPr="00563AD3">
        <w:t xml:space="preserve">and </w:t>
      </w:r>
      <w:r w:rsidRPr="00563AD3">
        <w:t>the ICC was anticipated to be higher in the intervention arm</w:t>
      </w:r>
      <w:r w:rsidR="0086568D" w:rsidRPr="00563AD3">
        <w:t xml:space="preserve"> (based on clinical opinion)</w:t>
      </w:r>
      <w:r w:rsidRPr="00563AD3">
        <w:t>, an allocation ratio of 3:2 was used, giving 30 (450) and 20 (300) care homes (</w:t>
      </w:r>
      <w:r w:rsidR="0076563B" w:rsidRPr="00563AD3">
        <w:t>residents</w:t>
      </w:r>
      <w:r w:rsidRPr="00563AD3">
        <w:t xml:space="preserve">) in the </w:t>
      </w:r>
      <w:r w:rsidR="0076563B" w:rsidRPr="00563AD3">
        <w:t>intervention</w:t>
      </w:r>
      <w:r w:rsidRPr="00563AD3">
        <w:t xml:space="preserve"> and control </w:t>
      </w:r>
      <w:r w:rsidR="00182DC5" w:rsidRPr="00563AD3">
        <w:t>arms</w:t>
      </w:r>
      <w:r w:rsidR="0076563B" w:rsidRPr="00563AD3">
        <w:t xml:space="preserve"> </w:t>
      </w:r>
      <w:r w:rsidRPr="00563AD3">
        <w:t>respectively, 50 (750) overall.</w:t>
      </w:r>
    </w:p>
    <w:p w14:paraId="6395AD0D" w14:textId="16BDD733" w:rsidR="001B1112" w:rsidRPr="00563AD3" w:rsidRDefault="001B1112" w:rsidP="009B13F3">
      <w:r w:rsidRPr="00563AD3">
        <w:t xml:space="preserve">During the trial, the TMG, DMEC and TSC </w:t>
      </w:r>
      <w:r w:rsidR="00F20D51" w:rsidRPr="00563AD3">
        <w:t>monitored</w:t>
      </w:r>
      <w:r w:rsidRPr="00563AD3">
        <w:t xml:space="preserve"> loss to follow-up. This was higher than </w:t>
      </w:r>
      <w:r w:rsidR="00F36340" w:rsidRPr="00563AD3">
        <w:t>the</w:t>
      </w:r>
      <w:r w:rsidR="0088749C" w:rsidRPr="00563AD3">
        <w:t xml:space="preserve"> anticipated</w:t>
      </w:r>
      <w:r w:rsidR="00F36340" w:rsidRPr="00563AD3">
        <w:t xml:space="preserve"> maximum </w:t>
      </w:r>
      <w:r w:rsidR="0088749C" w:rsidRPr="00563AD3">
        <w:t>of 25%</w:t>
      </w:r>
      <w:r w:rsidR="00F36340" w:rsidRPr="00563AD3">
        <w:t>,</w:t>
      </w:r>
      <w:r w:rsidRPr="00563AD3">
        <w:t xml:space="preserve"> mainly due to death rates. In order to preserve statistical power close to 90%, and our ability to detect effect size of 0.4 SDs, maintain validity and increase the generalisability of the trial, we recru</w:t>
      </w:r>
      <w:r w:rsidR="0076563B" w:rsidRPr="00563AD3">
        <w:t xml:space="preserve">ited additional, newly-eligible, </w:t>
      </w:r>
      <w:r w:rsidRPr="00563AD3">
        <w:t xml:space="preserve">consenting residents from </w:t>
      </w:r>
      <w:r w:rsidR="00F20D51" w:rsidRPr="00563AD3">
        <w:t>the randomised care homes at 16-</w:t>
      </w:r>
      <w:r w:rsidRPr="00563AD3">
        <w:t>months post randomisation and performed a cross-sectional analysis of the data</w:t>
      </w:r>
      <w:r w:rsidR="0076563B" w:rsidRPr="00563AD3">
        <w:t xml:space="preserve"> (s</w:t>
      </w:r>
      <w:r w:rsidR="00F20D51" w:rsidRPr="00563AD3">
        <w:t xml:space="preserve">ee </w:t>
      </w:r>
      <w:r w:rsidR="00F20D51" w:rsidRPr="00B23A66">
        <w:rPr>
          <w:i/>
        </w:rPr>
        <w:t>section 2.1</w:t>
      </w:r>
      <w:r w:rsidR="00576A74" w:rsidRPr="00B23A66">
        <w:rPr>
          <w:i/>
        </w:rPr>
        <w:t>0</w:t>
      </w:r>
      <w:r w:rsidR="0076563B" w:rsidRPr="00563AD3">
        <w:t>)</w:t>
      </w:r>
      <w:r w:rsidR="00F20D51" w:rsidRPr="00563AD3">
        <w:t>.</w:t>
      </w:r>
    </w:p>
    <w:p w14:paraId="3A54B82D" w14:textId="77777777" w:rsidR="002C413C" w:rsidRPr="00563AD3" w:rsidRDefault="002C413C" w:rsidP="009B13F3"/>
    <w:p w14:paraId="43A648E4" w14:textId="179567FC" w:rsidR="002C413C" w:rsidRPr="00563AD3" w:rsidRDefault="001422DB" w:rsidP="009B13F3">
      <w:pPr>
        <w:pStyle w:val="Heading2"/>
      </w:pPr>
      <w:bookmarkStart w:id="82" w:name="_Toc525543976"/>
      <w:r w:rsidRPr="00563AD3">
        <w:t>2.8</w:t>
      </w:r>
      <w:r w:rsidR="008A60E2" w:rsidRPr="00563AD3">
        <w:t xml:space="preserve"> </w:t>
      </w:r>
      <w:r w:rsidR="002C413C" w:rsidRPr="00563AD3">
        <w:t xml:space="preserve">Statistical </w:t>
      </w:r>
      <w:r w:rsidR="00F20D51" w:rsidRPr="00563AD3">
        <w:t xml:space="preserve">and health economic </w:t>
      </w:r>
      <w:r w:rsidR="002C413C" w:rsidRPr="00563AD3">
        <w:t>methods</w:t>
      </w:r>
      <w:bookmarkEnd w:id="82"/>
    </w:p>
    <w:p w14:paraId="0A1653D9" w14:textId="50593837" w:rsidR="00F20D51" w:rsidRPr="00563AD3" w:rsidRDefault="00F36340" w:rsidP="009B13F3">
      <w:r w:rsidRPr="00563AD3">
        <w:t xml:space="preserve">A comprehensive </w:t>
      </w:r>
      <w:r w:rsidRPr="00563AD3">
        <w:rPr>
          <w:i/>
        </w:rPr>
        <w:t xml:space="preserve">Statistical and Health Economic Analysis Plan </w:t>
      </w:r>
      <w:r w:rsidRPr="00563AD3">
        <w:t xml:space="preserve">was </w:t>
      </w:r>
      <w:r w:rsidR="00472308" w:rsidRPr="00563AD3">
        <w:t>developed and approved following the approval of the design change</w:t>
      </w:r>
      <w:r w:rsidRPr="00563AD3">
        <w:t xml:space="preserve">. </w:t>
      </w:r>
      <w:r w:rsidR="00F20D51" w:rsidRPr="00563AD3">
        <w:t>All analyses were pe</w:t>
      </w:r>
      <w:r w:rsidR="008E745F" w:rsidRPr="00563AD3">
        <w:t xml:space="preserve">rformed </w:t>
      </w:r>
      <w:r w:rsidR="00472308" w:rsidRPr="00563AD3">
        <w:t xml:space="preserve">once, at final analysis </w:t>
      </w:r>
      <w:r w:rsidR="008E745F" w:rsidRPr="00563AD3">
        <w:t>in SAS v9.</w:t>
      </w:r>
      <w:r w:rsidR="000753D2" w:rsidRPr="00563AD3">
        <w:t>4</w:t>
      </w:r>
      <w:r w:rsidR="008E745F" w:rsidRPr="00563AD3">
        <w:t xml:space="preserve"> or Stata v14</w:t>
      </w:r>
      <w:r w:rsidR="00F20D51" w:rsidRPr="00563AD3">
        <w:t xml:space="preserve">. </w:t>
      </w:r>
    </w:p>
    <w:p w14:paraId="159B624F" w14:textId="35AE594D" w:rsidR="00F20D51" w:rsidRPr="00563AD3" w:rsidRDefault="00F20D51" w:rsidP="009B13F3">
      <w:r w:rsidRPr="00563AD3">
        <w:t xml:space="preserve">A CONSORT (Consolidated Standards </w:t>
      </w:r>
      <w:r w:rsidR="00C27710" w:rsidRPr="00563AD3">
        <w:t>of</w:t>
      </w:r>
      <w:r w:rsidRPr="00563AD3">
        <w:t xml:space="preserve"> Reporting Trials) flow diagram has been used to display care home and </w:t>
      </w:r>
      <w:r w:rsidR="005821ED" w:rsidRPr="00563AD3">
        <w:t xml:space="preserve">resident </w:t>
      </w:r>
      <w:r w:rsidRPr="00563AD3">
        <w:t>pathway from registration to final follow-up</w:t>
      </w:r>
      <w:r w:rsidR="00F36340" w:rsidRPr="00563AD3">
        <w:t xml:space="preserve"> (</w:t>
      </w:r>
      <w:r w:rsidR="00C27710" w:rsidRPr="00563AD3">
        <w:t xml:space="preserve">see </w:t>
      </w:r>
      <w:r w:rsidR="00C27710" w:rsidRPr="00B23A66">
        <w:rPr>
          <w:i/>
        </w:rPr>
        <w:t xml:space="preserve">section </w:t>
      </w:r>
      <w:r w:rsidR="005F6902" w:rsidRPr="00B23A66">
        <w:rPr>
          <w:i/>
        </w:rPr>
        <w:t>3.1</w:t>
      </w:r>
      <w:r w:rsidR="00C27710" w:rsidRPr="00563AD3">
        <w:t>)</w:t>
      </w:r>
      <w:r w:rsidRPr="00563AD3">
        <w:t>.</w:t>
      </w:r>
    </w:p>
    <w:p w14:paraId="00173BF4" w14:textId="77777777" w:rsidR="00BE094B" w:rsidRDefault="00BE094B" w:rsidP="00736A23">
      <w:bookmarkStart w:id="83" w:name="_Toc525543977"/>
    </w:p>
    <w:p w14:paraId="156843C3" w14:textId="77777777" w:rsidR="00BE094B" w:rsidRDefault="00BE094B" w:rsidP="00736A23"/>
    <w:p w14:paraId="05172634" w14:textId="16DC1D99" w:rsidR="00F20D51" w:rsidRPr="00563AD3" w:rsidRDefault="00F36340" w:rsidP="009B13F3">
      <w:pPr>
        <w:pStyle w:val="Heading3"/>
      </w:pPr>
      <w:r w:rsidRPr="00563AD3">
        <w:t xml:space="preserve">2.8.1 </w:t>
      </w:r>
      <w:r w:rsidR="00F20D51" w:rsidRPr="00563AD3">
        <w:t>Analysis populations</w:t>
      </w:r>
      <w:bookmarkEnd w:id="83"/>
    </w:p>
    <w:p w14:paraId="7C9E60D9" w14:textId="15A7BA0B" w:rsidR="00472308" w:rsidRPr="00563AD3" w:rsidRDefault="00472308" w:rsidP="009B13F3">
      <w:r w:rsidRPr="00563AD3">
        <w:t>The principal analyses were intention-to-treat, including all randomised care homes and all registered residents, regardless of whether they received or adhered to their allocated intervention. A further supportive analysis was planned of ‘compliers’, defined as care homes that would have received at least one cycle of DCM™ to an acceptable level (all components of the cycle are completed) had it been offered to them. Other thresholds of compliance we considered were exploratory. Safety was summarised on the closed-cohort sample of residents since we were unable to obtain timely NHS Digital data on the cross-sectional sample. The samples of staff and relative/friends providing data (other than staff proxy data) were so small that analyses based on them are descriptive and provided in the Appendix only</w:t>
      </w:r>
      <w:r w:rsidR="005F6902" w:rsidRPr="00563AD3">
        <w:t xml:space="preserve"> (see Appendix </w:t>
      </w:r>
      <w:r w:rsidR="00B23A66">
        <w:t>1</w:t>
      </w:r>
      <w:r w:rsidR="00BF32BB" w:rsidRPr="00563AD3">
        <w:t xml:space="preserve">, Table </w:t>
      </w:r>
      <w:r w:rsidR="00F9110A">
        <w:t>31</w:t>
      </w:r>
      <w:r w:rsidRPr="00563AD3">
        <w:t>).</w:t>
      </w:r>
    </w:p>
    <w:p w14:paraId="7BDEAB76" w14:textId="77777777" w:rsidR="00472308" w:rsidRPr="00563AD3" w:rsidRDefault="00472308" w:rsidP="009B13F3">
      <w:pPr>
        <w:rPr>
          <w:highlight w:val="yellow"/>
        </w:rPr>
      </w:pPr>
    </w:p>
    <w:p w14:paraId="7BDCDD18" w14:textId="77777777" w:rsidR="00472308" w:rsidRPr="00563AD3" w:rsidRDefault="00472308" w:rsidP="009B13F3">
      <w:pPr>
        <w:pStyle w:val="Heading3"/>
      </w:pPr>
      <w:bookmarkStart w:id="84" w:name="_Toc525543978"/>
      <w:r w:rsidRPr="00563AD3">
        <w:t>2.8.2 Missing data</w:t>
      </w:r>
      <w:bookmarkEnd w:id="84"/>
    </w:p>
    <w:p w14:paraId="4483F1D4" w14:textId="06931130" w:rsidR="003F1B4B" w:rsidRDefault="00E81F5E" w:rsidP="009B13F3">
      <w:r w:rsidRPr="00563AD3">
        <w:t>In general, if there were no instructions in the manual on how to handle missing items (for PAS, NPI-NH, QUALID, SCIDS and EAT), prorating was used</w:t>
      </w:r>
      <w:r w:rsidR="00472308" w:rsidRPr="00563AD3">
        <w:t xml:space="preserve"> if </w:t>
      </w:r>
      <w:r w:rsidR="001A70AD">
        <w:t>fewer</w:t>
      </w:r>
      <w:r w:rsidR="001A70AD" w:rsidRPr="00563AD3">
        <w:t xml:space="preserve"> </w:t>
      </w:r>
      <w:r w:rsidR="00472308" w:rsidRPr="00563AD3">
        <w:t xml:space="preserve">than 25% of items were missing, </w:t>
      </w:r>
      <w:r w:rsidR="00FE2D1B" w:rsidRPr="00563AD3">
        <w:t xml:space="preserve">(based on adopting a more conservative approach than that proposed by Staquet et al </w:t>
      </w:r>
      <w:r w:rsidR="00FE2D1B" w:rsidRPr="00563AD3">
        <w:fldChar w:fldCharType="begin"/>
      </w:r>
      <w:r w:rsidR="00411708">
        <w:instrText xml:space="preserve"> ADDIN EN.CITE &lt;EndNote&gt;&lt;Cite&gt;&lt;Author&gt;Staquet&lt;/Author&gt;&lt;Year&gt;1998&lt;/Year&gt;&lt;RecNum&gt;1855&lt;/RecNum&gt;&lt;DisplayText&gt;&lt;style face="superscript"&gt;139&lt;/style&gt;&lt;/DisplayText&gt;&lt;record&gt;&lt;rec-number&gt;1855&lt;/rec-number&gt;&lt;foreign-keys&gt;&lt;key app="EN" db-id="wprxwptv75dtdree0t5x2ptmvadptw5fr2ww" timestamp="1519737721"&gt;1855&lt;/key&gt;&lt;/foreign-keys&gt;&lt;ref-type name="Book"&gt;6&lt;/ref-type&gt;&lt;contributors&gt;&lt;authors&gt;&lt;author&gt;Staquet, M.J.&lt;/author&gt;&lt;author&gt;Hays, R.D.&lt;/author&gt;&lt;author&gt;Fayers, P.M.&lt;/author&gt;&lt;/authors&gt;&lt;/contributors&gt;&lt;titles&gt;&lt;title&gt;Quality of life assessment in clinical trials: Methods and practice. &lt;/title&gt;&lt;/titles&gt;&lt;dates&gt;&lt;year&gt;1998&lt;/year&gt;&lt;/dates&gt;&lt;pub-location&gt;Oxford&lt;/pub-location&gt;&lt;publisher&gt;Oxford University Press&lt;/publisher&gt;&lt;urls&gt;&lt;/urls&gt;&lt;/record&gt;&lt;/Cite&gt;&lt;/EndNote&gt;</w:instrText>
      </w:r>
      <w:r w:rsidR="00FE2D1B" w:rsidRPr="00563AD3">
        <w:fldChar w:fldCharType="separate"/>
      </w:r>
      <w:r w:rsidR="00411708" w:rsidRPr="00411708">
        <w:rPr>
          <w:noProof/>
          <w:vertAlign w:val="superscript"/>
        </w:rPr>
        <w:t>139</w:t>
      </w:r>
      <w:r w:rsidR="00FE2D1B" w:rsidRPr="00563AD3">
        <w:fldChar w:fldCharType="end"/>
      </w:r>
      <w:r w:rsidR="00FE2D1B" w:rsidRPr="00563AD3">
        <w:t xml:space="preserve">), </w:t>
      </w:r>
      <w:r w:rsidR="00472308" w:rsidRPr="00563AD3">
        <w:t xml:space="preserve">otherwise the score was assigned as missing. As the proportion of residents with notable missing primary outcomes was low, we prorated for simplicity despite assumptions underlying prorating not always being met. </w:t>
      </w:r>
    </w:p>
    <w:p w14:paraId="5A7F3E3F" w14:textId="5A8D2EE3" w:rsidR="00CD630D" w:rsidRDefault="00472308" w:rsidP="009B13F3">
      <w:r w:rsidRPr="00563AD3">
        <w:t xml:space="preserve">The primary </w:t>
      </w:r>
      <w:r w:rsidR="003F1B4B">
        <w:t xml:space="preserve">intended </w:t>
      </w:r>
      <w:r w:rsidRPr="00563AD3">
        <w:t xml:space="preserve">method for handling missing scale data in the cross-sectional analyses was to analyse complete cases, under the assumption that data are missing completely at random (MCAR). For completeness, we also report a sensitivity analysis using multiple imputation, under the assumption that cross-sectional data are missing at random (MAR). </w:t>
      </w:r>
      <w:r w:rsidR="003F1B4B">
        <w:t>If the MCAR assumption was found not to hold true, then the primary analysis would use the multiple-imputed data, assuming data are missing at random (MAR).</w:t>
      </w:r>
      <w:r w:rsidRPr="00563AD3">
        <w:t>The proportion of residents missing in analyses of the closed-</w:t>
      </w:r>
      <w:r w:rsidR="00E32F1B" w:rsidRPr="00563AD3">
        <w:t>cohort sample was sizeable at 6-months and substantial at 16-</w:t>
      </w:r>
      <w:r w:rsidRPr="00563AD3">
        <w:t>months. As death and moving care home were expected to be the most important predictors of missing closed-cohort data, we expected this data would be missing not at random (MNAR). We considered a range of approaches to handling missing closed-cohort data (</w:t>
      </w:r>
      <w:r w:rsidR="00BF32BB" w:rsidRPr="00563AD3">
        <w:t xml:space="preserve">see Table </w:t>
      </w:r>
      <w:r w:rsidR="00775892" w:rsidRPr="00563AD3">
        <w:t>10</w:t>
      </w:r>
      <w:r w:rsidR="00BF32BB" w:rsidRPr="00563AD3">
        <w:t xml:space="preserve"> and </w:t>
      </w:r>
      <w:r w:rsidR="00BF32BB" w:rsidRPr="005745FD">
        <w:t xml:space="preserve">Tables </w:t>
      </w:r>
      <w:r w:rsidR="005D0BF0">
        <w:t>47</w:t>
      </w:r>
      <w:r w:rsidR="005D0BF0" w:rsidRPr="005745FD">
        <w:t xml:space="preserve"> </w:t>
      </w:r>
      <w:r w:rsidR="00E76128" w:rsidRPr="005745FD">
        <w:t xml:space="preserve">and </w:t>
      </w:r>
      <w:r w:rsidR="005D0BF0">
        <w:t>48</w:t>
      </w:r>
      <w:r w:rsidRPr="00563AD3">
        <w:t>), but report a tipping point analysis</w:t>
      </w:r>
      <w:r w:rsidR="00F71E14" w:rsidRPr="00563AD3">
        <w:t xml:space="preserve"> </w:t>
      </w:r>
      <w:r w:rsidR="009A40B2" w:rsidRPr="00563AD3">
        <w:fldChar w:fldCharType="begin"/>
      </w:r>
      <w:r w:rsidR="00411708">
        <w:instrText xml:space="preserve"> ADDIN EN.CITE &lt;EndNote&gt;&lt;Cite&gt;&lt;Author&gt;Yan&lt;/Author&gt;&lt;Year&gt;2009&lt;/Year&gt;&lt;RecNum&gt;1864&lt;/RecNum&gt;&lt;DisplayText&gt;&lt;style face="superscript"&gt;140&lt;/style&gt;&lt;/DisplayText&gt;&lt;record&gt;&lt;rec-number&gt;1864&lt;/rec-number&gt;&lt;foreign-keys&gt;&lt;key app="EN" db-id="wprxwptv75dtdree0t5x2ptmvadptw5fr2ww" timestamp="1519981835"&gt;1864&lt;/key&gt;&lt;/foreign-keys&gt;&lt;ref-type name="Journal Article"&gt;17&lt;/ref-type&gt;&lt;contributors&gt;&lt;authors&gt;&lt;author&gt;Yan, Xu&lt;/author&gt;&lt;author&gt;Lee, Shiowjen&lt;/author&gt;&lt;author&gt;Li, Ning&lt;/author&gt;&lt;/authors&gt;&lt;/contributors&gt;&lt;titles&gt;&lt;title&gt;Missing Data Handling Methods in Medical Device Clinical Trials&lt;/title&gt;&lt;secondary-title&gt;Journal of Biopharmaceutical Statistics&lt;/secondary-title&gt;&lt;/titles&gt;&lt;periodical&gt;&lt;full-title&gt;Journal of Biopharmaceutical Statistics&lt;/full-title&gt;&lt;abbr-1&gt;J. Biopharm. Stat.&lt;/abbr-1&gt;&lt;abbr-2&gt;J Biopharm Stat&lt;/abbr-2&gt;&lt;/periodical&gt;&lt;pages&gt;1085-1098&lt;/pages&gt;&lt;volume&gt;19&lt;/volume&gt;&lt;number&gt;6&lt;/number&gt;&lt;dates&gt;&lt;year&gt;2009&lt;/year&gt;&lt;/dates&gt;&lt;publisher&gt;Taylor &amp;amp; Francis&lt;/publisher&gt;&lt;urls&gt;&lt;related-urls&gt;&lt;url&gt;https://doi.org/10.1080/10543400903243009&lt;/url&gt;&lt;/related-urls&gt;&lt;/urls&gt;&lt;/record&gt;&lt;/Cite&gt;&lt;/EndNote&gt;</w:instrText>
      </w:r>
      <w:r w:rsidR="009A40B2" w:rsidRPr="00563AD3">
        <w:fldChar w:fldCharType="separate"/>
      </w:r>
      <w:r w:rsidR="00411708" w:rsidRPr="00411708">
        <w:rPr>
          <w:noProof/>
          <w:vertAlign w:val="superscript"/>
        </w:rPr>
        <w:t>140</w:t>
      </w:r>
      <w:r w:rsidR="009A40B2" w:rsidRPr="00563AD3">
        <w:fldChar w:fldCharType="end"/>
      </w:r>
      <w:r w:rsidRPr="00563AD3">
        <w:t xml:space="preserve"> </w:t>
      </w:r>
      <w:r w:rsidR="00BF32BB" w:rsidRPr="00563AD3">
        <w:t xml:space="preserve">for </w:t>
      </w:r>
      <w:r w:rsidR="009A40B2" w:rsidRPr="00563AD3">
        <w:t xml:space="preserve">the </w:t>
      </w:r>
      <w:r w:rsidR="00BF32BB" w:rsidRPr="00563AD3">
        <w:t>primary analysis</w:t>
      </w:r>
      <w:r w:rsidR="009A40B2" w:rsidRPr="00563AD3">
        <w:t>,</w:t>
      </w:r>
      <w:r w:rsidR="00BF32BB" w:rsidRPr="00563AD3">
        <w:t xml:space="preserve"> </w:t>
      </w:r>
      <w:r w:rsidRPr="00563AD3">
        <w:t xml:space="preserve">which indicates the assumptions that would be required about the missing data to change the conclusions. </w:t>
      </w:r>
    </w:p>
    <w:p w14:paraId="2D8EE449" w14:textId="36ADF98C" w:rsidR="00CD630D" w:rsidRPr="00563AD3" w:rsidRDefault="00472308" w:rsidP="009B13F3">
      <w:r w:rsidRPr="00563AD3">
        <w:t xml:space="preserve">For completeness, we also report an analysis using multiple imputation, under the assumption that closed-cohort data are missing at random (MAR), which assumes residents registered at care home randomisation </w:t>
      </w:r>
      <w:r w:rsidR="00E81F5E" w:rsidRPr="00563AD3">
        <w:t>do not die during the duration of the trial</w:t>
      </w:r>
      <w:r w:rsidRPr="00563AD3">
        <w:t>.</w:t>
      </w:r>
      <w:r w:rsidR="00CD630D">
        <w:t xml:space="preserve"> </w:t>
      </w:r>
      <w:r w:rsidR="00CD630D" w:rsidRPr="00F128B2">
        <w:t>The same variables were included in the imputation models, apart from the baseline questionnaire scores; baseline questionnaire score used in the imputation model was always the same as the outcome questionnaire. The imputation model was done separately for different analysis population, in the cross-sectional, baseline variables were care home summaries, whereas in the close</w:t>
      </w:r>
      <w:r w:rsidR="00F128B2">
        <w:t>d</w:t>
      </w:r>
      <w:r w:rsidR="00CD630D" w:rsidRPr="00F128B2">
        <w:t>-cohort, individual level baseline information was used</w:t>
      </w:r>
      <w:r w:rsidR="00CD630D" w:rsidRPr="003550F0">
        <w:t>.</w:t>
      </w:r>
    </w:p>
    <w:p w14:paraId="3EFA5202" w14:textId="77777777" w:rsidR="00472308" w:rsidRPr="00563AD3" w:rsidRDefault="00472308" w:rsidP="009B13F3">
      <w:pPr>
        <w:rPr>
          <w:highlight w:val="yellow"/>
        </w:rPr>
      </w:pPr>
    </w:p>
    <w:p w14:paraId="712A9BB0" w14:textId="77777777" w:rsidR="00472308" w:rsidRPr="00563AD3" w:rsidRDefault="00472308" w:rsidP="009B13F3">
      <w:pPr>
        <w:pStyle w:val="Heading3"/>
        <w:rPr>
          <w:b w:val="0"/>
        </w:rPr>
      </w:pPr>
      <w:bookmarkStart w:id="85" w:name="_Toc525543979"/>
      <w:r w:rsidRPr="00563AD3">
        <w:t>2.8.3 Screening, baseline, treatment and outcome summaries</w:t>
      </w:r>
      <w:bookmarkEnd w:id="85"/>
    </w:p>
    <w:p w14:paraId="0AA3B417" w14:textId="01E07309" w:rsidR="00472308" w:rsidRPr="00563AD3" w:rsidRDefault="0088749C" w:rsidP="009B13F3">
      <w:r w:rsidRPr="00563AD3">
        <w:t>The n</w:t>
      </w:r>
      <w:r w:rsidR="00472308" w:rsidRPr="00563AD3">
        <w:t xml:space="preserve">umbers of care homes approached, screened, eligible, consenting and participating, along with </w:t>
      </w:r>
      <w:r w:rsidRPr="00563AD3">
        <w:t xml:space="preserve">the </w:t>
      </w:r>
      <w:r w:rsidR="00472308" w:rsidRPr="00563AD3">
        <w:t xml:space="preserve">numbers of residents in the closed-cohort sample and the cross-sectional sample </w:t>
      </w:r>
      <w:r w:rsidR="00D93D82" w:rsidRPr="00563AD3">
        <w:t>we</w:t>
      </w:r>
      <w:r w:rsidR="00472308" w:rsidRPr="00563AD3">
        <w:t>re summarised in a CONSORT flow diagram. Reasons for exclusion and the characteristics of screened resid</w:t>
      </w:r>
      <w:r w:rsidR="00D93D82" w:rsidRPr="00563AD3">
        <w:t>ents we</w:t>
      </w:r>
      <w:r w:rsidR="00472308" w:rsidRPr="00563AD3">
        <w:t>re also presented overall and across samples.</w:t>
      </w:r>
    </w:p>
    <w:p w14:paraId="56ACD0CB" w14:textId="3225C281" w:rsidR="00472308" w:rsidRPr="00563AD3" w:rsidRDefault="00472308" w:rsidP="009B13F3">
      <w:r w:rsidRPr="00563AD3">
        <w:t>Baseline characteristics of care homes, care home managers and residents (closed-cohor</w:t>
      </w:r>
      <w:r w:rsidR="00D93D82" w:rsidRPr="00563AD3">
        <w:t>t and cross-sectional samples) we</w:t>
      </w:r>
      <w:r w:rsidRPr="00563AD3">
        <w:t>re summarised overall and for intervention and control. In accordance with the TIDieR checklist</w:t>
      </w:r>
      <w:r w:rsidR="00F45047">
        <w:t>,</w:t>
      </w:r>
      <w:r w:rsidR="009F492E" w:rsidRPr="00563AD3">
        <w:t xml:space="preserve"> </w:t>
      </w:r>
      <w:r w:rsidR="009F492E" w:rsidRPr="00563AD3">
        <w:fldChar w:fldCharType="begin"/>
      </w:r>
      <w:r w:rsidR="00411708">
        <w:instrText xml:space="preserve"> ADDIN EN.CITE &lt;EndNote&gt;&lt;Cite&gt;&lt;Author&gt;Hoffmann&lt;/Author&gt;&lt;Year&gt;2014&lt;/Year&gt;&lt;RecNum&gt;1808&lt;/RecNum&gt;&lt;DisplayText&gt;&lt;style face="superscript"&gt;141&lt;/style&gt;&lt;/DisplayText&gt;&lt;record&gt;&lt;rec-number&gt;1808&lt;/rec-number&gt;&lt;foreign-keys&gt;&lt;key app="EN" db-id="wprxwptv75dtdree0t5x2ptmvadptw5fr2ww" timestamp="1517994573"&gt;1808&lt;/key&gt;&lt;/foreign-keys&gt;&lt;ref-type name="Journal Article"&gt;17&lt;/ref-type&gt;&lt;contributors&gt;&lt;authors&gt;&lt;author&gt;Hoffmann, T.C.&lt;/author&gt;&lt;author&gt;Glasziou, P.P.&lt;/author&gt;&lt;author&gt;Boutron, I.&lt;/author&gt;&lt;author&gt;Milne, R.&lt;/author&gt;&lt;author&gt;Perera, R.&lt;/author&gt;&lt;author&gt;Moher, D.&lt;/author&gt;&lt;author&gt;Altman, D.G.&lt;/author&gt;&lt;author&gt;Barbour, V.&lt;/author&gt;&lt;author&gt;Macdonald, H.&lt;/author&gt;&lt;author&gt;Johnston, M.&lt;/author&gt;&lt;author&gt;Lamb, S.E.&lt;/author&gt;&lt;author&gt;Dixon-Woods, M.&lt;/author&gt;&lt;author&gt;McCulloch, P.&lt;/author&gt;&lt;author&gt;Wyatt, J.C.&lt;/author&gt;&lt;author&gt;Chan, A-N.&lt;/author&gt;&lt;author&gt;Michie, S.&lt;/author&gt;&lt;/authors&gt;&lt;/contributors&gt;&lt;titles&gt;&lt;title&gt;Better reporting of interventions: template for intervention description and replication (TIDieR) checklist and guide&lt;/title&gt;&lt;secondary-title&gt;BMJ&lt;/secondary-title&gt;&lt;/titles&gt;&lt;periodical&gt;&lt;full-title&gt;BMJ&lt;/full-title&gt;&lt;abbr-1&gt;BMJ&lt;/abbr-1&gt;&lt;abbr-2&gt;BMJ&lt;/abbr-2&gt;&lt;/periodical&gt;&lt;pages&gt;g1687&lt;/pages&gt;&lt;volume&gt;348&lt;/volume&gt;&lt;dates&gt;&lt;year&gt;2014&lt;/year&gt;&lt;/dates&gt;&lt;urls&gt;&lt;/urls&gt;&lt;/record&gt;&lt;/Cite&gt;&lt;/EndNote&gt;</w:instrText>
      </w:r>
      <w:r w:rsidR="009F492E" w:rsidRPr="00563AD3">
        <w:fldChar w:fldCharType="separate"/>
      </w:r>
      <w:r w:rsidR="00411708" w:rsidRPr="00411708">
        <w:rPr>
          <w:noProof/>
          <w:vertAlign w:val="superscript"/>
        </w:rPr>
        <w:t>141</w:t>
      </w:r>
      <w:r w:rsidR="009F492E" w:rsidRPr="00563AD3">
        <w:fldChar w:fldCharType="end"/>
      </w:r>
      <w:r w:rsidRPr="00563AD3">
        <w:t xml:space="preserve"> summaries of treatment receipt </w:t>
      </w:r>
      <w:r w:rsidR="00D93D82" w:rsidRPr="00563AD3">
        <w:t>we</w:t>
      </w:r>
      <w:r w:rsidR="009F492E" w:rsidRPr="00563AD3">
        <w:t>re</w:t>
      </w:r>
      <w:r w:rsidRPr="00563AD3">
        <w:t xml:space="preserve"> given by intervention component for DCM™ and by parallel-group for usual care. </w:t>
      </w:r>
    </w:p>
    <w:p w14:paraId="3ED2DE94" w14:textId="1FAD292D" w:rsidR="00472308" w:rsidRPr="00563AD3" w:rsidRDefault="00D93D82" w:rsidP="009B13F3">
      <w:r w:rsidRPr="00563AD3">
        <w:t>Baseline, 6-</w:t>
      </w:r>
      <w:r w:rsidR="00472308" w:rsidRPr="00563AD3">
        <w:t xml:space="preserve"> and 16-months outcomes </w:t>
      </w:r>
      <w:r w:rsidRPr="00563AD3">
        <w:t>we</w:t>
      </w:r>
      <w:r w:rsidR="009F492E" w:rsidRPr="00563AD3">
        <w:t>re</w:t>
      </w:r>
      <w:r w:rsidR="00472308" w:rsidRPr="00563AD3">
        <w:t xml:space="preserve"> summarised for </w:t>
      </w:r>
      <w:r w:rsidR="00E32F1B" w:rsidRPr="00563AD3">
        <w:t xml:space="preserve">the </w:t>
      </w:r>
      <w:r w:rsidR="00472308" w:rsidRPr="00563AD3">
        <w:t xml:space="preserve">intervention and control and additionally for residents in the closed-cohort and cross-sectional samples at 16-months.  </w:t>
      </w:r>
    </w:p>
    <w:p w14:paraId="5353C8D2" w14:textId="77777777" w:rsidR="00472308" w:rsidRPr="00563AD3" w:rsidRDefault="00472308" w:rsidP="009B13F3"/>
    <w:p w14:paraId="18430BAF" w14:textId="77777777" w:rsidR="00472308" w:rsidRPr="00563AD3" w:rsidRDefault="00472308" w:rsidP="009B13F3">
      <w:pPr>
        <w:pStyle w:val="Heading3"/>
      </w:pPr>
      <w:bookmarkStart w:id="86" w:name="_Toc525543980"/>
      <w:r w:rsidRPr="00563AD3">
        <w:t>2.8.4 Primary effectiveness analysis</w:t>
      </w:r>
      <w:bookmarkEnd w:id="86"/>
    </w:p>
    <w:p w14:paraId="5F23E767" w14:textId="07945B62" w:rsidR="00472308" w:rsidRPr="00563AD3" w:rsidRDefault="00472308" w:rsidP="009B13F3">
      <w:r w:rsidRPr="00563AD3">
        <w:t xml:space="preserve">The continuous primary outcome of agitation (CMAI score) was analysed on the cross-sectional sample of residents using a linear two-level heteroscedastic regression model that allowed the cluster and resident-level random effects to vary by arm. The model adjusted for minimisation factors (care home type, size, provision of dementia awareness training and recruiting hub) and average care home-level baseline characteristics (dementia severity via CDR, age and CMAI score) as fixed effects. </w:t>
      </w:r>
      <w:r w:rsidR="006F0BEB">
        <w:t xml:space="preserve">These variables were pre-specified in the protocol, age was added as an additional covariate. </w:t>
      </w:r>
      <w:r w:rsidRPr="00563AD3">
        <w:t xml:space="preserve">Unadjusted and adjusted ICCs, estimates and corresponding 95% confidence intervals </w:t>
      </w:r>
      <w:r w:rsidR="00D93D82" w:rsidRPr="00563AD3">
        <w:t>we</w:t>
      </w:r>
      <w:r w:rsidRPr="00563AD3">
        <w:t xml:space="preserve">re presented, by arm. A negative mean difference in outcome favours the intervention. </w:t>
      </w:r>
      <w:r w:rsidR="009351A4" w:rsidRPr="009351A4">
        <w:t>The primary analysis model was decided a priori in the Statistical Analysis Plan before the data were un</w:t>
      </w:r>
      <w:r w:rsidR="009351A4">
        <w:t>-</w:t>
      </w:r>
      <w:r w:rsidR="009351A4" w:rsidRPr="009351A4">
        <w:t>blinded and without reference to the data. It was consistent with</w:t>
      </w:r>
      <w:r w:rsidR="009351A4">
        <w:t>/</w:t>
      </w:r>
      <w:r w:rsidR="009351A4" w:rsidRPr="009351A4">
        <w:t>followed on from the trial design.</w:t>
      </w:r>
      <w:r w:rsidRPr="00563AD3">
        <w:t xml:space="preserve"> </w:t>
      </w:r>
    </w:p>
    <w:p w14:paraId="0C71850E" w14:textId="77777777" w:rsidR="00472308" w:rsidRPr="00563AD3" w:rsidRDefault="00472308" w:rsidP="009B13F3"/>
    <w:p w14:paraId="7F714869" w14:textId="77777777" w:rsidR="00472308" w:rsidRPr="00563AD3" w:rsidRDefault="00472308" w:rsidP="009B13F3">
      <w:pPr>
        <w:pStyle w:val="Heading3"/>
      </w:pPr>
      <w:bookmarkStart w:id="87" w:name="_Toc525543981"/>
      <w:r w:rsidRPr="00563AD3">
        <w:t>2.8.5 Sensitivity effectiveness analyses</w:t>
      </w:r>
      <w:bookmarkEnd w:id="87"/>
    </w:p>
    <w:p w14:paraId="37F3D6DC" w14:textId="77777777" w:rsidR="00472308" w:rsidRPr="00563AD3" w:rsidRDefault="00472308" w:rsidP="009B13F3">
      <w:r w:rsidRPr="00563AD3">
        <w:t>The robustness of the conclusions of the primary effectiveness analysis was assessed via a number of sensitivity analyses. The primary effectiveness analysis was repeated:</w:t>
      </w:r>
    </w:p>
    <w:p w14:paraId="2086935C" w14:textId="77777777" w:rsidR="00472308" w:rsidRPr="00563AD3" w:rsidRDefault="00472308" w:rsidP="009B13F3">
      <w:pPr>
        <w:pStyle w:val="ListParagraph"/>
        <w:numPr>
          <w:ilvl w:val="0"/>
          <w:numId w:val="15"/>
        </w:numPr>
      </w:pPr>
      <w:r w:rsidRPr="00563AD3">
        <w:t>With an additional covariate categorising care homes by whether they were recruited pre or post eligibility criteria change;</w:t>
      </w:r>
    </w:p>
    <w:p w14:paraId="65CFF74D" w14:textId="77777777" w:rsidR="00472308" w:rsidRPr="00563AD3" w:rsidRDefault="00472308" w:rsidP="009B13F3">
      <w:pPr>
        <w:pStyle w:val="ListParagraph"/>
        <w:numPr>
          <w:ilvl w:val="0"/>
          <w:numId w:val="15"/>
        </w:numPr>
      </w:pPr>
      <w:r w:rsidRPr="00563AD3">
        <w:t>Including care home size as a continuous covariate;</w:t>
      </w:r>
    </w:p>
    <w:p w14:paraId="764F3EBA" w14:textId="77777777" w:rsidR="00472308" w:rsidRPr="00563AD3" w:rsidRDefault="00472308" w:rsidP="009B13F3">
      <w:pPr>
        <w:pStyle w:val="ListParagraph"/>
        <w:numPr>
          <w:ilvl w:val="0"/>
          <w:numId w:val="15"/>
        </w:numPr>
      </w:pPr>
      <w:r w:rsidRPr="00563AD3">
        <w:t>Assuming clustering is homogeneous across arms;</w:t>
      </w:r>
    </w:p>
    <w:p w14:paraId="59266C24" w14:textId="77777777" w:rsidR="00472308" w:rsidRPr="00563AD3" w:rsidRDefault="00472308" w:rsidP="009B13F3">
      <w:pPr>
        <w:pStyle w:val="ListParagraph"/>
        <w:numPr>
          <w:ilvl w:val="0"/>
          <w:numId w:val="15"/>
        </w:numPr>
      </w:pPr>
      <w:r w:rsidRPr="00563AD3">
        <w:t>Using the observational CMAI (CMAI-O) and PAS scores in place of the CMAI;</w:t>
      </w:r>
    </w:p>
    <w:p w14:paraId="6FCC9E1D" w14:textId="3A02FA7F" w:rsidR="00472308" w:rsidRPr="00563AD3" w:rsidRDefault="00472308" w:rsidP="009B13F3">
      <w:pPr>
        <w:pStyle w:val="ListParagraph"/>
        <w:numPr>
          <w:ilvl w:val="0"/>
          <w:numId w:val="15"/>
        </w:numPr>
      </w:pPr>
      <w:r w:rsidRPr="00563AD3">
        <w:t xml:space="preserve">Using the closed-cohort sample in place of the cross-sectional sample, allowing dementia severity, age and CMAI score to be included </w:t>
      </w:r>
      <w:r w:rsidR="00D93D82" w:rsidRPr="00563AD3">
        <w:t xml:space="preserve">as covariates </w:t>
      </w:r>
      <w:r w:rsidRPr="00563AD3">
        <w:t>at the resident-level.</w:t>
      </w:r>
    </w:p>
    <w:p w14:paraId="6365EEAE" w14:textId="77777777" w:rsidR="00472308" w:rsidRPr="00563AD3" w:rsidRDefault="00472308" w:rsidP="009B13F3"/>
    <w:p w14:paraId="1838CC0B" w14:textId="7B902199" w:rsidR="00472308" w:rsidRPr="00563AD3" w:rsidRDefault="00472308" w:rsidP="009B13F3">
      <w:pPr>
        <w:pStyle w:val="Heading3"/>
      </w:pPr>
      <w:bookmarkStart w:id="88" w:name="_Toc525543982"/>
      <w:r w:rsidRPr="00563AD3">
        <w:t>2.8.6 Supportive effectiveness analyses</w:t>
      </w:r>
      <w:bookmarkEnd w:id="88"/>
    </w:p>
    <w:p w14:paraId="55F889B4" w14:textId="2EDAEAB1" w:rsidR="00472308" w:rsidRPr="00563AD3" w:rsidRDefault="00472308" w:rsidP="009B13F3">
      <w:r w:rsidRPr="00563AD3">
        <w:t xml:space="preserve">The treatment effect among ‘compliers’ was estimated using a series of complier average causal effect (CACE) models. Our main supportive analysis defined ‘compliers’ as care homes that would have received at least one cycle of DCM™ to an acceptable level if it had been offered. Other thresholds were exploratory. CACE treatment estimates were obtained from two-stage least square instrumental variable regressions (using Stata command ivreg), using robust standard errors to allow for clustering effects. </w:t>
      </w:r>
      <w:r w:rsidR="003F1B4B">
        <w:t>T</w:t>
      </w:r>
      <w:r w:rsidR="003F1B4B" w:rsidRPr="003F1B4B">
        <w:t xml:space="preserve">he model adjusted for the same baseline variables as the primary analysis </w:t>
      </w:r>
      <w:r w:rsidR="003F1B4B">
        <w:t xml:space="preserve">model </w:t>
      </w:r>
      <w:r w:rsidR="003F1B4B" w:rsidRPr="003F1B4B">
        <w:t xml:space="preserve">with the addition of binary </w:t>
      </w:r>
      <w:r w:rsidR="003F1B4B">
        <w:t>variable ‘</w:t>
      </w:r>
      <w:r w:rsidR="003F1B4B" w:rsidRPr="003F1B4B">
        <w:t>treatment received</w:t>
      </w:r>
      <w:r w:rsidR="003F1B4B">
        <w:t>’</w:t>
      </w:r>
      <w:r w:rsidR="003F1B4B" w:rsidRPr="003F1B4B">
        <w:t xml:space="preserve"> (number of DCM cycles received to pre-specified level).</w:t>
      </w:r>
    </w:p>
    <w:p w14:paraId="3AC791B6" w14:textId="412011FB" w:rsidR="00472308" w:rsidRPr="00563AD3" w:rsidRDefault="00472308" w:rsidP="009B13F3">
      <w:r w:rsidRPr="00563AD3">
        <w:t>For our mediation analysis, we used a parametric causal mediation approach to allow for interactions between mediators and treatments, which the typical Baron and Kenny</w:t>
      </w:r>
      <w:r w:rsidR="009A40B2" w:rsidRPr="00563AD3">
        <w:t xml:space="preserve"> </w:t>
      </w:r>
      <w:r w:rsidR="009A40B2" w:rsidRPr="00563AD3">
        <w:fldChar w:fldCharType="begin"/>
      </w:r>
      <w:r w:rsidR="00411708">
        <w:instrText xml:space="preserve"> ADDIN EN.CITE &lt;EndNote&gt;&lt;Cite&gt;&lt;Author&gt;Baron&lt;/Author&gt;&lt;Year&gt;1986&lt;/Year&gt;&lt;RecNum&gt;1865&lt;/RecNum&gt;&lt;DisplayText&gt;&lt;style face="superscript"&gt;142&lt;/style&gt;&lt;/DisplayText&gt;&lt;record&gt;&lt;rec-number&gt;1865&lt;/rec-number&gt;&lt;foreign-keys&gt;&lt;key app="EN" db-id="wprxwptv75dtdree0t5x2ptmvadptw5fr2ww" timestamp="1519982048"&gt;1865&lt;/key&gt;&lt;/foreign-keys&gt;&lt;ref-type name="Journal Article"&gt;17&lt;/ref-type&gt;&lt;contributors&gt;&lt;authors&gt;&lt;author&gt;Baron, Reuben M&lt;/author&gt;&lt;author&gt;Kenny, David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1173&lt;/pages&gt;&lt;volume&gt;51&lt;/volume&gt;&lt;number&gt;6&lt;/number&gt;&lt;dates&gt;&lt;year&gt;1986&lt;/year&gt;&lt;/dates&gt;&lt;isbn&gt;1939-1315&lt;/isbn&gt;&lt;urls&gt;&lt;/urls&gt;&lt;/record&gt;&lt;/Cite&gt;&lt;/EndNote&gt;</w:instrText>
      </w:r>
      <w:r w:rsidR="009A40B2" w:rsidRPr="00563AD3">
        <w:fldChar w:fldCharType="separate"/>
      </w:r>
      <w:r w:rsidR="00411708" w:rsidRPr="00411708">
        <w:rPr>
          <w:noProof/>
          <w:vertAlign w:val="superscript"/>
        </w:rPr>
        <w:t>142</w:t>
      </w:r>
      <w:r w:rsidR="009A40B2" w:rsidRPr="00563AD3">
        <w:fldChar w:fldCharType="end"/>
      </w:r>
      <w:r w:rsidRPr="00563AD3">
        <w:t xml:space="preserve"> approach does not. We report</w:t>
      </w:r>
      <w:r w:rsidR="00D93D82" w:rsidRPr="00563AD3">
        <w:t>ed</w:t>
      </w:r>
      <w:r w:rsidRPr="00563AD3">
        <w:t xml:space="preserve"> the natural indirect effect, which is the effect on outcomes of having the mediator present compared to it not being present, for a number of pre-specified intermediate variables (potential mediators). An</w:t>
      </w:r>
      <w:r w:rsidR="00D93D82" w:rsidRPr="00563AD3">
        <w:t>alysis was done on an ITT basis</w:t>
      </w:r>
      <w:r w:rsidR="00F128B2">
        <w:t xml:space="preserve"> on cross-sectional cohort</w:t>
      </w:r>
      <w:r w:rsidRPr="00563AD3">
        <w:t xml:space="preserve">. Each mediator </w:t>
      </w:r>
      <w:r w:rsidR="00D93D82" w:rsidRPr="00563AD3">
        <w:t xml:space="preserve">was </w:t>
      </w:r>
      <w:r w:rsidRPr="00563AD3">
        <w:t xml:space="preserve">analysed separately assuming there </w:t>
      </w:r>
      <w:r w:rsidR="00D93D82" w:rsidRPr="00563AD3">
        <w:t>was</w:t>
      </w:r>
      <w:r w:rsidRPr="00563AD3">
        <w:t xml:space="preserve"> no unobserved confounding in treatment-outcome, mediator-outcome and treatment-mediator relationships and that any mediator-outcome relationship confounders </w:t>
      </w:r>
      <w:r w:rsidR="00D93D82" w:rsidRPr="00563AD3">
        <w:t>were not</w:t>
      </w:r>
      <w:r w:rsidRPr="00563AD3">
        <w:t xml:space="preserve"> affected by treatment allocation. </w:t>
      </w:r>
      <w:r w:rsidR="00F128B2" w:rsidRPr="0087530D">
        <w:t xml:space="preserve">We used parametric regression models </w:t>
      </w:r>
      <w:r w:rsidR="00F128B2">
        <w:t xml:space="preserve">using </w:t>
      </w:r>
      <w:r w:rsidR="00F128B2" w:rsidRPr="0087530D">
        <w:t>Stata the paramed command.</w:t>
      </w:r>
      <w:r w:rsidR="00F128B2">
        <w:t xml:space="preserve"> </w:t>
      </w:r>
      <w:r w:rsidR="00F128B2" w:rsidRPr="00F128B2">
        <w:t>A linear regression model was fitted for the outcome variable. Logistic regression was used for the mediator variable.</w:t>
      </w:r>
      <w:r w:rsidR="00F128B2">
        <w:t xml:space="preserve"> </w:t>
      </w:r>
      <w:r w:rsidR="00F128B2" w:rsidRPr="0087530D">
        <w:t>In the multiple imputation we additionally included the potential mediators.</w:t>
      </w:r>
    </w:p>
    <w:p w14:paraId="0B22B33A" w14:textId="6AB67F05" w:rsidR="00472308" w:rsidRPr="00563AD3" w:rsidRDefault="00472308" w:rsidP="009B13F3">
      <w:r w:rsidRPr="00563AD3">
        <w:t>In our moderator analyses, we explore</w:t>
      </w:r>
      <w:r w:rsidR="00E32F1B" w:rsidRPr="00563AD3">
        <w:t>d</w:t>
      </w:r>
      <w:r w:rsidRPr="00563AD3">
        <w:t xml:space="preserve"> whether the treatment effect differ</w:t>
      </w:r>
      <w:r w:rsidR="00E32F1B" w:rsidRPr="00563AD3">
        <w:t>ed</w:t>
      </w:r>
      <w:r w:rsidRPr="00563AD3">
        <w:t xml:space="preserve"> depending on pre-specified baseline characteristics of either the care home or the resident. The primary analysis </w:t>
      </w:r>
      <w:r w:rsidR="00E32F1B" w:rsidRPr="00563AD3">
        <w:t>was</w:t>
      </w:r>
      <w:r w:rsidRPr="00563AD3">
        <w:t xml:space="preserve"> repeated, including each potential moderator, alongside the interaction between treatment and the potential moderator. Analyses </w:t>
      </w:r>
      <w:r w:rsidR="00E32F1B" w:rsidRPr="00563AD3">
        <w:t>was</w:t>
      </w:r>
      <w:r w:rsidRPr="00563AD3">
        <w:t xml:space="preserve"> performed on the ITT cross-sectional sample, subject to the availability of data for each potential moderator.</w:t>
      </w:r>
    </w:p>
    <w:p w14:paraId="40821289" w14:textId="77777777" w:rsidR="00472308" w:rsidRPr="00563AD3" w:rsidRDefault="00472308" w:rsidP="009B13F3">
      <w:pPr>
        <w:rPr>
          <w:highlight w:val="yellow"/>
        </w:rPr>
      </w:pPr>
    </w:p>
    <w:p w14:paraId="7201C280" w14:textId="546658AF" w:rsidR="00472308" w:rsidRPr="00563AD3" w:rsidRDefault="00472308" w:rsidP="009B13F3">
      <w:pPr>
        <w:pStyle w:val="Heading3"/>
      </w:pPr>
      <w:bookmarkStart w:id="89" w:name="_Toc525543983"/>
      <w:r w:rsidRPr="00563AD3">
        <w:t>2.8.7 Secondary effectiveness analyses</w:t>
      </w:r>
      <w:bookmarkEnd w:id="89"/>
    </w:p>
    <w:p w14:paraId="488F9D2A" w14:textId="32A7F4A8" w:rsidR="00472308" w:rsidRPr="00563AD3" w:rsidRDefault="00472308" w:rsidP="009B13F3">
      <w:pPr>
        <w:spacing w:after="0"/>
      </w:pPr>
      <w:r w:rsidRPr="00563AD3">
        <w:t xml:space="preserve">Secondary analyses </w:t>
      </w:r>
      <w:r w:rsidR="00E32F1B" w:rsidRPr="00563AD3">
        <w:t>were</w:t>
      </w:r>
      <w:r w:rsidRPr="00563AD3">
        <w:t xml:space="preserve"> undertaken using the same principles as the analysis of </w:t>
      </w:r>
      <w:r w:rsidR="002247EC" w:rsidRPr="00563AD3">
        <w:t xml:space="preserve">the </w:t>
      </w:r>
      <w:r w:rsidRPr="00563AD3">
        <w:t xml:space="preserve">primary outcome. For secondary outcomes (behaviours staff find challenging, use of antipsychotic drugs and other psychotropic drugs, mood, resident quality of life, staff role efficacy, care quality and the quality of staff/resident interactions), three analyses </w:t>
      </w:r>
      <w:r w:rsidR="00E32F1B" w:rsidRPr="00563AD3">
        <w:t>were</w:t>
      </w:r>
      <w:r w:rsidRPr="00563AD3">
        <w:t xml:space="preserve"> performed:</w:t>
      </w:r>
    </w:p>
    <w:p w14:paraId="488D270E" w14:textId="09815110" w:rsidR="00472308" w:rsidRPr="00563AD3" w:rsidRDefault="00472308" w:rsidP="009B13F3">
      <w:pPr>
        <w:pStyle w:val="Default"/>
        <w:spacing w:after="15" w:line="360" w:lineRule="auto"/>
        <w:rPr>
          <w:rFonts w:ascii="Arial" w:hAnsi="Arial" w:cs="Arial"/>
          <w:sz w:val="22"/>
          <w:szCs w:val="22"/>
        </w:rPr>
      </w:pPr>
      <w:r w:rsidRPr="00563AD3">
        <w:rPr>
          <w:rFonts w:ascii="Arial" w:hAnsi="Arial" w:cs="Arial"/>
          <w:sz w:val="22"/>
          <w:szCs w:val="22"/>
        </w:rPr>
        <w:t>1. Cr</w:t>
      </w:r>
      <w:r w:rsidR="00D93D82" w:rsidRPr="00563AD3">
        <w:rPr>
          <w:rFonts w:ascii="Arial" w:hAnsi="Arial" w:cs="Arial"/>
          <w:sz w:val="22"/>
          <w:szCs w:val="22"/>
        </w:rPr>
        <w:t>oss-sectional at 16-</w:t>
      </w:r>
      <w:r w:rsidRPr="00563AD3">
        <w:rPr>
          <w:rFonts w:ascii="Arial" w:hAnsi="Arial" w:cs="Arial"/>
          <w:sz w:val="22"/>
          <w:szCs w:val="22"/>
        </w:rPr>
        <w:t xml:space="preserve">months; </w:t>
      </w:r>
    </w:p>
    <w:p w14:paraId="6A2012E9" w14:textId="572BC439" w:rsidR="00472308" w:rsidRPr="00563AD3" w:rsidRDefault="00D93D82" w:rsidP="009B13F3">
      <w:pPr>
        <w:pStyle w:val="Default"/>
        <w:spacing w:after="15" w:line="360" w:lineRule="auto"/>
        <w:rPr>
          <w:rFonts w:ascii="Arial" w:hAnsi="Arial" w:cs="Arial"/>
          <w:sz w:val="22"/>
          <w:szCs w:val="22"/>
        </w:rPr>
      </w:pPr>
      <w:r w:rsidRPr="00563AD3">
        <w:rPr>
          <w:rFonts w:ascii="Arial" w:hAnsi="Arial" w:cs="Arial"/>
          <w:sz w:val="22"/>
          <w:szCs w:val="22"/>
        </w:rPr>
        <w:t>2. Closed-cohort at 6-</w:t>
      </w:r>
      <w:r w:rsidR="00472308" w:rsidRPr="00563AD3">
        <w:rPr>
          <w:rFonts w:ascii="Arial" w:hAnsi="Arial" w:cs="Arial"/>
          <w:sz w:val="22"/>
          <w:szCs w:val="22"/>
        </w:rPr>
        <w:t xml:space="preserve">months; </w:t>
      </w:r>
    </w:p>
    <w:p w14:paraId="6B8251C7" w14:textId="7C791400" w:rsidR="00472308" w:rsidRPr="00563AD3" w:rsidRDefault="00D93D82" w:rsidP="009B13F3">
      <w:pPr>
        <w:pStyle w:val="Default"/>
        <w:spacing w:line="360" w:lineRule="auto"/>
        <w:rPr>
          <w:rFonts w:ascii="Arial" w:hAnsi="Arial" w:cs="Arial"/>
          <w:sz w:val="22"/>
          <w:szCs w:val="22"/>
        </w:rPr>
      </w:pPr>
      <w:r w:rsidRPr="00563AD3">
        <w:rPr>
          <w:rFonts w:ascii="Arial" w:hAnsi="Arial" w:cs="Arial"/>
          <w:sz w:val="22"/>
          <w:szCs w:val="22"/>
        </w:rPr>
        <w:t>3. Closed-cohort at 16-</w:t>
      </w:r>
      <w:r w:rsidR="00472308" w:rsidRPr="00563AD3">
        <w:rPr>
          <w:rFonts w:ascii="Arial" w:hAnsi="Arial" w:cs="Arial"/>
          <w:sz w:val="22"/>
          <w:szCs w:val="22"/>
        </w:rPr>
        <w:t xml:space="preserve">months.  </w:t>
      </w:r>
    </w:p>
    <w:p w14:paraId="01883708" w14:textId="769E556B" w:rsidR="00472308" w:rsidRPr="00563AD3" w:rsidRDefault="00472308" w:rsidP="009B13F3">
      <w:r w:rsidRPr="00563AD3">
        <w:t xml:space="preserve">The same covariates </w:t>
      </w:r>
      <w:r w:rsidR="00E32F1B" w:rsidRPr="00563AD3">
        <w:t>were</w:t>
      </w:r>
      <w:r w:rsidRPr="00563AD3">
        <w:t xml:space="preserve"> included as for the primary analysis (for closed-cohort analyses, individual resident-level covariates </w:t>
      </w:r>
      <w:r w:rsidR="002247EC" w:rsidRPr="00563AD3">
        <w:t>were</w:t>
      </w:r>
      <w:r w:rsidRPr="00563AD3">
        <w:t xml:space="preserve"> used as appropriate). Cluster-specific linear two-level heteroscedastic regressions </w:t>
      </w:r>
      <w:r w:rsidR="00E32F1B" w:rsidRPr="00563AD3">
        <w:t>were</w:t>
      </w:r>
      <w:r w:rsidRPr="00563AD3">
        <w:t xml:space="preserve"> fitted where outcomes </w:t>
      </w:r>
      <w:r w:rsidR="00E32F1B" w:rsidRPr="00563AD3">
        <w:t>we</w:t>
      </w:r>
      <w:r w:rsidRPr="00563AD3">
        <w:t xml:space="preserve">re continuous (resident quality of life). Population-average logistic regressions </w:t>
      </w:r>
      <w:r w:rsidR="00E32F1B" w:rsidRPr="00563AD3">
        <w:t>were</w:t>
      </w:r>
      <w:r w:rsidRPr="00563AD3">
        <w:t xml:space="preserve"> fitted, using generalised estimating equations (GEE), where outcomes </w:t>
      </w:r>
      <w:r w:rsidR="00E32F1B" w:rsidRPr="00563AD3">
        <w:t>we</w:t>
      </w:r>
      <w:r w:rsidRPr="00563AD3">
        <w:t xml:space="preserve">re binary (behaviours staff find challenging, use of antipsychotic drugs, mood). </w:t>
      </w:r>
    </w:p>
    <w:p w14:paraId="3F1EDB7A" w14:textId="77777777" w:rsidR="00472308" w:rsidRPr="00563AD3" w:rsidRDefault="00472308" w:rsidP="009B13F3"/>
    <w:p w14:paraId="742E2374" w14:textId="08FBA334" w:rsidR="00472308" w:rsidRPr="00563AD3" w:rsidRDefault="00472308" w:rsidP="009B13F3">
      <w:pPr>
        <w:pStyle w:val="Heading3"/>
      </w:pPr>
      <w:bookmarkStart w:id="90" w:name="_Toc525543984"/>
      <w:r w:rsidRPr="00563AD3">
        <w:t>2.8.8 Safety analysis</w:t>
      </w:r>
      <w:bookmarkEnd w:id="90"/>
    </w:p>
    <w:p w14:paraId="291306B0" w14:textId="690E5817" w:rsidR="00472308" w:rsidRPr="00563AD3" w:rsidRDefault="00472308" w:rsidP="009B13F3">
      <w:pPr>
        <w:pStyle w:val="Default"/>
        <w:spacing w:line="360" w:lineRule="auto"/>
        <w:rPr>
          <w:rFonts w:ascii="Arial" w:hAnsi="Arial" w:cs="Arial"/>
          <w:sz w:val="22"/>
          <w:szCs w:val="22"/>
        </w:rPr>
      </w:pPr>
      <w:r w:rsidRPr="00563AD3">
        <w:rPr>
          <w:rFonts w:ascii="Arial" w:hAnsi="Arial" w:cs="Arial"/>
          <w:sz w:val="22"/>
          <w:szCs w:val="22"/>
        </w:rPr>
        <w:t>The number and proportion of residents in the closed-cohort who die</w:t>
      </w:r>
      <w:r w:rsidR="00E32F1B" w:rsidRPr="00563AD3">
        <w:rPr>
          <w:rFonts w:ascii="Arial" w:hAnsi="Arial" w:cs="Arial"/>
          <w:sz w:val="22"/>
          <w:szCs w:val="22"/>
        </w:rPr>
        <w:t>d</w:t>
      </w:r>
      <w:r w:rsidRPr="00563AD3">
        <w:rPr>
          <w:rFonts w:ascii="Arial" w:hAnsi="Arial" w:cs="Arial"/>
          <w:sz w:val="22"/>
          <w:szCs w:val="22"/>
        </w:rPr>
        <w:t xml:space="preserve"> from any cau</w:t>
      </w:r>
      <w:r w:rsidR="00D93D82" w:rsidRPr="00563AD3">
        <w:rPr>
          <w:rFonts w:ascii="Arial" w:hAnsi="Arial" w:cs="Arial"/>
          <w:sz w:val="22"/>
          <w:szCs w:val="22"/>
        </w:rPr>
        <w:t>se between randomisation and 16-</w:t>
      </w:r>
      <w:r w:rsidRPr="00563AD3">
        <w:rPr>
          <w:rFonts w:ascii="Arial" w:hAnsi="Arial" w:cs="Arial"/>
          <w:sz w:val="22"/>
          <w:szCs w:val="22"/>
        </w:rPr>
        <w:t xml:space="preserve">months </w:t>
      </w:r>
      <w:r w:rsidR="00D93D82" w:rsidRPr="00563AD3">
        <w:rPr>
          <w:rFonts w:ascii="Arial" w:hAnsi="Arial" w:cs="Arial"/>
          <w:sz w:val="22"/>
          <w:szCs w:val="22"/>
        </w:rPr>
        <w:t>wa</w:t>
      </w:r>
      <w:r w:rsidR="002247EC" w:rsidRPr="00563AD3">
        <w:rPr>
          <w:rFonts w:ascii="Arial" w:hAnsi="Arial" w:cs="Arial"/>
          <w:sz w:val="22"/>
          <w:szCs w:val="22"/>
        </w:rPr>
        <w:t>s</w:t>
      </w:r>
      <w:r w:rsidRPr="00563AD3">
        <w:rPr>
          <w:rFonts w:ascii="Arial" w:hAnsi="Arial" w:cs="Arial"/>
          <w:sz w:val="22"/>
          <w:szCs w:val="22"/>
        </w:rPr>
        <w:t xml:space="preserve"> summarised by arm. The cause and place of death </w:t>
      </w:r>
      <w:r w:rsidR="00D93D82" w:rsidRPr="00563AD3">
        <w:rPr>
          <w:rFonts w:ascii="Arial" w:hAnsi="Arial" w:cs="Arial"/>
          <w:sz w:val="22"/>
          <w:szCs w:val="22"/>
        </w:rPr>
        <w:t>was</w:t>
      </w:r>
      <w:r w:rsidRPr="00563AD3">
        <w:rPr>
          <w:rFonts w:ascii="Arial" w:hAnsi="Arial" w:cs="Arial"/>
          <w:sz w:val="22"/>
          <w:szCs w:val="22"/>
        </w:rPr>
        <w:t xml:space="preserve"> also reported. The number of hospital admissions per resident, mean number of hospital admissions per resident, average length of hospital admission, overall number of hospital admissions reported and admissions by ward type </w:t>
      </w:r>
      <w:r w:rsidR="00D93D82" w:rsidRPr="00563AD3">
        <w:rPr>
          <w:rFonts w:ascii="Arial" w:hAnsi="Arial" w:cs="Arial"/>
          <w:sz w:val="22"/>
          <w:szCs w:val="22"/>
        </w:rPr>
        <w:t>wa</w:t>
      </w:r>
      <w:r w:rsidR="00E32F1B" w:rsidRPr="00563AD3">
        <w:rPr>
          <w:rFonts w:ascii="Arial" w:hAnsi="Arial" w:cs="Arial"/>
          <w:sz w:val="22"/>
          <w:szCs w:val="22"/>
        </w:rPr>
        <w:t>s</w:t>
      </w:r>
      <w:r w:rsidRPr="00563AD3">
        <w:rPr>
          <w:rFonts w:ascii="Arial" w:hAnsi="Arial" w:cs="Arial"/>
          <w:sz w:val="22"/>
          <w:szCs w:val="22"/>
        </w:rPr>
        <w:t xml:space="preserve"> summarised by arm and overall. No formal statistical comparison </w:t>
      </w:r>
      <w:r w:rsidR="00D93D82" w:rsidRPr="00563AD3">
        <w:rPr>
          <w:rFonts w:ascii="Arial" w:hAnsi="Arial" w:cs="Arial"/>
          <w:sz w:val="22"/>
          <w:szCs w:val="22"/>
        </w:rPr>
        <w:t>was</w:t>
      </w:r>
      <w:r w:rsidRPr="00563AD3">
        <w:rPr>
          <w:rFonts w:ascii="Arial" w:hAnsi="Arial" w:cs="Arial"/>
          <w:sz w:val="22"/>
          <w:szCs w:val="22"/>
        </w:rPr>
        <w:t xml:space="preserve"> undertaken between arms. </w:t>
      </w:r>
    </w:p>
    <w:p w14:paraId="21337EC6" w14:textId="77777777" w:rsidR="00F20D51" w:rsidRPr="00563AD3" w:rsidRDefault="00F20D51" w:rsidP="009B13F3"/>
    <w:p w14:paraId="62516AF4" w14:textId="712186AD" w:rsidR="00FD1FDB" w:rsidRPr="00563AD3" w:rsidRDefault="00FD1FDB" w:rsidP="009B13F3">
      <w:pPr>
        <w:pStyle w:val="Heading3"/>
      </w:pPr>
      <w:bookmarkStart w:id="91" w:name="_Toc525543985"/>
      <w:r w:rsidRPr="00563AD3">
        <w:t>2.8.</w:t>
      </w:r>
      <w:r w:rsidR="00472308" w:rsidRPr="00563AD3">
        <w:t>9</w:t>
      </w:r>
      <w:r w:rsidRPr="00563AD3">
        <w:t xml:space="preserve"> Health Economic analysis</w:t>
      </w:r>
      <w:bookmarkEnd w:id="91"/>
    </w:p>
    <w:p w14:paraId="74328AFC" w14:textId="7A448880" w:rsidR="00353665" w:rsidRPr="00563AD3" w:rsidRDefault="00353665" w:rsidP="009B13F3">
      <w:r w:rsidRPr="00563AD3">
        <w:t xml:space="preserve">The economic evaluation was a within-trial analysis. We chose not to develop a decision-analytic model for the evaluation. While a model may have been useful in extrapolating any costs and health benefits beyond the end of the trial, we felt that the measure of future effectiveness would be highly uncertain and </w:t>
      </w:r>
      <w:r w:rsidR="00A34E0E" w:rsidRPr="00563AD3">
        <w:t xml:space="preserve">would </w:t>
      </w:r>
      <w:r w:rsidRPr="00563AD3">
        <w:t>require additional assumptions (e.g. about the duration of effect). The analysis followed the reference case guidance for technology appraisals set out by the National Institute for Health and Care Excellence (NICE)</w:t>
      </w:r>
      <w:r w:rsidR="00F45047">
        <w:t>.</w:t>
      </w:r>
      <w:r w:rsidRPr="00563AD3">
        <w:t xml:space="preserve"> </w:t>
      </w:r>
      <w:r w:rsidRPr="00563AD3">
        <w:fldChar w:fldCharType="begin"/>
      </w:r>
      <w:r w:rsidR="00411708">
        <w:instrText xml:space="preserve"> ADDIN EN.CITE &lt;EndNote&gt;&lt;Cite&gt;&lt;Author&gt;NICE&lt;/Author&gt;&lt;Year&gt;2013&lt;/Year&gt;&lt;RecNum&gt;1448&lt;/RecNum&gt;&lt;DisplayText&gt;&lt;style face="superscript"&gt;143&lt;/style&gt;&lt;/DisplayText&gt;&lt;record&gt;&lt;rec-number&gt;1448&lt;/rec-number&gt;&lt;foreign-keys&gt;&lt;key app="EN" db-id="zvzxer9s99r50uearv6xetr0feevfap9x9rr" timestamp="1496402361"&gt;1448&lt;/key&gt;&lt;/foreign-keys&gt;&lt;ref-type name="Web Page"&gt;12&lt;/ref-type&gt;&lt;contributors&gt;&lt;authors&gt;&lt;author&gt;National Institute for Health and Care Excellence NICE&lt;/author&gt;&lt;/authors&gt;&lt;/contributors&gt;&lt;titles&gt;&lt;title&gt;Guide to the methods of technology appraisal 2013&lt;/title&gt;&lt;/titles&gt;&lt;volume&gt;2017&lt;/volume&gt;&lt;number&gt;2nd June 2017&lt;/number&gt;&lt;dates&gt;&lt;year&gt;2013&lt;/year&gt;&lt;/dates&gt;&lt;urls&gt;&lt;related-urls&gt;&lt;url&gt;https://www.nice.org.uk/process/pmg9/chapter/the-appraisal-of-the-evidence-and-structured-decision-making#&lt;/url&gt;&lt;/related-urls&gt;&lt;/urls&gt;&lt;/record&gt;&lt;/Cite&gt;&lt;Cite&gt;&lt;Author&gt;NICE&lt;/Author&gt;&lt;Year&gt;2013&lt;/Year&gt;&lt;RecNum&gt;1448&lt;/RecNum&gt;&lt;record&gt;&lt;rec-number&gt;1448&lt;/rec-number&gt;&lt;foreign-keys&gt;&lt;key app="EN" db-id="zvzxer9s99r50uearv6xetr0feevfap9x9rr" timestamp="1496402361"&gt;1448&lt;/key&gt;&lt;/foreign-keys&gt;&lt;ref-type name="Web Page"&gt;12&lt;/ref-type&gt;&lt;contributors&gt;&lt;authors&gt;&lt;author&gt;National Institute for Health and Care Excellence NICE&lt;/author&gt;&lt;/authors&gt;&lt;/contributors&gt;&lt;titles&gt;&lt;title&gt;Guide to the methods of technology appraisal 2013&lt;/title&gt;&lt;/titles&gt;&lt;volume&gt;2017&lt;/volume&gt;&lt;number&gt;2nd June 2017&lt;/number&gt;&lt;dates&gt;&lt;year&gt;2013&lt;/year&gt;&lt;/dates&gt;&lt;urls&gt;&lt;related-urls&gt;&lt;url&gt;https://www.nice.org.uk/process/pmg9/chapter/the-appraisal-of-the-evidence-and-structured-decision-making#&lt;/url&gt;&lt;/related-urls&gt;&lt;/urls&gt;&lt;/record&gt;&lt;/Cite&gt;&lt;/EndNote&gt;</w:instrText>
      </w:r>
      <w:r w:rsidRPr="00563AD3">
        <w:fldChar w:fldCharType="separate"/>
      </w:r>
      <w:r w:rsidR="00411708" w:rsidRPr="00411708">
        <w:rPr>
          <w:noProof/>
          <w:vertAlign w:val="superscript"/>
        </w:rPr>
        <w:t>143</w:t>
      </w:r>
      <w:r w:rsidRPr="00563AD3">
        <w:fldChar w:fldCharType="end"/>
      </w:r>
      <w:r w:rsidRPr="00563AD3">
        <w:t xml:space="preserve"> The primary analysis was a cost-utility analysis and presents outcomes as quality-adjusted life years (QALYs) using a health and personal social service provider perspective</w:t>
      </w:r>
      <w:r w:rsidR="00FC2CE0">
        <w:t xml:space="preserve"> (whilst some of these costs might in practice be paid for by residents themselves, this was not accounted for in the analysis because it was deeded not to have any impact on the incremental costs of the DCM intervention)</w:t>
      </w:r>
      <w:r w:rsidRPr="00563AD3">
        <w:t>. A</w:t>
      </w:r>
      <w:r w:rsidRPr="00563AD3">
        <w:rPr>
          <w:iCs/>
        </w:rPr>
        <w:t xml:space="preserve"> secondary cost-effectiveness analysis based on cost per unit of improvement in </w:t>
      </w:r>
      <w:r w:rsidRPr="00563AD3">
        <w:t xml:space="preserve">CMAI was also conducted. </w:t>
      </w:r>
    </w:p>
    <w:p w14:paraId="1276DD3C" w14:textId="38FEB2BF" w:rsidR="005B09F1" w:rsidRPr="00563AD3" w:rsidRDefault="005B09F1" w:rsidP="009B13F3">
      <w:pPr>
        <w:pStyle w:val="Heading4"/>
      </w:pPr>
      <w:r w:rsidRPr="00563AD3">
        <w:t>2.8.9.1 Deviations from the SAP</w:t>
      </w:r>
    </w:p>
    <w:p w14:paraId="7512067C" w14:textId="6E85111F" w:rsidR="005B09F1" w:rsidRPr="00563AD3" w:rsidRDefault="005B09F1" w:rsidP="009B13F3">
      <w:r w:rsidRPr="00563AD3">
        <w:t xml:space="preserve">The following deviations from the SAP were decided upon during data analysis. The primary health economic analysis assumed that the local authority pays for the provision of care for residents (NHS and social care perspective). We had planned to conduct an analysis where we assumed that some proportion of residents paid for their own care home stay. Following further discussions with the research team it was decided to remove this element. The justification for this was that care homes are paid even when residents are hospitalised and hence the source of payments for residency would not impact results. </w:t>
      </w:r>
    </w:p>
    <w:p w14:paraId="4F8FAC05" w14:textId="4D97208C" w:rsidR="005B09F1" w:rsidRPr="00563AD3" w:rsidRDefault="005B09F1" w:rsidP="009B13F3">
      <w:r w:rsidRPr="00563AD3">
        <w:t xml:space="preserve">In the SAP we stated that: “The validity of reports will be assessed by correlating scores between EQ-5D and those on the alternative measures (QUALID, QoL-AD) and by exploring the ability of the measure to distinguish between known groups (for example, based on CDR).” </w:t>
      </w:r>
      <w:r w:rsidR="00A03A36" w:rsidRPr="00563AD3">
        <w:t xml:space="preserve">This was not included as part of the required analysis within the original grant application. </w:t>
      </w:r>
      <w:r w:rsidRPr="00563AD3">
        <w:t>This analysis is still planned as additional methodological research. For the trial analysis we took the pragmatic approach and based the primary analysis on staff proxy measures since this was by some margin the most complete data.</w:t>
      </w:r>
    </w:p>
    <w:p w14:paraId="7BB56E2F" w14:textId="51F584E2" w:rsidR="00353665" w:rsidRPr="00563AD3" w:rsidRDefault="00353665" w:rsidP="009B13F3">
      <w:pPr>
        <w:pStyle w:val="Heading4"/>
      </w:pPr>
      <w:r w:rsidRPr="00563AD3">
        <w:t>2.8.</w:t>
      </w:r>
      <w:r w:rsidR="00472308" w:rsidRPr="00563AD3">
        <w:t>9</w:t>
      </w:r>
      <w:r w:rsidRPr="00563AD3">
        <w:t>.</w:t>
      </w:r>
      <w:r w:rsidR="005B09F1" w:rsidRPr="00563AD3">
        <w:t>2</w:t>
      </w:r>
      <w:r w:rsidRPr="00563AD3">
        <w:t xml:space="preserve"> Resource Use and Costs</w:t>
      </w:r>
    </w:p>
    <w:p w14:paraId="7A510877" w14:textId="39D316BE" w:rsidR="00353665" w:rsidRPr="00563AD3" w:rsidRDefault="00353665" w:rsidP="009B13F3">
      <w:r w:rsidRPr="00563AD3">
        <w:t>Unit costs for health service staff and resources were obtained from national sources such as the Personal Social Services Research Unit (PSSRU)</w:t>
      </w:r>
      <w:r w:rsidR="00F45047">
        <w:t>,</w:t>
      </w:r>
      <w:r w:rsidR="00065223" w:rsidRPr="00563AD3">
        <w:t xml:space="preserve"> </w:t>
      </w:r>
      <w:r w:rsidR="00065223" w:rsidRPr="00563AD3">
        <w:fldChar w:fldCharType="begin"/>
      </w:r>
      <w:r w:rsidR="00411708">
        <w:instrText xml:space="preserve"> ADDIN EN.CITE &lt;EndNote&gt;&lt;Cite&gt;&lt;Author&gt;Curtis&lt;/Author&gt;&lt;Year&gt;2016&lt;/Year&gt;&lt;RecNum&gt;1774&lt;/RecNum&gt;&lt;DisplayText&gt;&lt;style face="superscript"&gt;144&lt;/style&gt;&lt;/DisplayText&gt;&lt;record&gt;&lt;rec-number&gt;1774&lt;/rec-number&gt;&lt;foreign-keys&gt;&lt;key app="EN" db-id="wprxwptv75dtdree0t5x2ptmvadptw5fr2ww" timestamp="1513607854"&gt;1774&lt;/key&gt;&lt;/foreign-keys&gt;&lt;ref-type name="Report"&gt;27&lt;/ref-type&gt;&lt;contributors&gt;&lt;authors&gt;&lt;author&gt;Curtis, L.&lt;/author&gt;&lt;author&gt;Burns, A.&lt;/author&gt;&lt;/authors&gt;&lt;/contributors&gt;&lt;titles&gt;&lt;title&gt;Units Costs of Health and Social Care 2016&lt;/title&gt;&lt;/titles&gt;&lt;dates&gt;&lt;year&gt;2016&lt;/year&gt;&lt;/dates&gt;&lt;pub-location&gt;Canterbury&lt;/pub-location&gt;&lt;publisher&gt;PSSRU&lt;/publisher&gt;&lt;urls&gt;&lt;related-urls&gt;&lt;url&gt;http://www.pssru.ac.uk/pub/uc/uc2016/full.pdf&lt;/url&gt;&lt;/related-urls&gt;&lt;/urls&gt;&lt;/record&gt;&lt;/Cite&gt;&lt;/EndNote&gt;</w:instrText>
      </w:r>
      <w:r w:rsidR="00065223" w:rsidRPr="00563AD3">
        <w:fldChar w:fldCharType="separate"/>
      </w:r>
      <w:r w:rsidR="00411708" w:rsidRPr="00411708">
        <w:rPr>
          <w:noProof/>
          <w:vertAlign w:val="superscript"/>
        </w:rPr>
        <w:t>144</w:t>
      </w:r>
      <w:r w:rsidR="00065223" w:rsidRPr="00563AD3">
        <w:fldChar w:fldCharType="end"/>
      </w:r>
      <w:r w:rsidRPr="00563AD3">
        <w:t xml:space="preserve"> the </w:t>
      </w:r>
      <w:r w:rsidR="005878DC" w:rsidRPr="00563AD3">
        <w:t xml:space="preserve">eMIT national database </w:t>
      </w:r>
      <w:r w:rsidR="005878DC" w:rsidRPr="00563AD3">
        <w:fldChar w:fldCharType="begin"/>
      </w:r>
      <w:r w:rsidR="00411708">
        <w:instrText xml:space="preserve"> ADDIN EN.CITE &lt;EndNote&gt;&lt;Cite&gt;&lt;Author&gt;Department of Health&lt;/Author&gt;&lt;Year&gt;2017&lt;/Year&gt;&lt;RecNum&gt;1810&lt;/RecNum&gt;&lt;DisplayText&gt;&lt;style face="superscript"&gt;145&lt;/style&gt;&lt;/DisplayText&gt;&lt;record&gt;&lt;rec-number&gt;1810&lt;/rec-number&gt;&lt;foreign-keys&gt;&lt;key app="EN" db-id="wprxwptv75dtdree0t5x2ptmvadptw5fr2ww" timestamp="1517997544"&gt;1810&lt;/key&gt;&lt;/foreign-keys&gt;&lt;ref-type name="Dataset"&gt;59&lt;/ref-type&gt;&lt;contributors&gt;&lt;authors&gt;&lt;author&gt;Department of Health,&lt;/author&gt;&lt;/authors&gt;&lt;/contributors&gt;&lt;titles&gt;&lt;title&gt;Drugs and pharmaceutical electronic market information tool (eMIT)&lt;/title&gt;&lt;/titles&gt;&lt;dates&gt;&lt;year&gt;2017&lt;/year&gt;&lt;/dates&gt;&lt;urls&gt;&lt;related-urls&gt;&lt;url&gt;https://www.gov.uk/government/publications/drugs-and-pharmaceutical-electronic-market-information-emit&lt;/url&gt;&lt;/related-urls&gt;&lt;/urls&gt;&lt;/record&gt;&lt;/Cite&gt;&lt;/EndNote&gt;</w:instrText>
      </w:r>
      <w:r w:rsidR="005878DC" w:rsidRPr="00563AD3">
        <w:fldChar w:fldCharType="separate"/>
      </w:r>
      <w:r w:rsidR="00411708" w:rsidRPr="00411708">
        <w:rPr>
          <w:noProof/>
          <w:vertAlign w:val="superscript"/>
        </w:rPr>
        <w:t>145</w:t>
      </w:r>
      <w:r w:rsidR="005878DC" w:rsidRPr="00563AD3">
        <w:fldChar w:fldCharType="end"/>
      </w:r>
      <w:r w:rsidRPr="00563AD3">
        <w:t xml:space="preserve"> and NHS reference cost database</w:t>
      </w:r>
      <w:r w:rsidR="005878DC" w:rsidRPr="00563AD3">
        <w:t xml:space="preserve"> </w:t>
      </w:r>
      <w:r w:rsidR="005878DC" w:rsidRPr="00563AD3">
        <w:fldChar w:fldCharType="begin"/>
      </w:r>
      <w:r w:rsidR="00411708">
        <w:instrText xml:space="preserve"> ADDIN EN.CITE &lt;EndNote&gt;&lt;Cite&gt;&lt;Author&gt;Department of Health&lt;/Author&gt;&lt;Year&gt;2017&lt;/Year&gt;&lt;RecNum&gt;1809&lt;/RecNum&gt;&lt;DisplayText&gt;&lt;style face="superscript"&gt;146&lt;/style&gt;&lt;/DisplayText&gt;&lt;record&gt;&lt;rec-number&gt;1809&lt;/rec-number&gt;&lt;foreign-keys&gt;&lt;key app="EN" db-id="wprxwptv75dtdree0t5x2ptmvadptw5fr2ww" timestamp="1517997458"&gt;1809&lt;/key&gt;&lt;/foreign-keys&gt;&lt;ref-type name="Dataset"&gt;59&lt;/ref-type&gt;&lt;contributors&gt;&lt;authors&gt;&lt;author&gt;Department of Health,&lt;/author&gt;&lt;/authors&gt;&lt;/contributors&gt;&lt;titles&gt;&lt;title&gt;National Scedule of Reference Costs 2015-16&lt;/title&gt;&lt;/titles&gt;&lt;dates&gt;&lt;year&gt;2017&lt;/year&gt;&lt;/dates&gt;&lt;urls&gt;&lt;related-urls&gt;&lt;url&gt;https://www.gov.uk/government/publications/nhs-reference-costs-2015-to-2016&lt;/url&gt;&lt;/related-urls&gt;&lt;/urls&gt;&lt;/record&gt;&lt;/Cite&gt;&lt;/EndNote&gt;</w:instrText>
      </w:r>
      <w:r w:rsidR="005878DC" w:rsidRPr="00563AD3">
        <w:fldChar w:fldCharType="separate"/>
      </w:r>
      <w:r w:rsidR="00411708" w:rsidRPr="00411708">
        <w:rPr>
          <w:noProof/>
          <w:vertAlign w:val="superscript"/>
        </w:rPr>
        <w:t>146</w:t>
      </w:r>
      <w:r w:rsidR="005878DC" w:rsidRPr="00563AD3">
        <w:fldChar w:fldCharType="end"/>
      </w:r>
      <w:r w:rsidR="007F3F75" w:rsidRPr="00563AD3">
        <w:t xml:space="preserve"> (see </w:t>
      </w:r>
      <w:r w:rsidR="00087868">
        <w:t>Appendix 1</w:t>
      </w:r>
      <w:r w:rsidR="007F3F75" w:rsidRPr="00563AD3">
        <w:t xml:space="preserve"> Table </w:t>
      </w:r>
      <w:r w:rsidR="00FD6ACB">
        <w:t>66</w:t>
      </w:r>
      <w:r w:rsidR="007F3F75" w:rsidRPr="00563AD3">
        <w:t xml:space="preserve"> for a summary of unit costs)</w:t>
      </w:r>
      <w:r w:rsidRPr="00563AD3">
        <w:t xml:space="preserve">. </w:t>
      </w:r>
    </w:p>
    <w:p w14:paraId="5EC38E11" w14:textId="6C680ACA" w:rsidR="00353665" w:rsidRPr="00563AD3" w:rsidRDefault="00353665" w:rsidP="009B13F3">
      <w:pPr>
        <w:pStyle w:val="Heading4"/>
      </w:pPr>
      <w:r w:rsidRPr="00563AD3">
        <w:t>2.8.</w:t>
      </w:r>
      <w:r w:rsidR="00472308" w:rsidRPr="00563AD3">
        <w:t>9</w:t>
      </w:r>
      <w:r w:rsidRPr="00563AD3">
        <w:t>.</w:t>
      </w:r>
      <w:r w:rsidR="005B09F1" w:rsidRPr="00563AD3">
        <w:t>3</w:t>
      </w:r>
      <w:r w:rsidRPr="00563AD3">
        <w:t xml:space="preserve"> Cost of </w:t>
      </w:r>
      <w:r w:rsidR="00BC06BA" w:rsidRPr="00563AD3">
        <w:rPr>
          <w:lang w:eastAsia="en-US"/>
        </w:rPr>
        <w:t>DCM</w:t>
      </w:r>
      <w:r w:rsidR="00BC06BA" w:rsidRPr="00563AD3">
        <w:t>™</w:t>
      </w:r>
      <w:r w:rsidRPr="00563AD3">
        <w:t xml:space="preserve"> intervention</w:t>
      </w:r>
    </w:p>
    <w:p w14:paraId="0F2E1738" w14:textId="0BA8059F" w:rsidR="00353665" w:rsidRPr="00563AD3" w:rsidRDefault="00353665" w:rsidP="009B13F3">
      <w:r w:rsidRPr="00563AD3">
        <w:t xml:space="preserve">The </w:t>
      </w:r>
      <w:r w:rsidR="00BC06BA" w:rsidRPr="00563AD3">
        <w:rPr>
          <w:lang w:eastAsia="en-US"/>
        </w:rPr>
        <w:t>DCM</w:t>
      </w:r>
      <w:r w:rsidR="00BC06BA" w:rsidRPr="00563AD3">
        <w:t>™</w:t>
      </w:r>
      <w:r w:rsidRPr="00563AD3">
        <w:t xml:space="preserve"> intervention </w:t>
      </w:r>
      <w:r w:rsidR="00C27710" w:rsidRPr="00563AD3">
        <w:t>consisted of two components: i</w:t>
      </w:r>
      <w:r w:rsidRPr="00563AD3">
        <w:t>) delivery and</w:t>
      </w:r>
      <w:r w:rsidR="00C27710" w:rsidRPr="00563AD3">
        <w:t xml:space="preserve"> receipt of DCM™ training; and ii</w:t>
      </w:r>
      <w:r w:rsidRPr="00563AD3">
        <w:t>) implementation of the DCM™ process in care homes.</w:t>
      </w:r>
    </w:p>
    <w:p w14:paraId="763D682D" w14:textId="1FAE8728" w:rsidR="00353665" w:rsidRPr="00563AD3" w:rsidRDefault="00353665" w:rsidP="009B13F3">
      <w:r w:rsidRPr="00563AD3">
        <w:t>It was assumed that both components would require DCM™ mappers in the trial (two per intervention site) to take dedicated time away from their usual care duties during the working day. The amount of time require</w:t>
      </w:r>
      <w:r w:rsidR="00A34E0E" w:rsidRPr="00563AD3">
        <w:t>d for the DCM™ training course wa</w:t>
      </w:r>
      <w:r w:rsidRPr="00563AD3">
        <w:t xml:space="preserve">s four days.  The estimated amount of time required for the DCM™ process is reported in existing </w:t>
      </w:r>
      <w:r w:rsidR="00BC06BA" w:rsidRPr="00563AD3">
        <w:rPr>
          <w:lang w:eastAsia="en-US"/>
        </w:rPr>
        <w:t>DCM</w:t>
      </w:r>
      <w:r w:rsidR="00BC06BA" w:rsidRPr="00563AD3">
        <w:t>™</w:t>
      </w:r>
      <w:r w:rsidRPr="00563AD3">
        <w:t xml:space="preserve"> guidelines</w:t>
      </w:r>
      <w:r w:rsidR="0019471F" w:rsidRPr="00563AD3">
        <w:t xml:space="preserve"> </w:t>
      </w:r>
      <w:r w:rsidR="0019471F" w:rsidRPr="00563AD3">
        <w:fldChar w:fldCharType="begin"/>
      </w:r>
      <w:r w:rsidR="00EC2AA2">
        <w:instrText xml:space="preserve"> ADDIN EN.CITE &lt;EndNote&gt;&lt;Cite&gt;&lt;Author&gt;BSI&lt;/Author&gt;&lt;Year&gt;2010&lt;/Year&gt;&lt;RecNum&gt;1073&lt;/RecNum&gt;&lt;DisplayText&gt;&lt;style face="superscript"&gt;83&lt;/style&gt;&lt;/DisplayText&gt;&lt;record&gt;&lt;rec-number&gt;1073&lt;/rec-number&gt;&lt;foreign-keys&gt;&lt;key app="EN" db-id="wprxwptv75dtdree0t5x2ptmvadptw5fr2ww" timestamp="1269349134"&gt;1073&lt;/key&gt;&lt;/foreign-keys&gt;&lt;ref-type name="Standard"&gt;58&lt;/ref-type&gt;&lt;contributors&gt;&lt;authors&gt;&lt;author&gt;BSI&lt;/author&gt;&lt;/authors&gt;&lt;/contributors&gt;&lt;titles&gt;&lt;title&gt;PAS 800:2010. Use of Dementia Care Mapping for improved person-centred care in a care provider organization. Guide&lt;/title&gt;&lt;/titles&gt;&lt;dates&gt;&lt;year&gt;2010&lt;/year&gt;&lt;/dates&gt;&lt;pub-location&gt;London&lt;/pub-location&gt;&lt;publisher&gt;BSI&lt;/publisher&gt;&lt;urls&gt;&lt;/urls&gt;&lt;/record&gt;&lt;/Cite&gt;&lt;/EndNote&gt;</w:instrText>
      </w:r>
      <w:r w:rsidR="0019471F" w:rsidRPr="00563AD3">
        <w:fldChar w:fldCharType="separate"/>
      </w:r>
      <w:r w:rsidR="00EC2AA2" w:rsidRPr="00EC2AA2">
        <w:rPr>
          <w:noProof/>
          <w:vertAlign w:val="superscript"/>
        </w:rPr>
        <w:t>83</w:t>
      </w:r>
      <w:r w:rsidR="0019471F" w:rsidRPr="00563AD3">
        <w:fldChar w:fldCharType="end"/>
      </w:r>
      <w:r w:rsidRPr="00563AD3">
        <w:t xml:space="preserve">, based on the experiences of experts using DCM™ in practice settings.  Data were also collected during the trial in order to assess the validity of these estimates and, where this was shown to exceed the assumed average, the impact of any additional staff time </w:t>
      </w:r>
      <w:r w:rsidR="009A7C0D" w:rsidRPr="00563AD3">
        <w:t>was</w:t>
      </w:r>
      <w:r w:rsidRPr="00563AD3">
        <w:t xml:space="preserve"> assessed in sensitivity analyses.  It was assumed that additional time was not required for other care home staff to attend </w:t>
      </w:r>
      <w:r w:rsidR="00BC06BA" w:rsidRPr="00563AD3">
        <w:rPr>
          <w:lang w:eastAsia="en-US"/>
        </w:rPr>
        <w:t>DCM</w:t>
      </w:r>
      <w:r w:rsidR="00BC06BA" w:rsidRPr="00563AD3">
        <w:t>™</w:t>
      </w:r>
      <w:r w:rsidRPr="00563AD3">
        <w:t xml:space="preserve"> briefing and feedback sessions, but that these </w:t>
      </w:r>
      <w:r w:rsidR="00C55F36" w:rsidRPr="00563AD3">
        <w:t>were</w:t>
      </w:r>
      <w:r w:rsidRPr="00563AD3">
        <w:t xml:space="preserve"> arranged at handover and other convenient times for staff to attend as part of their usual duties.</w:t>
      </w:r>
    </w:p>
    <w:p w14:paraId="2CD28654" w14:textId="5AB04249" w:rsidR="00353665" w:rsidRPr="00563AD3" w:rsidRDefault="00353665" w:rsidP="009B13F3">
      <w:r w:rsidRPr="00563AD3">
        <w:t xml:space="preserve">In order to calculate the total cost of staff time, an hourly wage was estimated for a typical </w:t>
      </w:r>
      <w:r w:rsidR="00BC06BA" w:rsidRPr="00563AD3">
        <w:rPr>
          <w:lang w:eastAsia="en-US"/>
        </w:rPr>
        <w:t>DCM</w:t>
      </w:r>
      <w:r w:rsidR="00BC06BA" w:rsidRPr="00563AD3">
        <w:t>™</w:t>
      </w:r>
      <w:r w:rsidRPr="00563AD3">
        <w:t xml:space="preserve"> Mapper.  This incorporated data from the trial on the proportion of </w:t>
      </w:r>
      <w:r w:rsidR="00BC06BA" w:rsidRPr="00563AD3">
        <w:rPr>
          <w:lang w:eastAsia="en-US"/>
        </w:rPr>
        <w:t>DCM</w:t>
      </w:r>
      <w:r w:rsidR="00BC06BA" w:rsidRPr="00563AD3">
        <w:t>™</w:t>
      </w:r>
      <w:r w:rsidRPr="00563AD3">
        <w:t xml:space="preserve"> Mappers in particular roles (e.g. a home care worker and a care home manager) and data published by the PSSRU on the hourly wages (or annual salaries converted to hourly wages using standard methods) of workers in these roles.  Where relevant wage data was not available from PSSRU, we reviewed alternative sources, including recent job advertisements. </w:t>
      </w:r>
    </w:p>
    <w:p w14:paraId="23780149" w14:textId="1CB303E6" w:rsidR="00353665" w:rsidRPr="00563AD3" w:rsidRDefault="00353665" w:rsidP="009B13F3">
      <w:r w:rsidRPr="00563AD3">
        <w:t xml:space="preserve">Additional costs of the delivery and receipt of DCM™ training included the course fees, training materials, accommodation, meals, subsistence and travel. These were estimated using information from the </w:t>
      </w:r>
      <w:r w:rsidR="00BC06BA" w:rsidRPr="00563AD3">
        <w:rPr>
          <w:lang w:eastAsia="en-US"/>
        </w:rPr>
        <w:t>DCM</w:t>
      </w:r>
      <w:r w:rsidR="00BC06BA" w:rsidRPr="00563AD3">
        <w:t>™</w:t>
      </w:r>
      <w:r w:rsidRPr="00563AD3">
        <w:t xml:space="preserve"> course provider and data on the costs incurred in running the trial. A further additional cost of implementing the DCM™ process in care homes was the consultancy fees, travel and subsistence expenses incurred through employment of external </w:t>
      </w:r>
      <w:r w:rsidR="00A4193C" w:rsidRPr="00563AD3">
        <w:t xml:space="preserve">DCM™ </w:t>
      </w:r>
      <w:r w:rsidR="009A7C0D" w:rsidRPr="00563AD3">
        <w:t>expert mappers</w:t>
      </w:r>
      <w:r w:rsidRPr="00563AD3">
        <w:t xml:space="preserve"> to support the intervention implementation and fidelity during the first </w:t>
      </w:r>
      <w:r w:rsidR="00BC06BA" w:rsidRPr="00563AD3">
        <w:rPr>
          <w:lang w:eastAsia="en-US"/>
        </w:rPr>
        <w:t>DCM</w:t>
      </w:r>
      <w:r w:rsidR="00BC06BA" w:rsidRPr="00563AD3">
        <w:t>™</w:t>
      </w:r>
      <w:r w:rsidRPr="00563AD3">
        <w:t xml:space="preserve"> mapping cycle in each of the intervention sites. The primary analysis assumed that the intervention was delivered as planned and all cycles were implemented and costed. A sensitivity analysis costed only the cycles that had been partially or fully implemented.</w:t>
      </w:r>
    </w:p>
    <w:p w14:paraId="4DD60CE9" w14:textId="7454CF2E" w:rsidR="00353665" w:rsidRPr="00563AD3" w:rsidRDefault="00353665" w:rsidP="009B13F3">
      <w:r w:rsidRPr="00563AD3">
        <w:t>The primary analysis assumed</w:t>
      </w:r>
      <w:r w:rsidR="009A7C0D" w:rsidRPr="00563AD3">
        <w:t xml:space="preserve"> that the L</w:t>
      </w:r>
      <w:r w:rsidRPr="00563AD3">
        <w:t xml:space="preserve">ocal </w:t>
      </w:r>
      <w:r w:rsidR="009A7C0D" w:rsidRPr="00563AD3">
        <w:t>A</w:t>
      </w:r>
      <w:r w:rsidRPr="00563AD3">
        <w:t>uthority pay</w:t>
      </w:r>
      <w:r w:rsidR="00A34E0E" w:rsidRPr="00563AD3">
        <w:t>ed</w:t>
      </w:r>
      <w:r w:rsidRPr="00563AD3">
        <w:t xml:space="preserve"> for the provision of care home care for residents. As such these costs were included in the healthcare provider (NHS) and social care cost perspective. </w:t>
      </w:r>
    </w:p>
    <w:p w14:paraId="27BA13BF" w14:textId="77777777" w:rsidR="00353665" w:rsidRPr="00563AD3" w:rsidRDefault="00353665" w:rsidP="009B13F3"/>
    <w:p w14:paraId="28945CB5" w14:textId="35034614" w:rsidR="00353665" w:rsidRPr="00563AD3" w:rsidRDefault="00065223" w:rsidP="009B13F3">
      <w:pPr>
        <w:pStyle w:val="Heading4"/>
      </w:pPr>
      <w:r w:rsidRPr="00563AD3">
        <w:t>2.8.</w:t>
      </w:r>
      <w:r w:rsidR="00472308" w:rsidRPr="00563AD3">
        <w:t>9</w:t>
      </w:r>
      <w:r w:rsidRPr="00563AD3">
        <w:t>.</w:t>
      </w:r>
      <w:r w:rsidR="005B09F1" w:rsidRPr="00563AD3">
        <w:t>4</w:t>
      </w:r>
      <w:r w:rsidRPr="00563AD3">
        <w:t xml:space="preserve"> </w:t>
      </w:r>
      <w:r w:rsidR="00353665" w:rsidRPr="00563AD3">
        <w:t>Healthcare resource use</w:t>
      </w:r>
    </w:p>
    <w:p w14:paraId="5EB548D2" w14:textId="048A8CD4" w:rsidR="00353665" w:rsidRPr="00563AD3" w:rsidRDefault="008752F1" w:rsidP="009B13F3">
      <w:r w:rsidRPr="00563AD3">
        <w:t>Data on h</w:t>
      </w:r>
      <w:r w:rsidR="00353665" w:rsidRPr="00563AD3">
        <w:t xml:space="preserve">ealthcare resource use </w:t>
      </w:r>
      <w:r w:rsidRPr="00563AD3">
        <w:t xml:space="preserve">incurred during the previous 3-months were collected </w:t>
      </w:r>
      <w:r w:rsidR="00353665" w:rsidRPr="00563AD3">
        <w:t xml:space="preserve">for each resident at </w:t>
      </w:r>
      <w:r w:rsidR="00D93D82" w:rsidRPr="00563AD3">
        <w:t>baseline,</w:t>
      </w:r>
      <w:r w:rsidR="00353665" w:rsidRPr="00563AD3">
        <w:t xml:space="preserve"> 6</w:t>
      </w:r>
      <w:r w:rsidR="00D93D82" w:rsidRPr="00563AD3">
        <w:t>- and 16-</w:t>
      </w:r>
      <w:r w:rsidR="00353665" w:rsidRPr="00563AD3">
        <w:t xml:space="preserve">months. Medication use during the past month was captured </w:t>
      </w:r>
      <w:r w:rsidRPr="00563AD3">
        <w:t>at the same time points</w:t>
      </w:r>
      <w:r w:rsidR="00D6366D" w:rsidRPr="00563AD3">
        <w:t xml:space="preserve"> (see </w:t>
      </w:r>
      <w:r w:rsidR="00D6366D" w:rsidRPr="005745FD">
        <w:rPr>
          <w:i/>
        </w:rPr>
        <w:t>section 2.6.4.4</w:t>
      </w:r>
      <w:r w:rsidR="00D6366D" w:rsidRPr="00563AD3">
        <w:t>)</w:t>
      </w:r>
      <w:r w:rsidRPr="00563AD3">
        <w:t>.</w:t>
      </w:r>
    </w:p>
    <w:p w14:paraId="6BB77B8D" w14:textId="77777777" w:rsidR="00353665" w:rsidRPr="00563AD3" w:rsidRDefault="00353665" w:rsidP="009B13F3"/>
    <w:p w14:paraId="790BB333" w14:textId="4707D78F" w:rsidR="00353665" w:rsidRPr="00563AD3" w:rsidRDefault="0019471F" w:rsidP="009B13F3">
      <w:pPr>
        <w:pStyle w:val="Heading4"/>
      </w:pPr>
      <w:r w:rsidRPr="00563AD3">
        <w:t>2.8.</w:t>
      </w:r>
      <w:r w:rsidR="00472308" w:rsidRPr="00563AD3">
        <w:t>9</w:t>
      </w:r>
      <w:r w:rsidRPr="00563AD3">
        <w:t>.</w:t>
      </w:r>
      <w:r w:rsidR="005B09F1" w:rsidRPr="00563AD3">
        <w:t>5</w:t>
      </w:r>
      <w:r w:rsidRPr="00563AD3">
        <w:t xml:space="preserve"> </w:t>
      </w:r>
      <w:r w:rsidR="00353665" w:rsidRPr="00563AD3">
        <w:t>Quality of Life/Utility</w:t>
      </w:r>
    </w:p>
    <w:p w14:paraId="50E6A9C8" w14:textId="7CF50877" w:rsidR="00353665" w:rsidRPr="00563AD3" w:rsidRDefault="00353665" w:rsidP="009B13F3">
      <w:r w:rsidRPr="00563AD3">
        <w:t xml:space="preserve">Quality of Life was measured in the trial at </w:t>
      </w:r>
      <w:r w:rsidR="00D93D82" w:rsidRPr="00563AD3">
        <w:t>baseline,</w:t>
      </w:r>
      <w:r w:rsidRPr="00563AD3">
        <w:t xml:space="preserve"> 6</w:t>
      </w:r>
      <w:r w:rsidR="00D93D82" w:rsidRPr="00563AD3">
        <w:t>- and 16-</w:t>
      </w:r>
      <w:r w:rsidRPr="00563AD3">
        <w:t>months using the EQ-5D-5L, completed by care home residents, and the EQ-5D-5L-Proxy, completed by staff and relatives</w:t>
      </w:r>
      <w:r w:rsidR="005745FD">
        <w:t>.</w:t>
      </w:r>
      <w:r w:rsidRPr="00563AD3">
        <w:t xml:space="preserve"> </w:t>
      </w:r>
      <w:r w:rsidR="00241598">
        <w:fldChar w:fldCharType="begin"/>
      </w:r>
      <w:r w:rsidR="00411708">
        <w:instrText xml:space="preserve"> ADDIN EN.CITE &lt;EndNote&gt;&lt;Cite&gt;&lt;Author&gt;Herdman&lt;/Author&gt;&lt;Year&gt;2011&lt;/Year&gt;&lt;RecNum&gt;1919&lt;/RecNum&gt;&lt;DisplayText&gt;&lt;style face="superscript"&gt;120&lt;/style&gt;&lt;/DisplayText&gt;&lt;record&gt;&lt;rec-number&gt;1919&lt;/rec-number&gt;&lt;foreign-keys&gt;&lt;key app="EN" db-id="wprxwptv75dtdree0t5x2ptmvadptw5fr2ww" timestamp="1537771509"&gt;1919&lt;/key&gt;&lt;/foreign-keys&gt;&lt;ref-type name="Journal Article"&gt;17&lt;/ref-type&gt;&lt;contributors&gt;&lt;authors&gt;&lt;author&gt;Herdman, M.G.C.&lt;/author&gt;&lt;author&gt;Lloyd, A.&lt;/author&gt;&lt;author&gt;Janssen, M.&lt;/author&gt;&lt;author&gt;Kind, P.&lt;/author&gt;&lt;author&gt;Parkin, D.&lt;/author&gt;&lt;author&gt;Bonsel, G.&lt;/author&gt;&lt;author&gt;Badia, X.&lt;/author&gt;&lt;/authors&gt;&lt;/contributors&gt;&lt;titles&gt;&lt;title&gt;Development and preliminary testing of the new five-level version of EQ-5D (EQ-5D-5L)&lt;/title&gt;&lt;secondary-title&gt;Qual Life Res&lt;/secondary-title&gt;&lt;/titles&gt;&lt;periodical&gt;&lt;full-title&gt;Quality of Life Research&lt;/full-title&gt;&lt;abbr-1&gt;Qual. Life Res.&lt;/abbr-1&gt;&lt;abbr-2&gt;Qual Life Res&lt;/abbr-2&gt;&lt;/periodical&gt;&lt;pages&gt;1727-36&lt;/pages&gt;&lt;volume&gt;10&lt;/volume&gt;&lt;dates&gt;&lt;year&gt;2011&lt;/year&gt;&lt;/dates&gt;&lt;urls&gt;&lt;/urls&gt;&lt;/record&gt;&lt;/Cite&gt;&lt;/EndNote&gt;</w:instrText>
      </w:r>
      <w:r w:rsidR="00241598">
        <w:fldChar w:fldCharType="separate"/>
      </w:r>
      <w:r w:rsidR="00411708" w:rsidRPr="00411708">
        <w:rPr>
          <w:noProof/>
          <w:vertAlign w:val="superscript"/>
        </w:rPr>
        <w:t>120</w:t>
      </w:r>
      <w:r w:rsidR="00241598">
        <w:fldChar w:fldCharType="end"/>
      </w:r>
      <w:r w:rsidRPr="00563AD3">
        <w:t xml:space="preserve"> A recently-generated UK general population tariff </w:t>
      </w:r>
      <w:r w:rsidR="0076067A" w:rsidRPr="00563AD3">
        <w:fldChar w:fldCharType="begin"/>
      </w:r>
      <w:r w:rsidR="00411708">
        <w:instrText xml:space="preserve"> ADDIN EN.CITE &lt;EndNote&gt;&lt;Cite&gt;&lt;Author&gt;Devlin&lt;/Author&gt;&lt;Year&gt;2016&lt;/Year&gt;&lt;RecNum&gt;1775&lt;/RecNum&gt;&lt;DisplayText&gt;&lt;style face="superscript"&gt;147&lt;/style&gt;&lt;/DisplayText&gt;&lt;record&gt;&lt;rec-number&gt;1775&lt;/rec-number&gt;&lt;foreign-keys&gt;&lt;key app="EN" db-id="wprxwptv75dtdree0t5x2ptmvadptw5fr2ww" timestamp="1513609283"&gt;1775&lt;/key&gt;&lt;/foreign-keys&gt;&lt;ref-type name="Report"&gt;27&lt;/ref-type&gt;&lt;contributors&gt;&lt;authors&gt;&lt;author&gt;Devlin, N.&lt;/author&gt;&lt;author&gt;Shah, K. &lt;/author&gt;&lt;author&gt;Feng, Y. &lt;/author&gt;&lt;author&gt;Mulhern, B. &lt;/author&gt;&lt;author&gt;van Hout, B.&lt;/author&gt;&lt;/authors&gt;&lt;/contributors&gt;&lt;titles&gt;&lt;title&gt;Valuing Health-Related Quality of Life: An EQ-5D-5L Value Set for England. OHE Research Paper 16/01&lt;/title&gt;&lt;/titles&gt;&lt;dates&gt;&lt;year&gt;2016&lt;/year&gt;&lt;/dates&gt;&lt;pub-location&gt;London&lt;/pub-location&gt;&lt;publisher&gt;Office of Health Economics&lt;/publisher&gt;&lt;urls&gt;&lt;/urls&gt;&lt;/record&gt;&lt;/Cite&gt;&lt;/EndNote&gt;</w:instrText>
      </w:r>
      <w:r w:rsidR="0076067A" w:rsidRPr="00563AD3">
        <w:fldChar w:fldCharType="separate"/>
      </w:r>
      <w:r w:rsidR="00411708" w:rsidRPr="00411708">
        <w:rPr>
          <w:noProof/>
          <w:vertAlign w:val="superscript"/>
        </w:rPr>
        <w:t>147</w:t>
      </w:r>
      <w:r w:rsidR="0076067A" w:rsidRPr="00563AD3">
        <w:fldChar w:fldCharType="end"/>
      </w:r>
      <w:r w:rsidR="0076067A" w:rsidRPr="00563AD3">
        <w:t xml:space="preserve"> </w:t>
      </w:r>
      <w:r w:rsidRPr="00563AD3">
        <w:t>was used to calculate the utility scores and a (5L to 3L) mapping algorithm was used as a sensitivity analysis</w:t>
      </w:r>
      <w:r w:rsidR="005745FD">
        <w:t>.</w:t>
      </w:r>
      <w:r w:rsidR="00AD4B16" w:rsidRPr="00563AD3">
        <w:t xml:space="preserve"> </w:t>
      </w:r>
      <w:r w:rsidR="00AD4B16" w:rsidRPr="00563AD3">
        <w:fldChar w:fldCharType="begin"/>
      </w:r>
      <w:r w:rsidR="00411708">
        <w:instrText xml:space="preserve"> ADDIN EN.CITE &lt;EndNote&gt;&lt;Cite&gt;&lt;Author&gt;EuroQol Group&lt;/Author&gt;&lt;Year&gt;n/d&lt;/Year&gt;&lt;RecNum&gt;1776&lt;/RecNum&gt;&lt;DisplayText&gt;&lt;style face="superscript"&gt;148&lt;/style&gt;&lt;/DisplayText&gt;&lt;record&gt;&lt;rec-number&gt;1776&lt;/rec-number&gt;&lt;foreign-keys&gt;&lt;key app="EN" db-id="wprxwptv75dtdree0t5x2ptmvadptw5fr2ww" timestamp="1513609874"&gt;1776&lt;/key&gt;&lt;/foreign-keys&gt;&lt;ref-type name="Equation"&gt;39&lt;/ref-type&gt;&lt;contributors&gt;&lt;authors&gt;&lt;author&gt;EuroQol Group,&lt;/author&gt;&lt;/authors&gt;&lt;/contributors&gt;&lt;titles&gt;&lt;title&gt;EQ-5D-5L Index Value Calculator Version 1.0&lt;/title&gt;&lt;/titles&gt;&lt;dates&gt;&lt;year&gt;n/d&lt;/year&gt;&lt;/dates&gt;&lt;urls&gt;&lt;/urls&gt;&lt;/record&gt;&lt;/Cite&gt;&lt;/EndNote&gt;</w:instrText>
      </w:r>
      <w:r w:rsidR="00AD4B16" w:rsidRPr="00563AD3">
        <w:fldChar w:fldCharType="separate"/>
      </w:r>
      <w:r w:rsidR="00411708" w:rsidRPr="00411708">
        <w:rPr>
          <w:noProof/>
          <w:vertAlign w:val="superscript"/>
        </w:rPr>
        <w:t>148</w:t>
      </w:r>
      <w:r w:rsidR="00AD4B16" w:rsidRPr="00563AD3">
        <w:fldChar w:fldCharType="end"/>
      </w:r>
    </w:p>
    <w:p w14:paraId="3C0C3A0B" w14:textId="5B2B05C4" w:rsidR="00353665" w:rsidRPr="00563AD3" w:rsidRDefault="00353665" w:rsidP="009B13F3">
      <w:r w:rsidRPr="00563AD3">
        <w:t>Utility values were also calculated using the DEMQOL-Proxy tool (DEMQOL-PROXY-U), which was completed by staff and relatives.  A UK population tariff was used to calculate utility scores</w:t>
      </w:r>
      <w:r w:rsidR="005745FD">
        <w:t>.</w:t>
      </w:r>
      <w:r w:rsidRPr="00563AD3">
        <w:t xml:space="preserve"> </w:t>
      </w:r>
      <w:r w:rsidR="00AD4B16" w:rsidRPr="00563AD3">
        <w:fldChar w:fldCharType="begin"/>
      </w:r>
      <w:r w:rsidR="00411708">
        <w:instrText xml:space="preserve"> ADDIN EN.CITE &lt;EndNote&gt;&lt;Cite&gt;&lt;Author&gt;Rowen&lt;/Author&gt;&lt;Year&gt;2012&lt;/Year&gt;&lt;RecNum&gt;1777&lt;/RecNum&gt;&lt;DisplayText&gt;&lt;style face="superscript"&gt;118&lt;/style&gt;&lt;/DisplayText&gt;&lt;record&gt;&lt;rec-number&gt;1777&lt;/rec-number&gt;&lt;foreign-keys&gt;&lt;key app="EN" db-id="wprxwptv75dtdree0t5x2ptmvadptw5fr2ww" timestamp="1513610131"&gt;1777&lt;/key&gt;&lt;/foreign-keys&gt;&lt;ref-type name="Journal Article"&gt;17&lt;/ref-type&gt;&lt;contributors&gt;&lt;authors&gt;&lt;author&gt;Rowen, D.&lt;/author&gt;&lt;author&gt;Mulhern, B.&lt;/author&gt;&lt;author&gt;Banerjee, S.&lt;/author&gt;&lt;author&gt;Van Hout, B.&lt;/author&gt;&lt;author&gt;Young, T.A.&lt;/author&gt;&lt;author&gt;Knapp, M.&lt;/author&gt;&lt;author&gt;Smith, S.C.&lt;/author&gt;&lt;author&gt;Lamping, D.L.&lt;/author&gt;&lt;author&gt;Brazier, J.E.&lt;/author&gt;&lt;/authors&gt;&lt;/contributors&gt;&lt;titles&gt;&lt;title&gt;Estimating Preference-Based Single Index Measures for Dementia Using DEMQOL and DEMQOL-Proxy&lt;/title&gt;&lt;secondary-title&gt;Value in Health&lt;/secondary-title&gt;&lt;/titles&gt;&lt;periodical&gt;&lt;full-title&gt;Value in Health&lt;/full-title&gt;&lt;abbr-1&gt;Value Health&lt;/abbr-1&gt;&lt;abbr-2&gt;Value Health&lt;/abbr-2&gt;&lt;/periodical&gt;&lt;pages&gt;346-356&lt;/pages&gt;&lt;volume&gt;15&lt;/volume&gt;&lt;number&gt;2&lt;/number&gt;&lt;dates&gt;&lt;year&gt;2012&lt;/year&gt;&lt;/dates&gt;&lt;urls&gt;&lt;/urls&gt;&lt;/record&gt;&lt;/Cite&gt;&lt;/EndNote&gt;</w:instrText>
      </w:r>
      <w:r w:rsidR="00AD4B16" w:rsidRPr="00563AD3">
        <w:fldChar w:fldCharType="separate"/>
      </w:r>
      <w:r w:rsidR="00411708" w:rsidRPr="00411708">
        <w:rPr>
          <w:noProof/>
          <w:vertAlign w:val="superscript"/>
        </w:rPr>
        <w:t>118</w:t>
      </w:r>
      <w:r w:rsidR="00AD4B16" w:rsidRPr="00563AD3">
        <w:fldChar w:fldCharType="end"/>
      </w:r>
      <w:r w:rsidRPr="00563AD3">
        <w:t xml:space="preserve"> The main cost-utility analyses were based on the EQ-5D-5L utility, but sensitivity analyses were conducted based on DEMQOL-Proxy-U. </w:t>
      </w:r>
    </w:p>
    <w:p w14:paraId="3C1B9069" w14:textId="246D8094" w:rsidR="00353665" w:rsidRPr="00563AD3" w:rsidRDefault="00353665" w:rsidP="009B13F3">
      <w:r w:rsidRPr="00563AD3">
        <w:t>Taking a pragmatic approach, we elected to base the primary analysis on EQ-5D-5L data from th</w:t>
      </w:r>
      <w:r w:rsidR="00481452" w:rsidRPr="00563AD3">
        <w:t>e staff proxy at all three time-</w:t>
      </w:r>
      <w:r w:rsidRPr="00563AD3">
        <w:t xml:space="preserve">points as this represented the most complete set of responses. However, we conducted a sensitivity analysis employing resident completed EQ-5D-5L data where it </w:t>
      </w:r>
      <w:r w:rsidR="00481452" w:rsidRPr="00563AD3">
        <w:t>was available at all three time-</w:t>
      </w:r>
      <w:r w:rsidRPr="00563AD3">
        <w:t xml:space="preserve">points. Where this was not available we used data from relative proxies (if </w:t>
      </w:r>
      <w:r w:rsidR="00481452" w:rsidRPr="00563AD3">
        <w:t>available at all three time-</w:t>
      </w:r>
      <w:r w:rsidRPr="00563AD3">
        <w:t xml:space="preserve">points) and, finally, when this was unavailable, from staff proxies.  </w:t>
      </w:r>
    </w:p>
    <w:p w14:paraId="27C43B9E" w14:textId="75663B8A" w:rsidR="00AD4B16" w:rsidRPr="00563AD3" w:rsidRDefault="00D27F6A" w:rsidP="009B13F3">
      <w:pPr>
        <w:pStyle w:val="Heading4"/>
      </w:pPr>
      <w:r w:rsidRPr="00563AD3">
        <w:t>2.8.</w:t>
      </w:r>
      <w:r w:rsidR="00472308" w:rsidRPr="00563AD3">
        <w:t>9</w:t>
      </w:r>
      <w:r w:rsidRPr="00563AD3">
        <w:t>.</w:t>
      </w:r>
      <w:r w:rsidR="005B09F1" w:rsidRPr="00563AD3">
        <w:t>6</w:t>
      </w:r>
      <w:r w:rsidRPr="00563AD3">
        <w:t xml:space="preserve"> </w:t>
      </w:r>
      <w:r w:rsidR="00AD4B16" w:rsidRPr="00563AD3">
        <w:t>Analysis</w:t>
      </w:r>
    </w:p>
    <w:p w14:paraId="2E2FD280" w14:textId="07B06209" w:rsidR="00AD4B16" w:rsidRPr="00563AD3" w:rsidRDefault="00AD4B16" w:rsidP="009B13F3">
      <w:r w:rsidRPr="00563AD3">
        <w:t xml:space="preserve">The primary economic analysis was </w:t>
      </w:r>
      <w:r w:rsidR="00481452" w:rsidRPr="00563AD3">
        <w:t>a cost-utility analysis over 16-</w:t>
      </w:r>
      <w:r w:rsidRPr="00563AD3">
        <w:t>months presenting incremental cost-effectiveness ratios (ICER) for intervention versus control, with effects expressed in terms of QALYs. As the clinical efficacy analyses used agitation as the primary endpoint, a secondary cost-effectiveness analysis based on chang</w:t>
      </w:r>
      <w:r w:rsidR="00B80810">
        <w:t>e in CMAI over 16-</w:t>
      </w:r>
      <w:r w:rsidRPr="00563AD3">
        <w:t xml:space="preserve">months was also conducted. </w:t>
      </w:r>
    </w:p>
    <w:p w14:paraId="7BAB3184" w14:textId="4745F05C" w:rsidR="00AD4B16" w:rsidRPr="00563AD3" w:rsidRDefault="00AD4B16" w:rsidP="009B13F3">
      <w:r w:rsidRPr="00563AD3">
        <w:t>Total QALYs were calculated using an area under the curve approach between adjacent utility measure completions using EQ-5D-5L and DEMQoL-Proxy utilities</w:t>
      </w:r>
      <w:r w:rsidR="00481452" w:rsidRPr="00563AD3">
        <w:t xml:space="preserve"> captured at baseline, 6- and 16-</w:t>
      </w:r>
      <w:r w:rsidRPr="00563AD3">
        <w:t xml:space="preserve">months. If residents died their utility value was assumed to be zero and their data were retained in the analyses. Quality of life was assumed to change from last completion value to zero in a linear fashion.  </w:t>
      </w:r>
    </w:p>
    <w:p w14:paraId="71979DEB" w14:textId="123A1C28" w:rsidR="00AD4B16" w:rsidRPr="00563AD3" w:rsidRDefault="00AD4B16" w:rsidP="009B13F3">
      <w:r w:rsidRPr="00563AD3">
        <w:t>Total costs were estimated using the resource use questionnaires at 6</w:t>
      </w:r>
      <w:r w:rsidR="00481452" w:rsidRPr="00563AD3">
        <w:t>-</w:t>
      </w:r>
      <w:r w:rsidRPr="00563AD3">
        <w:t xml:space="preserve"> and 16</w:t>
      </w:r>
      <w:r w:rsidR="00481452" w:rsidRPr="00563AD3">
        <w:t>-</w:t>
      </w:r>
      <w:r w:rsidRPr="00563AD3">
        <w:t>months.  It was assumed that reported resource use during a 1</w:t>
      </w:r>
      <w:r w:rsidR="00481452" w:rsidRPr="00563AD3">
        <w:t>-</w:t>
      </w:r>
      <w:r w:rsidRPr="00563AD3">
        <w:t>month (for medications) or 3</w:t>
      </w:r>
      <w:r w:rsidR="00D27F6A" w:rsidRPr="00563AD3">
        <w:t>-</w:t>
      </w:r>
      <w:r w:rsidRPr="00563AD3">
        <w:t>month (other costs) period remained constant between time p</w:t>
      </w:r>
      <w:r w:rsidR="00D27F6A" w:rsidRPr="00563AD3">
        <w:t>oints in the trial (e.g. the 10-</w:t>
      </w:r>
      <w:r w:rsidRPr="00563AD3">
        <w:t>month period between follow-up at 6</w:t>
      </w:r>
      <w:r w:rsidR="00481452" w:rsidRPr="00563AD3">
        <w:t>-</w:t>
      </w:r>
      <w:r w:rsidRPr="00563AD3">
        <w:t xml:space="preserve"> and 16</w:t>
      </w:r>
      <w:r w:rsidR="00481452" w:rsidRPr="00563AD3">
        <w:t>-</w:t>
      </w:r>
      <w:r w:rsidRPr="00563AD3">
        <w:t>months). To capture the costs incurred prior to death, a daily cost was estimated based on each resident’s previous resource consumption (at baseline or 6</w:t>
      </w:r>
      <w:r w:rsidR="00481452" w:rsidRPr="00563AD3">
        <w:t>-</w:t>
      </w:r>
      <w:r w:rsidRPr="00563AD3">
        <w:t xml:space="preserve">months) and applied until the date of death.  </w:t>
      </w:r>
    </w:p>
    <w:p w14:paraId="0B34793F" w14:textId="77777777" w:rsidR="00D6366D" w:rsidRPr="00563AD3" w:rsidRDefault="00D6366D" w:rsidP="009B13F3">
      <w:r w:rsidRPr="00563AD3">
        <w:t>Incremental costs and QALYs (or CMAI) were estimated using a Seemingly Unrelated Regression (SUR) approach which consisted of a system of regression equations that can recognise the correlation between individual costs and outcomes:</w:t>
      </w:r>
      <w:r w:rsidR="00AD4B16" w:rsidRPr="00563AD3">
        <w:t xml:space="preserve">  </w:t>
      </w:r>
    </w:p>
    <w:p w14:paraId="771C0BDF" w14:textId="3ABAC32C" w:rsidR="00D6366D" w:rsidRPr="00563AD3" w:rsidRDefault="00D6366D" w:rsidP="009B13F3">
      <w:r w:rsidRPr="00563AD3">
        <w:t>Model 1 (cost):</w:t>
      </w:r>
    </w:p>
    <w:p w14:paraId="07DA23EB" w14:textId="22EB7D91" w:rsidR="00A220A5" w:rsidRPr="00563AD3" w:rsidRDefault="00D53D38" w:rsidP="009B13F3">
      <w:pPr>
        <w:ind w:firstLine="720"/>
      </w:pPr>
      <m:oMath>
        <m:sSub>
          <m:sSubPr>
            <m:ctrlPr>
              <w:rPr>
                <w:rFonts w:ascii="Cambria Math" w:hAnsi="Cambria Math"/>
                <w:i/>
              </w:rPr>
            </m:ctrlPr>
          </m:sSubPr>
          <m:e>
            <m:r>
              <w:rPr>
                <w:rFonts w:ascii="Cambria Math" w:hAnsi="Cambria Math"/>
              </w:rPr>
              <m:t>TotalCost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 RandTrt</m:t>
            </m:r>
          </m:e>
          <m:sub>
            <m:r>
              <w:rPr>
                <w:rFonts w:ascii="Cambria Math" w:hAnsi="Cambria Math"/>
              </w:rPr>
              <m:t>ch</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A220A5" w:rsidRPr="00563AD3">
        <w:t xml:space="preserve"> </w:t>
      </w:r>
    </w:p>
    <w:p w14:paraId="0A006DBD" w14:textId="3AA853F4" w:rsidR="00D6366D" w:rsidRPr="00563AD3" w:rsidRDefault="00D6366D" w:rsidP="009B13F3">
      <w:r w:rsidRPr="00563AD3">
        <w:t xml:space="preserve">Model 1A (cost sensitivity analysis): </w:t>
      </w:r>
    </w:p>
    <w:p w14:paraId="66A9856A" w14:textId="78694CF8" w:rsidR="00A220A5" w:rsidRPr="00563AD3" w:rsidRDefault="00D53D38" w:rsidP="009B13F3">
      <w:pPr>
        <w:ind w:left="720" w:firstLine="720"/>
      </w:pPr>
      <m:oMathPara>
        <m:oMath>
          <m:sSub>
            <m:sSubPr>
              <m:ctrlPr>
                <w:rPr>
                  <w:rFonts w:ascii="Cambria Math" w:hAnsi="Cambria Math"/>
                  <w:i/>
                </w:rPr>
              </m:ctrlPr>
            </m:sSubPr>
            <m:e>
              <m:r>
                <w:rPr>
                  <w:rFonts w:ascii="Cambria Math" w:hAnsi="Cambria Math"/>
                </w:rPr>
                <m:t>TotalCost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 RandTrt</m:t>
              </m:r>
            </m:e>
            <m:sub>
              <m:r>
                <w:rPr>
                  <w:rFonts w:ascii="Cambria Math" w:hAnsi="Cambria Math"/>
                </w:rPr>
                <m:t>ch</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 xml:space="preserve"> T0_Costs</m:t>
              </m:r>
            </m:e>
            <m:sub>
              <m:r>
                <w:rPr>
                  <w:rFonts w:ascii="Cambria Math" w:hAnsi="Cambria Math"/>
                </w:rPr>
                <m:t>i</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 xml:space="preserve"> T0_CDR</m:t>
              </m:r>
            </m:e>
            <m:sub>
              <m:r>
                <w:rPr>
                  <w:rFonts w:ascii="Cambria Math" w:hAnsi="Cambria Math"/>
                </w:rPr>
                <m:t>i</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 xml:space="preserve"> T0_Age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m:oMathPara>
    </w:p>
    <w:p w14:paraId="0F8EBDAA" w14:textId="635873CA" w:rsidR="00D6366D" w:rsidRPr="00563AD3" w:rsidRDefault="00D6366D" w:rsidP="009B13F3">
      <w:r w:rsidRPr="00563AD3">
        <w:t>Model 2 (qalys):</w:t>
      </w:r>
    </w:p>
    <w:p w14:paraId="535EE8EB" w14:textId="3CBA16A4" w:rsidR="00637F01" w:rsidRPr="00563AD3" w:rsidRDefault="00637F01" w:rsidP="009B13F3">
      <w:r w:rsidRPr="00563AD3">
        <w:tab/>
      </w:r>
      <m:oMath>
        <m:sSub>
          <m:sSubPr>
            <m:ctrlPr>
              <w:rPr>
                <w:rFonts w:ascii="Cambria Math" w:hAnsi="Cambria Math"/>
                <w:i/>
              </w:rPr>
            </m:ctrlPr>
          </m:sSubPr>
          <m:e>
            <m:r>
              <w:rPr>
                <w:rFonts w:ascii="Cambria Math" w:hAnsi="Cambria Math"/>
              </w:rPr>
              <m:t>TotalQALY</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 RandTrt</m:t>
            </m:r>
          </m:e>
          <m:sub>
            <m:r>
              <w:rPr>
                <w:rFonts w:ascii="Cambria Math" w:hAnsi="Cambria Math"/>
              </w:rPr>
              <m:t>ch</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 xml:space="preserve"> T0_QALY</m:t>
            </m:r>
          </m:e>
          <m:sub>
            <m:r>
              <w:rPr>
                <w:rFonts w:ascii="Cambria Math" w:hAnsi="Cambria Math"/>
              </w:rPr>
              <m:t>i</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 xml:space="preserve"> T0_CDR</m:t>
            </m:r>
          </m:e>
          <m:sub>
            <m:r>
              <w:rPr>
                <w:rFonts w:ascii="Cambria Math" w:hAnsi="Cambria Math"/>
              </w:rPr>
              <m:t>i</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 xml:space="preserve"> T0_Age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p>
    <w:p w14:paraId="32D561AF" w14:textId="77777777" w:rsidR="00C35146" w:rsidRPr="00563AD3" w:rsidRDefault="00C35146" w:rsidP="009B13F3">
      <w:pPr>
        <w:rPr>
          <w:rFonts w:eastAsia="Times New Roman"/>
        </w:rPr>
      </w:pPr>
      <w:r w:rsidRPr="00563AD3">
        <w:rPr>
          <w:rFonts w:eastAsia="Times New Roman"/>
        </w:rPr>
        <w:t>Where T0 = baseline, CDR = CDR score</w:t>
      </w:r>
    </w:p>
    <w:p w14:paraId="02F2B0CF" w14:textId="240999BD" w:rsidR="00D6366D" w:rsidRPr="00563AD3" w:rsidRDefault="00D6366D" w:rsidP="009B13F3">
      <w:r w:rsidRPr="00563AD3">
        <w:t>In addition to controlling for baseline QALYs, which differed at baseline, f</w:t>
      </w:r>
      <w:r w:rsidR="00AD4B16" w:rsidRPr="00563AD3">
        <w:t xml:space="preserve">or consistency, </w:t>
      </w:r>
      <w:r w:rsidRPr="00563AD3">
        <w:t>with</w:t>
      </w:r>
      <w:r w:rsidR="00AD4B16" w:rsidRPr="00563AD3">
        <w:t xml:space="preserve"> the statistical analysis </w:t>
      </w:r>
      <w:r w:rsidRPr="00563AD3">
        <w:t>age and baseline CDR score were also included (Model 2 above).  Although costs were not significantly different at baseline, these same baseline characteristics were included in the SUR for costs in a sensitivity analysis.</w:t>
      </w:r>
    </w:p>
    <w:p w14:paraId="65FD9690" w14:textId="77777777" w:rsidR="00AD4B16" w:rsidRPr="00563AD3" w:rsidRDefault="00AD4B16" w:rsidP="009B13F3">
      <w:r w:rsidRPr="00563AD3">
        <w:t>Incremental cost-effectiveness ratios (ICERs) were calculated both for cost per QALY gain and cost per unit improvement in CMAI score. We used the NICE willingness to pay per incremental QALY threshold (£20,000 = Lambda [λ]) to determine whether the intervention was cost-effective. Interventions with an ICER under £20,000 per QALY are generally considered cost-effective. There is no such willingness to pay threshold to aid the interpretation of changes in CMAI but we framed this in the context of other study results.</w:t>
      </w:r>
    </w:p>
    <w:p w14:paraId="4C85ECFA" w14:textId="6F004FBF" w:rsidR="00AD4B16" w:rsidRPr="00563AD3" w:rsidRDefault="00AD4B16" w:rsidP="009B13F3">
      <w:r w:rsidRPr="00563AD3">
        <w:t>Discounting at the NICE preferred rate of 3.5% per annum for costs and effects we</w:t>
      </w:r>
      <w:r w:rsidR="00B80810">
        <w:t>re conducted for values post 12-</w:t>
      </w:r>
      <w:r w:rsidRPr="00563AD3">
        <w:t xml:space="preserve">months (i.e. for the final </w:t>
      </w:r>
      <w:r w:rsidR="00D27F6A" w:rsidRPr="00563AD3">
        <w:t>4-</w:t>
      </w:r>
      <w:r w:rsidRPr="00563AD3">
        <w:t>months of the trial).</w:t>
      </w:r>
    </w:p>
    <w:p w14:paraId="77786EFA" w14:textId="77777777" w:rsidR="005745FD" w:rsidRPr="00563AD3" w:rsidRDefault="005745FD" w:rsidP="009B13F3"/>
    <w:p w14:paraId="48E1046B" w14:textId="196107A3" w:rsidR="00AD4B16" w:rsidRPr="00563AD3" w:rsidRDefault="00D27F6A" w:rsidP="009B13F3">
      <w:pPr>
        <w:pStyle w:val="Heading4"/>
      </w:pPr>
      <w:r w:rsidRPr="00563AD3">
        <w:t>2.8.</w:t>
      </w:r>
      <w:r w:rsidR="00472308" w:rsidRPr="00563AD3">
        <w:t>9</w:t>
      </w:r>
      <w:r w:rsidR="005B09F1" w:rsidRPr="00563AD3">
        <w:t>.7</w:t>
      </w:r>
      <w:r w:rsidRPr="00563AD3">
        <w:t xml:space="preserve"> </w:t>
      </w:r>
      <w:r w:rsidR="00AD4B16" w:rsidRPr="00563AD3">
        <w:t>Net benefit analysis</w:t>
      </w:r>
    </w:p>
    <w:p w14:paraId="7B734F4A" w14:textId="11D0E499" w:rsidR="00AD4B16" w:rsidRPr="00563AD3" w:rsidRDefault="00AD4B16" w:rsidP="009B13F3">
      <w:r w:rsidRPr="00563AD3">
        <w:t>A net benefit regression framework was also employed to allow parametric analysis of the incremental costs and benefits of the intervention.  Net monetary benefit is calculated using individual-level total costs, total QALYs and the cost-effectiveness threshold (λ=£20,000):</w:t>
      </w:r>
    </w:p>
    <w:p w14:paraId="11B5C298" w14:textId="77777777" w:rsidR="00AD4B16" w:rsidRPr="00563AD3" w:rsidRDefault="00AD4B16" w:rsidP="009B13F3">
      <w:r w:rsidRPr="00563AD3">
        <w:tab/>
      </w:r>
      <w:r w:rsidRPr="00563AD3">
        <w:tab/>
      </w:r>
      <w:r w:rsidRPr="00563AD3">
        <w:tab/>
        <w:t>NMB = (λ*QALYs) – Costs</w:t>
      </w:r>
    </w:p>
    <w:p w14:paraId="14ADF8F4" w14:textId="67116D4C" w:rsidR="00AD4B16" w:rsidRPr="00563AD3" w:rsidRDefault="00481452" w:rsidP="009B13F3">
      <w:r w:rsidRPr="00563AD3">
        <w:t>Linear regression models we</w:t>
      </w:r>
      <w:r w:rsidR="00AD4B16" w:rsidRPr="00563AD3">
        <w:t>re used to regress treatment allocation on individual-level (i for I individuals in the trial) estimates of NMB, whilst controlling for other observable trial arm imbalances (e.g. dementia severity, agitation levels or socio-demographics):</w:t>
      </w:r>
    </w:p>
    <w:p w14:paraId="713473A4" w14:textId="0217F3DF" w:rsidR="00AD4B16" w:rsidRPr="00563AD3" w:rsidRDefault="00AD4B16" w:rsidP="009B13F3">
      <w:r w:rsidRPr="00563AD3">
        <w:tab/>
      </w:r>
      <w:r w:rsidRPr="00563AD3">
        <w:tab/>
      </w:r>
      <w:r w:rsidRPr="00563AD3">
        <w:tab/>
      </w:r>
      <m:oMath>
        <m:sSub>
          <m:sSubPr>
            <m:ctrlPr>
              <w:rPr>
                <w:rFonts w:ascii="Cambria Math" w:hAnsi="Cambria Math"/>
                <w:i/>
              </w:rPr>
            </m:ctrlPr>
          </m:sSubPr>
          <m:e>
            <m:r>
              <w:rPr>
                <w:rFonts w:ascii="Cambria Math" w:hAnsi="Cambria Math"/>
              </w:rPr>
              <m:t>NMB</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 RandTrt</m:t>
            </m:r>
          </m:e>
          <m:sub>
            <m:r>
              <w:rPr>
                <w:rFonts w:ascii="Cambria Math" w:hAnsi="Cambria Math"/>
              </w:rPr>
              <m:t>ch</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δ </m:t>
            </m:r>
            <m:r>
              <m:rPr>
                <m:sty m:val="bi"/>
              </m:rP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m:t>
            </m:r>
          </m:sub>
        </m:sSub>
      </m:oMath>
      <w:r w:rsidRPr="00563AD3">
        <w:t xml:space="preserve"> </w:t>
      </w:r>
    </w:p>
    <w:p w14:paraId="044553F7" w14:textId="77777777" w:rsidR="00AD4B16" w:rsidRPr="00563AD3" w:rsidRDefault="00AD4B16" w:rsidP="009B13F3">
      <w:r w:rsidRPr="00563AD3">
        <w:t xml:space="preserve">Where RandTrt is the treatment allocation and </w:t>
      </w:r>
      <w:r w:rsidRPr="00563AD3">
        <w:rPr>
          <w:b/>
        </w:rPr>
        <w:t xml:space="preserve">X </w:t>
      </w:r>
      <w:r w:rsidRPr="00563AD3">
        <w:t>is a vector of observable characteristics.</w:t>
      </w:r>
    </w:p>
    <w:p w14:paraId="72B2E818" w14:textId="77777777" w:rsidR="00AD4B16" w:rsidRPr="00563AD3" w:rsidRDefault="00AD4B16" w:rsidP="009B13F3">
      <w:r w:rsidRPr="00563AD3">
        <w:t>We also examined heterogeneity in the treatment effect by compliance at the care home level in a multi-level model accounting for clustering at the care home level:</w:t>
      </w:r>
    </w:p>
    <w:p w14:paraId="547ED7DB" w14:textId="7132D4E6" w:rsidR="00AD4B16" w:rsidRPr="00563AD3" w:rsidRDefault="00AD4B16" w:rsidP="009B13F3">
      <w:r w:rsidRPr="00563AD3">
        <w:tab/>
      </w:r>
      <w:r w:rsidRPr="00563AD3">
        <w:tab/>
      </w:r>
      <w:r w:rsidRPr="00563AD3">
        <w:tab/>
      </w:r>
      <m:oMath>
        <m:sSub>
          <m:sSubPr>
            <m:ctrlPr>
              <w:rPr>
                <w:rFonts w:ascii="Cambria Math" w:hAnsi="Cambria Math"/>
                <w:i/>
              </w:rPr>
            </m:ctrlPr>
          </m:sSubPr>
          <m:e>
            <m:r>
              <w:rPr>
                <w:rFonts w:ascii="Cambria Math" w:hAnsi="Cambria Math"/>
              </w:rPr>
              <m:t>NMB</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β </m:t>
            </m:r>
            <m:r>
              <m:rPr>
                <m:sty m:val="bi"/>
              </m:rPr>
              <w:rPr>
                <w:rFonts w:ascii="Cambria Math" w:hAnsi="Cambria Math"/>
              </w:rPr>
              <m:t>CH</m:t>
            </m:r>
          </m:e>
          <m:sub>
            <m:r>
              <w:rPr>
                <w:rFonts w:ascii="Cambria Math" w:hAnsi="Cambria Math"/>
              </w:rPr>
              <m:t>ch</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δ </m:t>
            </m:r>
            <m:r>
              <m:rPr>
                <m:sty m:val="bi"/>
              </m:rP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m:t>
            </m:r>
          </m:sub>
        </m:sSub>
      </m:oMath>
      <w:r w:rsidRPr="00563AD3">
        <w:t xml:space="preserve"> </w:t>
      </w:r>
    </w:p>
    <w:p w14:paraId="12FB8DC8" w14:textId="55F56EAD" w:rsidR="00490FC2" w:rsidRPr="00563AD3" w:rsidRDefault="00AD4B16" w:rsidP="009B13F3">
      <w:pPr>
        <w:spacing w:after="0"/>
      </w:pPr>
      <w:r w:rsidRPr="00563AD3">
        <w:t xml:space="preserve">Where </w:t>
      </w:r>
      <w:r w:rsidRPr="00563AD3">
        <w:rPr>
          <w:b/>
        </w:rPr>
        <w:t xml:space="preserve">CH </w:t>
      </w:r>
      <w:r w:rsidRPr="00563AD3">
        <w:t xml:space="preserve">is a vector of three groups of intervention arm care homes, grouped according to </w:t>
      </w:r>
      <w:r w:rsidR="00442B2F" w:rsidRPr="00563AD3">
        <w:t xml:space="preserve">the number of cycles in which the care home had completed all four components of the intervention (this is defined as an ‘acceptable’ level in </w:t>
      </w:r>
      <w:r w:rsidRPr="00563AD3">
        <w:t xml:space="preserve">the statistical analysis see </w:t>
      </w:r>
      <w:r w:rsidRPr="005745FD">
        <w:rPr>
          <w:i/>
        </w:rPr>
        <w:t xml:space="preserve">section </w:t>
      </w:r>
      <w:r w:rsidR="00490FC2" w:rsidRPr="005745FD">
        <w:rPr>
          <w:i/>
        </w:rPr>
        <w:t>2.9.7</w:t>
      </w:r>
      <w:r w:rsidRPr="00563AD3">
        <w:t>)</w:t>
      </w:r>
      <w:r w:rsidR="00490FC2" w:rsidRPr="00563AD3">
        <w:t>:</w:t>
      </w:r>
    </w:p>
    <w:p w14:paraId="43A3D87C" w14:textId="77777777" w:rsidR="00FA3755" w:rsidRPr="00563AD3" w:rsidRDefault="00FA3755" w:rsidP="009B13F3">
      <w:pPr>
        <w:spacing w:after="0"/>
      </w:pPr>
    </w:p>
    <w:p w14:paraId="21919848" w14:textId="440AD176" w:rsidR="00FA3755" w:rsidRPr="00563AD3" w:rsidRDefault="00FA3755" w:rsidP="009B13F3">
      <w:pPr>
        <w:spacing w:after="0"/>
      </w:pPr>
      <w:r w:rsidRPr="00563AD3">
        <w:t>= 0 if care home had completed no cycles to an acceptable level</w:t>
      </w:r>
    </w:p>
    <w:p w14:paraId="4F2DED4D" w14:textId="3CEFEA03" w:rsidR="00FA3755" w:rsidRPr="00563AD3" w:rsidRDefault="00FA3755" w:rsidP="009B13F3">
      <w:pPr>
        <w:spacing w:after="0"/>
      </w:pPr>
      <w:r w:rsidRPr="00563AD3">
        <w:t>= 1 if care home had completed one cycles to an acceptable level</w:t>
      </w:r>
    </w:p>
    <w:p w14:paraId="670C82DC" w14:textId="0E116C9C" w:rsidR="00490FC2" w:rsidRPr="00563AD3" w:rsidRDefault="00AD4B16" w:rsidP="009B13F3">
      <w:pPr>
        <w:spacing w:after="0"/>
      </w:pPr>
      <w:r w:rsidRPr="00563AD3">
        <w:t xml:space="preserve"> </w:t>
      </w:r>
      <w:r w:rsidR="00FA3755" w:rsidRPr="00563AD3">
        <w:t>= 2 if care home had completed two or three cycles to an acceptable level</w:t>
      </w:r>
    </w:p>
    <w:p w14:paraId="1D31AD31" w14:textId="77777777" w:rsidR="00490FC2" w:rsidRPr="00563AD3" w:rsidRDefault="00490FC2" w:rsidP="009B13F3">
      <w:pPr>
        <w:spacing w:after="0"/>
      </w:pPr>
    </w:p>
    <w:p w14:paraId="771D28DA" w14:textId="77777777" w:rsidR="005745FD" w:rsidRDefault="00FA3755" w:rsidP="005745FD">
      <w:pPr>
        <w:spacing w:after="0"/>
      </w:pPr>
      <w:r w:rsidRPr="00563AD3">
        <w:t xml:space="preserve">Control </w:t>
      </w:r>
      <w:r w:rsidR="00182DC5" w:rsidRPr="00563AD3">
        <w:t>arm</w:t>
      </w:r>
      <w:r w:rsidRPr="00563AD3">
        <w:t xml:space="preserve"> care homes were in the reference category and t</w:t>
      </w:r>
      <w:r w:rsidR="00AD4B16" w:rsidRPr="00563AD3">
        <w:t>he coefficient (</w:t>
      </w:r>
      <m:oMath>
        <m:r>
          <w:rPr>
            <w:rFonts w:ascii="Cambria Math" w:hAnsi="Cambria Math"/>
          </w:rPr>
          <m:t>β</m:t>
        </m:r>
      </m:oMath>
      <w:r w:rsidR="00AD4B16" w:rsidRPr="00563AD3">
        <w:t xml:space="preserve">) is a measure of incremental net benefit associated with </w:t>
      </w:r>
      <w:r w:rsidRPr="00563AD3">
        <w:t>a particular</w:t>
      </w:r>
      <w:r w:rsidR="005745FD">
        <w:t xml:space="preserve"> group of care homes.</w:t>
      </w:r>
    </w:p>
    <w:p w14:paraId="5C5EEB74" w14:textId="5BE4E474" w:rsidR="00AD4B16" w:rsidRPr="00563AD3" w:rsidRDefault="00AD4B16" w:rsidP="005745FD">
      <w:pPr>
        <w:spacing w:after="0"/>
      </w:pPr>
      <w:r w:rsidRPr="00563AD3">
        <w:t xml:space="preserve">To be consistent with the statistical analysis, we also conducted a CACE analysis on net monetary benefit </w:t>
      </w:r>
      <w:r w:rsidR="007C431A" w:rsidRPr="00563AD3">
        <w:t>which is designed to account for the potential endogeneity of compliance using a two staged least squares instrumental variables approach</w:t>
      </w:r>
      <w:r w:rsidRPr="00563AD3">
        <w:t xml:space="preserve">. </w:t>
      </w:r>
    </w:p>
    <w:p w14:paraId="19F9F8F9" w14:textId="77777777" w:rsidR="005745FD" w:rsidRDefault="005745FD" w:rsidP="002313C5"/>
    <w:p w14:paraId="65538E8C" w14:textId="43D9EA2F" w:rsidR="00AD4B16" w:rsidRPr="00563AD3" w:rsidRDefault="00D27F6A" w:rsidP="009B13F3">
      <w:pPr>
        <w:pStyle w:val="Heading4"/>
      </w:pPr>
      <w:r w:rsidRPr="00563AD3">
        <w:t>2.8.</w:t>
      </w:r>
      <w:r w:rsidR="00472308" w:rsidRPr="00563AD3">
        <w:t>9</w:t>
      </w:r>
      <w:r w:rsidR="005B09F1" w:rsidRPr="00563AD3">
        <w:t>.8</w:t>
      </w:r>
      <w:r w:rsidRPr="00563AD3">
        <w:t xml:space="preserve"> </w:t>
      </w:r>
      <w:r w:rsidR="00AD4B16" w:rsidRPr="00563AD3">
        <w:t>Missing data</w:t>
      </w:r>
    </w:p>
    <w:p w14:paraId="079DD04A" w14:textId="029546E3" w:rsidR="00B13C1C" w:rsidRPr="00563AD3" w:rsidRDefault="00AD4B16" w:rsidP="009B13F3">
      <w:r w:rsidRPr="00563AD3">
        <w:t xml:space="preserve">We ran the </w:t>
      </w:r>
      <w:r w:rsidR="009A7C0D" w:rsidRPr="00563AD3">
        <w:t>resident</w:t>
      </w:r>
      <w:r w:rsidRPr="00563AD3">
        <w:t xml:space="preserve">-level analysis on complete cases (CCA) initially which required data on total QALYs (based on various EQ-5D-5L or DEMQOL measures, depending on the analysis) and total costs. However, </w:t>
      </w:r>
      <w:r w:rsidR="00B13C1C" w:rsidRPr="00563AD3">
        <w:t xml:space="preserve">due to the extent of missing data, </w:t>
      </w:r>
      <w:r w:rsidRPr="00563AD3">
        <w:t>the primary analysis was based on data where missing values were imputed</w:t>
      </w:r>
      <w:r w:rsidR="00B13C1C" w:rsidRPr="00563AD3">
        <w:t xml:space="preserve"> using multiple imputation (MI).  This assumed that the data were missing at random</w:t>
      </w:r>
      <w:r w:rsidRPr="00563AD3">
        <w:t>. The first stage of the imputation process used mean imputations to estimate the baseline values of each EQ5D5L, DEMQOL-Proxy measures, CMAI score and time-invariant characteristics (age/date of birth at baseline), following guidance in a paper by Faria et al</w:t>
      </w:r>
      <w:r w:rsidR="00F45047">
        <w:t>.</w:t>
      </w:r>
      <w:r w:rsidR="00D27F6A" w:rsidRPr="00563AD3">
        <w:t xml:space="preserve"> </w:t>
      </w:r>
      <w:r w:rsidR="00D27F6A" w:rsidRPr="00563AD3">
        <w:fldChar w:fldCharType="begin"/>
      </w:r>
      <w:r w:rsidR="00411708">
        <w:instrText xml:space="preserve"> ADDIN EN.CITE &lt;EndNote&gt;&lt;Cite&gt;&lt;Author&gt;Faria&lt;/Author&gt;&lt;Year&gt;2014&lt;/Year&gt;&lt;RecNum&gt;1778&lt;/RecNum&gt;&lt;DisplayText&gt;&lt;style face="superscript"&gt;149&lt;/style&gt;&lt;/DisplayText&gt;&lt;record&gt;&lt;rec-number&gt;1778&lt;/rec-number&gt;&lt;foreign-keys&gt;&lt;key app="EN" db-id="wprxwptv75dtdree0t5x2ptmvadptw5fr2ww" timestamp="1513610533"&gt;1778&lt;/key&gt;&lt;/foreign-keys&gt;&lt;ref-type name="Journal Article"&gt;17&lt;/ref-type&gt;&lt;contributors&gt;&lt;authors&gt;&lt;author&gt;Faria, R.&lt;/author&gt;&lt;author&gt;Gomes, M.&lt;/author&gt;&lt;author&gt;Epstein, D.&lt;/author&gt;&lt;author&gt;White, I.R.&lt;/author&gt;&lt;/authors&gt;&lt;/contributors&gt;&lt;titles&gt;&lt;title&gt;A guide to handling missing data in cost-effectiveness analysis conducted within randomised controlled trials&lt;/title&gt;&lt;secondary-title&gt;Pharmacoeconomics&lt;/secondary-title&gt;&lt;/titles&gt;&lt;periodical&gt;&lt;full-title&gt;Pharmacoeconomics&lt;/full-title&gt;&lt;abbr-1&gt;Pharmacoeconomics&lt;/abbr-1&gt;&lt;abbr-2&gt;Pharmacoeconomics&lt;/abbr-2&gt;&lt;/periodical&gt;&lt;pages&gt;1157-70&lt;/pages&gt;&lt;volume&gt;32&lt;/volume&gt;&lt;number&gt;12&lt;/number&gt;&lt;dates&gt;&lt;year&gt;2014&lt;/year&gt;&lt;/dates&gt;&lt;urls&gt;&lt;/urls&gt;&lt;/record&gt;&lt;/Cite&gt;&lt;/EndNote&gt;</w:instrText>
      </w:r>
      <w:r w:rsidR="00D27F6A" w:rsidRPr="00563AD3">
        <w:fldChar w:fldCharType="separate"/>
      </w:r>
      <w:r w:rsidR="00411708" w:rsidRPr="00411708">
        <w:rPr>
          <w:noProof/>
          <w:vertAlign w:val="superscript"/>
        </w:rPr>
        <w:t>149</w:t>
      </w:r>
      <w:r w:rsidR="00D27F6A" w:rsidRPr="00563AD3">
        <w:fldChar w:fldCharType="end"/>
      </w:r>
      <w:r w:rsidRPr="00563AD3">
        <w:t xml:space="preserve">  </w:t>
      </w:r>
    </w:p>
    <w:p w14:paraId="5190726A" w14:textId="2B23631B" w:rsidR="00AD4B16" w:rsidRPr="00563AD3" w:rsidRDefault="00AD4B16" w:rsidP="009B13F3">
      <w:r w:rsidRPr="00563AD3">
        <w:t>Second, Multiple Imputations by Chained Equations (MICE) was used to impute missing EQ5D-5L, DEMQOL-Proxy measures (index values rather than individual items) and CMAI score at 6</w:t>
      </w:r>
      <w:r w:rsidR="00481452" w:rsidRPr="00563AD3">
        <w:t>-</w:t>
      </w:r>
      <w:r w:rsidRPr="00563AD3">
        <w:t>months and 16</w:t>
      </w:r>
      <w:r w:rsidR="00481452" w:rsidRPr="00563AD3">
        <w:t>-</w:t>
      </w:r>
      <w:r w:rsidRPr="00563AD3">
        <w:t>months and individual components o</w:t>
      </w:r>
      <w:r w:rsidR="00481452" w:rsidRPr="00563AD3">
        <w:t>f total costs at all three time-</w:t>
      </w:r>
      <w:r w:rsidRPr="00563AD3">
        <w:t>points. The number of individual components of total costs (n=15) used in the imputation process was decided</w:t>
      </w:r>
      <w:r w:rsidR="00481452" w:rsidRPr="00563AD3">
        <w:t>,</w:t>
      </w:r>
      <w:r w:rsidRPr="00563AD3">
        <w:t xml:space="preserve"> taking a pragmatic approach.  As a general rule, at each </w:t>
      </w:r>
      <w:r w:rsidR="00481452" w:rsidRPr="00563AD3">
        <w:t>time-</w:t>
      </w:r>
      <w:r w:rsidRPr="00563AD3">
        <w:t xml:space="preserve">point, high cost and common resource items (e.g. hospital visits and stays) were imputed individually and less common items were imputed on a bundled basis. </w:t>
      </w:r>
    </w:p>
    <w:p w14:paraId="2D823961" w14:textId="210C55F1" w:rsidR="00AD4B16" w:rsidRPr="00563AD3" w:rsidRDefault="00AD4B16" w:rsidP="009B13F3">
      <w:r w:rsidRPr="00563AD3">
        <w:t xml:space="preserve">The number of imputations (n=48) reflected the ratio of missing: complete data. </w:t>
      </w:r>
      <w:r w:rsidR="00B13C1C" w:rsidRPr="00563AD3">
        <w:t xml:space="preserve">We accounted for clustering within care homes. Rubin’s </w:t>
      </w:r>
      <w:r w:rsidR="00B13C1C" w:rsidRPr="00563AD3">
        <w:fldChar w:fldCharType="begin"/>
      </w:r>
      <w:r w:rsidR="00411708">
        <w:instrText xml:space="preserve"> ADDIN EN.CITE &lt;EndNote&gt;&lt;Cite&gt;&lt;Author&gt;Rubin&lt;/Author&gt;&lt;Year&gt;1987&lt;/Year&gt;&lt;RecNum&gt;1814&lt;/RecNum&gt;&lt;DisplayText&gt;&lt;style face="superscript"&gt;150&lt;/style&gt;&lt;/DisplayText&gt;&lt;record&gt;&lt;rec-number&gt;1814&lt;/rec-number&gt;&lt;foreign-keys&gt;&lt;key app="EN" db-id="wprxwptv75dtdree0t5x2ptmvadptw5fr2ww" timestamp="1518988344"&gt;1814&lt;/key&gt;&lt;/foreign-keys&gt;&lt;ref-type name="Book"&gt;6&lt;/ref-type&gt;&lt;contributors&gt;&lt;authors&gt;&lt;author&gt;Rubin, D.B.&lt;/author&gt;&lt;/authors&gt;&lt;/contributors&gt;&lt;titles&gt;&lt;title&gt;Multiple imputation for nonresponse in surveys&lt;/title&gt;&lt;/titles&gt;&lt;dates&gt;&lt;year&gt;1987&lt;/year&gt;&lt;/dates&gt;&lt;pub-location&gt;New York&lt;/pub-location&gt;&lt;publisher&gt;Wiley&lt;/publisher&gt;&lt;urls&gt;&lt;/urls&gt;&lt;/record&gt;&lt;/Cite&gt;&lt;/EndNote&gt;</w:instrText>
      </w:r>
      <w:r w:rsidR="00B13C1C" w:rsidRPr="00563AD3">
        <w:fldChar w:fldCharType="separate"/>
      </w:r>
      <w:r w:rsidR="00411708" w:rsidRPr="00411708">
        <w:rPr>
          <w:noProof/>
          <w:vertAlign w:val="superscript"/>
        </w:rPr>
        <w:t>150</w:t>
      </w:r>
      <w:r w:rsidR="00B13C1C" w:rsidRPr="00563AD3">
        <w:fldChar w:fldCharType="end"/>
      </w:r>
      <w:r w:rsidR="00B13C1C" w:rsidRPr="00563AD3">
        <w:t xml:space="preserve"> rules were used to combine parameter estimates of the multiple imputations</w:t>
      </w:r>
      <w:r w:rsidRPr="00563AD3">
        <w:t xml:space="preserve">  </w:t>
      </w:r>
    </w:p>
    <w:p w14:paraId="77E01527" w14:textId="77777777" w:rsidR="00AD4B16" w:rsidRPr="00563AD3" w:rsidRDefault="00AD4B16" w:rsidP="009B13F3"/>
    <w:p w14:paraId="6A986DFB" w14:textId="6751EDA2" w:rsidR="00AD4B16" w:rsidRPr="00563AD3" w:rsidRDefault="00D27F6A" w:rsidP="009B13F3">
      <w:pPr>
        <w:pStyle w:val="Heading4"/>
      </w:pPr>
      <w:r w:rsidRPr="00563AD3">
        <w:t>2.8.</w:t>
      </w:r>
      <w:r w:rsidR="00472308" w:rsidRPr="00563AD3">
        <w:t>9</w:t>
      </w:r>
      <w:r w:rsidR="005B09F1" w:rsidRPr="00563AD3">
        <w:t>.9</w:t>
      </w:r>
      <w:r w:rsidRPr="00563AD3">
        <w:t xml:space="preserve"> </w:t>
      </w:r>
      <w:r w:rsidR="00B13C1C" w:rsidRPr="00563AD3">
        <w:t>Cross sectional</w:t>
      </w:r>
      <w:r w:rsidR="00AD4B16" w:rsidRPr="00563AD3">
        <w:t xml:space="preserve"> cohort analysis</w:t>
      </w:r>
    </w:p>
    <w:p w14:paraId="74C016EA" w14:textId="397C46F0" w:rsidR="00AD4B16" w:rsidRPr="00563AD3" w:rsidRDefault="00AD4B16" w:rsidP="009B13F3">
      <w:r w:rsidRPr="00563AD3">
        <w:t xml:space="preserve">The change in the trial to an open-cohort design meant that additional data for some </w:t>
      </w:r>
      <w:r w:rsidR="009A7C0D" w:rsidRPr="00563AD3">
        <w:t>residents</w:t>
      </w:r>
      <w:r w:rsidRPr="00563AD3">
        <w:t xml:space="preserve"> </w:t>
      </w:r>
      <w:r w:rsidR="00481452" w:rsidRPr="00563AD3">
        <w:t>were</w:t>
      </w:r>
      <w:r w:rsidRPr="00563AD3">
        <w:t xml:space="preserve"> available at 16</w:t>
      </w:r>
      <w:r w:rsidR="00481452" w:rsidRPr="00563AD3">
        <w:t>-</w:t>
      </w:r>
      <w:r w:rsidRPr="00563AD3">
        <w:t>months, despite them not being in the trial at baseline or 6</w:t>
      </w:r>
      <w:r w:rsidR="00D27F6A" w:rsidRPr="00563AD3">
        <w:t>-</w:t>
      </w:r>
      <w:r w:rsidRPr="00563AD3">
        <w:t xml:space="preserve">month follow-up. For the primary analysis, we only used data from those </w:t>
      </w:r>
      <w:r w:rsidR="009A7C0D" w:rsidRPr="00563AD3">
        <w:t xml:space="preserve">residents </w:t>
      </w:r>
      <w:r w:rsidRPr="00563AD3">
        <w:t xml:space="preserve">consented into the trial at baseline (the </w:t>
      </w:r>
      <w:r w:rsidR="00FB521A" w:rsidRPr="00563AD3">
        <w:t>original</w:t>
      </w:r>
      <w:r w:rsidRPr="00563AD3">
        <w:t xml:space="preserve">-cohort). However, in </w:t>
      </w:r>
      <w:r w:rsidR="00B13C1C" w:rsidRPr="00563AD3">
        <w:t xml:space="preserve">order to be consistent with the statistical analysis, </w:t>
      </w:r>
      <w:r w:rsidRPr="00563AD3">
        <w:t>an additional analysis</w:t>
      </w:r>
      <w:r w:rsidR="00B13C1C" w:rsidRPr="00563AD3">
        <w:t xml:space="preserve"> was conducted </w:t>
      </w:r>
      <w:r w:rsidRPr="00563AD3">
        <w:t>incorporat</w:t>
      </w:r>
      <w:r w:rsidR="00B13C1C" w:rsidRPr="00563AD3">
        <w:t>ing</w:t>
      </w:r>
      <w:r w:rsidRPr="00563AD3">
        <w:t xml:space="preserve"> the costs and QALYs for those </w:t>
      </w:r>
      <w:r w:rsidR="009A7C0D" w:rsidRPr="00563AD3">
        <w:t xml:space="preserve">residents </w:t>
      </w:r>
      <w:r w:rsidRPr="00563AD3">
        <w:t>providing data only at 16</w:t>
      </w:r>
      <w:r w:rsidR="00481452" w:rsidRPr="00563AD3">
        <w:t>-</w:t>
      </w:r>
      <w:r w:rsidRPr="00563AD3">
        <w:t xml:space="preserve">months (the </w:t>
      </w:r>
      <w:r w:rsidR="00B13C1C" w:rsidRPr="00563AD3">
        <w:t>cross sectional</w:t>
      </w:r>
      <w:r w:rsidRPr="00563AD3">
        <w:t>-cohort).</w:t>
      </w:r>
    </w:p>
    <w:p w14:paraId="0464D5FF" w14:textId="6F115C48" w:rsidR="00B13C1C" w:rsidRPr="00563AD3" w:rsidRDefault="00B13C1C" w:rsidP="009B13F3">
      <w:r w:rsidRPr="00563AD3">
        <w:t>Where data on both costs and EQ-5D was only available at 16-months in the cross-sectional cohort, we imputed the total cumulative costs and total QALYs for the whole trial period using a two-stage imputation process.  First, mean values of the total costs and total QALYs generated in the imputations described above (n=48) were used to replace the missing data on total costs and total QALYs in the closed cohort. Second, data on total costs and total QALYs for each individual in the closed cohort (n=726) (including the values that had been imputed in the first stage) were used to impute the total costs and QALY data for all individuals in the cross-sectional cohort, using the MICE method and Rubin’s rules described above, accounting for recorded data at 16-months, including costs and quality of life. This enabled calcu</w:t>
      </w:r>
      <w:r w:rsidR="0078769C" w:rsidRPr="00563AD3">
        <w:t>lation of an ICER for the cross-</w:t>
      </w:r>
      <w:r w:rsidRPr="00563AD3">
        <w:t>sectional cohort.  Since this approach relied on an unusual two stage imputation process for individuals who had no recorded data at baseline, the results should be considered illustrative only and treated with due caution.  This approach also relied on an assumption that survival was independent of the intervention and time spent in the care home since residen</w:t>
      </w:r>
      <w:r w:rsidR="00B80810">
        <w:t>ts providing data at 16-</w:t>
      </w:r>
      <w:r w:rsidRPr="00563AD3">
        <w:t xml:space="preserve">months only would have survived until 16-months had they been in the care home for that duration. </w:t>
      </w:r>
    </w:p>
    <w:p w14:paraId="003D9DAE" w14:textId="77777777" w:rsidR="00AD4B16" w:rsidRPr="00563AD3" w:rsidRDefault="00AD4B16" w:rsidP="009B13F3"/>
    <w:p w14:paraId="56D6CE1D" w14:textId="31494BCD" w:rsidR="00AD4B16" w:rsidRPr="00563AD3" w:rsidRDefault="00D27F6A" w:rsidP="009B13F3">
      <w:pPr>
        <w:pStyle w:val="Heading4"/>
      </w:pPr>
      <w:r w:rsidRPr="00563AD3">
        <w:t>2.8.</w:t>
      </w:r>
      <w:r w:rsidR="00472308" w:rsidRPr="00563AD3">
        <w:t>9</w:t>
      </w:r>
      <w:r w:rsidR="005B09F1" w:rsidRPr="00563AD3">
        <w:t>.10</w:t>
      </w:r>
      <w:r w:rsidRPr="00563AD3">
        <w:t xml:space="preserve"> </w:t>
      </w:r>
      <w:r w:rsidR="00AD4B16" w:rsidRPr="00563AD3">
        <w:t>Sensitivity analyses</w:t>
      </w:r>
    </w:p>
    <w:p w14:paraId="09AE0755" w14:textId="77777777" w:rsidR="00AD4B16" w:rsidRPr="00563AD3" w:rsidRDefault="00AD4B16" w:rsidP="009B13F3">
      <w:r w:rsidRPr="00563AD3">
        <w:t>Deterministic sensitivity analysis of the ICER was undertaken to test the robustness of the results to changes in the analytical approach and to assumptions made. For example, we re-ran analyses exploring the impact on results of different approaches to costing, handling missing data and of employing alternative utility capture methods.</w:t>
      </w:r>
    </w:p>
    <w:p w14:paraId="745BECBE" w14:textId="48A2CE15" w:rsidR="00AD4B16" w:rsidRPr="00563AD3" w:rsidRDefault="00AD4B16" w:rsidP="009B13F3">
      <w:r w:rsidRPr="00563AD3">
        <w:t>A non-parametric bootstrapping analysis was also conducted to determine the level of sampling uncertainty around the ICER estimates by generating 10,000 estimates of incremental costs and benefits</w:t>
      </w:r>
      <w:r w:rsidR="00B13C1C" w:rsidRPr="00563AD3">
        <w:t xml:space="preserve">, using the combined estimates of the multiple imputed datasets (n=48) using Rubin’s </w:t>
      </w:r>
      <w:r w:rsidR="00B13C1C" w:rsidRPr="00563AD3">
        <w:fldChar w:fldCharType="begin"/>
      </w:r>
      <w:r w:rsidR="00411708">
        <w:instrText xml:space="preserve"> ADDIN EN.CITE &lt;EndNote&gt;&lt;Cite&gt;&lt;Author&gt;Rubin&lt;/Author&gt;&lt;Year&gt;1987&lt;/Year&gt;&lt;RecNum&gt;1814&lt;/RecNum&gt;&lt;DisplayText&gt;&lt;style face="superscript"&gt;150&lt;/style&gt;&lt;/DisplayText&gt;&lt;record&gt;&lt;rec-number&gt;1814&lt;/rec-number&gt;&lt;foreign-keys&gt;&lt;key app="EN" db-id="wprxwptv75dtdree0t5x2ptmvadptw5fr2ww" timestamp="1518988344"&gt;1814&lt;/key&gt;&lt;/foreign-keys&gt;&lt;ref-type name="Book"&gt;6&lt;/ref-type&gt;&lt;contributors&gt;&lt;authors&gt;&lt;author&gt;Rubin, D.B.&lt;/author&gt;&lt;/authors&gt;&lt;/contributors&gt;&lt;titles&gt;&lt;title&gt;Multiple imputation for nonresponse in surveys&lt;/title&gt;&lt;/titles&gt;&lt;dates&gt;&lt;year&gt;1987&lt;/year&gt;&lt;/dates&gt;&lt;pub-location&gt;New York&lt;/pub-location&gt;&lt;publisher&gt;Wiley&lt;/publisher&gt;&lt;urls&gt;&lt;/urls&gt;&lt;/record&gt;&lt;/Cite&gt;&lt;/EndNote&gt;</w:instrText>
      </w:r>
      <w:r w:rsidR="00B13C1C" w:rsidRPr="00563AD3">
        <w:fldChar w:fldCharType="separate"/>
      </w:r>
      <w:r w:rsidR="00411708" w:rsidRPr="00411708">
        <w:rPr>
          <w:noProof/>
          <w:vertAlign w:val="superscript"/>
        </w:rPr>
        <w:t>150</w:t>
      </w:r>
      <w:r w:rsidR="00B13C1C" w:rsidRPr="00563AD3">
        <w:fldChar w:fldCharType="end"/>
      </w:r>
      <w:r w:rsidR="00B13C1C" w:rsidRPr="00563AD3">
        <w:t xml:space="preserve"> rules, and accounting for clustering in care homes</w:t>
      </w:r>
      <w:r w:rsidRPr="00563AD3">
        <w:t>. The bootstrapped estimates were used to generate the cost-effectiveness plane and the cost effectiveness acceptability curve (CEAC)</w:t>
      </w:r>
      <w:r w:rsidR="00F45047">
        <w:t>.</w:t>
      </w:r>
      <w:r w:rsidRPr="00563AD3">
        <w:t xml:space="preserve"> </w:t>
      </w:r>
      <w:r w:rsidRPr="00563AD3">
        <w:fldChar w:fldCharType="begin"/>
      </w:r>
      <w:r w:rsidR="00411708">
        <w:instrText xml:space="preserve"> ADDIN EN.CITE &lt;EndNote&gt;&lt;Cite&gt;&lt;Author&gt;Fenwick&lt;/Author&gt;&lt;Year&gt;2001&lt;/Year&gt;&lt;RecNum&gt;1453&lt;/RecNum&gt;&lt;DisplayText&gt;&lt;style face="superscript"&gt;151&lt;/style&gt;&lt;/DisplayText&gt;&lt;record&gt;&lt;rec-number&gt;1453&lt;/rec-number&gt;&lt;foreign-keys&gt;&lt;key app="EN" db-id="zvzxer9s99r50uearv6xetr0feevfap9x9rr" timestamp="1497017783"&gt;1453&lt;/key&gt;&lt;/foreign-keys&gt;&lt;ref-type name="Journal Article"&gt;17&lt;/ref-type&gt;&lt;contributors&gt;&lt;authors&gt;&lt;author&gt;Fenwick, E.&lt;/author&gt;&lt;author&gt;Claxton, K.&lt;/author&gt;&lt;author&gt;Sculpher, M.&lt;/author&gt;&lt;/authors&gt;&lt;/contributors&gt;&lt;auth-address&gt;Centre for Health Economics, University of York, York, UK. ealf100@york.ac.uk&lt;/auth-address&gt;&lt;titles&gt;&lt;title&gt;Representing uncertainty: the role of cost-effectiveness acceptability curves&lt;/title&gt;&lt;secondary-title&gt;Health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economics&lt;/abbr-1&gt;&lt;/alt-periodical&gt;&lt;pages&gt;779-87&lt;/pages&gt;&lt;volume&gt;10&lt;/volume&gt;&lt;number&gt;8&lt;/number&gt;&lt;edition&gt;2001/12/18&lt;/edition&gt;&lt;keywords&gt;&lt;keyword&gt;Confidence Intervals&lt;/keyword&gt;&lt;keyword&gt;*Cost-Benefit Analysis&lt;/keyword&gt;&lt;keyword&gt;Data Interpretation, Statistical&lt;/keyword&gt;&lt;keyword&gt;*Decision Making&lt;/keyword&gt;&lt;keyword&gt;Humans&lt;/keyword&gt;&lt;keyword&gt;Models, Econometric&lt;/keyword&gt;&lt;keyword&gt;Quality-Adjusted Life Years&lt;/keyword&gt;&lt;keyword&gt;Technology Assessment, Biomedical/economics/*methods&lt;/keyword&gt;&lt;/keywords&gt;&lt;dates&gt;&lt;year&gt;2001&lt;/year&gt;&lt;pub-dates&gt;&lt;date&gt;Dec&lt;/date&gt;&lt;/pub-dates&gt;&lt;/dates&gt;&lt;isbn&gt;1057-9230 (Print)&amp;#xD;1057-9230&lt;/isbn&gt;&lt;accession-num&gt;11747057&lt;/accession-num&gt;&lt;urls&gt;&lt;/urls&gt;&lt;remote-database-provider&gt;NLM&lt;/remote-database-provider&gt;&lt;language&gt;eng&lt;/language&gt;&lt;/record&gt;&lt;/Cite&gt;&lt;/EndNote&gt;</w:instrText>
      </w:r>
      <w:r w:rsidRPr="00563AD3">
        <w:fldChar w:fldCharType="separate"/>
      </w:r>
      <w:r w:rsidR="00411708" w:rsidRPr="00411708">
        <w:rPr>
          <w:noProof/>
          <w:vertAlign w:val="superscript"/>
        </w:rPr>
        <w:t>151</w:t>
      </w:r>
      <w:r w:rsidRPr="00563AD3">
        <w:fldChar w:fldCharType="end"/>
      </w:r>
      <w:r w:rsidRPr="00563AD3">
        <w:t xml:space="preserve">  </w:t>
      </w:r>
    </w:p>
    <w:p w14:paraId="683446C3" w14:textId="77777777" w:rsidR="004E5DCE" w:rsidRPr="00563AD3" w:rsidRDefault="004E5DCE" w:rsidP="009B13F3"/>
    <w:p w14:paraId="1C752EBF" w14:textId="6AC0240F" w:rsidR="003313E6" w:rsidRPr="00563AD3" w:rsidRDefault="003313E6" w:rsidP="009B13F3">
      <w:pPr>
        <w:pStyle w:val="Heading2"/>
      </w:pPr>
      <w:bookmarkStart w:id="92" w:name="_Toc525543986"/>
      <w:r w:rsidRPr="00563AD3">
        <w:t>2.9 Process evaluation and assessment of treatment implementation</w:t>
      </w:r>
      <w:bookmarkEnd w:id="92"/>
    </w:p>
    <w:p w14:paraId="1F631671" w14:textId="77F3EBCE" w:rsidR="00514BF6" w:rsidRPr="00563AD3" w:rsidRDefault="00CF62D3" w:rsidP="009B13F3">
      <w:pPr>
        <w:pStyle w:val="Heading3"/>
      </w:pPr>
      <w:bookmarkStart w:id="93" w:name="_Toc525543987"/>
      <w:r w:rsidRPr="00563AD3">
        <w:t xml:space="preserve">2.9.1 </w:t>
      </w:r>
      <w:r w:rsidR="00514BF6" w:rsidRPr="00563AD3">
        <w:t>Aims and research questions</w:t>
      </w:r>
      <w:bookmarkEnd w:id="93"/>
    </w:p>
    <w:p w14:paraId="3AA5CC34" w14:textId="237E2E26" w:rsidR="00B40768" w:rsidRPr="00563AD3" w:rsidRDefault="00B40768" w:rsidP="009B13F3">
      <w:r w:rsidRPr="00563AD3">
        <w:t xml:space="preserve">The process evaluation was designed to examine the process, challenges, benefits and impacts of the trial, in order to identify the processes and factors associated with degrees of successful and unsuccessful </w:t>
      </w:r>
      <w:r w:rsidR="00481452" w:rsidRPr="00563AD3">
        <w:t xml:space="preserve">intervention </w:t>
      </w:r>
      <w:r w:rsidRPr="00563AD3">
        <w:t xml:space="preserve">implementation. </w:t>
      </w:r>
    </w:p>
    <w:p w14:paraId="0597AB9B" w14:textId="633B0B68" w:rsidR="00B40768" w:rsidRPr="00563AD3" w:rsidRDefault="00481452" w:rsidP="009B13F3">
      <w:pPr>
        <w:rPr>
          <w:i/>
        </w:rPr>
      </w:pPr>
      <w:r w:rsidRPr="00563AD3">
        <w:t>The</w:t>
      </w:r>
      <w:r w:rsidR="00B40768" w:rsidRPr="00563AD3">
        <w:t xml:space="preserve"> aims of </w:t>
      </w:r>
      <w:r w:rsidRPr="00563AD3">
        <w:t>the process evaluation included</w:t>
      </w:r>
      <w:r w:rsidR="004E5DCE" w:rsidRPr="00563AD3">
        <w:t>:</w:t>
      </w:r>
    </w:p>
    <w:p w14:paraId="14BAD76D" w14:textId="77777777" w:rsidR="00D93D82" w:rsidRPr="00563AD3" w:rsidRDefault="00D93D82" w:rsidP="009B13F3">
      <w:pPr>
        <w:pStyle w:val="ListParagraph"/>
        <w:numPr>
          <w:ilvl w:val="0"/>
          <w:numId w:val="13"/>
        </w:numPr>
      </w:pPr>
      <w:r w:rsidRPr="00563AD3">
        <w:t xml:space="preserve">Describing adherence to the required components of the intervention and the quality (or fidelity) of intervention delivery. </w:t>
      </w:r>
    </w:p>
    <w:p w14:paraId="269EFC14" w14:textId="5CC99946" w:rsidR="00B40768" w:rsidRPr="00563AD3" w:rsidRDefault="00D93D82" w:rsidP="009B13F3">
      <w:pPr>
        <w:pStyle w:val="ListParagraph"/>
        <w:numPr>
          <w:ilvl w:val="0"/>
          <w:numId w:val="13"/>
        </w:numPr>
      </w:pPr>
      <w:r w:rsidRPr="00563AD3">
        <w:t>Understanding s</w:t>
      </w:r>
      <w:r w:rsidR="00B40768" w:rsidRPr="00563AD3">
        <w:t>taff, residents’ and relatives’ perceptions of the impacts of the intervention</w:t>
      </w:r>
    </w:p>
    <w:p w14:paraId="3C394988" w14:textId="6ED28E5B" w:rsidR="00B40768" w:rsidRPr="00563AD3" w:rsidRDefault="00481452" w:rsidP="009B13F3">
      <w:pPr>
        <w:pStyle w:val="ListParagraph"/>
        <w:numPr>
          <w:ilvl w:val="0"/>
          <w:numId w:val="13"/>
        </w:numPr>
      </w:pPr>
      <w:r w:rsidRPr="00563AD3">
        <w:t>Understanding the b</w:t>
      </w:r>
      <w:r w:rsidR="00B40768" w:rsidRPr="00563AD3">
        <w:t xml:space="preserve">arriers and facilitators to implementing </w:t>
      </w:r>
      <w:r w:rsidR="00070560" w:rsidRPr="00563AD3">
        <w:t>DCM™</w:t>
      </w:r>
      <w:r w:rsidR="00B40768" w:rsidRPr="00563AD3">
        <w:t xml:space="preserve"> in practice</w:t>
      </w:r>
    </w:p>
    <w:p w14:paraId="706040AE" w14:textId="7529F872" w:rsidR="00514BF6" w:rsidRPr="00563AD3" w:rsidRDefault="00514BF6" w:rsidP="009B13F3">
      <w:r w:rsidRPr="00563AD3">
        <w:t xml:space="preserve">The process evaluation </w:t>
      </w:r>
      <w:r w:rsidR="00481452" w:rsidRPr="00563AD3">
        <w:t xml:space="preserve">answered research questions </w:t>
      </w:r>
      <w:r w:rsidRPr="00563AD3">
        <w:t xml:space="preserve">aligned to the Medical Research Council guidelines on process evaluations </w:t>
      </w:r>
      <w:r w:rsidR="00431DEA" w:rsidRPr="00563AD3">
        <w:fldChar w:fldCharType="begin"/>
      </w:r>
      <w:r w:rsidR="00411708">
        <w:instrText xml:space="preserve"> ADDIN EN.CITE &lt;EndNote&gt;&lt;Cite&gt;&lt;Author&gt;Moore&lt;/Author&gt;&lt;Year&gt;2014&lt;/Year&gt;&lt;RecNum&gt;1780&lt;/RecNum&gt;&lt;DisplayText&gt;&lt;style face="superscript"&gt;152&lt;/style&gt;&lt;/DisplayText&gt;&lt;record&gt;&lt;rec-number&gt;1780&lt;/rec-number&gt;&lt;foreign-keys&gt;&lt;key app="EN" db-id="wprxwptv75dtdree0t5x2ptmvadptw5fr2ww" timestamp="1513617460"&gt;1780&lt;/key&gt;&lt;/foreign-keys&gt;&lt;ref-type name="Report"&gt;27&lt;/ref-type&gt;&lt;contributors&gt;&lt;authors&gt;&lt;author&gt;Moore, G.&lt;/author&gt;&lt;author&gt;Audrey, S.&lt;/author&gt;&lt;author&gt;Barker, M.&lt;/author&gt;&lt;author&gt;Bond, L.&lt;/author&gt;&lt;author&gt;Bonell, C.&lt;/author&gt;&lt;author&gt;Hardeman, W.&lt;/author&gt;&lt;author&gt;Moore, L.&lt;/author&gt;&lt;author&gt;O&amp;apos;Cathain, A.&lt;/author&gt;&lt;author&gt;Tinati, T.&lt;/author&gt;&lt;author&gt;Wight, D.&lt;/author&gt;&lt;author&gt;Baird, J.&lt;/author&gt;&lt;/authors&gt;&lt;/contributors&gt;&lt;titles&gt;&lt;title&gt;Process evaluation of complex interventions: UK Medical Research Council (MRC) guidance&lt;/title&gt;&lt;/titles&gt;&lt;dates&gt;&lt;year&gt;2014&lt;/year&gt;&lt;/dates&gt;&lt;publisher&gt;Medical Research Council&lt;/publisher&gt;&lt;urls&gt;&lt;related-urls&gt;&lt;url&gt;https://www.mrc.ac.uk/documents/pdf/mrc-phsrn-process-evaluation-guidance-final/&lt;/url&gt;&lt;/related-urls&gt;&lt;/urls&gt;&lt;/record&gt;&lt;/Cite&gt;&lt;/EndNote&gt;</w:instrText>
      </w:r>
      <w:r w:rsidR="00431DEA" w:rsidRPr="00563AD3">
        <w:fldChar w:fldCharType="separate"/>
      </w:r>
      <w:r w:rsidR="00411708" w:rsidRPr="00411708">
        <w:rPr>
          <w:noProof/>
          <w:vertAlign w:val="superscript"/>
        </w:rPr>
        <w:t>152</w:t>
      </w:r>
      <w:r w:rsidR="00431DEA" w:rsidRPr="00563AD3">
        <w:fldChar w:fldCharType="end"/>
      </w:r>
      <w:r w:rsidR="00481452" w:rsidRPr="00563AD3">
        <w:t xml:space="preserve"> and included</w:t>
      </w:r>
      <w:r w:rsidR="00431DEA" w:rsidRPr="00563AD3">
        <w:t xml:space="preserve"> </w:t>
      </w:r>
      <w:r w:rsidRPr="00563AD3">
        <w:t>implementation, mechanisms of impact and context.</w:t>
      </w:r>
    </w:p>
    <w:p w14:paraId="7EF3282B" w14:textId="77777777" w:rsidR="00514BF6" w:rsidRPr="00563AD3" w:rsidRDefault="00514BF6" w:rsidP="009B13F3">
      <w:pPr>
        <w:numPr>
          <w:ilvl w:val="0"/>
          <w:numId w:val="14"/>
        </w:numPr>
      </w:pPr>
      <w:r w:rsidRPr="00563AD3">
        <w:t>What was implemented?</w:t>
      </w:r>
    </w:p>
    <w:p w14:paraId="5158EEBC" w14:textId="77777777" w:rsidR="00514BF6" w:rsidRPr="00563AD3" w:rsidRDefault="00514BF6" w:rsidP="009B13F3">
      <w:pPr>
        <w:numPr>
          <w:ilvl w:val="1"/>
          <w:numId w:val="14"/>
        </w:numPr>
      </w:pPr>
      <w:r w:rsidRPr="00563AD3">
        <w:t>What was the process of setting up the intervention in each care home?</w:t>
      </w:r>
    </w:p>
    <w:p w14:paraId="4328009A" w14:textId="26867E23" w:rsidR="00514BF6" w:rsidRPr="00563AD3" w:rsidRDefault="00514BF6" w:rsidP="009B13F3">
      <w:pPr>
        <w:numPr>
          <w:ilvl w:val="1"/>
          <w:numId w:val="14"/>
        </w:numPr>
      </w:pPr>
      <w:r w:rsidRPr="00563AD3">
        <w:t>If</w:t>
      </w:r>
      <w:r w:rsidR="009A7C0D" w:rsidRPr="00563AD3">
        <w:t>,</w:t>
      </w:r>
      <w:r w:rsidRPr="00563AD3">
        <w:t xml:space="preserve"> and how</w:t>
      </w:r>
      <w:r w:rsidR="009A7C0D" w:rsidRPr="00563AD3">
        <w:t>,</w:t>
      </w:r>
      <w:r w:rsidRPr="00563AD3">
        <w:t xml:space="preserve"> did this differ from the intended process as outlined in the protocol?</w:t>
      </w:r>
    </w:p>
    <w:p w14:paraId="101E5A90" w14:textId="00F94D97" w:rsidR="00514BF6" w:rsidRPr="00563AD3" w:rsidRDefault="00514BF6" w:rsidP="009B13F3">
      <w:pPr>
        <w:numPr>
          <w:ilvl w:val="1"/>
          <w:numId w:val="14"/>
        </w:numPr>
      </w:pPr>
      <w:r w:rsidRPr="00563AD3">
        <w:t xml:space="preserve">How many cycles of </w:t>
      </w:r>
      <w:r w:rsidR="00070560" w:rsidRPr="00563AD3">
        <w:t>DCM™</w:t>
      </w:r>
      <w:r w:rsidRPr="00563AD3">
        <w:t xml:space="preserve"> were delivered in each care home? (Dose + Reach)</w:t>
      </w:r>
    </w:p>
    <w:p w14:paraId="45DC701F" w14:textId="77777777" w:rsidR="00514BF6" w:rsidRPr="00563AD3" w:rsidRDefault="00514BF6" w:rsidP="009B13F3">
      <w:pPr>
        <w:numPr>
          <w:ilvl w:val="1"/>
          <w:numId w:val="14"/>
        </w:numPr>
      </w:pPr>
      <w:r w:rsidRPr="00563AD3">
        <w:t>To what extent did each cycle in each care home meet the planned delivery as set out in the protocol? (Fidelity + Reach)</w:t>
      </w:r>
    </w:p>
    <w:p w14:paraId="36E70E19" w14:textId="77777777" w:rsidR="00514BF6" w:rsidRPr="00563AD3" w:rsidRDefault="00514BF6" w:rsidP="009B13F3">
      <w:pPr>
        <w:numPr>
          <w:ilvl w:val="1"/>
          <w:numId w:val="14"/>
        </w:numPr>
      </w:pPr>
      <w:r w:rsidRPr="00563AD3">
        <w:t>If and how did care homes deviate from delivery of the intervention as set out in the protocol?</w:t>
      </w:r>
    </w:p>
    <w:p w14:paraId="55F46E2E" w14:textId="77777777" w:rsidR="00514BF6" w:rsidRPr="00563AD3" w:rsidRDefault="00514BF6" w:rsidP="009B13F3">
      <w:pPr>
        <w:numPr>
          <w:ilvl w:val="0"/>
          <w:numId w:val="14"/>
        </w:numPr>
      </w:pPr>
      <w:r w:rsidRPr="00563AD3">
        <w:t>How did participants react to the intervention?</w:t>
      </w:r>
    </w:p>
    <w:p w14:paraId="1D33B11B" w14:textId="77777777" w:rsidR="00514BF6" w:rsidRPr="00563AD3" w:rsidRDefault="00514BF6" w:rsidP="009B13F3">
      <w:pPr>
        <w:numPr>
          <w:ilvl w:val="1"/>
          <w:numId w:val="14"/>
        </w:numPr>
      </w:pPr>
      <w:r w:rsidRPr="00563AD3">
        <w:t>What were mappers’, managers’, residents’, relatives’ and staffs’ experiences of the intervention and its implementation?</w:t>
      </w:r>
    </w:p>
    <w:p w14:paraId="631E1CD7" w14:textId="5A3749A4" w:rsidR="00514BF6" w:rsidRPr="00563AD3" w:rsidRDefault="00514BF6" w:rsidP="009B13F3">
      <w:pPr>
        <w:numPr>
          <w:ilvl w:val="1"/>
          <w:numId w:val="14"/>
        </w:numPr>
      </w:pPr>
      <w:r w:rsidRPr="00563AD3">
        <w:t xml:space="preserve">What were mappers’, managers’, residents’, relatives’ and staffs’ perceptions of the impact </w:t>
      </w:r>
      <w:r w:rsidR="009A7C0D" w:rsidRPr="00563AD3">
        <w:t xml:space="preserve">of </w:t>
      </w:r>
      <w:r w:rsidRPr="00563AD3">
        <w:t>the intervention?</w:t>
      </w:r>
    </w:p>
    <w:p w14:paraId="1545619D" w14:textId="77777777" w:rsidR="00514BF6" w:rsidRPr="00563AD3" w:rsidRDefault="00514BF6" w:rsidP="009B13F3">
      <w:pPr>
        <w:numPr>
          <w:ilvl w:val="1"/>
          <w:numId w:val="14"/>
        </w:numPr>
      </w:pPr>
      <w:r w:rsidRPr="00563AD3">
        <w:t xml:space="preserve">Did the intervention have any perceived, unexpected impacts or consequences? </w:t>
      </w:r>
    </w:p>
    <w:p w14:paraId="21BE8107" w14:textId="77777777" w:rsidR="00514BF6" w:rsidRPr="00563AD3" w:rsidRDefault="00514BF6" w:rsidP="009B13F3">
      <w:pPr>
        <w:numPr>
          <w:ilvl w:val="1"/>
          <w:numId w:val="14"/>
        </w:numPr>
      </w:pPr>
      <w:r w:rsidRPr="00563AD3">
        <w:t>For perceived impacts, through what mediators/processes did each group perceive the intervention to have operated?</w:t>
      </w:r>
    </w:p>
    <w:p w14:paraId="2468BDD7" w14:textId="77777777" w:rsidR="00514BF6" w:rsidRPr="00563AD3" w:rsidRDefault="00514BF6" w:rsidP="009B13F3">
      <w:pPr>
        <w:numPr>
          <w:ilvl w:val="1"/>
          <w:numId w:val="14"/>
        </w:numPr>
      </w:pPr>
      <w:r w:rsidRPr="00563AD3">
        <w:t>Did the intervention or its mechanisms of impact operate in any unexpected ways?</w:t>
      </w:r>
    </w:p>
    <w:p w14:paraId="1418B2EA" w14:textId="5038B50B" w:rsidR="00514BF6" w:rsidRPr="00563AD3" w:rsidRDefault="00514BF6" w:rsidP="009B13F3">
      <w:pPr>
        <w:numPr>
          <w:ilvl w:val="0"/>
          <w:numId w:val="14"/>
        </w:numPr>
      </w:pPr>
      <w:r w:rsidRPr="00563AD3">
        <w:t>What contextual factors shaped if</w:t>
      </w:r>
      <w:r w:rsidR="009A7C0D" w:rsidRPr="00563AD3">
        <w:t>,</w:t>
      </w:r>
      <w:r w:rsidRPr="00563AD3">
        <w:t xml:space="preserve"> and how</w:t>
      </w:r>
      <w:r w:rsidR="009A7C0D" w:rsidRPr="00563AD3">
        <w:t>,</w:t>
      </w:r>
      <w:r w:rsidRPr="00563AD3">
        <w:t xml:space="preserve"> the intervention was implemented or worked?</w:t>
      </w:r>
    </w:p>
    <w:p w14:paraId="12946D83" w14:textId="438CD1EF" w:rsidR="00514BF6" w:rsidRPr="00563AD3" w:rsidRDefault="00514BF6" w:rsidP="009B13F3">
      <w:pPr>
        <w:numPr>
          <w:ilvl w:val="1"/>
          <w:numId w:val="14"/>
        </w:numPr>
      </w:pPr>
      <w:r w:rsidRPr="00563AD3">
        <w:t>What were the perceived barriers and facilitators to intervention implementation</w:t>
      </w:r>
      <w:r w:rsidR="004E5DCE" w:rsidRPr="00563AD3">
        <w:t>, mechanisms of impact and perceived impact</w:t>
      </w:r>
      <w:r w:rsidRPr="00563AD3">
        <w:t xml:space="preserve"> from the perspective of mappers, </w:t>
      </w:r>
      <w:r w:rsidR="00A4193C" w:rsidRPr="00563AD3">
        <w:t xml:space="preserve">DCM™ </w:t>
      </w:r>
      <w:r w:rsidRPr="00563AD3">
        <w:t>expert mappers, managers, staff, residents and relatives?</w:t>
      </w:r>
    </w:p>
    <w:p w14:paraId="5EB83162" w14:textId="77777777" w:rsidR="00514BF6" w:rsidRPr="00563AD3" w:rsidRDefault="00514BF6" w:rsidP="009B13F3">
      <w:pPr>
        <w:numPr>
          <w:ilvl w:val="1"/>
          <w:numId w:val="14"/>
        </w:numPr>
      </w:pPr>
      <w:r w:rsidRPr="00563AD3">
        <w:t>How did care homes that demonstrated different degrees of intervention implementation manage and address barriers and facilitators to intervention implementation?</w:t>
      </w:r>
    </w:p>
    <w:p w14:paraId="2FAF2560" w14:textId="1E73032A" w:rsidR="00B40768" w:rsidRPr="00563AD3" w:rsidRDefault="003313E6" w:rsidP="009B13F3">
      <w:r w:rsidRPr="00563AD3">
        <w:t>The process evaluation and implementation assessment</w:t>
      </w:r>
      <w:r w:rsidR="004E5DCE" w:rsidRPr="00563AD3">
        <w:t xml:space="preserve"> was intended to</w:t>
      </w:r>
      <w:r w:rsidRPr="00563AD3">
        <w:t xml:space="preserve"> support refining and improving of intervention efficacy and the sustainable implementation of the intervention </w:t>
      </w:r>
      <w:r w:rsidR="004E5DCE" w:rsidRPr="00563AD3">
        <w:t>over time, if the intervention wa</w:t>
      </w:r>
      <w:r w:rsidRPr="00563AD3">
        <w:t>s found to be effective</w:t>
      </w:r>
      <w:r w:rsidR="002D32D8">
        <w:t>.</w:t>
      </w:r>
      <w:r w:rsidRPr="00563AD3">
        <w:t xml:space="preserve"> </w:t>
      </w:r>
      <w:r w:rsidRPr="00563AD3">
        <w:fldChar w:fldCharType="begin"/>
      </w:r>
      <w:r w:rsidR="00411708">
        <w:instrText xml:space="preserve"> ADDIN EN.CITE &lt;EndNote&gt;&lt;Cite&gt;&lt;Author&gt;Linnan&lt;/Author&gt;&lt;Year&gt;2002&lt;/Year&gt;&lt;RecNum&gt;1206&lt;/RecNum&gt;&lt;DisplayText&gt;&lt;style face="superscript"&gt;153&lt;/style&gt;&lt;/DisplayText&gt;&lt;record&gt;&lt;rec-number&gt;1206&lt;/rec-number&gt;&lt;foreign-keys&gt;&lt;key app="EN" db-id="wprxwptv75dtdree0t5x2ptmvadptw5fr2ww" timestamp="1321010660"&gt;1206&lt;/key&gt;&lt;/foreign-keys&gt;&lt;ref-type name="Book"&gt;6&lt;/ref-type&gt;&lt;contributors&gt;&lt;authors&gt;&lt;author&gt;Linnan, L.&lt;/author&gt;&lt;author&gt;Steckler, A.&lt;/author&gt;&lt;/authors&gt;&lt;/contributors&gt;&lt;titles&gt;&lt;title&gt;Process evaluation for public health interventions and research&lt;/title&gt;&lt;/titles&gt;&lt;dates&gt;&lt;year&gt;2002&lt;/year&gt;&lt;/dates&gt;&lt;pub-location&gt;San Francisco&lt;/pub-location&gt;&lt;publisher&gt;Jossey-Bass&lt;/publisher&gt;&lt;urls&gt;&lt;/urls&gt;&lt;/record&gt;&lt;/Cite&gt;&lt;/EndNote&gt;</w:instrText>
      </w:r>
      <w:r w:rsidRPr="00563AD3">
        <w:fldChar w:fldCharType="separate"/>
      </w:r>
      <w:r w:rsidR="00411708" w:rsidRPr="00411708">
        <w:rPr>
          <w:noProof/>
          <w:vertAlign w:val="superscript"/>
        </w:rPr>
        <w:t>153</w:t>
      </w:r>
      <w:r w:rsidRPr="00563AD3">
        <w:fldChar w:fldCharType="end"/>
      </w:r>
      <w:r w:rsidRPr="00563AD3">
        <w:t xml:space="preserve"> </w:t>
      </w:r>
    </w:p>
    <w:p w14:paraId="31ECA74A" w14:textId="72646CA5" w:rsidR="0074649B" w:rsidRDefault="0074649B" w:rsidP="009B13F3"/>
    <w:p w14:paraId="11A8EEF4" w14:textId="77777777" w:rsidR="00BE094B" w:rsidRPr="00563AD3" w:rsidRDefault="00BE094B" w:rsidP="009B13F3"/>
    <w:p w14:paraId="77EC13A2" w14:textId="1F5F9BE7" w:rsidR="00E90FB1" w:rsidRPr="00563AD3" w:rsidRDefault="00CF62D3" w:rsidP="009B13F3">
      <w:pPr>
        <w:pStyle w:val="Heading3"/>
      </w:pPr>
      <w:bookmarkStart w:id="94" w:name="_Toc525543988"/>
      <w:r w:rsidRPr="00563AD3">
        <w:t xml:space="preserve">2.9.2 </w:t>
      </w:r>
      <w:r w:rsidR="00E90FB1" w:rsidRPr="00563AD3">
        <w:t>Design of the process evaluation</w:t>
      </w:r>
      <w:bookmarkEnd w:id="94"/>
    </w:p>
    <w:p w14:paraId="36BA297C" w14:textId="77777777" w:rsidR="00E90FB1" w:rsidRPr="00563AD3" w:rsidRDefault="00E90FB1" w:rsidP="009B13F3">
      <w:r w:rsidRPr="00563AD3">
        <w:t xml:space="preserve">A mixed methods approach to data collection was used involving quantitative and qualitative components to embed the process evaluation as part of the main trial dataset. </w:t>
      </w:r>
    </w:p>
    <w:p w14:paraId="1ED648CD" w14:textId="0B9B7CA1" w:rsidR="00E90FB1" w:rsidRPr="00563AD3" w:rsidRDefault="00E90FB1" w:rsidP="009B13F3">
      <w:r w:rsidRPr="00563AD3">
        <w:t xml:space="preserve">The quantitative </w:t>
      </w:r>
      <w:r w:rsidR="00481452" w:rsidRPr="00563AD3">
        <w:t>data included</w:t>
      </w:r>
      <w:r w:rsidRPr="00563AD3">
        <w:t xml:space="preserve"> assessment of levels of adherence and fidelity in each home utilising data provided by the mappers from each care home at each cycle. Th</w:t>
      </w:r>
      <w:r w:rsidR="00481452" w:rsidRPr="00563AD3">
        <w:t>ese</w:t>
      </w:r>
      <w:r w:rsidRPr="00563AD3">
        <w:t xml:space="preserve"> data included details on the ‘dose’ </w:t>
      </w:r>
      <w:r w:rsidR="00F34696" w:rsidRPr="00563AD3">
        <w:t xml:space="preserve">and quality </w:t>
      </w:r>
      <w:r w:rsidRPr="00563AD3">
        <w:t xml:space="preserve">of </w:t>
      </w:r>
      <w:r w:rsidR="00070560" w:rsidRPr="00563AD3">
        <w:t>DCM™</w:t>
      </w:r>
      <w:r w:rsidRPr="00563AD3">
        <w:t xml:space="preserve"> </w:t>
      </w:r>
      <w:r w:rsidR="00F34696" w:rsidRPr="00563AD3">
        <w:t xml:space="preserve">use </w:t>
      </w:r>
      <w:r w:rsidRPr="00563AD3">
        <w:t xml:space="preserve">in relation to briefing (number of briefing sessions held and proportion of care home staff receiving briefing), mapping cycles (number of mapping sessions, numbers of residents observed, length of mapping period and number of mappers taking part) feedback sessions (number of feedback sessions held and proportion of care home staff receiving feedback) and </w:t>
      </w:r>
      <w:r w:rsidR="00070560" w:rsidRPr="00563AD3">
        <w:t>DCM™</w:t>
      </w:r>
      <w:r w:rsidRPr="00563AD3">
        <w:t xml:space="preserve"> and action planning documentation (successful </w:t>
      </w:r>
      <w:r w:rsidR="009A7C0D" w:rsidRPr="00563AD3">
        <w:t>completion</w:t>
      </w:r>
      <w:r w:rsidRPr="00563AD3">
        <w:t xml:space="preserve"> of standard mapping documents during each cycle using the standard templates provided, and the number of action plans developed per resident and at home level). </w:t>
      </w:r>
    </w:p>
    <w:p w14:paraId="0CB2C94A" w14:textId="361E80E9" w:rsidR="00E90FB1" w:rsidRPr="00563AD3" w:rsidRDefault="00481452" w:rsidP="009B13F3">
      <w:r w:rsidRPr="00563AD3">
        <w:t>The q</w:t>
      </w:r>
      <w:r w:rsidR="00E90FB1" w:rsidRPr="00563AD3">
        <w:t>ualitative data were collected from a subset of 18 intervention homes</w:t>
      </w:r>
      <w:r w:rsidRPr="00563AD3">
        <w:t xml:space="preserve"> using semi-structured interviews with residents, the care home manager, mappers, staff, relatives and residents</w:t>
      </w:r>
      <w:r w:rsidR="00E90FB1" w:rsidRPr="00563AD3">
        <w:t xml:space="preserve">. Homes </w:t>
      </w:r>
      <w:r w:rsidR="00484C18" w:rsidRPr="00563AD3">
        <w:t xml:space="preserve">that </w:t>
      </w:r>
      <w:r w:rsidR="00E90FB1" w:rsidRPr="00563AD3">
        <w:t xml:space="preserve">had achieved varying degrees of success with </w:t>
      </w:r>
      <w:r w:rsidR="00A61329" w:rsidRPr="00563AD3">
        <w:t>DCM™</w:t>
      </w:r>
      <w:r w:rsidR="00E90FB1" w:rsidRPr="00563AD3">
        <w:t xml:space="preserve"> implementation</w:t>
      </w:r>
      <w:r w:rsidR="00FB521A" w:rsidRPr="00563AD3">
        <w:t xml:space="preserve"> (no full cycles, at least one full cycle, two or more full cycles)</w:t>
      </w:r>
      <w:r w:rsidR="00E90FB1" w:rsidRPr="00563AD3">
        <w:t xml:space="preserve"> were purposefully selected in order to explore the factors associated with successful and unsuccessful implementation. </w:t>
      </w:r>
      <w:r w:rsidRPr="00563AD3">
        <w:t xml:space="preserve">Although selection of care homes took place before the final follow-up data collection point, </w:t>
      </w:r>
      <w:r w:rsidR="00E90FB1" w:rsidRPr="00563AD3">
        <w:t xml:space="preserve">the process evaluation </w:t>
      </w:r>
      <w:r w:rsidRPr="00563AD3">
        <w:t xml:space="preserve">interviews </w:t>
      </w:r>
      <w:r w:rsidR="00E90FB1" w:rsidRPr="00563AD3">
        <w:t xml:space="preserve">took </w:t>
      </w:r>
      <w:r w:rsidRPr="00563AD3">
        <w:t>place after all outcome data had</w:t>
      </w:r>
      <w:r w:rsidR="00E90FB1" w:rsidRPr="00563AD3">
        <w:t xml:space="preserve"> been collected in </w:t>
      </w:r>
      <w:r w:rsidR="001C26BB" w:rsidRPr="00563AD3">
        <w:t>each</w:t>
      </w:r>
      <w:r w:rsidR="00E90FB1" w:rsidRPr="00563AD3">
        <w:t xml:space="preserve"> home (i.e. at the end of the</w:t>
      </w:r>
      <w:r w:rsidR="00C2649C" w:rsidRPr="00563AD3">
        <w:t xml:space="preserve"> 16-</w:t>
      </w:r>
      <w:r w:rsidR="00E90FB1" w:rsidRPr="00563AD3">
        <w:t xml:space="preserve">month </w:t>
      </w:r>
      <w:r w:rsidR="00484C18" w:rsidRPr="00563AD3">
        <w:t>follow-</w:t>
      </w:r>
      <w:r w:rsidR="00E90FB1" w:rsidRPr="00563AD3">
        <w:t>up data collection)</w:t>
      </w:r>
      <w:r w:rsidRPr="00563AD3">
        <w:t>.</w:t>
      </w:r>
      <w:r w:rsidR="00484C18" w:rsidRPr="00563AD3">
        <w:t xml:space="preserve"> </w:t>
      </w:r>
      <w:r w:rsidR="00E90FB1" w:rsidRPr="00563AD3">
        <w:t>Semi-structure</w:t>
      </w:r>
      <w:r w:rsidRPr="00563AD3">
        <w:t>d interviews were also conducted with</w:t>
      </w:r>
      <w:r w:rsidR="00E90FB1" w:rsidRPr="00563AD3">
        <w:t xml:space="preserve"> </w:t>
      </w:r>
      <w:r w:rsidRPr="00563AD3">
        <w:t>the</w:t>
      </w:r>
      <w:r w:rsidR="00E90FB1" w:rsidRPr="00563AD3">
        <w:t xml:space="preserve"> </w:t>
      </w:r>
      <w:r w:rsidR="00A61329" w:rsidRPr="00563AD3">
        <w:t>DCM™</w:t>
      </w:r>
      <w:r w:rsidR="009A7C0D" w:rsidRPr="00563AD3">
        <w:t xml:space="preserve"> expert mappers</w:t>
      </w:r>
      <w:r w:rsidR="00E90FB1" w:rsidRPr="00563AD3">
        <w:t>, to explore the</w:t>
      </w:r>
      <w:r w:rsidR="002F0213" w:rsidRPr="00563AD3">
        <w:t>ir</w:t>
      </w:r>
      <w:r w:rsidR="00E90FB1" w:rsidRPr="00563AD3">
        <w:t xml:space="preserve"> experience of supporting the implementation of </w:t>
      </w:r>
      <w:r w:rsidR="00A61329" w:rsidRPr="00563AD3">
        <w:t>DCM™</w:t>
      </w:r>
      <w:r w:rsidR="00E90FB1" w:rsidRPr="00563AD3">
        <w:t xml:space="preserve"> within the intervention homes. To </w:t>
      </w:r>
      <w:r w:rsidR="001C26BB" w:rsidRPr="00563AD3">
        <w:t>enable</w:t>
      </w:r>
      <w:r w:rsidR="00E90FB1" w:rsidRPr="00563AD3">
        <w:t xml:space="preserve"> links between the qualitative and quantitative data, researchers undertaking the qualitative data collection were provided with implementation data </w:t>
      </w:r>
      <w:r w:rsidR="00D62DA7" w:rsidRPr="00563AD3">
        <w:t>by the CTRU from the first</w:t>
      </w:r>
      <w:r w:rsidR="00E90FB1" w:rsidRPr="00563AD3">
        <w:t xml:space="preserve"> two cycles in the home prior to the interviews. </w:t>
      </w:r>
    </w:p>
    <w:p w14:paraId="413C1617" w14:textId="77777777" w:rsidR="005745FD" w:rsidRPr="00563AD3" w:rsidRDefault="005745FD" w:rsidP="009B13F3"/>
    <w:p w14:paraId="69F29D69" w14:textId="1E26E13B" w:rsidR="00E90FB1" w:rsidRPr="00563AD3" w:rsidRDefault="00CF62D3" w:rsidP="009B13F3">
      <w:pPr>
        <w:pStyle w:val="Heading3"/>
      </w:pPr>
      <w:bookmarkStart w:id="95" w:name="_Toc455576324"/>
      <w:bookmarkStart w:id="96" w:name="_Toc525543989"/>
      <w:r w:rsidRPr="00563AD3">
        <w:t>2.9.</w:t>
      </w:r>
      <w:r w:rsidR="0074649B" w:rsidRPr="00563AD3">
        <w:t>3</w:t>
      </w:r>
      <w:r w:rsidRPr="00563AD3">
        <w:t xml:space="preserve"> </w:t>
      </w:r>
      <w:r w:rsidR="00E90FB1" w:rsidRPr="00563AD3">
        <w:t>Sampling</w:t>
      </w:r>
      <w:bookmarkEnd w:id="95"/>
      <w:r w:rsidR="00E90FB1" w:rsidRPr="00563AD3">
        <w:t xml:space="preserve"> for the quantitative and qualitative data collection</w:t>
      </w:r>
      <w:bookmarkEnd w:id="96"/>
    </w:p>
    <w:p w14:paraId="1B8DA402" w14:textId="6F874560" w:rsidR="00E90FB1" w:rsidRPr="00563AD3" w:rsidRDefault="00E90FB1" w:rsidP="009B13F3">
      <w:pPr>
        <w:jc w:val="both"/>
      </w:pPr>
      <w:r w:rsidRPr="00563AD3">
        <w:t xml:space="preserve">For the quantitative data analysis, </w:t>
      </w:r>
      <w:r w:rsidR="00BF53CB" w:rsidRPr="00563AD3">
        <w:t xml:space="preserve">frequency </w:t>
      </w:r>
      <w:r w:rsidRPr="00563AD3">
        <w:t xml:space="preserve">data from the mapping cycles in all intervention homes were used to assess dose, adherence and fidelity, and to understand variation in levels of </w:t>
      </w:r>
      <w:r w:rsidR="00070560" w:rsidRPr="00563AD3">
        <w:t>DCM™</w:t>
      </w:r>
      <w:r w:rsidRPr="00563AD3">
        <w:t xml:space="preserve"> implementation across the homes.</w:t>
      </w:r>
    </w:p>
    <w:p w14:paraId="23D9928E" w14:textId="3C3296B8" w:rsidR="00E90FB1" w:rsidRPr="00563AD3" w:rsidRDefault="00E90FB1" w:rsidP="009B13F3">
      <w:pPr>
        <w:jc w:val="both"/>
      </w:pPr>
      <w:r w:rsidRPr="00563AD3">
        <w:t>For the qualitative data collection, purposive sampling was used to select a sub-set of 18 homes</w:t>
      </w:r>
      <w:r w:rsidR="00BE094B">
        <w:t>,</w:t>
      </w:r>
      <w:r w:rsidRPr="00563AD3">
        <w:t xml:space="preserve"> which had achieved varying degrees of success with </w:t>
      </w:r>
      <w:r w:rsidR="00A61329" w:rsidRPr="00563AD3">
        <w:t>DCM™</w:t>
      </w:r>
      <w:r w:rsidRPr="00563AD3">
        <w:t xml:space="preserve"> implementation to explore factors associated with </w:t>
      </w:r>
      <w:r w:rsidR="00753E18" w:rsidRPr="00563AD3">
        <w:t>this</w:t>
      </w:r>
      <w:r w:rsidRPr="00563AD3">
        <w:t xml:space="preserve"> in greater detail.</w:t>
      </w:r>
      <w:r w:rsidRPr="00563AD3">
        <w:rPr>
          <w:i/>
        </w:rPr>
        <w:t xml:space="preserve"> </w:t>
      </w:r>
      <w:r w:rsidR="00C77AF0" w:rsidRPr="00563AD3">
        <w:t>Due to the staggered recruitment of care homes and the need to set up the process evaluation data collection dates with home managers ahead of time, participating homes had to be identified before all three cycles of mapping were due to have been completed.</w:t>
      </w:r>
      <w:r w:rsidR="00BF53CB" w:rsidRPr="00563AD3">
        <w:t xml:space="preserve"> </w:t>
      </w:r>
      <w:r w:rsidRPr="00563AD3">
        <w:t xml:space="preserve">These homes were stratified into three equal groups (6 per group) according to whether they were deemed to be </w:t>
      </w:r>
      <w:r w:rsidR="005821ED" w:rsidRPr="00563AD3">
        <w:t xml:space="preserve">likely to be </w:t>
      </w:r>
      <w:r w:rsidRPr="00563AD3">
        <w:t>‘successful implementers’</w:t>
      </w:r>
      <w:r w:rsidR="005821ED" w:rsidRPr="00563AD3">
        <w:t xml:space="preserve"> (more than two cycles completed),</w:t>
      </w:r>
      <w:r w:rsidRPr="00563AD3">
        <w:t xml:space="preserve"> </w:t>
      </w:r>
      <w:r w:rsidR="005821ED" w:rsidRPr="00563AD3">
        <w:t>‘</w:t>
      </w:r>
      <w:r w:rsidRPr="00563AD3">
        <w:t xml:space="preserve">partial implementers’ </w:t>
      </w:r>
      <w:r w:rsidR="00C2649C" w:rsidRPr="00563AD3">
        <w:t>(</w:t>
      </w:r>
      <w:r w:rsidR="005821ED" w:rsidRPr="00563AD3">
        <w:t xml:space="preserve">1-2 cycles completed) </w:t>
      </w:r>
      <w:r w:rsidRPr="00563AD3">
        <w:t xml:space="preserve">or unsuccessful implementers’ </w:t>
      </w:r>
      <w:r w:rsidR="005821ED" w:rsidRPr="00563AD3">
        <w:t xml:space="preserve">(less than one cycle completed) </w:t>
      </w:r>
      <w:r w:rsidRPr="00563AD3">
        <w:t xml:space="preserve">of </w:t>
      </w:r>
      <w:r w:rsidR="00070560" w:rsidRPr="00563AD3">
        <w:t>DCM™</w:t>
      </w:r>
      <w:r w:rsidRPr="00563AD3">
        <w:rPr>
          <w:i/>
        </w:rPr>
        <w:t>.</w:t>
      </w:r>
    </w:p>
    <w:p w14:paraId="6CD82368" w14:textId="1BBC64B9" w:rsidR="00E90FB1" w:rsidRDefault="00C77AF0" w:rsidP="009B13F3">
      <w:pPr>
        <w:jc w:val="both"/>
      </w:pPr>
      <w:r w:rsidRPr="00563AD3">
        <w:t>H</w:t>
      </w:r>
      <w:r w:rsidR="00E90FB1" w:rsidRPr="00563AD3">
        <w:t xml:space="preserve">omes that differed according to key characteristics </w:t>
      </w:r>
      <w:r w:rsidR="001C26BB" w:rsidRPr="00563AD3">
        <w:t>with the potential to</w:t>
      </w:r>
      <w:r w:rsidR="00E90FB1" w:rsidRPr="00563AD3">
        <w:t xml:space="preserve"> affect </w:t>
      </w:r>
      <w:r w:rsidR="00A61329" w:rsidRPr="00563AD3">
        <w:t>DCM™</w:t>
      </w:r>
      <w:r w:rsidR="00E90FB1" w:rsidRPr="00563AD3">
        <w:t xml:space="preserve"> implementation, including location of homes (6 from each hub), size (large &gt;=40 vs medium/small &lt;40), and type of home (nursing, dementia, general residential)</w:t>
      </w:r>
      <w:r w:rsidRPr="00563AD3">
        <w:t>, were also accounted for in the sampling</w:t>
      </w:r>
      <w:r w:rsidR="00E90FB1" w:rsidRPr="00563AD3">
        <w:t xml:space="preserve">. </w:t>
      </w:r>
    </w:p>
    <w:p w14:paraId="2570CB2D" w14:textId="77777777" w:rsidR="005745FD" w:rsidRPr="00563AD3" w:rsidRDefault="005745FD" w:rsidP="009B13F3">
      <w:pPr>
        <w:jc w:val="both"/>
      </w:pPr>
    </w:p>
    <w:p w14:paraId="5382DC3B" w14:textId="6826D4B5" w:rsidR="00E90FB1" w:rsidRPr="00563AD3" w:rsidRDefault="00CF62D3" w:rsidP="009B13F3">
      <w:pPr>
        <w:pStyle w:val="Heading3"/>
      </w:pPr>
      <w:bookmarkStart w:id="97" w:name="_Toc525543990"/>
      <w:r w:rsidRPr="00563AD3">
        <w:t>2.9.</w:t>
      </w:r>
      <w:r w:rsidR="0074649B" w:rsidRPr="00563AD3">
        <w:t>4</w:t>
      </w:r>
      <w:r w:rsidRPr="00563AD3">
        <w:t xml:space="preserve"> Participant eligibility</w:t>
      </w:r>
      <w:bookmarkEnd w:id="97"/>
    </w:p>
    <w:p w14:paraId="5E4796E7" w14:textId="587A8E4A" w:rsidR="00E90FB1" w:rsidRPr="00563AD3" w:rsidRDefault="00E90FB1" w:rsidP="009B13F3">
      <w:r w:rsidRPr="00563AD3">
        <w:t>Residents from homes taking part in the process evaluation were eligible if they were deemed to have capacity to consent and were able to take part in a brief interview. Staff were eligible to take part if they were a permanent or contracted member of staff</w:t>
      </w:r>
      <w:r w:rsidR="00C23035" w:rsidRPr="00563AD3">
        <w:t>. R</w:t>
      </w:r>
      <w:r w:rsidRPr="00563AD3">
        <w:t>elatives</w:t>
      </w:r>
      <w:r w:rsidR="00753E18" w:rsidRPr="00563AD3">
        <w:t>/friends</w:t>
      </w:r>
      <w:r w:rsidRPr="00563AD3">
        <w:t xml:space="preserve"> were eligible if they had visited the home at least once a month during the trial. </w:t>
      </w:r>
    </w:p>
    <w:p w14:paraId="7B750317" w14:textId="4E8BC96A" w:rsidR="00E90FB1" w:rsidRDefault="00E90FB1" w:rsidP="009B13F3">
      <w:r w:rsidRPr="00563AD3">
        <w:t>Identifying staff and relatives</w:t>
      </w:r>
      <w:r w:rsidR="00753E18" w:rsidRPr="00563AD3">
        <w:t>/friends</w:t>
      </w:r>
      <w:r w:rsidRPr="00563AD3">
        <w:t xml:space="preserve"> to approach was undertaken in conj</w:t>
      </w:r>
      <w:r w:rsidR="00C23035" w:rsidRPr="00563AD3">
        <w:t xml:space="preserve">unction with the home manager and </w:t>
      </w:r>
      <w:r w:rsidRPr="00563AD3">
        <w:t>included identification of the staff who had played a key role in intervention delivery. All potential participants were provided with verbal and written information about the interview, were given time to consider taking part, and signed a consent form if willing to participate</w:t>
      </w:r>
      <w:r w:rsidR="005330A8" w:rsidRPr="00563AD3">
        <w:t xml:space="preserve"> (see Supplementary Material)</w:t>
      </w:r>
      <w:r w:rsidRPr="00563AD3">
        <w:t xml:space="preserve">. Mappers had already provided consent to take part in the process evaluation as part of their initial consent to become mappers. </w:t>
      </w:r>
    </w:p>
    <w:p w14:paraId="7AE69157" w14:textId="77777777" w:rsidR="005745FD" w:rsidRPr="00563AD3" w:rsidRDefault="005745FD" w:rsidP="009B13F3"/>
    <w:p w14:paraId="606BD9DF" w14:textId="5C88EC38" w:rsidR="00CF62D3" w:rsidRPr="00563AD3" w:rsidRDefault="00CF62D3" w:rsidP="009B13F3">
      <w:pPr>
        <w:pStyle w:val="Heading3"/>
      </w:pPr>
      <w:bookmarkStart w:id="98" w:name="_Toc525543991"/>
      <w:r w:rsidRPr="00563AD3">
        <w:t>2.9.5 Data collection</w:t>
      </w:r>
      <w:r w:rsidR="00F67BCC" w:rsidRPr="00563AD3">
        <w:t>, transcription and storage</w:t>
      </w:r>
      <w:bookmarkEnd w:id="98"/>
    </w:p>
    <w:p w14:paraId="116B5C7C" w14:textId="24EC486A" w:rsidR="00E90FB1" w:rsidRPr="00563AD3" w:rsidRDefault="001774F3" w:rsidP="009B13F3">
      <w:pPr>
        <w:rPr>
          <w:i/>
          <w:color w:val="2E74B5" w:themeColor="accent1" w:themeShade="BF"/>
        </w:rPr>
      </w:pPr>
      <w:r w:rsidRPr="00563AD3">
        <w:t xml:space="preserve">All researchers were trained in qualitative interviewing ahead of data collection to ensure consistency of approach. </w:t>
      </w:r>
      <w:r w:rsidR="00E90FB1" w:rsidRPr="00563AD3">
        <w:t>Resident interviews were brief, using a conversational style informed by a flexible interview schedule. Staff and relative</w:t>
      </w:r>
      <w:r w:rsidR="00753E18" w:rsidRPr="00563AD3">
        <w:t>/friend</w:t>
      </w:r>
      <w:r w:rsidR="00E90FB1" w:rsidRPr="00563AD3">
        <w:t xml:space="preserve"> interviews were conducted using a semi-structured format informed by a topic guide. The interviews focused on experiences of </w:t>
      </w:r>
      <w:r w:rsidR="00070560" w:rsidRPr="00563AD3">
        <w:t>DCM™</w:t>
      </w:r>
      <w:r w:rsidR="00E90FB1" w:rsidRPr="00563AD3">
        <w:t xml:space="preserve"> implementation, with prompts to encourage interviewees to discuss the various stages of </w:t>
      </w:r>
      <w:r w:rsidR="00070560" w:rsidRPr="00563AD3">
        <w:t>DCM™</w:t>
      </w:r>
      <w:r w:rsidR="00E90FB1" w:rsidRPr="00563AD3">
        <w:t xml:space="preserve"> implementation, the successes, challenges and impacts of implementation, and any changes required to improve </w:t>
      </w:r>
      <w:r w:rsidR="00070560" w:rsidRPr="00563AD3">
        <w:t>DCM™</w:t>
      </w:r>
      <w:r w:rsidR="00E90FB1" w:rsidRPr="00563AD3">
        <w:t xml:space="preserve"> implementation or impact in the care home, as well as future plans for </w:t>
      </w:r>
      <w:r w:rsidR="00070560" w:rsidRPr="00563AD3">
        <w:t>DCM™</w:t>
      </w:r>
      <w:r w:rsidR="00E90FB1" w:rsidRPr="00563AD3">
        <w:t xml:space="preserve"> within the care home.</w:t>
      </w:r>
      <w:r w:rsidR="00E90FB1" w:rsidRPr="00563AD3">
        <w:rPr>
          <w:i/>
          <w:color w:val="2E74B5" w:themeColor="accent1" w:themeShade="BF"/>
        </w:rPr>
        <w:t xml:space="preserve"> </w:t>
      </w:r>
      <w:r w:rsidR="00E90FB1" w:rsidRPr="00563AD3">
        <w:t>Mappers who had left the home during the trial were not interviewed</w:t>
      </w:r>
      <w:r w:rsidR="009A375E" w:rsidRPr="00563AD3">
        <w:t>.</w:t>
      </w:r>
      <w:r w:rsidR="00E90FB1" w:rsidRPr="00563AD3">
        <w:t xml:space="preserve"> Relatives</w:t>
      </w:r>
      <w:r w:rsidR="00753E18" w:rsidRPr="00563AD3">
        <w:t>/friends</w:t>
      </w:r>
      <w:r w:rsidR="00E90FB1" w:rsidRPr="00563AD3">
        <w:t xml:space="preserve"> of </w:t>
      </w:r>
      <w:r w:rsidR="00D62DA7" w:rsidRPr="00563AD3">
        <w:t>resident participants</w:t>
      </w:r>
      <w:r w:rsidR="00E90FB1" w:rsidRPr="00563AD3">
        <w:t xml:space="preserve"> who had </w:t>
      </w:r>
      <w:r w:rsidR="00D62DA7" w:rsidRPr="00563AD3">
        <w:t>died</w:t>
      </w:r>
      <w:r w:rsidR="00E90FB1" w:rsidRPr="00563AD3">
        <w:t xml:space="preserve"> </w:t>
      </w:r>
      <w:r w:rsidR="00D62DA7" w:rsidRPr="00563AD3">
        <w:t xml:space="preserve">during the trial </w:t>
      </w:r>
      <w:r w:rsidR="00E90FB1" w:rsidRPr="00563AD3">
        <w:t>were not contacted regarding the p</w:t>
      </w:r>
      <w:r w:rsidR="00F67BCC" w:rsidRPr="00563AD3">
        <w:t>rocess evaluation interviews. I</w:t>
      </w:r>
      <w:r w:rsidR="00E90FB1" w:rsidRPr="00563AD3">
        <w:t>nterviews were conducted within the care homes, in a private room with no other individuals present</w:t>
      </w:r>
      <w:r w:rsidR="00F67BCC" w:rsidRPr="00563AD3">
        <w:t xml:space="preserve"> and an alternative method of telephone interviews was</w:t>
      </w:r>
      <w:r w:rsidR="00E90FB1" w:rsidRPr="00563AD3">
        <w:t xml:space="preserve"> offered to all relatives</w:t>
      </w:r>
      <w:r w:rsidR="00753E18" w:rsidRPr="00563AD3">
        <w:t>/friends</w:t>
      </w:r>
      <w:r w:rsidR="005745FD">
        <w:t xml:space="preserve"> (s</w:t>
      </w:r>
      <w:r w:rsidR="00475926">
        <w:t xml:space="preserve">ee </w:t>
      </w:r>
      <w:r w:rsidR="005745FD">
        <w:rPr>
          <w:i/>
        </w:rPr>
        <w:t>Supplementary Materials</w:t>
      </w:r>
      <w:r w:rsidR="00475926">
        <w:t xml:space="preserve"> for copies of interview topic guides</w:t>
      </w:r>
      <w:r w:rsidR="005745FD">
        <w:t>)</w:t>
      </w:r>
      <w:r w:rsidR="00475926">
        <w:t>.</w:t>
      </w:r>
    </w:p>
    <w:p w14:paraId="78B11776" w14:textId="3F10F53B" w:rsidR="00E90FB1" w:rsidRPr="00563AD3" w:rsidRDefault="00E90FB1" w:rsidP="009B13F3">
      <w:r w:rsidRPr="00563AD3">
        <w:t>The interviews were audio recorded using a digital audio recording device and were professionally transcribed by a researcher independent to the study. Any potentially identifying information about the participants was anonymised or removed during transcription. Audio files were securely transferred in encrypted format and stored securely on computers in University offices.</w:t>
      </w:r>
    </w:p>
    <w:p w14:paraId="3CDE110A" w14:textId="77777777" w:rsidR="00E90FB1" w:rsidRPr="00563AD3" w:rsidRDefault="00E90FB1" w:rsidP="009B13F3">
      <w:pPr>
        <w:rPr>
          <w:b/>
          <w:i/>
        </w:rPr>
      </w:pPr>
    </w:p>
    <w:p w14:paraId="2E407A2F" w14:textId="78A4D64A" w:rsidR="00E90FB1" w:rsidRPr="00563AD3" w:rsidRDefault="00F67BCC" w:rsidP="009B13F3">
      <w:pPr>
        <w:pStyle w:val="Heading3"/>
      </w:pPr>
      <w:bookmarkStart w:id="99" w:name="_Toc525543992"/>
      <w:r w:rsidRPr="00563AD3">
        <w:t xml:space="preserve">2.9.6 </w:t>
      </w:r>
      <w:r w:rsidR="00E90FB1" w:rsidRPr="00563AD3">
        <w:t>Data analysis</w:t>
      </w:r>
      <w:bookmarkEnd w:id="99"/>
    </w:p>
    <w:p w14:paraId="7A9C36D6" w14:textId="75AC2EAC" w:rsidR="00E90FB1" w:rsidRPr="00563AD3" w:rsidRDefault="00E90FB1" w:rsidP="005745FD">
      <w:r w:rsidRPr="00563AD3">
        <w:t>Data analysis utilised a Framework Analysis approach</w:t>
      </w:r>
      <w:r w:rsidR="002D32D8">
        <w:t>.</w:t>
      </w:r>
      <w:r w:rsidR="00D62DA7" w:rsidRPr="00563AD3">
        <w:t xml:space="preserve"> </w:t>
      </w:r>
      <w:r w:rsidR="00D62DA7" w:rsidRPr="00563AD3">
        <w:fldChar w:fldCharType="begin"/>
      </w:r>
      <w:r w:rsidR="00411708">
        <w:instrText xml:space="preserve"> ADDIN EN.CITE &lt;EndNote&gt;&lt;Cite&gt;&lt;Author&gt;Smith&lt;/Author&gt;&lt;Year&gt;2011&lt;/Year&gt;&lt;RecNum&gt;1392&lt;/RecNum&gt;&lt;DisplayText&gt;&lt;style face="superscript"&gt;154&lt;/style&gt;&lt;/DisplayText&gt;&lt;record&gt;&lt;rec-number&gt;1392&lt;/rec-number&gt;&lt;foreign-keys&gt;&lt;key app="EN" db-id="wprxwptv75dtdree0t5x2ptmvadptw5fr2ww" timestamp="1375818827"&gt;1392&lt;/key&gt;&lt;/foreign-keys&gt;&lt;ref-type name="Journal Article"&gt;17&lt;/ref-type&gt;&lt;contributors&gt;&lt;authors&gt;&lt;author&gt;Smith, J.&lt;/author&gt;&lt;author&gt;Firth, J.&lt;/author&gt;&lt;/authors&gt;&lt;/contributors&gt;&lt;titles&gt;&lt;title&gt;Qualitative data analysis: the framework approach&lt;/title&gt;&lt;secondary-title&gt;Nurse Researcher&lt;/secondary-title&gt;&lt;/titles&gt;&lt;periodical&gt;&lt;full-title&gt;Nurse Researcher&lt;/full-title&gt;&lt;abbr-1&gt;Nurse Res.&lt;/abbr-1&gt;&lt;abbr-2&gt;Nurse Res&lt;/abbr-2&gt;&lt;/periodical&gt;&lt;pages&gt;52-62&lt;/pages&gt;&lt;volume&gt;18&lt;/volume&gt;&lt;number&gt;2&lt;/number&gt;&lt;dates&gt;&lt;year&gt;2011&lt;/year&gt;&lt;/dates&gt;&lt;urls&gt;&lt;/urls&gt;&lt;/record&gt;&lt;/Cite&gt;&lt;/EndNote&gt;</w:instrText>
      </w:r>
      <w:r w:rsidR="00D62DA7" w:rsidRPr="00563AD3">
        <w:fldChar w:fldCharType="separate"/>
      </w:r>
      <w:r w:rsidR="00411708" w:rsidRPr="00411708">
        <w:rPr>
          <w:noProof/>
          <w:vertAlign w:val="superscript"/>
        </w:rPr>
        <w:t>154</w:t>
      </w:r>
      <w:r w:rsidR="00D62DA7" w:rsidRPr="00563AD3">
        <w:fldChar w:fldCharType="end"/>
      </w:r>
      <w:r w:rsidRPr="00563AD3">
        <w:t xml:space="preserve"> Initial data analysis by all researchers involved in data collection informed the development of a coding matrix which guided and created a structure for further data analysis. The focus of the coding matrix (and </w:t>
      </w:r>
      <w:r w:rsidR="00151EAD" w:rsidRPr="00563AD3">
        <w:t>therefore</w:t>
      </w:r>
      <w:r w:rsidRPr="00563AD3">
        <w:t xml:space="preserve"> the data analysis) was on experiences of utilising and implementing </w:t>
      </w:r>
      <w:r w:rsidR="00070560" w:rsidRPr="00563AD3">
        <w:t>DCM™</w:t>
      </w:r>
      <w:r w:rsidRPr="00563AD3">
        <w:t xml:space="preserve">, with a focus on identifying patterns and variations in implementation, barriers and facilitators to implementation, and the impacts of </w:t>
      </w:r>
      <w:r w:rsidR="00070560" w:rsidRPr="00563AD3">
        <w:t>DCM™</w:t>
      </w:r>
      <w:r w:rsidRPr="00563AD3">
        <w:t xml:space="preserve"> implementation. The coding matrix helped to assimilate the development of coding categories between the team of researchers who undertook the analysis. Each transcript was independently analysed by two research</w:t>
      </w:r>
      <w:r w:rsidR="00C23035" w:rsidRPr="00563AD3">
        <w:t xml:space="preserve">ers </w:t>
      </w:r>
      <w:r w:rsidRPr="00563AD3">
        <w:t xml:space="preserve">to ensure key themes were </w:t>
      </w:r>
      <w:r w:rsidR="00151EAD" w:rsidRPr="00563AD3">
        <w:t>identified</w:t>
      </w:r>
      <w:r w:rsidRPr="00563AD3">
        <w:t xml:space="preserve">. Development of the coding categories continued throughout data analysis, informed by the emerging themes and analytic thoughts of the researchers. Codes and themes were compared and contrasted across homes and between different types of respondents to develop an in-depth, nuanced and contextualised understanding of the implementation and impacts of </w:t>
      </w:r>
      <w:r w:rsidR="00070560" w:rsidRPr="00563AD3">
        <w:t>DCM™</w:t>
      </w:r>
      <w:r w:rsidRPr="00563AD3">
        <w:t>.</w:t>
      </w:r>
    </w:p>
    <w:p w14:paraId="0B5602CA" w14:textId="130972D0" w:rsidR="00E90FB1" w:rsidRPr="00563AD3" w:rsidRDefault="00E90FB1" w:rsidP="005745FD">
      <w:pPr>
        <w:rPr>
          <w:i/>
        </w:rPr>
      </w:pPr>
      <w:r w:rsidRPr="00563AD3">
        <w:t xml:space="preserve">The quantitative data that informed the process evaluation (measures of adherence and fidelity in each home) were collected and analysed as part of the main trial dataset (as described in </w:t>
      </w:r>
      <w:r w:rsidR="0078769C" w:rsidRPr="002D32D8">
        <w:rPr>
          <w:i/>
          <w:color w:val="000000" w:themeColor="text1"/>
        </w:rPr>
        <w:t>s</w:t>
      </w:r>
      <w:r w:rsidRPr="002D32D8">
        <w:rPr>
          <w:i/>
          <w:color w:val="000000" w:themeColor="text1"/>
        </w:rPr>
        <w:t xml:space="preserve">ection </w:t>
      </w:r>
      <w:r w:rsidR="00C23035" w:rsidRPr="002D32D8">
        <w:rPr>
          <w:i/>
          <w:color w:val="000000" w:themeColor="text1"/>
        </w:rPr>
        <w:t>2.8.3</w:t>
      </w:r>
      <w:r w:rsidR="0078769C" w:rsidRPr="00563AD3">
        <w:rPr>
          <w:color w:val="000000" w:themeColor="text1"/>
        </w:rPr>
        <w:t>)</w:t>
      </w:r>
      <w:r w:rsidRPr="00563AD3">
        <w:rPr>
          <w:color w:val="000000" w:themeColor="text1"/>
        </w:rPr>
        <w:t xml:space="preserve">. </w:t>
      </w:r>
      <w:r w:rsidRPr="00563AD3">
        <w:t xml:space="preserve">Findings from the quantitative data were integrated with the qualitative data to provide an in-depth understanding of </w:t>
      </w:r>
      <w:r w:rsidR="00070560" w:rsidRPr="00563AD3">
        <w:t>DCM™</w:t>
      </w:r>
      <w:r w:rsidRPr="00563AD3">
        <w:t xml:space="preserve"> implementation, and the issues surrounding implementation.</w:t>
      </w:r>
    </w:p>
    <w:p w14:paraId="7DB5ADD6" w14:textId="71156E93" w:rsidR="00E90FB1" w:rsidRDefault="00E90FB1" w:rsidP="009B13F3"/>
    <w:p w14:paraId="5E3FF6C9" w14:textId="77777777" w:rsidR="00BE094B" w:rsidRPr="00563AD3" w:rsidRDefault="00BE094B" w:rsidP="009B13F3"/>
    <w:p w14:paraId="649720DA" w14:textId="77777777" w:rsidR="001F534F" w:rsidRPr="00563AD3" w:rsidRDefault="00F67BCC" w:rsidP="009B13F3">
      <w:pPr>
        <w:pStyle w:val="Heading3"/>
        <w:rPr>
          <w:color w:val="FF0000"/>
        </w:rPr>
      </w:pPr>
      <w:bookmarkStart w:id="100" w:name="_Toc525543993"/>
      <w:r w:rsidRPr="00563AD3">
        <w:t xml:space="preserve">2.9.7 </w:t>
      </w:r>
      <w:r w:rsidR="00E90FB1" w:rsidRPr="00563AD3">
        <w:t>Measurement of adherence</w:t>
      </w:r>
      <w:bookmarkEnd w:id="100"/>
      <w:r w:rsidR="00E90FB1" w:rsidRPr="00563AD3">
        <w:rPr>
          <w:color w:val="FF0000"/>
        </w:rPr>
        <w:t xml:space="preserve"> </w:t>
      </w:r>
    </w:p>
    <w:p w14:paraId="1040B103" w14:textId="284E2032" w:rsidR="00E90FB1" w:rsidRPr="00563AD3" w:rsidRDefault="00E90FB1" w:rsidP="009B13F3">
      <w:r w:rsidRPr="00563AD3">
        <w:t>Adherence to the prescribed processes for interve</w:t>
      </w:r>
      <w:r w:rsidR="001F534F" w:rsidRPr="00563AD3">
        <w:t xml:space="preserve">ntion delivery was monitored from randomisation </w:t>
      </w:r>
      <w:r w:rsidR="00C23035" w:rsidRPr="00563AD3">
        <w:t xml:space="preserve">to check that </w:t>
      </w:r>
      <w:r w:rsidR="001F534F" w:rsidRPr="00563AD3">
        <w:t>both mappers attend</w:t>
      </w:r>
      <w:r w:rsidR="00C23035" w:rsidRPr="00563AD3">
        <w:t>ed</w:t>
      </w:r>
      <w:r w:rsidR="001F534F" w:rsidRPr="00563AD3">
        <w:t xml:space="preserve"> </w:t>
      </w:r>
      <w:r w:rsidR="00070560" w:rsidRPr="00563AD3">
        <w:t>DCM™</w:t>
      </w:r>
      <w:r w:rsidR="001F534F" w:rsidRPr="00563AD3">
        <w:t xml:space="preserve"> training on time and pass</w:t>
      </w:r>
      <w:r w:rsidR="00C23035" w:rsidRPr="00563AD3">
        <w:t>ed the assessment. A</w:t>
      </w:r>
      <w:r w:rsidR="001F534F" w:rsidRPr="00563AD3">
        <w:t xml:space="preserve">t </w:t>
      </w:r>
      <w:r w:rsidRPr="00563AD3">
        <w:t xml:space="preserve">each expected round </w:t>
      </w:r>
      <w:r w:rsidR="00E75BD7" w:rsidRPr="00563AD3">
        <w:t xml:space="preserve">of </w:t>
      </w:r>
      <w:r w:rsidR="00C23035" w:rsidRPr="00563AD3">
        <w:t xml:space="preserve">mapping, adherence to the processes was monitored to check that </w:t>
      </w:r>
      <w:r w:rsidRPr="00563AD3">
        <w:t>mappers deliver</w:t>
      </w:r>
      <w:r w:rsidR="00C23035" w:rsidRPr="00563AD3">
        <w:t>ed</w:t>
      </w:r>
      <w:r w:rsidRPr="00563AD3">
        <w:t xml:space="preserve"> </w:t>
      </w:r>
      <w:r w:rsidR="004D6CEA" w:rsidRPr="00563AD3">
        <w:t xml:space="preserve">all components of the </w:t>
      </w:r>
      <w:r w:rsidR="00070560" w:rsidRPr="00563AD3">
        <w:t>DCM™</w:t>
      </w:r>
      <w:r w:rsidR="004D6CEA" w:rsidRPr="00563AD3">
        <w:t xml:space="preserve"> cycle as intended</w:t>
      </w:r>
      <w:r w:rsidR="00EB6FE6" w:rsidRPr="00563AD3">
        <w:t xml:space="preserve"> and to the required quality</w:t>
      </w:r>
      <w:r w:rsidR="004D6CEA" w:rsidRPr="00563AD3">
        <w:t xml:space="preserve"> (fidelity</w:t>
      </w:r>
      <w:r w:rsidR="00C23035" w:rsidRPr="00563AD3">
        <w:t>) and three full cycles (dose)</w:t>
      </w:r>
      <w:r w:rsidRPr="00563AD3">
        <w:t>. Anonymised copies of all observation data collection sheets, feedback reports and action plans were collected to assess fidelity.</w:t>
      </w:r>
      <w:r w:rsidR="00EB6FE6" w:rsidRPr="00563AD3">
        <w:t xml:space="preserve"> </w:t>
      </w:r>
      <w:r w:rsidR="002F0213" w:rsidRPr="00563AD3">
        <w:t xml:space="preserve">Data was also collected </w:t>
      </w:r>
      <w:r w:rsidR="00995F44" w:rsidRPr="00563AD3">
        <w:t xml:space="preserve">from the </w:t>
      </w:r>
      <w:r w:rsidR="00A4193C" w:rsidRPr="00563AD3">
        <w:t xml:space="preserve">DCM™ </w:t>
      </w:r>
      <w:r w:rsidR="00995F44" w:rsidRPr="00563AD3">
        <w:t>expert mapper about cycle one completion,</w:t>
      </w:r>
      <w:r w:rsidR="002F0213" w:rsidRPr="00563AD3">
        <w:t xml:space="preserve"> following their support of mappers through their first cycle of mapping.  </w:t>
      </w:r>
      <w:r w:rsidR="00EB6FE6" w:rsidRPr="00563AD3">
        <w:t xml:space="preserve">For the purposes of the </w:t>
      </w:r>
      <w:r w:rsidR="00C23035" w:rsidRPr="00563AD3">
        <w:t>trial</w:t>
      </w:r>
      <w:r w:rsidR="00EB6FE6" w:rsidRPr="00563AD3">
        <w:t xml:space="preserve"> </w:t>
      </w:r>
      <w:r w:rsidR="00070560" w:rsidRPr="00563AD3">
        <w:t>DCM™</w:t>
      </w:r>
      <w:r w:rsidR="00EB6FE6" w:rsidRPr="00563AD3">
        <w:t xml:space="preserve"> was considered as comprised of four required components: 1) briefing, 2) observation, 3) data analysis, reporting writing and feedback, 4) action planning.</w:t>
      </w:r>
    </w:p>
    <w:p w14:paraId="403E456C" w14:textId="3FBE6E42" w:rsidR="001F534F" w:rsidRPr="00563AD3" w:rsidRDefault="001F534F" w:rsidP="009B13F3">
      <w:r w:rsidRPr="00563AD3">
        <w:t>Care homes were</w:t>
      </w:r>
      <w:r w:rsidR="00EB6FE6" w:rsidRPr="00563AD3">
        <w:t xml:space="preserve"> </w:t>
      </w:r>
      <w:r w:rsidRPr="00563AD3">
        <w:t xml:space="preserve">classified according to their compliance with the intervention </w:t>
      </w:r>
      <w:r w:rsidR="002331D4" w:rsidRPr="00563AD3">
        <w:t xml:space="preserve">at each cycle </w:t>
      </w:r>
      <w:r w:rsidRPr="00563AD3">
        <w:t xml:space="preserve">as </w:t>
      </w:r>
      <w:r w:rsidR="002331D4" w:rsidRPr="00563AD3">
        <w:t>‘</w:t>
      </w:r>
      <w:r w:rsidRPr="00563AD3">
        <w:t>Acceptable</w:t>
      </w:r>
      <w:r w:rsidR="002331D4" w:rsidRPr="00563AD3">
        <w:t>’</w:t>
      </w:r>
      <w:r w:rsidRPr="00563AD3">
        <w:t xml:space="preserve">, </w:t>
      </w:r>
      <w:r w:rsidR="002331D4" w:rsidRPr="00563AD3">
        <w:t>‘</w:t>
      </w:r>
      <w:r w:rsidRPr="00563AD3">
        <w:t>Partial</w:t>
      </w:r>
      <w:r w:rsidR="002331D4" w:rsidRPr="00563AD3">
        <w:t>’</w:t>
      </w:r>
      <w:r w:rsidRPr="00563AD3">
        <w:t xml:space="preserve"> or </w:t>
      </w:r>
      <w:r w:rsidR="002331D4" w:rsidRPr="00563AD3">
        <w:t>‘</w:t>
      </w:r>
      <w:r w:rsidRPr="00563AD3">
        <w:t>None</w:t>
      </w:r>
      <w:r w:rsidR="002331D4" w:rsidRPr="00563AD3">
        <w:t>’ compliance</w:t>
      </w:r>
      <w:r w:rsidRPr="00563AD3">
        <w:t>.</w:t>
      </w:r>
    </w:p>
    <w:p w14:paraId="2FFA09BE" w14:textId="77777777" w:rsidR="001F534F" w:rsidRPr="00563AD3" w:rsidRDefault="001F534F" w:rsidP="009B13F3">
      <w:r w:rsidRPr="00563AD3">
        <w:t>For a cycle to be classified as:</w:t>
      </w:r>
    </w:p>
    <w:p w14:paraId="265478C5" w14:textId="2B50EE03" w:rsidR="001F534F" w:rsidRPr="00563AD3" w:rsidRDefault="001F534F" w:rsidP="009B13F3">
      <w:r w:rsidRPr="00563AD3">
        <w:t>i)</w:t>
      </w:r>
      <w:r w:rsidRPr="00563AD3">
        <w:tab/>
        <w:t xml:space="preserve">Acceptable, </w:t>
      </w:r>
      <w:r w:rsidR="002331D4" w:rsidRPr="00563AD3">
        <w:t xml:space="preserve">the care home must </w:t>
      </w:r>
      <w:r w:rsidRPr="00563AD3">
        <w:t xml:space="preserve">have completed all four components; </w:t>
      </w:r>
    </w:p>
    <w:p w14:paraId="11A9E0A1" w14:textId="2D369FBF" w:rsidR="001F534F" w:rsidRPr="00563AD3" w:rsidRDefault="001F534F" w:rsidP="009B13F3">
      <w:r w:rsidRPr="00563AD3">
        <w:t>ii)</w:t>
      </w:r>
      <w:r w:rsidRPr="00563AD3">
        <w:tab/>
        <w:t xml:space="preserve">Partial, </w:t>
      </w:r>
      <w:r w:rsidR="002331D4" w:rsidRPr="00563AD3">
        <w:t>the care home ha</w:t>
      </w:r>
      <w:r w:rsidR="00EB6FE6" w:rsidRPr="00563AD3">
        <w:t>d</w:t>
      </w:r>
      <w:r w:rsidRPr="00563AD3">
        <w:t xml:space="preserve"> completed one to three components; </w:t>
      </w:r>
    </w:p>
    <w:p w14:paraId="3D1B49C5" w14:textId="41EA4CEE" w:rsidR="001F534F" w:rsidRPr="00563AD3" w:rsidRDefault="001F534F" w:rsidP="009B13F3">
      <w:r w:rsidRPr="00563AD3">
        <w:t>iii)</w:t>
      </w:r>
      <w:r w:rsidRPr="00563AD3">
        <w:tab/>
        <w:t xml:space="preserve">None, </w:t>
      </w:r>
      <w:r w:rsidR="002331D4" w:rsidRPr="00563AD3">
        <w:t>the care home</w:t>
      </w:r>
      <w:r w:rsidRPr="00563AD3">
        <w:t xml:space="preserve"> </w:t>
      </w:r>
      <w:r w:rsidR="00EB6FE6" w:rsidRPr="00563AD3">
        <w:t xml:space="preserve">had </w:t>
      </w:r>
      <w:r w:rsidRPr="00563AD3">
        <w:t>completed none of the components.</w:t>
      </w:r>
    </w:p>
    <w:p w14:paraId="5AE9D6C4" w14:textId="25507FE3" w:rsidR="001F534F" w:rsidRPr="00563AD3" w:rsidRDefault="001F534F" w:rsidP="009B13F3">
      <w:r w:rsidRPr="00563AD3">
        <w:t>If paperwork was not received for specific comp</w:t>
      </w:r>
      <w:r w:rsidR="002331D4" w:rsidRPr="00563AD3">
        <w:t>onents and the researchers had been unable to ascertain verbally from mappers whether particular cycle components had been completed, the following rules were</w:t>
      </w:r>
      <w:r w:rsidR="004C53EE" w:rsidRPr="00563AD3">
        <w:t xml:space="preserve"> </w:t>
      </w:r>
      <w:r w:rsidRPr="00563AD3">
        <w:t>used</w:t>
      </w:r>
      <w:r w:rsidR="002331D4" w:rsidRPr="00563AD3">
        <w:t xml:space="preserve"> to determine whether a component had been completed</w:t>
      </w:r>
      <w:r w:rsidRPr="00563AD3">
        <w:t>:</w:t>
      </w:r>
    </w:p>
    <w:p w14:paraId="57E112FD" w14:textId="45FD580E" w:rsidR="001F534F" w:rsidRPr="00563AD3" w:rsidRDefault="002331D4" w:rsidP="009B13F3">
      <w:r w:rsidRPr="00563AD3">
        <w:t>•</w:t>
      </w:r>
      <w:r w:rsidRPr="00563AD3">
        <w:tab/>
        <w:t>If there wa</w:t>
      </w:r>
      <w:r w:rsidR="001F534F" w:rsidRPr="00563AD3">
        <w:t>s paper docume</w:t>
      </w:r>
      <w:r w:rsidRPr="00563AD3">
        <w:t>ntation for observation, it was</w:t>
      </w:r>
      <w:r w:rsidR="001F534F" w:rsidRPr="00563AD3">
        <w:t xml:space="preserve"> assumed th</w:t>
      </w:r>
      <w:r w:rsidR="00F05160" w:rsidRPr="00563AD3">
        <w:t>at briefing also took place (</w:t>
      </w:r>
      <w:r w:rsidR="001F534F" w:rsidRPr="00563AD3">
        <w:t>at least 2 components were completed);</w:t>
      </w:r>
    </w:p>
    <w:p w14:paraId="70A2626D" w14:textId="7E65688B" w:rsidR="001F534F" w:rsidRPr="00563AD3" w:rsidRDefault="001F534F" w:rsidP="009B13F3">
      <w:r w:rsidRPr="00563AD3">
        <w:t>•</w:t>
      </w:r>
      <w:r w:rsidRPr="00563AD3">
        <w:tab/>
        <w:t xml:space="preserve">If there </w:t>
      </w:r>
      <w:r w:rsidR="00641E8A" w:rsidRPr="00563AD3">
        <w:t xml:space="preserve">was </w:t>
      </w:r>
      <w:r w:rsidRPr="00563AD3">
        <w:t>paper doc</w:t>
      </w:r>
      <w:r w:rsidR="002331D4" w:rsidRPr="00563AD3">
        <w:t>umentation for feedback, it was</w:t>
      </w:r>
      <w:r w:rsidRPr="00563AD3">
        <w:t xml:space="preserve"> assumed briefing</w:t>
      </w:r>
      <w:r w:rsidR="00F05160" w:rsidRPr="00563AD3">
        <w:t xml:space="preserve"> and observation took place (</w:t>
      </w:r>
      <w:r w:rsidRPr="00563AD3">
        <w:t xml:space="preserve">at least 3 components were completed); </w:t>
      </w:r>
    </w:p>
    <w:p w14:paraId="1E7A32E3" w14:textId="6DE34EDD" w:rsidR="003313E6" w:rsidRPr="00563AD3" w:rsidRDefault="001F534F" w:rsidP="009B13F3">
      <w:r w:rsidRPr="00563AD3">
        <w:t>•</w:t>
      </w:r>
      <w:r w:rsidRPr="00563AD3">
        <w:tab/>
        <w:t xml:space="preserve">If there </w:t>
      </w:r>
      <w:r w:rsidR="00641E8A" w:rsidRPr="00563AD3">
        <w:t xml:space="preserve">was </w:t>
      </w:r>
      <w:r w:rsidRPr="00563AD3">
        <w:t>paper documentati</w:t>
      </w:r>
      <w:r w:rsidR="004C53EE" w:rsidRPr="00563AD3">
        <w:t>on for action planning, it was</w:t>
      </w:r>
      <w:r w:rsidRPr="00563AD3">
        <w:t xml:space="preserve"> assumed that </w:t>
      </w:r>
      <w:r w:rsidR="00641E8A" w:rsidRPr="00563AD3">
        <w:t>briefing, observation and feedback</w:t>
      </w:r>
      <w:r w:rsidRPr="00563AD3">
        <w:t xml:space="preserve"> took pl</w:t>
      </w:r>
      <w:r w:rsidR="00F05160" w:rsidRPr="00563AD3">
        <w:t>ace (</w:t>
      </w:r>
      <w:r w:rsidRPr="00563AD3">
        <w:t>all components were completed).</w:t>
      </w:r>
    </w:p>
    <w:p w14:paraId="7CC693D0" w14:textId="5F54E7FC" w:rsidR="00D62DA7" w:rsidRPr="00563AD3" w:rsidRDefault="004C53EE" w:rsidP="009B13F3">
      <w:r w:rsidRPr="00563AD3">
        <w:t xml:space="preserve">Assessment of the quality of each component was also conducted where paperwork had been returned including: whether all the </w:t>
      </w:r>
      <w:r w:rsidR="00EB6FE6" w:rsidRPr="00563AD3">
        <w:t xml:space="preserve">required </w:t>
      </w:r>
      <w:r w:rsidR="00070560" w:rsidRPr="00563AD3">
        <w:t>DCM™</w:t>
      </w:r>
      <w:r w:rsidR="00C23035" w:rsidRPr="00563AD3">
        <w:t xml:space="preserve"> </w:t>
      </w:r>
      <w:r w:rsidRPr="00563AD3">
        <w:t>coding frames and accompanying qualitative notes had been used during mapping; if the standard feedback report format had been used and all parts of this completed (group data summary and individual data summary for each resident); and whether the standard action planning template had been used and if there were action plans developed at a care home level and for each resident mapped.</w:t>
      </w:r>
    </w:p>
    <w:p w14:paraId="5B3275DF" w14:textId="77777777" w:rsidR="004C53EE" w:rsidRPr="00563AD3" w:rsidRDefault="004C53EE" w:rsidP="009B13F3">
      <w:pPr>
        <w:jc w:val="both"/>
      </w:pPr>
    </w:p>
    <w:p w14:paraId="21376C66" w14:textId="0E74128C" w:rsidR="002C413C" w:rsidRPr="00563AD3" w:rsidRDefault="001C3D97" w:rsidP="009B13F3">
      <w:pPr>
        <w:pStyle w:val="Heading2"/>
      </w:pPr>
      <w:bookmarkStart w:id="101" w:name="_Toc525543994"/>
      <w:r w:rsidRPr="00563AD3">
        <w:t>2.10</w:t>
      </w:r>
      <w:r w:rsidR="00AC1DF7" w:rsidRPr="00563AD3">
        <w:t xml:space="preserve"> </w:t>
      </w:r>
      <w:r w:rsidR="002C413C" w:rsidRPr="00563AD3">
        <w:t>Summary of changes to project protocol</w:t>
      </w:r>
      <w:bookmarkEnd w:id="101"/>
    </w:p>
    <w:p w14:paraId="482D4AB7" w14:textId="382C8388" w:rsidR="004E1D71" w:rsidRPr="00563AD3" w:rsidRDefault="004E1D71" w:rsidP="009B13F3">
      <w:r w:rsidRPr="00563AD3">
        <w:t xml:space="preserve">Ten substantial amendments to the protocol and associated trial documentation were made during the trial. </w:t>
      </w:r>
    </w:p>
    <w:p w14:paraId="0A81AE0A" w14:textId="620A2504" w:rsidR="007D19F4" w:rsidRPr="00563AD3" w:rsidRDefault="004F61EC" w:rsidP="009B13F3">
      <w:pPr>
        <w:pStyle w:val="Heading3"/>
      </w:pPr>
      <w:bookmarkStart w:id="102" w:name="_Toc525543995"/>
      <w:r w:rsidRPr="00563AD3">
        <w:t>2.</w:t>
      </w:r>
      <w:r w:rsidR="009B6060" w:rsidRPr="00563AD3">
        <w:t>1</w:t>
      </w:r>
      <w:r w:rsidR="001C3D97" w:rsidRPr="00563AD3">
        <w:t>0</w:t>
      </w:r>
      <w:r w:rsidRPr="00563AD3">
        <w:t>.1 Internal pilot</w:t>
      </w:r>
      <w:bookmarkEnd w:id="102"/>
      <w:r w:rsidRPr="00563AD3">
        <w:t xml:space="preserve"> </w:t>
      </w:r>
    </w:p>
    <w:p w14:paraId="78468430" w14:textId="09A38396" w:rsidR="008A60E2" w:rsidRPr="00563AD3" w:rsidRDefault="004F325A" w:rsidP="009B13F3">
      <w:r w:rsidRPr="00563AD3">
        <w:t xml:space="preserve">An initial two homes were recruited to the study early to permit </w:t>
      </w:r>
      <w:r w:rsidR="004F61EC" w:rsidRPr="00563AD3">
        <w:t xml:space="preserve">internal </w:t>
      </w:r>
      <w:r w:rsidRPr="00563AD3">
        <w:t xml:space="preserve">piloting and review of trial processes, procedures, measure and tools ahead of recruitment of further care homes. Data from these homes </w:t>
      </w:r>
      <w:r w:rsidR="00BF53CB" w:rsidRPr="00563AD3">
        <w:t xml:space="preserve">were </w:t>
      </w:r>
      <w:r w:rsidRPr="00563AD3">
        <w:t xml:space="preserve">included in the trial. </w:t>
      </w:r>
      <w:r w:rsidR="002C413C" w:rsidRPr="00563AD3">
        <w:t xml:space="preserve">Changes to the original project protocol, implemented following </w:t>
      </w:r>
      <w:r w:rsidRPr="00563AD3">
        <w:t>this pilot</w:t>
      </w:r>
      <w:r w:rsidR="002C413C" w:rsidRPr="00563AD3">
        <w:t xml:space="preserve"> are reported in detail in the published </w:t>
      </w:r>
      <w:r w:rsidRPr="00563AD3">
        <w:t>protocol</w:t>
      </w:r>
      <w:r w:rsidR="000F37E0" w:rsidRPr="00563AD3">
        <w:t xml:space="preserve"> </w:t>
      </w:r>
      <w:r w:rsidR="000B4E72" w:rsidRPr="00563AD3">
        <w:fldChar w:fldCharType="begin"/>
      </w:r>
      <w:r w:rsidR="00411708">
        <w:instrText xml:space="preserve"> ADDIN EN.CITE &lt;EndNote&gt;&lt;Cite&gt;&lt;Author&gt;Surr&lt;/Author&gt;&lt;Year&gt;2016&lt;/Year&gt;&lt;RecNum&gt;1536&lt;/RecNum&gt;&lt;DisplayText&gt;&lt;style face="superscript"&gt;98&lt;/style&gt;&lt;/DisplayText&gt;&lt;record&gt;&lt;rec-number&gt;1536&lt;/rec-number&gt;&lt;foreign-keys&gt;&lt;key app="EN" db-id="wprxwptv75dtdree0t5x2ptmvadptw5fr2ww" timestamp="1477920588"&gt;1536&lt;/key&gt;&lt;/foreign-keys&gt;&lt;ref-type name="Journal Article"&gt;17&lt;/ref-type&gt;&lt;contributors&gt;&lt;authors&gt;&lt;author&gt;Surr, C.A.&lt;/author&gt;&lt;author&gt;Walwyn, R.&lt;/author&gt;&lt;author&gt;Lilley-Kelly, A.&lt;/author&gt;&lt;author&gt;Cicero, R.&lt;/author&gt;&lt;author&gt;Meads, D.&lt;/author&gt;&lt;author&gt;Ballard, C.&lt;/author&gt;&lt;author&gt;Burton, K.W.&lt;/author&gt;&lt;author&gt;Chenoweth, L.&lt;/author&gt;&lt;author&gt;Corbett, A.&lt;/author&gt;&lt;author&gt;Creese, B.&lt;/author&gt;&lt;author&gt;Downs, M.&lt;/author&gt;&lt;author&gt;Farrin, A.J.&lt;/author&gt;&lt;author&gt;Fossey, J.&lt;/author&gt;&lt;author&gt;Garrod, L.&lt;/author&gt;&lt;author&gt;Graham, E.H.&lt;/author&gt;&lt;author&gt;Griffiths, A.W.&lt;/author&gt;&lt;author&gt;Holloway, I.&lt;/author&gt;&lt;author&gt;Jones, S.&lt;/author&gt;&lt;author&gt;Malik, B.&lt;/author&gt;&lt;author&gt;Siddiqi, N.&lt;/author&gt;&lt;author&gt;Robinson, L.&lt;/author&gt;&lt;author&gt;Stokes, G.&lt;/author&gt;&lt;author&gt;Wallace, D.&lt;/author&gt;&lt;/authors&gt;&lt;/contributors&gt;&lt;titles&gt;&lt;title&gt;Evaluating the effectiveness and cost effectiveness of Dementia Care Mapping™ to enable person-centred care for people with dementia and their carers (DCM-EPIC) in care homes: Study protocol for a randomised controlled trial. &lt;/title&gt;&lt;secondary-title&gt;Trials&lt;/secondary-title&gt;&lt;/titles&gt;&lt;periodical&gt;&lt;full-title&gt;Trials&lt;/full-title&gt;&lt;/periodical&gt;&lt;pages&gt;300&lt;/pages&gt;&lt;volume&gt;17&lt;/volume&gt;&lt;dates&gt;&lt;year&gt;2016&lt;/year&gt;&lt;/dates&gt;&lt;urls&gt;&lt;/urls&gt;&lt;/record&gt;&lt;/Cite&gt;&lt;/EndNote&gt;</w:instrText>
      </w:r>
      <w:r w:rsidR="000B4E72" w:rsidRPr="00563AD3">
        <w:fldChar w:fldCharType="separate"/>
      </w:r>
      <w:r w:rsidR="00EC2AA2" w:rsidRPr="00EC2AA2">
        <w:rPr>
          <w:noProof/>
          <w:vertAlign w:val="superscript"/>
        </w:rPr>
        <w:t>98</w:t>
      </w:r>
      <w:r w:rsidR="000B4E72" w:rsidRPr="00563AD3">
        <w:fldChar w:fldCharType="end"/>
      </w:r>
      <w:r w:rsidR="00B501E2" w:rsidRPr="00563AD3">
        <w:t>,</w:t>
      </w:r>
      <w:r w:rsidR="004F61EC" w:rsidRPr="00563AD3">
        <w:t xml:space="preserve"> in </w:t>
      </w:r>
      <w:r w:rsidR="00B501E2" w:rsidRPr="00563AD3">
        <w:t>Table 3</w:t>
      </w:r>
      <w:r w:rsidR="004F61EC" w:rsidRPr="00563AD3">
        <w:t xml:space="preserve"> and </w:t>
      </w:r>
      <w:r w:rsidR="00083258" w:rsidRPr="00563AD3">
        <w:t xml:space="preserve">the </w:t>
      </w:r>
      <w:r w:rsidR="005330A8" w:rsidRPr="00563AD3">
        <w:t>A</w:t>
      </w:r>
      <w:r w:rsidR="004F61EC" w:rsidRPr="00563AD3">
        <w:t xml:space="preserve">ppendix </w:t>
      </w:r>
      <w:r w:rsidR="005330A8" w:rsidRPr="00563AD3">
        <w:t xml:space="preserve">(see Appendix </w:t>
      </w:r>
      <w:r w:rsidR="00CC68C0">
        <w:t>2</w:t>
      </w:r>
      <w:r w:rsidR="005330A8" w:rsidRPr="00563AD3">
        <w:t>)</w:t>
      </w:r>
      <w:r w:rsidR="008A60E2" w:rsidRPr="00563AD3">
        <w:t xml:space="preserve">. </w:t>
      </w:r>
    </w:p>
    <w:p w14:paraId="717F7F42" w14:textId="7E6F8B98" w:rsidR="00C55226" w:rsidRPr="00563AD3" w:rsidRDefault="004F61EC" w:rsidP="009B13F3">
      <w:pPr>
        <w:pStyle w:val="Heading3"/>
      </w:pPr>
      <w:bookmarkStart w:id="103" w:name="_Toc525543996"/>
      <w:r w:rsidRPr="00563AD3">
        <w:t>2.</w:t>
      </w:r>
      <w:r w:rsidR="009B6060" w:rsidRPr="00563AD3">
        <w:t>1</w:t>
      </w:r>
      <w:r w:rsidR="001C3D97" w:rsidRPr="00563AD3">
        <w:t>0</w:t>
      </w:r>
      <w:r w:rsidRPr="00563AD3">
        <w:t>.2 Design change</w:t>
      </w:r>
      <w:bookmarkEnd w:id="103"/>
    </w:p>
    <w:p w14:paraId="129616C8" w14:textId="2BE02A91" w:rsidR="004F61EC" w:rsidRPr="00563AD3" w:rsidRDefault="00083258" w:rsidP="009B13F3">
      <w:r w:rsidRPr="00563AD3">
        <w:t>O</w:t>
      </w:r>
      <w:r w:rsidR="004F61EC" w:rsidRPr="00563AD3">
        <w:t xml:space="preserve">ur original sample size estimation, </w:t>
      </w:r>
      <w:r w:rsidRPr="00563AD3">
        <w:t xml:space="preserve">to detect a clinically important difference of 3 points (SD 7.5) in the primary endpoint of agitation using the CMAI questionnaire assumed </w:t>
      </w:r>
      <w:r w:rsidR="004F61EC" w:rsidRPr="00563AD3">
        <w:t xml:space="preserve">a 25% loss to follow-up at 16-months </w:t>
      </w:r>
      <w:r w:rsidRPr="00563AD3">
        <w:t>after</w:t>
      </w:r>
      <w:r w:rsidR="004F61EC" w:rsidRPr="00563AD3">
        <w:t xml:space="preserve"> care home ra</w:t>
      </w:r>
      <w:r w:rsidRPr="00563AD3">
        <w:t>ndomisation</w:t>
      </w:r>
      <w:r w:rsidR="004F61EC" w:rsidRPr="00563AD3">
        <w:t xml:space="preserve">. If loss to follow-up was higher than anticipated (but no greater than 35%), our </w:t>
      </w:r>
      <w:r w:rsidRPr="00563AD3">
        <w:t xml:space="preserve">intended </w:t>
      </w:r>
      <w:r w:rsidR="004F61EC" w:rsidRPr="00563AD3">
        <w:t>sample size of 750 residents still provide</w:t>
      </w:r>
      <w:r w:rsidRPr="00563AD3">
        <w:t>d</w:t>
      </w:r>
      <w:r w:rsidR="004F61EC" w:rsidRPr="00563AD3">
        <w:t xml:space="preserve"> more than 85% power at a 2-sided 5% significance level to detect </w:t>
      </w:r>
      <w:r w:rsidRPr="00563AD3">
        <w:t>a</w:t>
      </w:r>
      <w:r w:rsidR="004F61EC" w:rsidRPr="00563AD3">
        <w:t xml:space="preserve"> moderate effect size, equating to 0.4 SDs.</w:t>
      </w:r>
    </w:p>
    <w:p w14:paraId="4ABD5BF8" w14:textId="131F6C7A" w:rsidR="005542CA" w:rsidRDefault="00083258" w:rsidP="005542CA">
      <w:pPr>
        <w:sectPr w:rsidR="005542CA" w:rsidSect="00F61C26">
          <w:pgSz w:w="11906" w:h="16838"/>
          <w:pgMar w:top="1440" w:right="1440" w:bottom="1440" w:left="1440" w:header="708" w:footer="708" w:gutter="0"/>
          <w:cols w:space="708"/>
          <w:docGrid w:linePitch="360"/>
        </w:sectPr>
      </w:pPr>
      <w:r w:rsidRPr="00563AD3">
        <w:t>Through</w:t>
      </w:r>
      <w:r w:rsidR="004F61EC" w:rsidRPr="00563AD3">
        <w:t xml:space="preserve"> monitoring loss to follow-up within the trial, we </w:t>
      </w:r>
      <w:r w:rsidRPr="00563AD3">
        <w:t>determined</w:t>
      </w:r>
      <w:r w:rsidR="004F61EC" w:rsidRPr="00563AD3">
        <w:t xml:space="preserve"> by November 2015 that the rate would exceed our lower limit of 25%. Using data from care homes randomised into the trial up to the 27</w:t>
      </w:r>
      <w:r w:rsidR="004F61EC" w:rsidRPr="00563AD3">
        <w:rPr>
          <w:vertAlign w:val="superscript"/>
        </w:rPr>
        <w:t>th</w:t>
      </w:r>
      <w:r w:rsidR="004F61EC" w:rsidRPr="00563AD3">
        <w:t xml:space="preserve"> November 2015, we predicted that loss to follow-up at 16-months would </w:t>
      </w:r>
      <w:r w:rsidRPr="00563AD3">
        <w:t>be in the range of 32% to 48</w:t>
      </w:r>
      <w:r w:rsidR="004F61EC" w:rsidRPr="00563AD3">
        <w:t>%</w:t>
      </w:r>
      <w:r w:rsidR="00BB6C59">
        <w:t xml:space="preserve">, see Appendix </w:t>
      </w:r>
      <w:r w:rsidR="00CC68C0">
        <w:t>3</w:t>
      </w:r>
      <w:r w:rsidR="00BB6C59">
        <w:t xml:space="preserve">, Figures </w:t>
      </w:r>
      <w:r w:rsidR="00AB7B75">
        <w:t>10</w:t>
      </w:r>
      <w:r w:rsidR="00BB6C59">
        <w:t xml:space="preserve"> and </w:t>
      </w:r>
      <w:r w:rsidR="00AB7B75">
        <w:t>11</w:t>
      </w:r>
      <w:r w:rsidR="004F61EC" w:rsidRPr="00563AD3">
        <w:t>. As such, continu</w:t>
      </w:r>
      <w:r w:rsidRPr="00563AD3">
        <w:t>ing</w:t>
      </w:r>
      <w:r w:rsidR="004F61EC" w:rsidRPr="00563AD3">
        <w:t xml:space="preserve"> the trial as planned </w:t>
      </w:r>
      <w:r w:rsidRPr="00563AD3">
        <w:t>would not</w:t>
      </w:r>
      <w:r w:rsidR="004F61EC" w:rsidRPr="00563AD3">
        <w:t xml:space="preserve"> provide sufficient power for statistical analysis of the primary endpoint. </w:t>
      </w:r>
      <w:r w:rsidRPr="00563AD3">
        <w:t>A</w:t>
      </w:r>
      <w:r w:rsidR="004F61EC" w:rsidRPr="00563AD3">
        <w:t>n amendment t</w:t>
      </w:r>
      <w:r w:rsidR="000F12A0" w:rsidRPr="00563AD3">
        <w:t>o</w:t>
      </w:r>
      <w:r w:rsidR="004F61EC" w:rsidRPr="00563AD3">
        <w:t xml:space="preserve"> the trial design was required to ensure the results of trial were robust and generalizable. </w:t>
      </w:r>
      <w:r w:rsidR="00E75BD7" w:rsidRPr="00563AD3">
        <w:t>B</w:t>
      </w:r>
      <w:r w:rsidR="004F61EC" w:rsidRPr="00563AD3">
        <w:t xml:space="preserve">ased on consideration of all the available options, we proposed recruiting </w:t>
      </w:r>
      <w:r w:rsidR="0031558D" w:rsidRPr="00563AD3">
        <w:t xml:space="preserve">additional residents </w:t>
      </w:r>
      <w:r w:rsidR="004F61EC" w:rsidRPr="00563AD3">
        <w:t xml:space="preserve">at follow-up (i.e. move to </w:t>
      </w:r>
      <w:r w:rsidR="0031558D" w:rsidRPr="00563AD3">
        <w:t>an “open cohort” design)</w:t>
      </w:r>
      <w:r w:rsidR="005330A8" w:rsidRPr="00563AD3">
        <w:t xml:space="preserve"> </w:t>
      </w:r>
    </w:p>
    <w:p w14:paraId="13949983" w14:textId="72BCA971" w:rsidR="005745FD" w:rsidRPr="00563AD3" w:rsidRDefault="005745FD" w:rsidP="005745FD">
      <w:pPr>
        <w:pStyle w:val="Tableheading"/>
      </w:pPr>
      <w:bookmarkStart w:id="104" w:name="_Toc948200"/>
      <w:r w:rsidRPr="00563AD3">
        <w:t>Table 3: Summary of substantial amendments to the protocol as associated trial documentation</w:t>
      </w:r>
      <w:bookmarkEnd w:id="104"/>
    </w:p>
    <w:tbl>
      <w:tblPr>
        <w:tblStyle w:val="TableGrid"/>
        <w:tblW w:w="5000" w:type="pct"/>
        <w:tblLook w:val="04A0" w:firstRow="1" w:lastRow="0" w:firstColumn="1" w:lastColumn="0" w:noHBand="0" w:noVBand="1"/>
      </w:tblPr>
      <w:tblGrid>
        <w:gridCol w:w="1403"/>
        <w:gridCol w:w="1318"/>
        <w:gridCol w:w="11227"/>
      </w:tblGrid>
      <w:tr w:rsidR="005745FD" w:rsidRPr="00563AD3" w14:paraId="4BF4DADB" w14:textId="77777777" w:rsidTr="005542CA">
        <w:tc>
          <w:tcPr>
            <w:tcW w:w="507" w:type="pct"/>
          </w:tcPr>
          <w:p w14:paraId="46D1FD9F" w14:textId="77777777" w:rsidR="005745FD" w:rsidRPr="00563AD3" w:rsidRDefault="005745FD" w:rsidP="009C4701">
            <w:r w:rsidRPr="00563AD3">
              <w:t>Amendment number</w:t>
            </w:r>
          </w:p>
        </w:tc>
        <w:tc>
          <w:tcPr>
            <w:tcW w:w="457" w:type="pct"/>
          </w:tcPr>
          <w:p w14:paraId="00FB9E19" w14:textId="77777777" w:rsidR="005745FD" w:rsidRPr="00563AD3" w:rsidRDefault="005745FD" w:rsidP="009C4701">
            <w:r w:rsidRPr="00563AD3">
              <w:t>Date</w:t>
            </w:r>
          </w:p>
        </w:tc>
        <w:tc>
          <w:tcPr>
            <w:tcW w:w="4036" w:type="pct"/>
          </w:tcPr>
          <w:p w14:paraId="4FECD6AF" w14:textId="77777777" w:rsidR="005745FD" w:rsidRPr="00563AD3" w:rsidRDefault="005745FD" w:rsidP="009C4701">
            <w:r w:rsidRPr="00563AD3">
              <w:t>Summary of amendment</w:t>
            </w:r>
          </w:p>
        </w:tc>
      </w:tr>
      <w:tr w:rsidR="005745FD" w:rsidRPr="00563AD3" w14:paraId="317ADBC1" w14:textId="77777777" w:rsidTr="005542CA">
        <w:tc>
          <w:tcPr>
            <w:tcW w:w="507" w:type="pct"/>
          </w:tcPr>
          <w:p w14:paraId="0B7CDC5A" w14:textId="77777777" w:rsidR="005745FD" w:rsidRPr="00563AD3" w:rsidRDefault="005745FD" w:rsidP="009C4701">
            <w:r w:rsidRPr="00563AD3">
              <w:t>SA1</w:t>
            </w:r>
          </w:p>
        </w:tc>
        <w:tc>
          <w:tcPr>
            <w:tcW w:w="457" w:type="pct"/>
          </w:tcPr>
          <w:p w14:paraId="501E2589" w14:textId="77777777" w:rsidR="005745FD" w:rsidRPr="00563AD3" w:rsidRDefault="005745FD" w:rsidP="009C4701">
            <w:r w:rsidRPr="00563AD3">
              <w:t>10/1/2014</w:t>
            </w:r>
          </w:p>
        </w:tc>
        <w:tc>
          <w:tcPr>
            <w:tcW w:w="4036" w:type="pct"/>
          </w:tcPr>
          <w:p w14:paraId="2F92E57E" w14:textId="77777777" w:rsidR="005745FD" w:rsidRPr="00563AD3" w:rsidRDefault="005745FD" w:rsidP="009C4701">
            <w:r w:rsidRPr="00563AD3">
              <w:t xml:space="preserve">Modification to method and content of health resource data to be collected including from medical records and NHS Digital (previously Health and Social Care Information Centre) </w:t>
            </w:r>
          </w:p>
        </w:tc>
      </w:tr>
      <w:tr w:rsidR="005745FD" w:rsidRPr="00563AD3" w14:paraId="41A55BDA" w14:textId="77777777" w:rsidTr="005542CA">
        <w:tc>
          <w:tcPr>
            <w:tcW w:w="507" w:type="pct"/>
          </w:tcPr>
          <w:p w14:paraId="514D51CE" w14:textId="77777777" w:rsidR="005745FD" w:rsidRPr="00563AD3" w:rsidRDefault="005745FD" w:rsidP="009C4701">
            <w:r w:rsidRPr="00563AD3">
              <w:t>SA2</w:t>
            </w:r>
          </w:p>
        </w:tc>
        <w:tc>
          <w:tcPr>
            <w:tcW w:w="457" w:type="pct"/>
          </w:tcPr>
          <w:p w14:paraId="1E482BBF" w14:textId="77777777" w:rsidR="005745FD" w:rsidRPr="00563AD3" w:rsidRDefault="005745FD" w:rsidP="009C4701">
            <w:r w:rsidRPr="00563AD3">
              <w:t>22/4/2014</w:t>
            </w:r>
          </w:p>
        </w:tc>
        <w:tc>
          <w:tcPr>
            <w:tcW w:w="4036" w:type="pct"/>
          </w:tcPr>
          <w:p w14:paraId="51C3050B" w14:textId="77777777" w:rsidR="005745FD" w:rsidRPr="00563AD3" w:rsidRDefault="005745FD" w:rsidP="009C4701">
            <w:r w:rsidRPr="00563AD3">
              <w:t>Modifications to care home information sheet to improve clarity and provide additional information following review by the PPI panel</w:t>
            </w:r>
          </w:p>
        </w:tc>
      </w:tr>
      <w:tr w:rsidR="005745FD" w:rsidRPr="00563AD3" w14:paraId="1FED12A7" w14:textId="77777777" w:rsidTr="005542CA">
        <w:tc>
          <w:tcPr>
            <w:tcW w:w="507" w:type="pct"/>
          </w:tcPr>
          <w:p w14:paraId="7FC18066" w14:textId="77777777" w:rsidR="005745FD" w:rsidRPr="00563AD3" w:rsidRDefault="005745FD" w:rsidP="009C4701">
            <w:r w:rsidRPr="00563AD3">
              <w:t>SA3</w:t>
            </w:r>
          </w:p>
        </w:tc>
        <w:tc>
          <w:tcPr>
            <w:tcW w:w="457" w:type="pct"/>
          </w:tcPr>
          <w:p w14:paraId="3D67D0D3" w14:textId="77777777" w:rsidR="005745FD" w:rsidRPr="00563AD3" w:rsidRDefault="005745FD" w:rsidP="009C4701">
            <w:r w:rsidRPr="00563AD3">
              <w:t>26/6/2014</w:t>
            </w:r>
          </w:p>
        </w:tc>
        <w:tc>
          <w:tcPr>
            <w:tcW w:w="4036" w:type="pct"/>
          </w:tcPr>
          <w:p w14:paraId="52C30D96" w14:textId="77777777" w:rsidR="005745FD" w:rsidRPr="00563AD3" w:rsidRDefault="005745FD" w:rsidP="009C4701">
            <w:r w:rsidRPr="00563AD3">
              <w:t xml:space="preserve">Modifications to: care home recruitment process; resident, staff and relative eligibility criteria; screening of proxy informants; clarification of mutually exclusive staff roles; translation of trial documentation; amendment of assessment measures to be used; process for completion of independent assessments; monitoring of DCM™ implementation; relative/friend withdrawal; resident safety monitoring; establishment of a DMEC; information included on participant information sheets and consent (mapper, staff proxy and resident including consultees) documents; and development of a short form of the resident information sheet. </w:t>
            </w:r>
          </w:p>
        </w:tc>
      </w:tr>
      <w:tr w:rsidR="005745FD" w:rsidRPr="00563AD3" w14:paraId="34F51F4B" w14:textId="77777777" w:rsidTr="005542CA">
        <w:tc>
          <w:tcPr>
            <w:tcW w:w="507" w:type="pct"/>
          </w:tcPr>
          <w:p w14:paraId="64F15E5E" w14:textId="77777777" w:rsidR="005745FD" w:rsidRPr="00563AD3" w:rsidRDefault="005745FD" w:rsidP="009C4701">
            <w:r w:rsidRPr="00563AD3">
              <w:t>SA4</w:t>
            </w:r>
          </w:p>
        </w:tc>
        <w:tc>
          <w:tcPr>
            <w:tcW w:w="457" w:type="pct"/>
          </w:tcPr>
          <w:p w14:paraId="1ABE23DA" w14:textId="77777777" w:rsidR="005745FD" w:rsidRPr="00563AD3" w:rsidRDefault="005745FD" w:rsidP="009C4701">
            <w:r w:rsidRPr="00563AD3">
              <w:t>10/9/2014</w:t>
            </w:r>
          </w:p>
        </w:tc>
        <w:tc>
          <w:tcPr>
            <w:tcW w:w="4036" w:type="pct"/>
          </w:tcPr>
          <w:p w14:paraId="0B7224A9" w14:textId="77777777" w:rsidR="005745FD" w:rsidRPr="00563AD3" w:rsidRDefault="005745FD" w:rsidP="009C4701">
            <w:r w:rsidRPr="00563AD3">
              <w:t>Personal Consultee introductory letter and reminder; and relative/friend proxy informant introductory letter approved.</w:t>
            </w:r>
          </w:p>
        </w:tc>
      </w:tr>
      <w:tr w:rsidR="005745FD" w:rsidRPr="00563AD3" w14:paraId="34B09A87" w14:textId="77777777" w:rsidTr="005542CA">
        <w:tc>
          <w:tcPr>
            <w:tcW w:w="507" w:type="pct"/>
          </w:tcPr>
          <w:p w14:paraId="3ABE470E" w14:textId="77777777" w:rsidR="005745FD" w:rsidRPr="00563AD3" w:rsidRDefault="005745FD" w:rsidP="009C4701">
            <w:r w:rsidRPr="00563AD3">
              <w:t>SA5</w:t>
            </w:r>
          </w:p>
        </w:tc>
        <w:tc>
          <w:tcPr>
            <w:tcW w:w="457" w:type="pct"/>
          </w:tcPr>
          <w:p w14:paraId="30B8B084" w14:textId="77777777" w:rsidR="005745FD" w:rsidRPr="00563AD3" w:rsidRDefault="005745FD" w:rsidP="009C4701">
            <w:r w:rsidRPr="00563AD3">
              <w:t>15/1/2015</w:t>
            </w:r>
          </w:p>
        </w:tc>
        <w:tc>
          <w:tcPr>
            <w:tcW w:w="4036" w:type="pct"/>
          </w:tcPr>
          <w:p w14:paraId="385875EB" w14:textId="77777777" w:rsidR="005745FD" w:rsidRPr="00563AD3" w:rsidRDefault="005745FD" w:rsidP="009C4701">
            <w:r w:rsidRPr="00563AD3">
              <w:t>GP letter to accompany guidance on antipsychotic prescribing approved</w:t>
            </w:r>
          </w:p>
        </w:tc>
      </w:tr>
      <w:tr w:rsidR="005745FD" w:rsidRPr="00563AD3" w14:paraId="00CCC8BF" w14:textId="77777777" w:rsidTr="005542CA">
        <w:tc>
          <w:tcPr>
            <w:tcW w:w="507" w:type="pct"/>
          </w:tcPr>
          <w:p w14:paraId="762504EE" w14:textId="77777777" w:rsidR="005745FD" w:rsidRPr="00563AD3" w:rsidRDefault="005745FD" w:rsidP="009C4701">
            <w:r w:rsidRPr="00563AD3">
              <w:t>SA6</w:t>
            </w:r>
          </w:p>
        </w:tc>
        <w:tc>
          <w:tcPr>
            <w:tcW w:w="457" w:type="pct"/>
          </w:tcPr>
          <w:p w14:paraId="053B2124" w14:textId="77777777" w:rsidR="005745FD" w:rsidRPr="00563AD3" w:rsidRDefault="005745FD" w:rsidP="009C4701">
            <w:r w:rsidRPr="00563AD3">
              <w:t>15/1/2015</w:t>
            </w:r>
          </w:p>
        </w:tc>
        <w:tc>
          <w:tcPr>
            <w:tcW w:w="4036" w:type="pct"/>
          </w:tcPr>
          <w:p w14:paraId="48730D29" w14:textId="77777777" w:rsidR="005745FD" w:rsidRPr="00563AD3" w:rsidRDefault="005745FD" w:rsidP="009C4701">
            <w:r w:rsidRPr="00563AD3">
              <w:t>Change of sponsor; modification to care home eligibility criteria; modification to resident eligibility criteria; modification to randomisation stratification criteria.</w:t>
            </w:r>
          </w:p>
        </w:tc>
      </w:tr>
      <w:tr w:rsidR="005745FD" w:rsidRPr="00563AD3" w14:paraId="7D39B827" w14:textId="77777777" w:rsidTr="005542CA">
        <w:tc>
          <w:tcPr>
            <w:tcW w:w="507" w:type="pct"/>
          </w:tcPr>
          <w:p w14:paraId="4B3DFB9D" w14:textId="77777777" w:rsidR="005745FD" w:rsidRPr="00563AD3" w:rsidRDefault="005745FD" w:rsidP="009C4701">
            <w:r w:rsidRPr="00563AD3">
              <w:t>SA7</w:t>
            </w:r>
          </w:p>
        </w:tc>
        <w:tc>
          <w:tcPr>
            <w:tcW w:w="457" w:type="pct"/>
          </w:tcPr>
          <w:p w14:paraId="23EA80AB" w14:textId="77777777" w:rsidR="005745FD" w:rsidRPr="00563AD3" w:rsidRDefault="005745FD" w:rsidP="009C4701">
            <w:r w:rsidRPr="00563AD3">
              <w:t>22/10/2015</w:t>
            </w:r>
          </w:p>
        </w:tc>
        <w:tc>
          <w:tcPr>
            <w:tcW w:w="4036" w:type="pct"/>
          </w:tcPr>
          <w:p w14:paraId="7656DBC3" w14:textId="77777777" w:rsidR="005745FD" w:rsidRPr="00563AD3" w:rsidRDefault="005745FD" w:rsidP="009C4701">
            <w:r w:rsidRPr="00563AD3">
              <w:t xml:space="preserve">Modification to requirements for witnessing resident consent; addition of text message reminders for mappers; and modifications to participant information sheets and consent forms </w:t>
            </w:r>
          </w:p>
        </w:tc>
      </w:tr>
      <w:tr w:rsidR="005745FD" w:rsidRPr="00563AD3" w14:paraId="1F3D6CB2" w14:textId="77777777" w:rsidTr="005542CA">
        <w:tc>
          <w:tcPr>
            <w:tcW w:w="507" w:type="pct"/>
          </w:tcPr>
          <w:p w14:paraId="2A5ABB29" w14:textId="77777777" w:rsidR="005745FD" w:rsidRPr="00563AD3" w:rsidRDefault="005745FD" w:rsidP="009C4701">
            <w:r w:rsidRPr="00563AD3">
              <w:t>SA8</w:t>
            </w:r>
          </w:p>
        </w:tc>
        <w:tc>
          <w:tcPr>
            <w:tcW w:w="457" w:type="pct"/>
          </w:tcPr>
          <w:p w14:paraId="75CAEBA2" w14:textId="77777777" w:rsidR="005745FD" w:rsidRPr="00563AD3" w:rsidRDefault="005745FD" w:rsidP="009C4701">
            <w:r w:rsidRPr="00563AD3">
              <w:t>4/2/2016</w:t>
            </w:r>
          </w:p>
        </w:tc>
        <w:tc>
          <w:tcPr>
            <w:tcW w:w="4036" w:type="pct"/>
          </w:tcPr>
          <w:p w14:paraId="04BE9A98" w14:textId="77777777" w:rsidR="005745FD" w:rsidRPr="00563AD3" w:rsidRDefault="005745FD" w:rsidP="009C4701">
            <w:r w:rsidRPr="00563AD3">
              <w:t xml:space="preserve">Detail added to the protocol on conduct of the process evaluation; modifications to staff measures booklet; modification to continued attempts to recruit relative/friend proxy informants post-baseline; and modifications to participant information sheets. </w:t>
            </w:r>
          </w:p>
        </w:tc>
      </w:tr>
      <w:tr w:rsidR="005745FD" w:rsidRPr="00563AD3" w14:paraId="7775AA04" w14:textId="77777777" w:rsidTr="005542CA">
        <w:tc>
          <w:tcPr>
            <w:tcW w:w="507" w:type="pct"/>
          </w:tcPr>
          <w:p w14:paraId="127FBA57" w14:textId="77777777" w:rsidR="005745FD" w:rsidRPr="00563AD3" w:rsidRDefault="005745FD" w:rsidP="009C4701">
            <w:r w:rsidRPr="00563AD3">
              <w:t>SA9</w:t>
            </w:r>
          </w:p>
        </w:tc>
        <w:tc>
          <w:tcPr>
            <w:tcW w:w="457" w:type="pct"/>
          </w:tcPr>
          <w:p w14:paraId="491C4EA2" w14:textId="77777777" w:rsidR="005745FD" w:rsidRPr="00563AD3" w:rsidRDefault="005745FD" w:rsidP="009C4701">
            <w:r w:rsidRPr="00563AD3">
              <w:t>15/4/2016</w:t>
            </w:r>
          </w:p>
        </w:tc>
        <w:tc>
          <w:tcPr>
            <w:tcW w:w="4036" w:type="pct"/>
          </w:tcPr>
          <w:p w14:paraId="5E016B13" w14:textId="77777777" w:rsidR="005745FD" w:rsidRPr="00563AD3" w:rsidRDefault="005745FD" w:rsidP="009C4701">
            <w:r w:rsidRPr="00563AD3">
              <w:t>Change to open cohort design, additional recruitment of resident participants at 16-month follow up and associated changes to trial documentation approved; modification to staff proxy informant consent processes; modification regarding requirements to check care home indemnity insurance; introduction/modification of documents to support process evaluation and to proposed process evaluation methods and processes; and modification to process for assessing ongoing capacity of Personal Consultees.</w:t>
            </w:r>
          </w:p>
        </w:tc>
      </w:tr>
      <w:tr w:rsidR="005745FD" w:rsidRPr="00563AD3" w14:paraId="1BD40419" w14:textId="77777777" w:rsidTr="005542CA">
        <w:tc>
          <w:tcPr>
            <w:tcW w:w="507" w:type="pct"/>
          </w:tcPr>
          <w:p w14:paraId="78084DCA" w14:textId="77777777" w:rsidR="005745FD" w:rsidRPr="00563AD3" w:rsidRDefault="005745FD" w:rsidP="009C4701">
            <w:r w:rsidRPr="00563AD3">
              <w:t>SA10</w:t>
            </w:r>
          </w:p>
        </w:tc>
        <w:tc>
          <w:tcPr>
            <w:tcW w:w="457" w:type="pct"/>
          </w:tcPr>
          <w:p w14:paraId="719D45C7" w14:textId="77777777" w:rsidR="005745FD" w:rsidRPr="00563AD3" w:rsidRDefault="005745FD" w:rsidP="009C4701">
            <w:r w:rsidRPr="00563AD3">
              <w:t>25/7/2016</w:t>
            </w:r>
          </w:p>
        </w:tc>
        <w:tc>
          <w:tcPr>
            <w:tcW w:w="4036" w:type="pct"/>
          </w:tcPr>
          <w:p w14:paraId="398AC5D3" w14:textId="77777777" w:rsidR="005745FD" w:rsidRPr="00563AD3" w:rsidRDefault="005745FD" w:rsidP="009C4701">
            <w:r w:rsidRPr="00563AD3">
              <w:t xml:space="preserve">Modification to data collected during process evaluation; additional text messages to remind mappers about mutually exclusive staff roles. </w:t>
            </w:r>
          </w:p>
        </w:tc>
      </w:tr>
    </w:tbl>
    <w:p w14:paraId="40E0F024" w14:textId="77777777" w:rsidR="005542CA" w:rsidRDefault="005542CA" w:rsidP="009B13F3">
      <w:pPr>
        <w:sectPr w:rsidR="005542CA" w:rsidSect="005542CA">
          <w:pgSz w:w="16838" w:h="11906" w:orient="landscape"/>
          <w:pgMar w:top="1440" w:right="1440" w:bottom="1440" w:left="1440" w:header="708" w:footer="708" w:gutter="0"/>
          <w:cols w:space="708"/>
          <w:docGrid w:linePitch="360"/>
        </w:sectPr>
      </w:pPr>
    </w:p>
    <w:p w14:paraId="2D50619C" w14:textId="37914B34" w:rsidR="007D52B9" w:rsidRPr="00563AD3" w:rsidRDefault="005330A8" w:rsidP="009B13F3">
      <w:r w:rsidRPr="00157E18">
        <w:t xml:space="preserve">(See Appendix </w:t>
      </w:r>
      <w:r w:rsidR="00CC68C0">
        <w:t>3</w:t>
      </w:r>
      <w:r w:rsidRPr="00157E18">
        <w:t>)</w:t>
      </w:r>
      <w:r w:rsidR="0031558D" w:rsidRPr="00157E18">
        <w:t>.</w:t>
      </w:r>
      <w:r w:rsidR="0031558D" w:rsidRPr="00563AD3">
        <w:t xml:space="preserve"> </w:t>
      </w:r>
      <w:r w:rsidR="007D52B9" w:rsidRPr="00563AD3">
        <w:t xml:space="preserve">All those consenting to take part (residents already participating in the trial and consented at baseline, as well as additional residents consenting at 16-months), provided data at 16-months. </w:t>
      </w:r>
    </w:p>
    <w:p w14:paraId="233CD2A7" w14:textId="5BFEDD49" w:rsidR="007D52B9" w:rsidRPr="00563AD3" w:rsidRDefault="007D52B9" w:rsidP="009B13F3">
      <w:r w:rsidRPr="00563AD3">
        <w:t xml:space="preserve">The key impact of this </w:t>
      </w:r>
      <w:r w:rsidR="002D5821" w:rsidRPr="00563AD3">
        <w:t>design change</w:t>
      </w:r>
      <w:r w:rsidRPr="00563AD3">
        <w:t xml:space="preserve"> was to increase the size of the cohort at follow-up to maintain the power of the trial and its ability to detect the effect size of 0.4 with 90% power</w:t>
      </w:r>
      <w:r w:rsidR="00BB6C59">
        <w:t xml:space="preserve">, see Appendix </w:t>
      </w:r>
      <w:r w:rsidR="00CC68C0">
        <w:t>3</w:t>
      </w:r>
      <w:r w:rsidR="00BB6C59">
        <w:t>, Table 67</w:t>
      </w:r>
      <w:r w:rsidRPr="00563AD3">
        <w:t xml:space="preserve">. </w:t>
      </w:r>
    </w:p>
    <w:p w14:paraId="53D9F255" w14:textId="4A83256A" w:rsidR="007D52B9" w:rsidRPr="00563AD3" w:rsidRDefault="0021527F" w:rsidP="009B13F3">
      <w:pPr>
        <w:pStyle w:val="Heading4"/>
      </w:pPr>
      <w:r w:rsidRPr="00563AD3">
        <w:t>2</w:t>
      </w:r>
      <w:r w:rsidR="007D52B9" w:rsidRPr="00563AD3">
        <w:t>.</w:t>
      </w:r>
      <w:r w:rsidR="001C3D97" w:rsidRPr="00563AD3">
        <w:t>10</w:t>
      </w:r>
      <w:r w:rsidR="007D52B9" w:rsidRPr="00563AD3">
        <w:t>.2.1 Sample size calculations</w:t>
      </w:r>
    </w:p>
    <w:p w14:paraId="031F9486" w14:textId="2C1E27AE" w:rsidR="00880D08" w:rsidRPr="00563AD3" w:rsidRDefault="007D52B9" w:rsidP="009B13F3">
      <w:r w:rsidRPr="00563AD3">
        <w:t>With an</w:t>
      </w:r>
      <w:r w:rsidR="00083258" w:rsidRPr="00563AD3">
        <w:t xml:space="preserve"> estimated 48</w:t>
      </w:r>
      <w:r w:rsidRPr="00563AD3">
        <w:t>% loss to follow up, we expected to lose 360 residents before 16-month follow-up</w:t>
      </w:r>
      <w:r w:rsidR="002D5821" w:rsidRPr="00563AD3">
        <w:t>,</w:t>
      </w:r>
      <w:r w:rsidRPr="00563AD3">
        <w:t xml:space="preserve"> </w:t>
      </w:r>
      <w:r w:rsidR="00083258" w:rsidRPr="00563AD3">
        <w:t>resulting in</w:t>
      </w:r>
      <w:r w:rsidR="002D5821" w:rsidRPr="00563AD3">
        <w:t xml:space="preserve"> data at all three time-</w:t>
      </w:r>
      <w:r w:rsidRPr="00563AD3">
        <w:t xml:space="preserve">points from 388 residents. All the other parameters – significance level, 2-sided test, ICC of 0.1 </w:t>
      </w:r>
      <w:r w:rsidR="00083258" w:rsidRPr="00563AD3">
        <w:t>remained</w:t>
      </w:r>
      <w:r w:rsidRPr="00563AD3">
        <w:t xml:space="preserve"> the same. </w:t>
      </w:r>
      <w:r w:rsidR="00880D08" w:rsidRPr="00563AD3">
        <w:t xml:space="preserve">Consideration was given to recruiting only a proportion of eligible residents at each home at 16-months). </w:t>
      </w:r>
    </w:p>
    <w:p w14:paraId="6B3290E6" w14:textId="05511F6B" w:rsidR="007D52B9" w:rsidRPr="00563AD3" w:rsidRDefault="0031558D" w:rsidP="009B13F3">
      <w:r w:rsidRPr="00563AD3">
        <w:t>T</w:t>
      </w:r>
      <w:r w:rsidR="007D52B9" w:rsidRPr="00563AD3">
        <w:t xml:space="preserve">hree </w:t>
      </w:r>
      <w:r w:rsidR="00880D08" w:rsidRPr="00563AD3">
        <w:t xml:space="preserve">possible </w:t>
      </w:r>
      <w:r w:rsidR="007D52B9" w:rsidRPr="00563AD3">
        <w:t>scenarios of additional recruitment</w:t>
      </w:r>
      <w:r w:rsidRPr="00563AD3">
        <w:t xml:space="preserve"> were considered</w:t>
      </w:r>
      <w:r w:rsidR="007D52B9" w:rsidRPr="00563AD3">
        <w:t xml:space="preserve"> (an average of 3 additional residents per care home; recruiting 35% of residents lost at follow up in each care home; replacing </w:t>
      </w:r>
      <w:r w:rsidR="00880D08" w:rsidRPr="00563AD3">
        <w:t xml:space="preserve">only </w:t>
      </w:r>
      <w:r w:rsidR="007D52B9" w:rsidRPr="00563AD3">
        <w:t>25% of residents lost to follow up in each care home) and all provided sufficient power to det</w:t>
      </w:r>
      <w:r w:rsidR="00083258" w:rsidRPr="00563AD3">
        <w:t xml:space="preserve">ect the effect size of 0.4 (89%, 91%, </w:t>
      </w:r>
      <w:r w:rsidR="007D52B9" w:rsidRPr="00563AD3">
        <w:t>90% power</w:t>
      </w:r>
      <w:r w:rsidR="00083258" w:rsidRPr="00563AD3">
        <w:t xml:space="preserve"> respectively</w:t>
      </w:r>
      <w:r w:rsidR="007D52B9" w:rsidRPr="00563AD3">
        <w:t>).</w:t>
      </w:r>
      <w:r w:rsidR="00880D08" w:rsidRPr="00563AD3">
        <w:t xml:space="preserve"> The TMG, oversight committees (TSC and DMEC) and funder agreed that </w:t>
      </w:r>
      <w:r w:rsidRPr="00563AD3">
        <w:t>imposing a recruitment ceiling at 16-months</w:t>
      </w:r>
      <w:r w:rsidR="00880D08" w:rsidRPr="00563AD3">
        <w:t xml:space="preserve"> would be open to selection bias,</w:t>
      </w:r>
      <w:r w:rsidR="00C61075" w:rsidRPr="00563AD3">
        <w:t xml:space="preserve"> and</w:t>
      </w:r>
      <w:r w:rsidR="00880D08" w:rsidRPr="00563AD3">
        <w:t xml:space="preserve"> that statistical power and the ability to generalise could be limited. Recruitment processes could also be protracted </w:t>
      </w:r>
      <w:r w:rsidR="00083258" w:rsidRPr="00563AD3">
        <w:t>due to</w:t>
      </w:r>
      <w:r w:rsidR="00880D08" w:rsidRPr="00563AD3">
        <w:t xml:space="preserve"> allowing time f</w:t>
      </w:r>
      <w:r w:rsidR="00C61075" w:rsidRPr="00563AD3">
        <w:t xml:space="preserve">or decision-making via </w:t>
      </w:r>
      <w:r w:rsidRPr="00563AD3">
        <w:t>p</w:t>
      </w:r>
      <w:r w:rsidR="00C61075" w:rsidRPr="00563AD3">
        <w:t xml:space="preserve">ersonal </w:t>
      </w:r>
      <w:r w:rsidRPr="00563AD3">
        <w:t>c</w:t>
      </w:r>
      <w:r w:rsidR="00C61075" w:rsidRPr="00563AD3">
        <w:t xml:space="preserve">onsultee </w:t>
      </w:r>
      <w:r w:rsidR="00880D08" w:rsidRPr="00563AD3">
        <w:t xml:space="preserve">i.e. should this be </w:t>
      </w:r>
      <w:r w:rsidR="00C61075" w:rsidRPr="00563AD3">
        <w:t>a refusal to take part</w:t>
      </w:r>
      <w:r w:rsidR="00880D08" w:rsidRPr="00563AD3">
        <w:t>, further resident-consultee dyads would then need to be approached, so considerably leng</w:t>
      </w:r>
      <w:r w:rsidR="002B20F2" w:rsidRPr="00563AD3">
        <w:t xml:space="preserve">thening the recruitment process, </w:t>
      </w:r>
      <w:r w:rsidR="00880D08" w:rsidRPr="00563AD3">
        <w:t xml:space="preserve">researcher workload </w:t>
      </w:r>
      <w:r w:rsidR="002B20F2" w:rsidRPr="00563AD3">
        <w:t>and thus cost</w:t>
      </w:r>
      <w:r w:rsidR="00880D08" w:rsidRPr="00563AD3">
        <w:t>.</w:t>
      </w:r>
    </w:p>
    <w:p w14:paraId="74020367" w14:textId="09393016" w:rsidR="007D52B9" w:rsidRPr="00563AD3" w:rsidRDefault="009C0276" w:rsidP="009B13F3">
      <w:r w:rsidRPr="00563AD3">
        <w:t>R</w:t>
      </w:r>
      <w:r w:rsidR="007D52B9" w:rsidRPr="00563AD3">
        <w:t xml:space="preserve">esearchers </w:t>
      </w:r>
      <w:r w:rsidRPr="00563AD3">
        <w:t>were</w:t>
      </w:r>
      <w:r w:rsidR="00880D08" w:rsidRPr="00563AD3">
        <w:t xml:space="preserve"> therefore,</w:t>
      </w:r>
      <w:r w:rsidRPr="00563AD3">
        <w:t xml:space="preserve"> instructed </w:t>
      </w:r>
      <w:r w:rsidR="007D52B9" w:rsidRPr="00563AD3">
        <w:t>to recruit as many residents as possible in order to minimise bias</w:t>
      </w:r>
      <w:r w:rsidR="00083258" w:rsidRPr="00563AD3">
        <w:t>.</w:t>
      </w:r>
      <w:r w:rsidRPr="00563AD3">
        <w:t xml:space="preserve"> </w:t>
      </w:r>
      <w:r w:rsidR="00083258" w:rsidRPr="00563AD3">
        <w:t>Numbers were</w:t>
      </w:r>
      <w:r w:rsidRPr="00563AD3">
        <w:t xml:space="preserve"> monitored to ensure </w:t>
      </w:r>
      <w:r w:rsidR="007D52B9" w:rsidRPr="00563AD3">
        <w:t xml:space="preserve">at least </w:t>
      </w:r>
      <w:r w:rsidR="002B20F2" w:rsidRPr="00563AD3">
        <w:t>three</w:t>
      </w:r>
      <w:r w:rsidR="007D52B9" w:rsidRPr="00563AD3">
        <w:t xml:space="preserve"> extra residents from each remaining care home</w:t>
      </w:r>
      <w:r w:rsidRPr="00563AD3">
        <w:t xml:space="preserve"> </w:t>
      </w:r>
      <w:r w:rsidR="00083258" w:rsidRPr="00563AD3">
        <w:t>were recruited</w:t>
      </w:r>
      <w:r w:rsidR="007D52B9" w:rsidRPr="00563AD3">
        <w:t xml:space="preserve">. </w:t>
      </w:r>
    </w:p>
    <w:p w14:paraId="0C498F51" w14:textId="12F67136" w:rsidR="007D52B9" w:rsidRPr="00563AD3" w:rsidRDefault="007D52B9" w:rsidP="009B13F3">
      <w:r w:rsidRPr="00563AD3">
        <w:t>B</w:t>
      </w:r>
      <w:r w:rsidR="00B4508E" w:rsidRPr="00563AD3">
        <w:t>enefits of the</w:t>
      </w:r>
      <w:r w:rsidRPr="00563AD3">
        <w:t xml:space="preserve"> design change </w:t>
      </w:r>
      <w:r w:rsidR="00B4508E" w:rsidRPr="00563AD3">
        <w:t>we</w:t>
      </w:r>
      <w:r w:rsidRPr="00563AD3">
        <w:t xml:space="preserve">re: </w:t>
      </w:r>
    </w:p>
    <w:p w14:paraId="7D0BC481" w14:textId="0974E569" w:rsidR="007D52B9" w:rsidRPr="00563AD3" w:rsidRDefault="007D52B9" w:rsidP="009B13F3">
      <w:r w:rsidRPr="00563AD3">
        <w:t xml:space="preserve">a) </w:t>
      </w:r>
      <w:r w:rsidR="000F12A0" w:rsidRPr="00563AD3">
        <w:t xml:space="preserve">ability </w:t>
      </w:r>
      <w:r w:rsidRPr="00563AD3">
        <w:t xml:space="preserve">to detect intervention effects at the care home level (as the intervention is aimed at the whole care home); </w:t>
      </w:r>
    </w:p>
    <w:p w14:paraId="477E7DE7" w14:textId="29D256E2" w:rsidR="007D52B9" w:rsidRPr="00563AD3" w:rsidRDefault="00083258" w:rsidP="009B13F3">
      <w:r w:rsidRPr="00563AD3">
        <w:t xml:space="preserve">b) </w:t>
      </w:r>
      <w:r w:rsidR="007D52B9" w:rsidRPr="00563AD3">
        <w:t xml:space="preserve">conclusions </w:t>
      </w:r>
      <w:r w:rsidR="00B4508E" w:rsidRPr="00563AD3">
        <w:t>could</w:t>
      </w:r>
      <w:r w:rsidR="007D52B9" w:rsidRPr="00563AD3">
        <w:t xml:space="preserve"> be generalised to a broader population of residents (i.e. not just to those sti</w:t>
      </w:r>
      <w:r w:rsidRPr="00563AD3">
        <w:t>ll residing in the care home 16-</w:t>
      </w:r>
      <w:r w:rsidR="007D52B9" w:rsidRPr="00563AD3">
        <w:t xml:space="preserve">months following randomisation); </w:t>
      </w:r>
    </w:p>
    <w:p w14:paraId="5AB0D644" w14:textId="0EAFF384" w:rsidR="007D52B9" w:rsidRPr="00563AD3" w:rsidRDefault="007D52B9" w:rsidP="009B13F3">
      <w:r w:rsidRPr="00563AD3">
        <w:t xml:space="preserve">c) we </w:t>
      </w:r>
      <w:r w:rsidR="00B4508E" w:rsidRPr="00563AD3">
        <w:t>would</w:t>
      </w:r>
      <w:r w:rsidRPr="00563AD3">
        <w:t xml:space="preserve"> be able to analyse </w:t>
      </w:r>
      <w:r w:rsidR="00323892" w:rsidRPr="00563AD3">
        <w:t xml:space="preserve">the data for </w:t>
      </w:r>
      <w:r w:rsidRPr="00563AD3">
        <w:t xml:space="preserve">a cross-sectional (i.e. open cohort) and closed cohort (longitudinal) design; </w:t>
      </w:r>
    </w:p>
    <w:p w14:paraId="4D18D641" w14:textId="6DDD960B" w:rsidR="007D52B9" w:rsidRPr="00563AD3" w:rsidRDefault="007D52B9" w:rsidP="009B13F3">
      <w:r w:rsidRPr="00563AD3">
        <w:t>d) we minimise</w:t>
      </w:r>
      <w:r w:rsidR="00B4508E" w:rsidRPr="00563AD3">
        <w:t>d</w:t>
      </w:r>
      <w:r w:rsidRPr="00563AD3">
        <w:t xml:space="preserve"> selection bias by providing an objective criterion for inclusion (all eligible consenting residents); </w:t>
      </w:r>
    </w:p>
    <w:p w14:paraId="4CE05680" w14:textId="59C8EDA7" w:rsidR="007D52B9" w:rsidRPr="00563AD3" w:rsidRDefault="00083258" w:rsidP="009B13F3">
      <w:r w:rsidRPr="00563AD3">
        <w:t xml:space="preserve">e) </w:t>
      </w:r>
      <w:r w:rsidR="007D52B9" w:rsidRPr="00563AD3">
        <w:t>recruitment process</w:t>
      </w:r>
      <w:r w:rsidR="00B4508E" w:rsidRPr="00563AD3">
        <w:t>es</w:t>
      </w:r>
      <w:r w:rsidR="007D52B9" w:rsidRPr="00563AD3">
        <w:t xml:space="preserve"> </w:t>
      </w:r>
      <w:r w:rsidR="00B4508E" w:rsidRPr="00563AD3">
        <w:t>were</w:t>
      </w:r>
      <w:r w:rsidR="007D52B9" w:rsidRPr="00563AD3">
        <w:t xml:space="preserve"> resource-eff</w:t>
      </w:r>
      <w:r w:rsidRPr="00563AD3">
        <w:t>icient</w:t>
      </w:r>
      <w:r w:rsidR="007D52B9" w:rsidRPr="00563AD3">
        <w:t xml:space="preserve"> since all eligible residents </w:t>
      </w:r>
      <w:r w:rsidR="00B4508E" w:rsidRPr="00563AD3">
        <w:t>were</w:t>
      </w:r>
      <w:r w:rsidR="007D52B9" w:rsidRPr="00563AD3">
        <w:t xml:space="preserve"> approached to participate at a single time-point; </w:t>
      </w:r>
      <w:r w:rsidR="00323892" w:rsidRPr="00563AD3">
        <w:t>and</w:t>
      </w:r>
    </w:p>
    <w:p w14:paraId="55635300" w14:textId="0525D736" w:rsidR="007D52B9" w:rsidRPr="00563AD3" w:rsidRDefault="007D52B9" w:rsidP="009B13F3">
      <w:r w:rsidRPr="00563AD3">
        <w:t xml:space="preserve">f) we </w:t>
      </w:r>
      <w:r w:rsidR="00B4508E" w:rsidRPr="00563AD3">
        <w:t>would</w:t>
      </w:r>
      <w:r w:rsidRPr="00563AD3">
        <w:t xml:space="preserve"> be less reliant on assumptions around </w:t>
      </w:r>
      <w:r w:rsidR="00C61075" w:rsidRPr="00563AD3">
        <w:t xml:space="preserve">imputation for </w:t>
      </w:r>
      <w:r w:rsidR="00323892" w:rsidRPr="00563AD3">
        <w:t>missing data</w:t>
      </w:r>
      <w:r w:rsidR="00C61075" w:rsidRPr="00563AD3">
        <w:t>.</w:t>
      </w:r>
    </w:p>
    <w:p w14:paraId="50AE3F84" w14:textId="77777777" w:rsidR="006E6169" w:rsidRPr="00563AD3" w:rsidRDefault="007D52B9" w:rsidP="009B13F3">
      <w:r w:rsidRPr="00563AD3">
        <w:t xml:space="preserve">As well as maintaining power and increasing generalisability, </w:t>
      </w:r>
      <w:r w:rsidR="00B4508E" w:rsidRPr="00563AD3">
        <w:t>the</w:t>
      </w:r>
      <w:r w:rsidRPr="00563AD3">
        <w:t xml:space="preserve"> </w:t>
      </w:r>
      <w:r w:rsidR="00B4508E" w:rsidRPr="00563AD3">
        <w:t xml:space="preserve">agreed </w:t>
      </w:r>
      <w:r w:rsidRPr="00563AD3">
        <w:t>design change</w:t>
      </w:r>
      <w:r w:rsidR="00B4508E" w:rsidRPr="00563AD3">
        <w:t xml:space="preserve"> incurred</w:t>
      </w:r>
      <w:r w:rsidRPr="00563AD3">
        <w:t xml:space="preserve"> minimal additional cost</w:t>
      </w:r>
      <w:r w:rsidR="00B4508E" w:rsidRPr="00563AD3">
        <w:t>.</w:t>
      </w:r>
      <w:r w:rsidRPr="00563AD3">
        <w:t xml:space="preserve"> </w:t>
      </w:r>
    </w:p>
    <w:p w14:paraId="463BEA16" w14:textId="3680CB2D" w:rsidR="007D52B9" w:rsidRPr="00563AD3" w:rsidRDefault="006E6169" w:rsidP="009B13F3">
      <w:r w:rsidRPr="00563AD3">
        <w:t>Three of the</w:t>
      </w:r>
      <w:r w:rsidR="004C53EE" w:rsidRPr="00563AD3">
        <w:t xml:space="preserve"> authors </w:t>
      </w:r>
      <w:r w:rsidRPr="00563AD3">
        <w:t xml:space="preserve">(RW, AF, CS) </w:t>
      </w:r>
      <w:r w:rsidR="004C53EE" w:rsidRPr="00563AD3">
        <w:t xml:space="preserve">have </w:t>
      </w:r>
      <w:r w:rsidRPr="00563AD3">
        <w:t xml:space="preserve">since </w:t>
      </w:r>
      <w:r w:rsidR="004C53EE" w:rsidRPr="00563AD3">
        <w:t xml:space="preserve">secured additional funding from the Medical Research Council </w:t>
      </w:r>
      <w:r w:rsidRPr="00563AD3">
        <w:fldChar w:fldCharType="begin"/>
      </w:r>
      <w:r w:rsidR="00411708">
        <w:instrText xml:space="preserve"> ADDIN EN.CITE &lt;EndNote&gt;&lt;Cite&gt;&lt;Author&gt;Walwyn&lt;/Author&gt;&lt;Year&gt;2019-21&lt;/Year&gt;&lt;RecNum&gt;1651&lt;/RecNum&gt;&lt;DisplayText&gt;&lt;style face="superscript"&gt;155&lt;/style&gt;&lt;/DisplayText&gt;&lt;record&gt;&lt;rec-number&gt;1651&lt;/rec-number&gt;&lt;foreign-keys&gt;&lt;key app="EN" db-id="wprxwptv75dtdree0t5x2ptmvadptw5fr2ww" timestamp="1497631365"&gt;1651&lt;/key&gt;&lt;/foreign-keys&gt;&lt;ref-type name="Grant"&gt;54&lt;/ref-type&gt;&lt;contributors&gt;&lt;authors&gt;&lt;author&gt;Walwyn, R.&lt;/author&gt;&lt;author&gt;Copas, A.&lt;/author&gt;&lt;author&gt;Farrin, A.&lt;/author&gt;&lt;author&gt;Surr, C. &lt;/author&gt;&lt;/authors&gt;&lt;/contributors&gt;&lt;titles&gt;&lt;title&gt;Open cohort designs for cluster randomised trials in institutional settings: A methodology bolt on to DCM-EPIC&lt;/title&gt;&lt;/titles&gt;&lt;volume&gt;£251,787&lt;/volume&gt;&lt;number&gt;Funded but under embargo during contracting phase&lt;/number&gt;&lt;dates&gt;&lt;year&gt;2019-21&lt;/year&gt;&lt;/dates&gt;&lt;publisher&gt;Medical Research Council&lt;/publisher&gt;&lt;urls&gt;&lt;/urls&gt;&lt;/record&gt;&lt;/Cite&gt;&lt;/EndNote&gt;</w:instrText>
      </w:r>
      <w:r w:rsidRPr="00563AD3">
        <w:fldChar w:fldCharType="separate"/>
      </w:r>
      <w:r w:rsidR="00411708" w:rsidRPr="00411708">
        <w:rPr>
          <w:noProof/>
          <w:vertAlign w:val="superscript"/>
        </w:rPr>
        <w:t>155</w:t>
      </w:r>
      <w:r w:rsidRPr="00563AD3">
        <w:fldChar w:fldCharType="end"/>
      </w:r>
      <w:r w:rsidR="004C53EE" w:rsidRPr="00563AD3">
        <w:t xml:space="preserve"> to conduct a methodology ‘bolt on’ to EPIC</w:t>
      </w:r>
      <w:r w:rsidR="00F535AF" w:rsidRPr="00563AD3">
        <w:t xml:space="preserve"> around the use of open-cohort designs in clinical trials.</w:t>
      </w:r>
      <w:r w:rsidRPr="00563AD3">
        <w:t xml:space="preserve"> This recognises the importance of considering alternative trial designs for the conduct of studies in populations with potential large loss to follow-up rates.</w:t>
      </w:r>
    </w:p>
    <w:p w14:paraId="02537C18" w14:textId="77777777" w:rsidR="00C2649C" w:rsidRPr="00563AD3" w:rsidRDefault="00C2649C" w:rsidP="009B13F3"/>
    <w:p w14:paraId="3C6E0AF9" w14:textId="566C5058" w:rsidR="00E73ABF" w:rsidRPr="00563AD3" w:rsidRDefault="00B4508E" w:rsidP="009B13F3">
      <w:pPr>
        <w:pStyle w:val="Heading4"/>
      </w:pPr>
      <w:r w:rsidRPr="00563AD3">
        <w:t>2.</w:t>
      </w:r>
      <w:r w:rsidR="001C3D97" w:rsidRPr="00563AD3">
        <w:t>10</w:t>
      </w:r>
      <w:r w:rsidRPr="00563AD3">
        <w:t xml:space="preserve">.2.2 </w:t>
      </w:r>
      <w:r w:rsidR="00BC4BEF" w:rsidRPr="00563AD3">
        <w:t>Resident eligibility (16-</w:t>
      </w:r>
      <w:r w:rsidR="00E73ABF" w:rsidRPr="00563AD3">
        <w:t>months post randomisation)</w:t>
      </w:r>
    </w:p>
    <w:p w14:paraId="7A8C0EDD" w14:textId="4EEE4E52" w:rsidR="00E73ABF" w:rsidRPr="00563AD3" w:rsidRDefault="0095320B" w:rsidP="009B13F3">
      <w:pPr>
        <w:rPr>
          <w:rFonts w:eastAsiaTheme="majorEastAsia"/>
        </w:rPr>
      </w:pPr>
      <w:r w:rsidRPr="00563AD3">
        <w:t>The</w:t>
      </w:r>
      <w:r w:rsidR="00B4508E" w:rsidRPr="00563AD3">
        <w:t xml:space="preserve"> following inclusion criteria were </w:t>
      </w:r>
      <w:r w:rsidR="00323892" w:rsidRPr="00563AD3">
        <w:t>applied</w:t>
      </w:r>
      <w:r w:rsidR="00B4508E" w:rsidRPr="00563AD3">
        <w:t xml:space="preserve"> for additional residents recruited at 16-month follow-up: </w:t>
      </w:r>
      <w:r w:rsidR="00E73ABF" w:rsidRPr="00563AD3">
        <w:t>a permanent resident within the care home or unit(s) taking part</w:t>
      </w:r>
      <w:r w:rsidR="00B4508E" w:rsidRPr="00563AD3">
        <w:t xml:space="preserve"> in the trial; had a </w:t>
      </w:r>
      <w:r w:rsidR="00E73ABF" w:rsidRPr="00563AD3">
        <w:t>formal diagnosis of dementia or score</w:t>
      </w:r>
      <w:r w:rsidR="00B4508E" w:rsidRPr="00563AD3">
        <w:t>d</w:t>
      </w:r>
      <w:r w:rsidR="00E73ABF" w:rsidRPr="00563AD3">
        <w:t xml:space="preserve"> 4+ on FAST </w:t>
      </w:r>
      <w:r w:rsidR="00E73ABF" w:rsidRPr="00563AD3">
        <w:fldChar w:fldCharType="begin"/>
      </w:r>
      <w:r w:rsidR="008C7FD1">
        <w:instrText xml:space="preserve"> ADDIN EN.CITE &lt;EndNote&gt;&lt;Cite&gt;&lt;Author&gt;Reisberg&lt;/Author&gt;&lt;Year&gt;1988&lt;/Year&gt;&lt;RecNum&gt;1195&lt;/RecNum&gt;&lt;DisplayText&gt;&lt;style face="superscript"&gt;102&lt;/style&gt;&lt;/DisplayText&gt;&lt;record&gt;&lt;rec-number&gt;1195&lt;/rec-number&gt;&lt;foreign-keys&gt;&lt;key app="EN" db-id="wprxwptv75dtdree0t5x2ptmvadptw5fr2ww" timestamp="1320951591"&gt;1195&lt;/key&gt;&lt;/foreign-keys&gt;&lt;ref-type name="Journal Article"&gt;17&lt;/ref-type&gt;&lt;contributors&gt;&lt;authors&gt;&lt;author&gt;Reisberg, B.&lt;/author&gt;&lt;/authors&gt;&lt;/contributors&gt;&lt;titles&gt;&lt;title&gt;Functional assessment staging (FAST)&lt;/title&gt;&lt;secondary-title&gt;Psychopharmacology Bulletin&lt;/secondary-title&gt;&lt;/titles&gt;&lt;periodical&gt;&lt;full-title&gt;Psychopharmacology Bulletin&lt;/full-title&gt;&lt;abbr-1&gt;Psychopharmacol. Bull.&lt;/abbr-1&gt;&lt;abbr-2&gt;Psychopharmacol Bull&lt;/abbr-2&gt;&lt;/periodical&gt;&lt;pages&gt;653-59&lt;/pages&gt;&lt;volume&gt;24&lt;/volume&gt;&lt;dates&gt;&lt;year&gt;1988&lt;/year&gt;&lt;/dates&gt;&lt;urls&gt;&lt;/urls&gt;&lt;/record&gt;&lt;/Cite&gt;&lt;/EndNote&gt;</w:instrText>
      </w:r>
      <w:r w:rsidR="00E73ABF" w:rsidRPr="00563AD3">
        <w:fldChar w:fldCharType="separate"/>
      </w:r>
      <w:r w:rsidR="00EC2AA2" w:rsidRPr="00EC2AA2">
        <w:rPr>
          <w:noProof/>
          <w:vertAlign w:val="superscript"/>
        </w:rPr>
        <w:t>102</w:t>
      </w:r>
      <w:r w:rsidR="00E73ABF" w:rsidRPr="00563AD3">
        <w:fldChar w:fldCharType="end"/>
      </w:r>
      <w:r w:rsidR="00E73ABF" w:rsidRPr="00563AD3">
        <w:t xml:space="preserve"> rated by the home manager or another experienced member of staff;</w:t>
      </w:r>
      <w:r w:rsidR="00B4508E" w:rsidRPr="00563AD3">
        <w:t xml:space="preserve"> </w:t>
      </w:r>
      <w:r w:rsidR="00323892" w:rsidRPr="00563AD3">
        <w:t xml:space="preserve">and </w:t>
      </w:r>
      <w:r w:rsidR="009A7926" w:rsidRPr="00563AD3">
        <w:t>had</w:t>
      </w:r>
      <w:r w:rsidR="009A7926" w:rsidRPr="00563AD3">
        <w:rPr>
          <w:szCs w:val="24"/>
          <w:lang w:val="en-US"/>
        </w:rPr>
        <w:t xml:space="preserve"> </w:t>
      </w:r>
      <w:r w:rsidR="00E73ABF" w:rsidRPr="00563AD3">
        <w:rPr>
          <w:szCs w:val="24"/>
          <w:lang w:val="en-US"/>
        </w:rPr>
        <w:t>sufficient proficiency in English to contribute to the data collection required for the research.</w:t>
      </w:r>
      <w:r w:rsidR="00B4508E" w:rsidRPr="00563AD3">
        <w:rPr>
          <w:szCs w:val="24"/>
          <w:lang w:val="en-US"/>
        </w:rPr>
        <w:t xml:space="preserve"> Residents were not eligible if they: were </w:t>
      </w:r>
      <w:r w:rsidRPr="00563AD3">
        <w:rPr>
          <w:rFonts w:eastAsiaTheme="majorEastAsia"/>
        </w:rPr>
        <w:t>already</w:t>
      </w:r>
      <w:r w:rsidR="00E73ABF" w:rsidRPr="00563AD3">
        <w:rPr>
          <w:rFonts w:eastAsiaTheme="majorEastAsia"/>
        </w:rPr>
        <w:t xml:space="preserve"> a </w:t>
      </w:r>
      <w:r w:rsidR="00070560" w:rsidRPr="00563AD3">
        <w:rPr>
          <w:rFonts w:eastAsiaTheme="majorEastAsia"/>
        </w:rPr>
        <w:t>DCM™</w:t>
      </w:r>
      <w:r w:rsidR="00E73ABF" w:rsidRPr="00563AD3">
        <w:rPr>
          <w:rFonts w:eastAsiaTheme="majorEastAsia"/>
        </w:rPr>
        <w:t xml:space="preserve"> EPIC Trial participant</w:t>
      </w:r>
      <w:r w:rsidR="00B4508E" w:rsidRPr="00563AD3">
        <w:rPr>
          <w:rFonts w:eastAsiaTheme="majorEastAsia"/>
        </w:rPr>
        <w:t>; d</w:t>
      </w:r>
      <w:r w:rsidR="00E73ABF" w:rsidRPr="00563AD3">
        <w:rPr>
          <w:rFonts w:eastAsiaTheme="majorEastAsia"/>
        </w:rPr>
        <w:t xml:space="preserve">eclined (personally or via </w:t>
      </w:r>
      <w:r w:rsidR="00144236" w:rsidRPr="00563AD3">
        <w:rPr>
          <w:rFonts w:eastAsiaTheme="majorEastAsia"/>
        </w:rPr>
        <w:t>Personal or Nominated C</w:t>
      </w:r>
      <w:r w:rsidR="00E73ABF" w:rsidRPr="00563AD3">
        <w:rPr>
          <w:rFonts w:eastAsiaTheme="majorEastAsia"/>
        </w:rPr>
        <w:t xml:space="preserve">onsultee) trial participation at </w:t>
      </w:r>
      <w:r w:rsidR="00B4508E" w:rsidRPr="00563AD3">
        <w:rPr>
          <w:rFonts w:eastAsiaTheme="majorEastAsia"/>
        </w:rPr>
        <w:t>baseline; m</w:t>
      </w:r>
      <w:r w:rsidR="00E73ABF" w:rsidRPr="00563AD3">
        <w:rPr>
          <w:rFonts w:eastAsiaTheme="majorEastAsia"/>
        </w:rPr>
        <w:t>oved to the care home (or participating EPIC unit) less than three</w:t>
      </w:r>
      <w:r w:rsidR="00B80810">
        <w:rPr>
          <w:rFonts w:eastAsiaTheme="majorEastAsia"/>
        </w:rPr>
        <w:t>-months</w:t>
      </w:r>
      <w:r w:rsidR="00E73ABF" w:rsidRPr="00563AD3">
        <w:rPr>
          <w:rFonts w:eastAsiaTheme="majorEastAsia"/>
        </w:rPr>
        <w:t xml:space="preserve"> prior to screening</w:t>
      </w:r>
      <w:r w:rsidR="00B4508E" w:rsidRPr="00563AD3">
        <w:rPr>
          <w:rFonts w:eastAsiaTheme="majorEastAsia"/>
        </w:rPr>
        <w:t>; were</w:t>
      </w:r>
      <w:r w:rsidR="00E73ABF" w:rsidRPr="00563AD3">
        <w:rPr>
          <w:rFonts w:eastAsiaTheme="majorEastAsia"/>
        </w:rPr>
        <w:t xml:space="preserve"> known by the care home manager and/or relevant senior staff member to b</w:t>
      </w:r>
      <w:r w:rsidR="00E73ABF" w:rsidRPr="00563AD3">
        <w:t>e terminally ill, e.g. formally admitted to an end of life care pathway;</w:t>
      </w:r>
      <w:r w:rsidR="00B4508E" w:rsidRPr="00563AD3">
        <w:t xml:space="preserve"> were</w:t>
      </w:r>
      <w:r w:rsidR="00E73ABF" w:rsidRPr="00563AD3">
        <w:t xml:space="preserve"> permane</w:t>
      </w:r>
      <w:r w:rsidR="00B4508E" w:rsidRPr="00563AD3">
        <w:t xml:space="preserve">ntly bed-bound/cared for in bed; </w:t>
      </w:r>
      <w:r w:rsidR="00323892" w:rsidRPr="00563AD3">
        <w:t xml:space="preserve">and </w:t>
      </w:r>
      <w:r w:rsidR="00B4508E" w:rsidRPr="00563AD3">
        <w:t>were</w:t>
      </w:r>
      <w:r w:rsidR="00E73ABF" w:rsidRPr="00563AD3">
        <w:rPr>
          <w:rFonts w:eastAsiaTheme="majorEastAsia"/>
        </w:rPr>
        <w:t xml:space="preserve"> taking part in or ha</w:t>
      </w:r>
      <w:r w:rsidR="00B4508E" w:rsidRPr="00563AD3">
        <w:rPr>
          <w:rFonts w:eastAsiaTheme="majorEastAsia"/>
        </w:rPr>
        <w:t>d</w:t>
      </w:r>
      <w:r w:rsidR="00E73ABF" w:rsidRPr="00563AD3">
        <w:rPr>
          <w:rFonts w:eastAsiaTheme="majorEastAsia"/>
        </w:rPr>
        <w:t xml:space="preserve"> recently taken part in </w:t>
      </w:r>
      <w:r w:rsidR="00B4508E" w:rsidRPr="00563AD3">
        <w:rPr>
          <w:rFonts w:eastAsiaTheme="majorEastAsia"/>
        </w:rPr>
        <w:t>another trial that conflicted</w:t>
      </w:r>
      <w:r w:rsidR="00E73ABF" w:rsidRPr="00563AD3">
        <w:rPr>
          <w:rFonts w:eastAsiaTheme="majorEastAsia"/>
        </w:rPr>
        <w:t xml:space="preserve"> with </w:t>
      </w:r>
      <w:r w:rsidR="00083258" w:rsidRPr="00563AD3">
        <w:rPr>
          <w:rFonts w:eastAsiaTheme="majorEastAsia"/>
        </w:rPr>
        <w:t xml:space="preserve">the </w:t>
      </w:r>
      <w:r w:rsidR="00A61329" w:rsidRPr="00563AD3">
        <w:rPr>
          <w:rFonts w:eastAsiaTheme="majorEastAsia"/>
        </w:rPr>
        <w:t>DCM™</w:t>
      </w:r>
      <w:r w:rsidR="00E73ABF" w:rsidRPr="00563AD3">
        <w:rPr>
          <w:rFonts w:eastAsiaTheme="majorEastAsia"/>
        </w:rPr>
        <w:t xml:space="preserve"> </w:t>
      </w:r>
      <w:r w:rsidR="00083258" w:rsidRPr="00563AD3">
        <w:rPr>
          <w:rFonts w:eastAsiaTheme="majorEastAsia"/>
        </w:rPr>
        <w:t xml:space="preserve">intervention </w:t>
      </w:r>
      <w:r w:rsidR="00E73ABF" w:rsidRPr="00563AD3">
        <w:rPr>
          <w:rFonts w:eastAsiaTheme="majorEastAsia"/>
        </w:rPr>
        <w:t xml:space="preserve">or with data collection for the </w:t>
      </w:r>
      <w:r w:rsidR="00070560" w:rsidRPr="00563AD3">
        <w:rPr>
          <w:rFonts w:eastAsiaTheme="majorEastAsia"/>
        </w:rPr>
        <w:t>DCM™</w:t>
      </w:r>
      <w:r w:rsidR="00E73ABF" w:rsidRPr="00563AD3">
        <w:rPr>
          <w:rFonts w:eastAsiaTheme="majorEastAsia"/>
        </w:rPr>
        <w:t xml:space="preserve"> EPIC trial.</w:t>
      </w:r>
    </w:p>
    <w:p w14:paraId="52E2F2E7" w14:textId="77777777" w:rsidR="00083258" w:rsidRPr="00563AD3" w:rsidRDefault="00083258" w:rsidP="009B13F3">
      <w:pPr>
        <w:rPr>
          <w:rFonts w:eastAsiaTheme="majorEastAsia"/>
        </w:rPr>
      </w:pPr>
    </w:p>
    <w:p w14:paraId="62BF988E" w14:textId="67153E11" w:rsidR="001C3D97" w:rsidRPr="00563AD3" w:rsidRDefault="001C3D97" w:rsidP="009B13F3">
      <w:pPr>
        <w:pStyle w:val="Heading2"/>
        <w:rPr>
          <w:rStyle w:val="Heading1Char"/>
          <w:rFonts w:eastAsiaTheme="minorEastAsia"/>
          <w:b/>
          <w:color w:val="auto"/>
          <w:sz w:val="22"/>
          <w:szCs w:val="22"/>
          <w:shd w:val="clear" w:color="auto" w:fill="auto"/>
        </w:rPr>
      </w:pPr>
      <w:bookmarkStart w:id="105" w:name="_Toc455576330"/>
      <w:bookmarkStart w:id="106" w:name="_Toc525543997"/>
      <w:r w:rsidRPr="00563AD3">
        <w:rPr>
          <w:rStyle w:val="Heading1Char"/>
          <w:rFonts w:eastAsiaTheme="minorEastAsia"/>
          <w:b/>
          <w:color w:val="auto"/>
          <w:sz w:val="22"/>
          <w:szCs w:val="22"/>
          <w:shd w:val="clear" w:color="auto" w:fill="auto"/>
        </w:rPr>
        <w:t>2.11 Resident safety</w:t>
      </w:r>
      <w:bookmarkEnd w:id="105"/>
      <w:bookmarkEnd w:id="106"/>
    </w:p>
    <w:p w14:paraId="6B4C5BF8" w14:textId="129CF406" w:rsidR="001C3D97" w:rsidRPr="00563AD3" w:rsidRDefault="001C3D97" w:rsidP="009B13F3">
      <w:pPr>
        <w:rPr>
          <w:rFonts w:eastAsiaTheme="majorEastAsia"/>
        </w:rPr>
      </w:pPr>
      <w:r w:rsidRPr="00563AD3">
        <w:rPr>
          <w:rFonts w:eastAsiaTheme="majorEastAsia"/>
        </w:rPr>
        <w:t xml:space="preserve">Given the intervention was at the care home level, was very low risk and non-invasive, and that trial consent was for </w:t>
      </w:r>
      <w:r w:rsidR="00083258" w:rsidRPr="00563AD3">
        <w:rPr>
          <w:rFonts w:eastAsiaTheme="majorEastAsia"/>
        </w:rPr>
        <w:t>data</w:t>
      </w:r>
      <w:r w:rsidRPr="00563AD3">
        <w:rPr>
          <w:rFonts w:eastAsiaTheme="majorEastAsia"/>
        </w:rPr>
        <w:t xml:space="preserve"> collection, minimal reporting of safety data was required. Given the trial population was care home residents with dementia, adverse events (AEs) were expected as part of usual care and therefore, only data on adverse events serious in nature (SAEs) were collected on consented trial residents</w:t>
      </w:r>
      <w:r w:rsidRPr="00563AD3">
        <w:t xml:space="preserve">. </w:t>
      </w:r>
    </w:p>
    <w:p w14:paraId="6B7137DF" w14:textId="77777777" w:rsidR="001C3D97" w:rsidRPr="00563AD3" w:rsidRDefault="001C3D97" w:rsidP="009B13F3">
      <w:r w:rsidRPr="00563AD3">
        <w:t xml:space="preserve">A serious adverse event (SAE) was defined as an untoward event which resulted in death, was life threatening, required or prolonged existing hospitalisation, was significantly or permanently disabling or incapacitating, or was otherwise considered medically significant by a clinician. It was expected that residents would be admitted to hospital in the event of an SAE, therefore the safety reporting form collected information on hospitalisation, including reason, duration, and outcome. All deaths occurring from the date of consent up to the last data collection visit were recorded on a trial death form </w:t>
      </w:r>
      <w:r w:rsidRPr="00563AD3">
        <w:rPr>
          <w:rStyle w:val="Heading2Char"/>
          <w:b w:val="0"/>
          <w:sz w:val="22"/>
          <w:szCs w:val="22"/>
        </w:rPr>
        <w:t xml:space="preserve">and reported electronically to CTRU within one working day of becoming aware. </w:t>
      </w:r>
      <w:r w:rsidRPr="00563AD3">
        <w:t xml:space="preserve">These data were collected by the researcher, monthly via a phone call to the care home manager/research lead from point of randomisation to completion of 16-month follow-up. Summaries of SAEs were reviewed annually by the trial DMEC. </w:t>
      </w:r>
    </w:p>
    <w:p w14:paraId="71794CBC" w14:textId="77777777" w:rsidR="001C3D97" w:rsidRPr="00563AD3" w:rsidRDefault="001C3D97" w:rsidP="009B13F3">
      <w:r w:rsidRPr="00563AD3">
        <w:t>Any SAE occurring to a resident which, in the opinion of the care home manager/lead and Chief Investigator, was related to research procedures and was unexpected, required reporting to the main Research Ethics Committee (main REC).</w:t>
      </w:r>
    </w:p>
    <w:p w14:paraId="5581C9B2" w14:textId="77777777" w:rsidR="001C3D97" w:rsidRPr="00563AD3" w:rsidRDefault="001C3D97" w:rsidP="009B13F3"/>
    <w:p w14:paraId="6F23A62D" w14:textId="4C1258A7" w:rsidR="001C3D97" w:rsidRPr="00563AD3" w:rsidRDefault="001C3D97" w:rsidP="009B13F3">
      <w:pPr>
        <w:pStyle w:val="Heading2"/>
        <w:rPr>
          <w:rStyle w:val="Heading2Char"/>
          <w:b/>
          <w:sz w:val="22"/>
          <w:szCs w:val="22"/>
        </w:rPr>
      </w:pPr>
      <w:bookmarkStart w:id="107" w:name="_Toc525543998"/>
      <w:r w:rsidRPr="00563AD3">
        <w:rPr>
          <w:rStyle w:val="Heading2Char"/>
          <w:b/>
          <w:sz w:val="22"/>
          <w:szCs w:val="22"/>
        </w:rPr>
        <w:t>2.12 Safeguarding</w:t>
      </w:r>
      <w:bookmarkEnd w:id="107"/>
      <w:r w:rsidRPr="00563AD3">
        <w:rPr>
          <w:rStyle w:val="Heading2Char"/>
          <w:b/>
          <w:sz w:val="22"/>
          <w:szCs w:val="22"/>
        </w:rPr>
        <w:t xml:space="preserve"> </w:t>
      </w:r>
    </w:p>
    <w:p w14:paraId="45AAF77F" w14:textId="19B305FE" w:rsidR="001C3D97" w:rsidRPr="00563AD3" w:rsidRDefault="001C3D97" w:rsidP="009B13F3">
      <w:r w:rsidRPr="00563AD3">
        <w:t>It was possible the researchers might observe poor or potentially abusive</w:t>
      </w:r>
      <w:r w:rsidR="00083258" w:rsidRPr="00563AD3">
        <w:rPr>
          <w:rFonts w:eastAsiaTheme="majorEastAsia"/>
        </w:rPr>
        <w:t xml:space="preserve"> practice while visiting </w:t>
      </w:r>
      <w:r w:rsidRPr="00563AD3">
        <w:rPr>
          <w:rFonts w:eastAsiaTheme="majorEastAsia"/>
        </w:rPr>
        <w:t xml:space="preserve">care homes participating in the trial. The definition of abuse detailed in the Department of Health </w:t>
      </w:r>
      <w:r w:rsidRPr="00563AD3">
        <w:rPr>
          <w:rFonts w:eastAsiaTheme="majorEastAsia"/>
        </w:rPr>
        <w:fldChar w:fldCharType="begin"/>
      </w:r>
      <w:r w:rsidR="00411708">
        <w:rPr>
          <w:rFonts w:eastAsiaTheme="majorEastAsia"/>
        </w:rPr>
        <w:instrText xml:space="preserve"> ADDIN EN.CITE &lt;EndNote&gt;&lt;Cite&gt;&lt;Author&gt;Department of Health&lt;/Author&gt;&lt;Year&gt;2000&lt;/Year&gt;&lt;RecNum&gt;1032&lt;/RecNum&gt;&lt;DisplayText&gt;&lt;style face="superscript"&gt;156&lt;/style&gt;&lt;/DisplayText&gt;&lt;record&gt;&lt;rec-number&gt;1032&lt;/rec-number&gt;&lt;foreign-keys&gt;&lt;key app="EN" db-id="wprxwptv75dtdree0t5x2ptmvadptw5fr2ww" timestamp="1269348634"&gt;1032&lt;/key&gt;&lt;/foreign-keys&gt;&lt;ref-type name="Report"&gt;27&lt;/ref-type&gt;&lt;contributors&gt;&lt;authors&gt;&lt;author&gt;Department of Health,&lt;/author&gt;&lt;/authors&gt;&lt;/contributors&gt;&lt;titles&gt;&lt;title&gt;No secrets: Guidance on developing and implementing multi-agency policies and procedures to protect vulnerable adults from abuse&lt;/title&gt;&lt;/titles&gt;&lt;dates&gt;&lt;year&gt;2000&lt;/year&gt;&lt;/dates&gt;&lt;pub-location&gt;London&lt;/pub-location&gt;&lt;publisher&gt;Department of Health&lt;/publisher&gt;&lt;urls&gt;&lt;/urls&gt;&lt;/record&gt;&lt;/Cite&gt;&lt;/EndNote&gt;</w:instrText>
      </w:r>
      <w:r w:rsidRPr="00563AD3">
        <w:rPr>
          <w:rFonts w:eastAsiaTheme="majorEastAsia"/>
        </w:rPr>
        <w:fldChar w:fldCharType="separate"/>
      </w:r>
      <w:r w:rsidR="00411708" w:rsidRPr="00411708">
        <w:rPr>
          <w:rFonts w:eastAsiaTheme="majorEastAsia"/>
          <w:noProof/>
          <w:vertAlign w:val="superscript"/>
        </w:rPr>
        <w:t>156</w:t>
      </w:r>
      <w:r w:rsidRPr="00563AD3">
        <w:rPr>
          <w:rFonts w:eastAsiaTheme="majorEastAsia"/>
        </w:rPr>
        <w:fldChar w:fldCharType="end"/>
      </w:r>
      <w:r w:rsidRPr="00563AD3">
        <w:rPr>
          <w:rFonts w:eastAsiaTheme="majorEastAsia"/>
        </w:rPr>
        <w:t xml:space="preserve"> guidance was utilised. In the case of observing </w:t>
      </w:r>
      <w:r w:rsidRPr="00563AD3">
        <w:t>suspected abuse the relevant Local Authority Safeguarding Adults processes were followed following discussion of the incident between the researcher and</w:t>
      </w:r>
      <w:r w:rsidR="009C5AB2" w:rsidRPr="00563AD3">
        <w:t xml:space="preserve"> the r</w:t>
      </w:r>
      <w:r w:rsidRPr="00563AD3">
        <w:t xml:space="preserve">ecruitment </w:t>
      </w:r>
      <w:r w:rsidR="009C5AB2" w:rsidRPr="00563AD3">
        <w:t>centre l</w:t>
      </w:r>
      <w:r w:rsidRPr="00563AD3">
        <w:t>ead/</w:t>
      </w:r>
      <w:r w:rsidR="009C5AB2" w:rsidRPr="00563AD3">
        <w:t>C</w:t>
      </w:r>
      <w:r w:rsidRPr="00563AD3">
        <w:t>hief Investigator.</w:t>
      </w:r>
    </w:p>
    <w:p w14:paraId="4AE59362" w14:textId="77777777" w:rsidR="001C3D97" w:rsidRPr="00563AD3" w:rsidRDefault="001C3D97" w:rsidP="009B13F3"/>
    <w:p w14:paraId="6454050B" w14:textId="02C15914" w:rsidR="001C3D97" w:rsidRPr="00563AD3" w:rsidRDefault="001C3D97" w:rsidP="009B13F3">
      <w:pPr>
        <w:pStyle w:val="Heading2"/>
      </w:pPr>
      <w:bookmarkStart w:id="108" w:name="_Toc525543999"/>
      <w:r w:rsidRPr="00563AD3">
        <w:t>2.13 Patient and Public Involvement</w:t>
      </w:r>
      <w:bookmarkEnd w:id="108"/>
    </w:p>
    <w:p w14:paraId="06526D29" w14:textId="4CA51286" w:rsidR="001C3D97" w:rsidRPr="00563AD3" w:rsidRDefault="001C3D97" w:rsidP="009B13F3">
      <w:pPr>
        <w:rPr>
          <w:bCs/>
        </w:rPr>
      </w:pPr>
      <w:r w:rsidRPr="00563AD3">
        <w:rPr>
          <w:bCs/>
        </w:rPr>
        <w:t xml:space="preserve">Patient and Public Involvement (PPI) was embedded in both the design and </w:t>
      </w:r>
      <w:r w:rsidR="009C5AB2" w:rsidRPr="00563AD3">
        <w:rPr>
          <w:bCs/>
        </w:rPr>
        <w:t>conduct</w:t>
      </w:r>
      <w:r w:rsidRPr="00563AD3">
        <w:rPr>
          <w:bCs/>
        </w:rPr>
        <w:t xml:space="preserve"> of the</w:t>
      </w:r>
      <w:r w:rsidR="009C5AB2" w:rsidRPr="00563AD3">
        <w:rPr>
          <w:bCs/>
        </w:rPr>
        <w:t xml:space="preserve"> trial, through both </w:t>
      </w:r>
      <w:r w:rsidRPr="00563AD3">
        <w:rPr>
          <w:bCs/>
        </w:rPr>
        <w:t>lay advisors on the investigator team and a Lay Advisory Group (LAG). The main focus was ensuring that PPI input was meaningful and a PPI strategy was written at the beginning of the trial to outline how their contribution was envisaged.</w:t>
      </w:r>
    </w:p>
    <w:p w14:paraId="23328288" w14:textId="77777777" w:rsidR="001C3D97" w:rsidRPr="00563AD3" w:rsidRDefault="001C3D97" w:rsidP="009B13F3"/>
    <w:p w14:paraId="63C65D91" w14:textId="10FA0C0E" w:rsidR="001C3D97" w:rsidRPr="00563AD3" w:rsidRDefault="001C3D97" w:rsidP="009B13F3">
      <w:pPr>
        <w:pStyle w:val="Heading3"/>
      </w:pPr>
      <w:bookmarkStart w:id="109" w:name="_Toc525544000"/>
      <w:r w:rsidRPr="00563AD3">
        <w:t>2.13.1 Lay advisors</w:t>
      </w:r>
      <w:bookmarkEnd w:id="109"/>
      <w:r w:rsidRPr="00563AD3">
        <w:t xml:space="preserve"> </w:t>
      </w:r>
    </w:p>
    <w:p w14:paraId="4C006C6D" w14:textId="356CFEEE" w:rsidR="001C3D97" w:rsidRPr="00563AD3" w:rsidRDefault="001C3D97" w:rsidP="009B13F3">
      <w:pPr>
        <w:rPr>
          <w:bCs/>
        </w:rPr>
      </w:pPr>
      <w:r w:rsidRPr="00563AD3">
        <w:rPr>
          <w:bCs/>
        </w:rPr>
        <w:t xml:space="preserve">Three dedicated lay advisors were </w:t>
      </w:r>
      <w:r w:rsidR="009C5AB2" w:rsidRPr="00563AD3">
        <w:rPr>
          <w:bCs/>
        </w:rPr>
        <w:t>part of</w:t>
      </w:r>
      <w:r w:rsidRPr="00563AD3">
        <w:rPr>
          <w:bCs/>
        </w:rPr>
        <w:t xml:space="preserve"> the investigator team, one individual </w:t>
      </w:r>
      <w:r w:rsidR="009C5AB2" w:rsidRPr="00563AD3">
        <w:rPr>
          <w:bCs/>
        </w:rPr>
        <w:t>as a member of</w:t>
      </w:r>
      <w:r w:rsidRPr="00563AD3">
        <w:rPr>
          <w:bCs/>
        </w:rPr>
        <w:t xml:space="preserve"> the TSC and two </w:t>
      </w:r>
      <w:r w:rsidR="009C5AB2" w:rsidRPr="00563AD3">
        <w:rPr>
          <w:bCs/>
        </w:rPr>
        <w:t>as members of</w:t>
      </w:r>
      <w:r w:rsidRPr="00563AD3">
        <w:rPr>
          <w:bCs/>
        </w:rPr>
        <w:t xml:space="preserve"> the TMG (one of whom was also a co-applicant). These individuals provided a user perspective on the design and conduct of the trial. They attended regular meetings throughout the trial and ensured that the TMG considered issues of importance to people living with dementia, their families and people working in care homes. Examples of advice included simplification of participant information and provision of assistance to the researchers to do this, and suggestion that a short, pictorial version of the resident information sheet was developed. These individuals also reviewed newsletters before they were circulated, making suggestions such as increased font size to improve accessibility of these to families of people living in care homes. The lay advisors collaborated on the development and writing of a trial summary which was prepared for care home managers. They also supported preparation of this section on PPI involvement.</w:t>
      </w:r>
    </w:p>
    <w:p w14:paraId="474C68E4" w14:textId="77777777" w:rsidR="001C3D97" w:rsidRPr="00563AD3" w:rsidRDefault="001C3D97" w:rsidP="009B13F3">
      <w:pPr>
        <w:rPr>
          <w:bCs/>
        </w:rPr>
      </w:pPr>
    </w:p>
    <w:p w14:paraId="5960BDC1" w14:textId="08E06222" w:rsidR="001C3D97" w:rsidRPr="00563AD3" w:rsidRDefault="001C3D97" w:rsidP="009B13F3">
      <w:pPr>
        <w:pStyle w:val="Heading3"/>
      </w:pPr>
      <w:bookmarkStart w:id="110" w:name="_Toc525544001"/>
      <w:r w:rsidRPr="00563AD3">
        <w:t>2.13.2 Lay Advisory Group</w:t>
      </w:r>
      <w:bookmarkEnd w:id="110"/>
    </w:p>
    <w:p w14:paraId="6F5C8787" w14:textId="3970B346" w:rsidR="001C3D97" w:rsidRPr="00563AD3" w:rsidRDefault="001C3D97" w:rsidP="009B13F3">
      <w:r w:rsidRPr="00563AD3">
        <w:t xml:space="preserve">The LAG was recruited through a partnership agreement with the Alzheimer’s Society, who hosted the LAG meetings. The LAG consisted of eight members comprising a person living with dementia, relatives of people living with dementia, the Manager of a care home, a person working for a Care Organisation and a representative from the Alzheimer’s Society. The LAG met three times during the process of the trial to discuss progress, initial results and dissemination strategies. A fourth meeting was held to discuss final </w:t>
      </w:r>
      <w:r w:rsidR="009C5AB2" w:rsidRPr="00563AD3">
        <w:t>trial</w:t>
      </w:r>
      <w:r w:rsidRPr="00563AD3">
        <w:t xml:space="preserve"> outputs in February 2018, following completion of the trial in December 2017. </w:t>
      </w:r>
    </w:p>
    <w:p w14:paraId="4BC82DE5" w14:textId="05103C79" w:rsidR="001C3D97" w:rsidRPr="00563AD3" w:rsidRDefault="001C3D97" w:rsidP="009B13F3">
      <w:r w:rsidRPr="00563AD3">
        <w:t>Alongside attendance at LAG meetings, individuals provided review of trial documents such as information sheets and consent forms prior to ethical approval being sought. Individuals from the group also reviewed the intervention protocols. A</w:t>
      </w:r>
      <w:r w:rsidR="009C5AB2" w:rsidRPr="00563AD3">
        <w:t>ll trial</w:t>
      </w:r>
      <w:r w:rsidRPr="00563AD3">
        <w:t xml:space="preserve"> newsletter</w:t>
      </w:r>
      <w:r w:rsidR="009C5AB2" w:rsidRPr="00563AD3">
        <w:t>s</w:t>
      </w:r>
      <w:r w:rsidRPr="00563AD3">
        <w:t xml:space="preserve"> </w:t>
      </w:r>
      <w:r w:rsidR="009C5AB2" w:rsidRPr="00563AD3">
        <w:t>were reviewed by</w:t>
      </w:r>
      <w:r w:rsidRPr="00563AD3">
        <w:t xml:space="preserve"> the LAG prior to distribution. Members of the LAG had the opportunity to review the publication plan and be involved with all publications arising from the study. The decision on whether to be involved in each publication was based on if, as a group, members considered that it would be beneficial for a PPI representative to be involved and if it was relevant</w:t>
      </w:r>
      <w:r w:rsidR="007A22C9" w:rsidRPr="00563AD3">
        <w:t xml:space="preserve"> for them to provide input</w:t>
      </w:r>
      <w:r w:rsidRPr="00563AD3">
        <w:t xml:space="preserve">. </w:t>
      </w:r>
    </w:p>
    <w:p w14:paraId="6646450B" w14:textId="0D7E41B7" w:rsidR="004765FE" w:rsidRPr="00563AD3" w:rsidRDefault="001C3D97" w:rsidP="001703F5">
      <w:pPr>
        <w:rPr>
          <w:bCs/>
        </w:rPr>
      </w:pPr>
      <w:r w:rsidRPr="00563AD3">
        <w:rPr>
          <w:bCs/>
        </w:rPr>
        <w:t>The LAG was responsible for devising the non-academic dissemination strategy for the trial</w:t>
      </w:r>
      <w:r w:rsidRPr="00563AD3">
        <w:t>.</w:t>
      </w:r>
      <w:r w:rsidRPr="00563AD3">
        <w:rPr>
          <w:bCs/>
        </w:rPr>
        <w:t xml:space="preserve"> </w:t>
      </w:r>
      <w:r w:rsidR="009C5AB2" w:rsidRPr="00563AD3">
        <w:rPr>
          <w:bCs/>
        </w:rPr>
        <w:t>Such a</w:t>
      </w:r>
      <w:r w:rsidRPr="00563AD3">
        <w:rPr>
          <w:bCs/>
        </w:rPr>
        <w:t>venues for dissemination included practitioner articles, a lay article for the Alzheimer’s Society magazine, infographics and radio interviews as well as dissemination on social media. The LAG will continue to be involved in the design and dissemination of these publications</w:t>
      </w:r>
      <w:r w:rsidR="007A22C9" w:rsidRPr="00563AD3">
        <w:rPr>
          <w:bCs/>
        </w:rPr>
        <w:t xml:space="preserve"> </w:t>
      </w:r>
      <w:r w:rsidRPr="00563AD3">
        <w:rPr>
          <w:bCs/>
        </w:rPr>
        <w:t>in</w:t>
      </w:r>
      <w:r w:rsidR="007A22C9" w:rsidRPr="00563AD3">
        <w:rPr>
          <w:bCs/>
        </w:rPr>
        <w:t>cluding</w:t>
      </w:r>
      <w:r w:rsidRPr="00563AD3">
        <w:rPr>
          <w:bCs/>
        </w:rPr>
        <w:t xml:space="preserve"> the design of the trial </w:t>
      </w:r>
      <w:r w:rsidR="007A22C9" w:rsidRPr="00563AD3">
        <w:rPr>
          <w:bCs/>
        </w:rPr>
        <w:t xml:space="preserve">results </w:t>
      </w:r>
      <w:r w:rsidRPr="00563AD3">
        <w:rPr>
          <w:bCs/>
        </w:rPr>
        <w:t xml:space="preserve">summaries and posters for care home and individual trial participants (i.e. residents, relatives/friends, staff members etc.). </w:t>
      </w:r>
      <w:r w:rsidR="004765FE" w:rsidRPr="00563AD3">
        <w:br w:type="page"/>
      </w:r>
    </w:p>
    <w:p w14:paraId="74D089D1" w14:textId="648E0566" w:rsidR="008A60E2" w:rsidRPr="00563AD3" w:rsidRDefault="008A60E2" w:rsidP="009B13F3">
      <w:pPr>
        <w:pStyle w:val="Chapterheading"/>
        <w:spacing w:line="360" w:lineRule="auto"/>
      </w:pPr>
      <w:bookmarkStart w:id="111" w:name="_Toc525544002"/>
      <w:r w:rsidRPr="00563AD3">
        <w:t>Chapter 3</w:t>
      </w:r>
      <w:r w:rsidR="001E3D61" w:rsidRPr="00563AD3">
        <w:t>: Results</w:t>
      </w:r>
      <w:bookmarkEnd w:id="111"/>
      <w:r w:rsidRPr="00563AD3">
        <w:t xml:space="preserve"> </w:t>
      </w:r>
    </w:p>
    <w:p w14:paraId="2494C88C" w14:textId="77777777" w:rsidR="000B4E72" w:rsidRPr="00563AD3" w:rsidRDefault="000B4E72" w:rsidP="009B13F3"/>
    <w:p w14:paraId="7ADE6325" w14:textId="0019FDC4" w:rsidR="000B4E72" w:rsidRPr="00563AD3" w:rsidRDefault="008A60E2" w:rsidP="009B13F3">
      <w:pPr>
        <w:pStyle w:val="Heading2"/>
      </w:pPr>
      <w:bookmarkStart w:id="112" w:name="_Toc525544003"/>
      <w:r w:rsidRPr="00563AD3">
        <w:t xml:space="preserve">3.1 </w:t>
      </w:r>
      <w:r w:rsidR="00431DEA" w:rsidRPr="00563AD3">
        <w:t>Recruitment and randomisation</w:t>
      </w:r>
      <w:bookmarkEnd w:id="112"/>
    </w:p>
    <w:p w14:paraId="529DBF35" w14:textId="556208D4" w:rsidR="00431DEA" w:rsidRPr="00563AD3" w:rsidRDefault="0002782F" w:rsidP="009B13F3">
      <w:pPr>
        <w:pStyle w:val="Heading3"/>
      </w:pPr>
      <w:bookmarkStart w:id="113" w:name="_Toc525544004"/>
      <w:r w:rsidRPr="00563AD3">
        <w:t xml:space="preserve">3.1.1 Cluster </w:t>
      </w:r>
      <w:r w:rsidR="00431DEA" w:rsidRPr="00563AD3">
        <w:t>recruitment</w:t>
      </w:r>
      <w:bookmarkEnd w:id="113"/>
    </w:p>
    <w:p w14:paraId="00EAA8B1" w14:textId="18B54D4B" w:rsidR="0040573B" w:rsidRPr="00563AD3" w:rsidRDefault="0040573B" w:rsidP="009B13F3">
      <w:r w:rsidRPr="00563AD3">
        <w:t>The number of care homes randomised, and resident</w:t>
      </w:r>
      <w:r w:rsidR="00E94CD9">
        <w:t xml:space="preserve">s registered, are summarised in Figure 1 </w:t>
      </w:r>
      <w:r w:rsidRPr="00563AD3">
        <w:t>by treatment arm</w:t>
      </w:r>
      <w:r w:rsidR="004F5CDB" w:rsidRPr="00563AD3">
        <w:t>,</w:t>
      </w:r>
      <w:r w:rsidRPr="00563AD3">
        <w:t xml:space="preserve"> at baseline, 6</w:t>
      </w:r>
      <w:r w:rsidR="004F5CDB" w:rsidRPr="00563AD3">
        <w:t>-</w:t>
      </w:r>
      <w:r w:rsidRPr="00563AD3">
        <w:t xml:space="preserve"> and 16</w:t>
      </w:r>
      <w:r w:rsidR="004F5CDB" w:rsidRPr="00563AD3">
        <w:t>-</w:t>
      </w:r>
      <w:r w:rsidRPr="00563AD3">
        <w:t xml:space="preserve">months following randomisation </w:t>
      </w:r>
      <w:r w:rsidR="004F5CDB" w:rsidRPr="00563AD3">
        <w:t>for</w:t>
      </w:r>
      <w:r w:rsidRPr="00563AD3">
        <w:t xml:space="preserve"> the original cohort and the cross-sectional sample. </w:t>
      </w:r>
    </w:p>
    <w:p w14:paraId="455640BA" w14:textId="1F8FD4D1" w:rsidR="0040573B" w:rsidRPr="00563AD3" w:rsidRDefault="0040573B" w:rsidP="009B13F3">
      <w:r w:rsidRPr="00563AD3">
        <w:t xml:space="preserve">A total of 335 care homes were screened for entry into the trial. Of these, 241 randomly sampled care homes were approached and 94 </w:t>
      </w:r>
      <w:r w:rsidR="00323892" w:rsidRPr="00563AD3">
        <w:t>homes expressing interest</w:t>
      </w:r>
      <w:r w:rsidRPr="00563AD3">
        <w:t xml:space="preserve"> </w:t>
      </w:r>
      <w:r w:rsidR="00323892" w:rsidRPr="00563AD3">
        <w:t>were</w:t>
      </w:r>
      <w:r w:rsidRPr="00563AD3">
        <w:t xml:space="preserve"> </w:t>
      </w:r>
      <w:r w:rsidR="00323892" w:rsidRPr="00563AD3">
        <w:t>formally assessed using the</w:t>
      </w:r>
      <w:r w:rsidRPr="00563AD3">
        <w:t xml:space="preserve"> eligibility criteria. Of the 63 eligible care homes, 51 consented to take part and, following one consent withdrawal, 50 care homes were randomised into the trial (21 from Yorkshire, 15 from London and 14 from Oxford, see </w:t>
      </w:r>
      <w:r w:rsidR="00087868">
        <w:t>Appendix 1</w:t>
      </w:r>
      <w:r w:rsidR="00C532E3" w:rsidRPr="00563AD3">
        <w:t xml:space="preserve">, Table </w:t>
      </w:r>
      <w:r w:rsidR="00E44D89">
        <w:t>26</w:t>
      </w:r>
      <w:r w:rsidRPr="00563AD3">
        <w:t>). Nineteen care homes (38</w:t>
      </w:r>
      <w:r w:rsidR="004F5CDB" w:rsidRPr="00563AD3">
        <w:t>.0</w:t>
      </w:r>
      <w:r w:rsidRPr="00563AD3">
        <w:t>%) were randomised to control and 31 (62</w:t>
      </w:r>
      <w:r w:rsidR="004F5CDB" w:rsidRPr="00563AD3">
        <w:t>.0</w:t>
      </w:r>
      <w:r w:rsidRPr="00563AD3">
        <w:t>%) to intervention. Care homes were randomised over 16</w:t>
      </w:r>
      <w:r w:rsidR="004F5CDB" w:rsidRPr="00563AD3">
        <w:t>-</w:t>
      </w:r>
      <w:r w:rsidRPr="00563AD3">
        <w:t>months from October 2014 until January 2016.</w:t>
      </w:r>
      <w:r w:rsidR="00AB4DF2">
        <w:t xml:space="preserve"> </w:t>
      </w:r>
    </w:p>
    <w:p w14:paraId="05BB9F98" w14:textId="77777777" w:rsidR="00105731" w:rsidRPr="00563AD3" w:rsidRDefault="00105731" w:rsidP="009B13F3"/>
    <w:p w14:paraId="5163F52A" w14:textId="7C4F66DC" w:rsidR="00431DEA" w:rsidRPr="00563AD3" w:rsidRDefault="00431DEA" w:rsidP="009B13F3">
      <w:pPr>
        <w:pStyle w:val="Heading3"/>
      </w:pPr>
      <w:bookmarkStart w:id="114" w:name="_Toc525544005"/>
      <w:r w:rsidRPr="00563AD3">
        <w:t xml:space="preserve">3.1.2 </w:t>
      </w:r>
      <w:r w:rsidR="00361E4F" w:rsidRPr="00563AD3">
        <w:t>Resident participant</w:t>
      </w:r>
      <w:r w:rsidRPr="00563AD3">
        <w:t xml:space="preserve"> flow and recruitment</w:t>
      </w:r>
      <w:bookmarkEnd w:id="114"/>
    </w:p>
    <w:p w14:paraId="4125E73E" w14:textId="41D52788" w:rsidR="00C72105" w:rsidRPr="00563AD3" w:rsidRDefault="0002782F" w:rsidP="009B13F3">
      <w:pPr>
        <w:pStyle w:val="Heading4"/>
      </w:pPr>
      <w:r w:rsidRPr="00563AD3">
        <w:t>3.1.2.1 Original cohort</w:t>
      </w:r>
    </w:p>
    <w:p w14:paraId="00DAE625" w14:textId="3BEDA839" w:rsidR="0040573B" w:rsidRPr="00563AD3" w:rsidRDefault="0040573B" w:rsidP="009B13F3">
      <w:r w:rsidRPr="00563AD3">
        <w:t xml:space="preserve">A total of 1564 residents were screened for eligibility from consenting care homes, 1069 (68.4%) were eligible, 781 (73.1%) </w:t>
      </w:r>
      <w:r w:rsidR="00323892" w:rsidRPr="00563AD3">
        <w:t xml:space="preserve">were </w:t>
      </w:r>
      <w:r w:rsidRPr="00563AD3">
        <w:t xml:space="preserve">consented, 743 (95.1%) were registered, </w:t>
      </w:r>
      <w:r w:rsidR="00323892" w:rsidRPr="00563AD3">
        <w:t>and</w:t>
      </w:r>
      <w:r w:rsidRPr="00563AD3">
        <w:t xml:space="preserve"> 726 (97.7%) </w:t>
      </w:r>
      <w:r w:rsidR="00323892" w:rsidRPr="00563AD3">
        <w:t>were consented and registered</w:t>
      </w:r>
      <w:r w:rsidRPr="00563AD3">
        <w:t xml:space="preserve"> at </w:t>
      </w:r>
      <w:r w:rsidR="00323892" w:rsidRPr="00563AD3">
        <w:t xml:space="preserve">the point of </w:t>
      </w:r>
      <w:r w:rsidRPr="00563AD3">
        <w:t xml:space="preserve">care home randomisation. The reasons for exclusion from the trial are summarised overall and by hub in the </w:t>
      </w:r>
      <w:r w:rsidR="00087868" w:rsidRPr="00CC68C0">
        <w:rPr>
          <w:i/>
        </w:rPr>
        <w:t>Appendix 1</w:t>
      </w:r>
      <w:r w:rsidR="00C532E3" w:rsidRPr="00CC68C0">
        <w:rPr>
          <w:i/>
        </w:rPr>
        <w:t>, Table 2</w:t>
      </w:r>
      <w:r w:rsidR="005545ED" w:rsidRPr="00CC68C0">
        <w:rPr>
          <w:i/>
        </w:rPr>
        <w:t>7</w:t>
      </w:r>
      <w:r w:rsidRPr="00563AD3">
        <w:t>. Residents in the original cohort</w:t>
      </w:r>
      <w:r w:rsidR="00323892" w:rsidRPr="00563AD3">
        <w:t xml:space="preserve"> were registered over 15</w:t>
      </w:r>
      <w:r w:rsidR="004F5CDB" w:rsidRPr="00563AD3">
        <w:t>-</w:t>
      </w:r>
      <w:r w:rsidRPr="00563AD3">
        <w:t>months from October 2014 until December 2015.</w:t>
      </w:r>
    </w:p>
    <w:p w14:paraId="040D3575" w14:textId="2E188687" w:rsidR="0002782F" w:rsidRPr="00563AD3" w:rsidRDefault="0002782F" w:rsidP="009B13F3">
      <w:pPr>
        <w:pStyle w:val="Heading4"/>
      </w:pPr>
      <w:r w:rsidRPr="00563AD3">
        <w:t xml:space="preserve">3.1.2.2 </w:t>
      </w:r>
      <w:r w:rsidR="00323892" w:rsidRPr="00563AD3">
        <w:t>Additional resident recruitment at 16-months</w:t>
      </w:r>
    </w:p>
    <w:p w14:paraId="0206DE7C" w14:textId="1D3CDE1A" w:rsidR="00C532E3" w:rsidRPr="00563AD3" w:rsidRDefault="0040573B" w:rsidP="009B13F3">
      <w:r w:rsidRPr="00563AD3">
        <w:t xml:space="preserve">Following the </w:t>
      </w:r>
      <w:r w:rsidR="00323892" w:rsidRPr="00563AD3">
        <w:t xml:space="preserve">approved design </w:t>
      </w:r>
      <w:r w:rsidRPr="00563AD3">
        <w:t xml:space="preserve">change, a further 1444 residents were screened from 48 care homes at 16-months post-randomisation (see </w:t>
      </w:r>
      <w:r w:rsidR="00087868" w:rsidRPr="00CC68C0">
        <w:rPr>
          <w:i/>
        </w:rPr>
        <w:t>Appendix 1</w:t>
      </w:r>
      <w:r w:rsidR="00C532E3" w:rsidRPr="00CC68C0">
        <w:rPr>
          <w:i/>
        </w:rPr>
        <w:t>, Table 2</w:t>
      </w:r>
      <w:r w:rsidR="005545ED" w:rsidRPr="00CC68C0">
        <w:rPr>
          <w:i/>
        </w:rPr>
        <w:t>7</w:t>
      </w:r>
      <w:r w:rsidRPr="00563AD3">
        <w:t xml:space="preserve">). </w:t>
      </w:r>
      <w:r w:rsidR="00CD7F8B" w:rsidRPr="00563AD3">
        <w:t>This included all already participating residents and those who had declined to take part when approached at baseline, who were then recorded as ineligible</w:t>
      </w:r>
      <w:r w:rsidR="004F5CDB" w:rsidRPr="00563AD3">
        <w:t>,</w:t>
      </w:r>
      <w:r w:rsidR="00CD7F8B" w:rsidRPr="00563AD3">
        <w:t xml:space="preserve"> alongside participants failing to meet other eligibility criteria. </w:t>
      </w:r>
      <w:r w:rsidRPr="00563AD3">
        <w:t xml:space="preserve">The first two care homes randomised did not screen additional residents as agreement for the design change was received after these care homes had completed </w:t>
      </w:r>
      <w:r w:rsidR="00B21B6A" w:rsidRPr="00563AD3">
        <w:t xml:space="preserve">16-month </w:t>
      </w:r>
      <w:r w:rsidRPr="00563AD3">
        <w:t xml:space="preserve">follow-up. </w:t>
      </w:r>
      <w:r w:rsidR="00323892" w:rsidRPr="00563AD3">
        <w:t>O</w:t>
      </w:r>
      <w:r w:rsidRPr="00563AD3">
        <w:t>f the 1444 residents, 421 were eligible</w:t>
      </w:r>
      <w:r w:rsidR="00323892" w:rsidRPr="00563AD3">
        <w:t>,</w:t>
      </w:r>
      <w:r w:rsidRPr="00563AD3">
        <w:t xml:space="preserve"> 266 consented and 261 residents were </w:t>
      </w:r>
      <w:r w:rsidR="00323892" w:rsidRPr="00563AD3">
        <w:t xml:space="preserve">subsequently </w:t>
      </w:r>
      <w:r w:rsidRPr="00563AD3">
        <w:t>registered (</w:t>
      </w:r>
      <w:r w:rsidRPr="00B47536">
        <w:t xml:space="preserve">99 residents </w:t>
      </w:r>
      <w:r w:rsidR="00B21B6A" w:rsidRPr="00B47536">
        <w:t xml:space="preserve">in </w:t>
      </w:r>
      <w:r w:rsidRPr="00B47536">
        <w:t xml:space="preserve">control </w:t>
      </w:r>
      <w:r w:rsidR="00323892" w:rsidRPr="00B47536">
        <w:t xml:space="preserve">homes </w:t>
      </w:r>
      <w:r w:rsidRPr="00B47536">
        <w:t xml:space="preserve">and 162 </w:t>
      </w:r>
      <w:r w:rsidR="00B21B6A" w:rsidRPr="00B47536">
        <w:t>in</w:t>
      </w:r>
      <w:r w:rsidRPr="00B47536">
        <w:t xml:space="preserve"> intervention homes</w:t>
      </w:r>
      <w:r w:rsidRPr="00563AD3">
        <w:t xml:space="preserve">). A lower proportion of residents in London were </w:t>
      </w:r>
      <w:r w:rsidR="00B21B6A" w:rsidRPr="00563AD3">
        <w:t>in</w:t>
      </w:r>
      <w:r w:rsidRPr="00563AD3">
        <w:t xml:space="preserve">eligible due to being permanently bed-bound or terminally ill. </w:t>
      </w:r>
    </w:p>
    <w:p w14:paraId="407765FA" w14:textId="778ABC67" w:rsidR="0040573B" w:rsidRPr="00563AD3" w:rsidRDefault="0040573B" w:rsidP="009B13F3">
      <w:r w:rsidRPr="00563AD3">
        <w:t xml:space="preserve">There was a higher proportion of </w:t>
      </w:r>
      <w:r w:rsidR="00B21B6A" w:rsidRPr="00563AD3">
        <w:t xml:space="preserve">ineligible </w:t>
      </w:r>
      <w:r w:rsidRPr="00563AD3">
        <w:t>residents of those screened</w:t>
      </w:r>
      <w:r w:rsidR="00B21B6A" w:rsidRPr="00563AD3">
        <w:t xml:space="preserve"> (due to not having a formal diagnosis of dementia)</w:t>
      </w:r>
      <w:r w:rsidRPr="00563AD3">
        <w:t xml:space="preserve">, and </w:t>
      </w:r>
      <w:r w:rsidR="00B21B6A" w:rsidRPr="00563AD3">
        <w:t>consent refusals</w:t>
      </w:r>
      <w:r w:rsidRPr="00563AD3">
        <w:t xml:space="preserve"> in the intervention compared to control </w:t>
      </w:r>
      <w:r w:rsidR="00182DC5" w:rsidRPr="00563AD3">
        <w:t>arm</w:t>
      </w:r>
      <w:r w:rsidRPr="00563AD3">
        <w:t xml:space="preserve"> (see </w:t>
      </w:r>
      <w:r w:rsidR="00087868" w:rsidRPr="00CC68C0">
        <w:rPr>
          <w:i/>
        </w:rPr>
        <w:t>Appendix 1</w:t>
      </w:r>
      <w:r w:rsidR="00C532E3" w:rsidRPr="00CC68C0">
        <w:rPr>
          <w:i/>
        </w:rPr>
        <w:t xml:space="preserve">, Table </w:t>
      </w:r>
      <w:r w:rsidR="005545ED" w:rsidRPr="00CC68C0">
        <w:rPr>
          <w:i/>
        </w:rPr>
        <w:t>28</w:t>
      </w:r>
      <w:r w:rsidRPr="00563AD3">
        <w:t xml:space="preserve">). The additional </w:t>
      </w:r>
      <w:r w:rsidR="00B21B6A" w:rsidRPr="00563AD3">
        <w:t>residents were screened over 11-</w:t>
      </w:r>
      <w:r w:rsidRPr="00563AD3">
        <w:t xml:space="preserve">months from June 2016 until May 2017. </w:t>
      </w:r>
    </w:p>
    <w:p w14:paraId="2A6BBBB7" w14:textId="77777777" w:rsidR="00F97FE5" w:rsidRPr="00563AD3" w:rsidRDefault="00F97FE5" w:rsidP="009B13F3"/>
    <w:p w14:paraId="3F91A1E6" w14:textId="7990A258" w:rsidR="0002782F" w:rsidRPr="00563AD3" w:rsidRDefault="008148B4" w:rsidP="009B13F3">
      <w:pPr>
        <w:pStyle w:val="Heading4"/>
      </w:pPr>
      <w:r w:rsidRPr="00563AD3">
        <w:t>3.1.2.3 Cross-sectional sample</w:t>
      </w:r>
    </w:p>
    <w:p w14:paraId="1D638FFE" w14:textId="53B57BBE" w:rsidR="0040573B" w:rsidRPr="00563AD3" w:rsidRDefault="00323892" w:rsidP="009B13F3">
      <w:r w:rsidRPr="00563AD3">
        <w:t>Overall at 16-</w:t>
      </w:r>
      <w:r w:rsidR="0040573B" w:rsidRPr="00563AD3">
        <w:t xml:space="preserve">months, a </w:t>
      </w:r>
      <w:r w:rsidR="0040573B" w:rsidRPr="00B47536">
        <w:t>total of 675 residents were included in the cross-sectional sample: 414 residents from the</w:t>
      </w:r>
      <w:r w:rsidRPr="00B47536">
        <w:t xml:space="preserve"> original cohort who reached 16-</w:t>
      </w:r>
      <w:r w:rsidR="0040573B" w:rsidRPr="00B47536">
        <w:t xml:space="preserve">months and 261 additionally-recruited residents. There were regional differences between </w:t>
      </w:r>
      <w:r w:rsidR="0040573B" w:rsidRPr="00563AD3">
        <w:t>hubs in resident ethnicity and funding type, with London reporting the lowest proportion of white residents and Oxford repor</w:t>
      </w:r>
      <w:r w:rsidR="00144236" w:rsidRPr="00563AD3">
        <w:t>ting the highest proportion of L</w:t>
      </w:r>
      <w:r w:rsidR="0040573B" w:rsidRPr="00563AD3">
        <w:t xml:space="preserve">ocal </w:t>
      </w:r>
      <w:r w:rsidR="00144236" w:rsidRPr="00563AD3">
        <w:t>A</w:t>
      </w:r>
      <w:r w:rsidR="0040573B" w:rsidRPr="00563AD3">
        <w:t>uthority funding</w:t>
      </w:r>
      <w:r w:rsidR="00B21B6A" w:rsidRPr="00563AD3">
        <w:t xml:space="preserve"> (see </w:t>
      </w:r>
      <w:r w:rsidR="00087868" w:rsidRPr="00CC68C0">
        <w:rPr>
          <w:i/>
        </w:rPr>
        <w:t>Appendix 1</w:t>
      </w:r>
      <w:r w:rsidR="00D7391F" w:rsidRPr="00CC68C0">
        <w:rPr>
          <w:i/>
        </w:rPr>
        <w:t xml:space="preserve">, Table </w:t>
      </w:r>
      <w:r w:rsidR="005545ED" w:rsidRPr="00CC68C0">
        <w:rPr>
          <w:i/>
        </w:rPr>
        <w:t>29</w:t>
      </w:r>
      <w:r w:rsidR="00B21B6A" w:rsidRPr="00563AD3">
        <w:t>)</w:t>
      </w:r>
      <w:r w:rsidR="0040573B" w:rsidRPr="00563AD3">
        <w:t>.</w:t>
      </w:r>
    </w:p>
    <w:p w14:paraId="4D141A01" w14:textId="77777777" w:rsidR="00F97FE5" w:rsidRPr="00563AD3" w:rsidRDefault="00F97FE5" w:rsidP="009B13F3"/>
    <w:p w14:paraId="166F40DF" w14:textId="77777777" w:rsidR="00361E4F" w:rsidRPr="00563AD3" w:rsidRDefault="00361E4F" w:rsidP="009B13F3">
      <w:pPr>
        <w:pStyle w:val="Heading4"/>
      </w:pPr>
      <w:r w:rsidRPr="00563AD3">
        <w:t xml:space="preserve">3.1.2.4 </w:t>
      </w:r>
      <w:bookmarkStart w:id="115" w:name="_Toc500512385"/>
      <w:r w:rsidRPr="00563AD3">
        <w:t>Investigation into potential recruitment bias of additional residents</w:t>
      </w:r>
      <w:bookmarkEnd w:id="115"/>
    </w:p>
    <w:p w14:paraId="325AC0ED" w14:textId="4065E70E" w:rsidR="0040573B" w:rsidRPr="00563AD3" w:rsidRDefault="0040573B" w:rsidP="009B13F3">
      <w:r w:rsidRPr="00563AD3">
        <w:t xml:space="preserve">As the additional residents for the cross-sectional sample were recruited following care home randomisation, age, gender, ethnicity, length of stay in care home and funding type </w:t>
      </w:r>
      <w:r w:rsidR="009C5AB2" w:rsidRPr="00563AD3">
        <w:t xml:space="preserve">were compared </w:t>
      </w:r>
      <w:r w:rsidRPr="00563AD3">
        <w:t>for all screened and registered residents (</w:t>
      </w:r>
      <w:r w:rsidR="005330A8" w:rsidRPr="00563AD3">
        <w:t>see Table 4</w:t>
      </w:r>
      <w:r w:rsidRPr="00563AD3">
        <w:t>). Overall, there was a shorter length of stay in the additional cohort compared to the original cohort, as was expected. Of the 726 residents included in the original cohort, 145 (20</w:t>
      </w:r>
      <w:r w:rsidR="00D7391F" w:rsidRPr="00563AD3">
        <w:t>.0</w:t>
      </w:r>
      <w:r w:rsidRPr="00563AD3">
        <w:t>%) consented themselves; 263 (36</w:t>
      </w:r>
      <w:r w:rsidR="00D7391F" w:rsidRPr="00563AD3">
        <w:t>.2</w:t>
      </w:r>
      <w:r w:rsidRPr="00563AD3">
        <w:t xml:space="preserve">%) were consented by a </w:t>
      </w:r>
      <w:r w:rsidR="00144236" w:rsidRPr="00563AD3">
        <w:t>P</w:t>
      </w:r>
      <w:r w:rsidRPr="00563AD3">
        <w:t xml:space="preserve">ersonal </w:t>
      </w:r>
      <w:r w:rsidR="00144236" w:rsidRPr="00563AD3">
        <w:t>C</w:t>
      </w:r>
      <w:r w:rsidRPr="00563AD3">
        <w:t xml:space="preserve">onsultee and </w:t>
      </w:r>
      <w:r w:rsidR="00D7391F" w:rsidRPr="00563AD3">
        <w:t>318</w:t>
      </w:r>
      <w:r w:rsidRPr="00563AD3">
        <w:t xml:space="preserve"> (</w:t>
      </w:r>
      <w:r w:rsidR="00D7391F" w:rsidRPr="00563AD3">
        <w:t>43.8</w:t>
      </w:r>
      <w:r w:rsidRPr="00563AD3">
        <w:t xml:space="preserve">%) by a </w:t>
      </w:r>
      <w:r w:rsidR="00144236" w:rsidRPr="00563AD3">
        <w:t>N</w:t>
      </w:r>
      <w:r w:rsidRPr="00563AD3">
        <w:t xml:space="preserve">ominated </w:t>
      </w:r>
      <w:r w:rsidR="00144236" w:rsidRPr="00563AD3">
        <w:t>C</w:t>
      </w:r>
      <w:r w:rsidRPr="00563AD3">
        <w:t xml:space="preserve">onsultee (see </w:t>
      </w:r>
      <w:r w:rsidR="00087868" w:rsidRPr="00CC68C0">
        <w:rPr>
          <w:i/>
        </w:rPr>
        <w:t>Appendix 1</w:t>
      </w:r>
      <w:r w:rsidR="00D7391F" w:rsidRPr="00CC68C0">
        <w:rPr>
          <w:i/>
        </w:rPr>
        <w:t xml:space="preserve">, Table </w:t>
      </w:r>
      <w:r w:rsidR="00F9110A" w:rsidRPr="00CC68C0">
        <w:rPr>
          <w:i/>
        </w:rPr>
        <w:t>30</w:t>
      </w:r>
      <w:r w:rsidRPr="00563AD3">
        <w:t>). In contrast, of the 261 residents recruited at 16</w:t>
      </w:r>
      <w:r w:rsidR="003C5730" w:rsidRPr="00563AD3">
        <w:t>-</w:t>
      </w:r>
      <w:r w:rsidRPr="00563AD3">
        <w:t>months, 58 (22</w:t>
      </w:r>
      <w:r w:rsidR="00D7391F" w:rsidRPr="00563AD3">
        <w:t>.2</w:t>
      </w:r>
      <w:r w:rsidRPr="00563AD3">
        <w:t>%) consented themselves, 73 (28</w:t>
      </w:r>
      <w:r w:rsidR="00D7391F" w:rsidRPr="00563AD3">
        <w:t>.0</w:t>
      </w:r>
      <w:r w:rsidRPr="00563AD3">
        <w:t xml:space="preserve">%) were consented by a </w:t>
      </w:r>
      <w:r w:rsidR="003C5730" w:rsidRPr="00563AD3">
        <w:t>P</w:t>
      </w:r>
      <w:r w:rsidRPr="00563AD3">
        <w:t xml:space="preserve">ersonal </w:t>
      </w:r>
      <w:r w:rsidR="003C5730" w:rsidRPr="00563AD3">
        <w:t>C</w:t>
      </w:r>
      <w:r w:rsidRPr="00563AD3">
        <w:t>onsultee and 130 (</w:t>
      </w:r>
      <w:r w:rsidR="00D7391F" w:rsidRPr="00563AD3">
        <w:t>59.8</w:t>
      </w:r>
      <w:r w:rsidRPr="00563AD3">
        <w:t xml:space="preserve">%) by a </w:t>
      </w:r>
      <w:r w:rsidR="003C5730" w:rsidRPr="00563AD3">
        <w:t>N</w:t>
      </w:r>
      <w:r w:rsidRPr="00563AD3">
        <w:t xml:space="preserve">ominated </w:t>
      </w:r>
      <w:r w:rsidR="003C5730" w:rsidRPr="00563AD3">
        <w:t>C</w:t>
      </w:r>
      <w:r w:rsidRPr="00563AD3">
        <w:t xml:space="preserve">onsultee. There was no difference by arm in the proportion of residents who consented for themselves, but a higher proportion were consented by </w:t>
      </w:r>
      <w:r w:rsidR="003C5730" w:rsidRPr="00563AD3">
        <w:t>N</w:t>
      </w:r>
      <w:r w:rsidRPr="00563AD3">
        <w:t xml:space="preserve">ominated </w:t>
      </w:r>
      <w:r w:rsidR="003C5730" w:rsidRPr="00563AD3">
        <w:t>C</w:t>
      </w:r>
      <w:r w:rsidRPr="00563AD3">
        <w:t>onsultees in the intervention arm (</w:t>
      </w:r>
      <w:r w:rsidRPr="00563AD3">
        <w:rPr>
          <w:rFonts w:eastAsia="Times New Roman"/>
          <w:color w:val="000000"/>
        </w:rPr>
        <w:t>87, 5</w:t>
      </w:r>
      <w:r w:rsidR="00D7391F" w:rsidRPr="00563AD3">
        <w:rPr>
          <w:rFonts w:eastAsia="Times New Roman"/>
          <w:color w:val="000000"/>
        </w:rPr>
        <w:t>3.7</w:t>
      </w:r>
      <w:r w:rsidRPr="00563AD3">
        <w:rPr>
          <w:rFonts w:eastAsia="Times New Roman"/>
          <w:color w:val="000000"/>
        </w:rPr>
        <w:t>%) relative to the control arm (43, 43</w:t>
      </w:r>
      <w:r w:rsidR="00D7391F" w:rsidRPr="00563AD3">
        <w:rPr>
          <w:rFonts w:eastAsia="Times New Roman"/>
          <w:color w:val="000000"/>
        </w:rPr>
        <w:t>.4</w:t>
      </w:r>
      <w:r w:rsidRPr="00563AD3">
        <w:rPr>
          <w:rFonts w:eastAsia="Times New Roman"/>
          <w:color w:val="000000"/>
        </w:rPr>
        <w:t>%)</w:t>
      </w:r>
      <w:r w:rsidRPr="00563AD3">
        <w:t>.</w:t>
      </w:r>
    </w:p>
    <w:p w14:paraId="5E928F9B" w14:textId="77777777" w:rsidR="003C5730" w:rsidRPr="00563AD3" w:rsidRDefault="003C5730" w:rsidP="009B13F3">
      <w:pPr>
        <w:autoSpaceDE/>
        <w:autoSpaceDN/>
        <w:adjustRightInd/>
      </w:pPr>
      <w:bookmarkStart w:id="116" w:name="_Ref501008897"/>
      <w:bookmarkStart w:id="117" w:name="_Toc501009791"/>
      <w:r w:rsidRPr="00563AD3">
        <w:br w:type="page"/>
      </w:r>
    </w:p>
    <w:p w14:paraId="390B53DF" w14:textId="49C3BBB0" w:rsidR="00CB0C3C" w:rsidRPr="00563AD3" w:rsidRDefault="00CB0C3C" w:rsidP="009B13F3">
      <w:pPr>
        <w:keepNext/>
        <w:autoSpaceDE/>
        <w:autoSpaceDN/>
        <w:adjustRightInd/>
        <w:spacing w:before="120" w:after="0"/>
        <w:rPr>
          <w:rFonts w:eastAsia="Calibri"/>
          <w:b/>
          <w:bCs/>
          <w:sz w:val="24"/>
          <w:szCs w:val="18"/>
          <w:lang w:eastAsia="en-US"/>
        </w:rPr>
        <w:sectPr w:rsidR="00CB0C3C" w:rsidRPr="00563AD3" w:rsidSect="005542CA">
          <w:pgSz w:w="11906" w:h="16838"/>
          <w:pgMar w:top="1440" w:right="1440" w:bottom="1440" w:left="1440" w:header="708" w:footer="708" w:gutter="0"/>
          <w:cols w:space="708"/>
          <w:docGrid w:linePitch="360"/>
        </w:sectPr>
      </w:pPr>
      <w:bookmarkStart w:id="118" w:name="_Toc501009771"/>
      <w:bookmarkEnd w:id="116"/>
      <w:bookmarkEnd w:id="117"/>
    </w:p>
    <w:bookmarkStart w:id="119" w:name="_Ref497482827"/>
    <w:bookmarkEnd w:id="118"/>
    <w:p w14:paraId="16E7918D" w14:textId="77777777" w:rsidR="00C21835" w:rsidRPr="00C21835" w:rsidRDefault="00C21835" w:rsidP="009B13F3">
      <w:pPr>
        <w:autoSpaceDE/>
        <w:autoSpaceDN/>
        <w:adjustRightInd/>
        <w:spacing w:before="120" w:after="0"/>
        <w:rPr>
          <w:rFonts w:ascii="Times New Roman" w:eastAsia="Calibri" w:hAnsi="Times New Roman"/>
          <w:sz w:val="24"/>
          <w:szCs w:val="24"/>
          <w:lang w:eastAsia="en-US"/>
        </w:rPr>
      </w:pPr>
      <w:r w:rsidRPr="00C21835">
        <w:rPr>
          <w:rFonts w:ascii="Palatino Linotype" w:eastAsia="Times New Roman" w:hAnsi="Palatino Linotype" w:cs="Times New Roman"/>
          <w:noProof/>
          <w:sz w:val="24"/>
          <w:szCs w:val="20"/>
        </w:rPr>
        <mc:AlternateContent>
          <mc:Choice Requires="wpc">
            <w:drawing>
              <wp:inline distT="0" distB="0" distL="0" distR="0" wp14:anchorId="1D7C998E" wp14:editId="2C6FFA5F">
                <wp:extent cx="5731510" cy="8496000"/>
                <wp:effectExtent l="0" t="0" r="2540" b="635"/>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4" name="Text Box 13"/>
                        <wps:cNvSpPr txBox="1">
                          <a:spLocks noChangeArrowheads="1"/>
                        </wps:cNvSpPr>
                        <wps:spPr bwMode="auto">
                          <a:xfrm>
                            <a:off x="2400301" y="4667468"/>
                            <a:ext cx="800100" cy="565581"/>
                          </a:xfrm>
                          <a:prstGeom prst="rect">
                            <a:avLst/>
                          </a:prstGeom>
                          <a:solidFill>
                            <a:srgbClr val="FFFFFF"/>
                          </a:solidFill>
                          <a:ln w="9525">
                            <a:solidFill>
                              <a:srgbClr val="000000"/>
                            </a:solidFill>
                            <a:miter lim="800000"/>
                            <a:headEnd/>
                            <a:tailEnd/>
                          </a:ln>
                        </wps:spPr>
                        <wps:txbx>
                          <w:txbxContent>
                            <w:p w14:paraId="2A14E6C7" w14:textId="77777777" w:rsidR="00411708" w:rsidRPr="00953587" w:rsidRDefault="00411708" w:rsidP="00C21835">
                              <w:pPr>
                                <w:pStyle w:val="NormalWeb"/>
                                <w:jc w:val="center"/>
                                <w:rPr>
                                  <w:rFonts w:cs="Arial"/>
                                  <w:sz w:val="16"/>
                                  <w:szCs w:val="16"/>
                                </w:rPr>
                              </w:pPr>
                              <w:r w:rsidRPr="00953587">
                                <w:rPr>
                                  <w:rFonts w:eastAsia="Calibri" w:cs="Arial"/>
                                  <w:b/>
                                  <w:bCs/>
                                  <w:sz w:val="16"/>
                                  <w:szCs w:val="16"/>
                                </w:rPr>
                                <w:t>BASELINE</w:t>
                              </w:r>
                            </w:p>
                          </w:txbxContent>
                        </wps:txbx>
                        <wps:bodyPr rot="0" vert="horz" wrap="square" lIns="91440" tIns="45720" rIns="91440" bIns="45720" anchor="t" anchorCtr="0" upright="1">
                          <a:noAutofit/>
                        </wps:bodyPr>
                      </wps:wsp>
                      <wps:wsp>
                        <wps:cNvPr id="108" name="Text Box 29"/>
                        <wps:cNvSpPr txBox="1"/>
                        <wps:spPr>
                          <a:xfrm>
                            <a:off x="1" y="5302116"/>
                            <a:ext cx="1743455" cy="560200"/>
                          </a:xfrm>
                          <a:prstGeom prst="rect">
                            <a:avLst/>
                          </a:prstGeom>
                          <a:solidFill>
                            <a:sysClr val="window" lastClr="FFFFFF"/>
                          </a:solidFill>
                          <a:ln w="6350">
                            <a:solidFill>
                              <a:prstClr val="black"/>
                            </a:solidFill>
                          </a:ln>
                          <a:effectLst/>
                        </wps:spPr>
                        <wps:txbx>
                          <w:txbxContent>
                            <w:p w14:paraId="60EE3730" w14:textId="77777777" w:rsidR="00411708" w:rsidRPr="008015C7" w:rsidRDefault="00411708" w:rsidP="00B47536">
                              <w:pPr>
                                <w:pStyle w:val="NormalWeb"/>
                                <w:spacing w:before="0" w:line="240" w:lineRule="auto"/>
                                <w:rPr>
                                  <w:rFonts w:cs="Arial"/>
                                  <w:color w:val="FF0000"/>
                                  <w:sz w:val="16"/>
                                  <w:szCs w:val="16"/>
                                </w:rPr>
                              </w:pPr>
                              <w:r w:rsidRPr="008015C7">
                                <w:rPr>
                                  <w:rFonts w:eastAsia="Calibri" w:cs="Arial"/>
                                  <w:color w:val="FF0000"/>
                                  <w:sz w:val="16"/>
                                  <w:szCs w:val="16"/>
                                </w:rPr>
                                <w:t>Residents died, n=55</w:t>
                              </w:r>
                            </w:p>
                            <w:p w14:paraId="2DC8205A" w14:textId="77777777"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Residents withdrawn, n=0</w:t>
                              </w:r>
                            </w:p>
                            <w:p w14:paraId="718DF675" w14:textId="77777777" w:rsidR="00411708" w:rsidRPr="008015C7" w:rsidRDefault="00411708" w:rsidP="00B47536">
                              <w:pPr>
                                <w:pStyle w:val="NormalWeb"/>
                                <w:spacing w:before="0" w:line="240" w:lineRule="auto"/>
                                <w:rPr>
                                  <w:rFonts w:cs="Arial"/>
                                  <w:color w:val="FF0000"/>
                                  <w:sz w:val="16"/>
                                  <w:szCs w:val="16"/>
                                </w:rPr>
                              </w:pPr>
                              <w:r w:rsidRPr="008015C7">
                                <w:rPr>
                                  <w:rFonts w:eastAsia="Calibri" w:cs="Arial"/>
                                  <w:color w:val="FF0000"/>
                                  <w:sz w:val="16"/>
                                  <w:szCs w:val="16"/>
                                </w:rPr>
                                <w:t>Residents moved out, n=7</w:t>
                              </w:r>
                            </w:p>
                            <w:p w14:paraId="6E34D791" w14:textId="0655AA3A"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 xml:space="preserve">No CMAI </w:t>
                              </w:r>
                              <w:r>
                                <w:rPr>
                                  <w:rFonts w:eastAsia="Calibri" w:cs="Arial"/>
                                  <w:color w:val="FF0000"/>
                                  <w:sz w:val="16"/>
                                  <w:szCs w:val="16"/>
                                </w:rPr>
                                <w:t>score</w:t>
                              </w:r>
                              <w:r w:rsidRPr="008015C7">
                                <w:rPr>
                                  <w:rFonts w:eastAsia="Calibri" w:cs="Arial"/>
                                  <w:color w:val="FF0000"/>
                                  <w:sz w:val="16"/>
                                  <w:szCs w:val="16"/>
                                </w:rPr>
                                <w:t xml:space="preserve"> at 6</w:t>
                              </w:r>
                              <w:r>
                                <w:rPr>
                                  <w:rFonts w:eastAsia="Calibri" w:cs="Arial"/>
                                  <w:color w:val="FF0000"/>
                                  <w:sz w:val="16"/>
                                  <w:szCs w:val="16"/>
                                </w:rPr>
                                <w:t>-</w:t>
                              </w:r>
                              <w:r w:rsidRPr="008015C7">
                                <w:rPr>
                                  <w:rFonts w:eastAsia="Calibri" w:cs="Arial"/>
                                  <w:color w:val="FF0000"/>
                                  <w:sz w:val="16"/>
                                  <w:szCs w:val="16"/>
                                </w:rPr>
                                <w:t>months, n=2</w:t>
                              </w:r>
                              <w:r w:rsidRPr="008015C7">
                                <w:rPr>
                                  <w:rFonts w:eastAsia="Calibri" w:cs="Arial"/>
                                  <w:sz w:val="16"/>
                                  <w:szCs w:val="16"/>
                                </w:rPr>
                                <w:t> </w:t>
                              </w:r>
                            </w:p>
                            <w:p w14:paraId="59593F54" w14:textId="4A344CBB" w:rsidR="00411708" w:rsidRPr="008015C7" w:rsidRDefault="00411708" w:rsidP="00C21835">
                              <w:pPr>
                                <w:pStyle w:val="NormalWeb"/>
                                <w:spacing w:before="0" w:line="240" w:lineRule="auto"/>
                                <w:rPr>
                                  <w:rFonts w:eastAsia="Calibri" w:cs="Arial"/>
                                  <w:color w:val="FF0000"/>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307"/>
                        <wps:cNvSpPr txBox="1">
                          <a:spLocks noChangeArrowheads="1"/>
                        </wps:cNvSpPr>
                        <wps:spPr bwMode="auto">
                          <a:xfrm>
                            <a:off x="2171700" y="0"/>
                            <a:ext cx="1142892" cy="342868"/>
                          </a:xfrm>
                          <a:prstGeom prst="rect">
                            <a:avLst/>
                          </a:prstGeom>
                          <a:solidFill>
                            <a:srgbClr val="FFFFFF"/>
                          </a:solidFill>
                          <a:ln w="9525">
                            <a:solidFill>
                              <a:srgbClr val="000000"/>
                            </a:solidFill>
                            <a:miter lim="800000"/>
                            <a:headEnd/>
                            <a:tailEnd/>
                          </a:ln>
                        </wps:spPr>
                        <wps:txbx>
                          <w:txbxContent>
                            <w:p w14:paraId="48C3B6BE" w14:textId="77777777" w:rsidR="00411708" w:rsidRPr="00953587" w:rsidRDefault="00411708" w:rsidP="00C21835">
                              <w:pPr>
                                <w:spacing w:line="240" w:lineRule="auto"/>
                                <w:jc w:val="center"/>
                                <w:rPr>
                                  <w:b/>
                                  <w:sz w:val="16"/>
                                  <w:szCs w:val="16"/>
                                </w:rPr>
                              </w:pPr>
                              <w:r w:rsidRPr="00953587">
                                <w:rPr>
                                  <w:b/>
                                  <w:sz w:val="16"/>
                                  <w:szCs w:val="16"/>
                                </w:rPr>
                                <w:t>CARE HOMES Screened 335</w:t>
                              </w:r>
                            </w:p>
                            <w:p w14:paraId="17467B0E" w14:textId="77777777" w:rsidR="00411708" w:rsidRPr="00953587" w:rsidRDefault="00411708" w:rsidP="00C21835">
                              <w:pPr>
                                <w:spacing w:line="240" w:lineRule="auto"/>
                                <w:rPr>
                                  <w:sz w:val="16"/>
                                  <w:szCs w:val="16"/>
                                </w:rPr>
                              </w:pPr>
                            </w:p>
                          </w:txbxContent>
                        </wps:txbx>
                        <wps:bodyPr rot="0" vert="horz" wrap="square" lIns="91440" tIns="45720" rIns="91440" bIns="45720" anchor="t" anchorCtr="0" upright="1">
                          <a:noAutofit/>
                        </wps:bodyPr>
                      </wps:wsp>
                      <wps:wsp>
                        <wps:cNvPr id="54" name="Text Box 299"/>
                        <wps:cNvSpPr txBox="1">
                          <a:spLocks noChangeArrowheads="1"/>
                        </wps:cNvSpPr>
                        <wps:spPr bwMode="auto">
                          <a:xfrm>
                            <a:off x="53745" y="104033"/>
                            <a:ext cx="2021397" cy="449949"/>
                          </a:xfrm>
                          <a:prstGeom prst="rect">
                            <a:avLst/>
                          </a:prstGeom>
                          <a:solidFill>
                            <a:srgbClr val="FFFFFF"/>
                          </a:solidFill>
                          <a:ln w="9525">
                            <a:solidFill>
                              <a:srgbClr val="000000"/>
                            </a:solidFill>
                            <a:miter lim="800000"/>
                            <a:headEnd/>
                            <a:tailEnd/>
                          </a:ln>
                        </wps:spPr>
                        <wps:txbx>
                          <w:txbxContent>
                            <w:p w14:paraId="38C19486" w14:textId="77777777" w:rsidR="00411708" w:rsidRPr="00953587" w:rsidRDefault="00411708" w:rsidP="00C21835">
                              <w:pPr>
                                <w:spacing w:line="240" w:lineRule="auto"/>
                                <w:rPr>
                                  <w:sz w:val="16"/>
                                  <w:szCs w:val="16"/>
                                </w:rPr>
                              </w:pPr>
                              <w:r w:rsidRPr="00953587">
                                <w:rPr>
                                  <w:b/>
                                  <w:sz w:val="16"/>
                                  <w:szCs w:val="16"/>
                                </w:rPr>
                                <w:t xml:space="preserve">CHs not approached, as sufficient number reached in area – 37 </w:t>
                              </w:r>
                              <w:r w:rsidRPr="00953587">
                                <w:rPr>
                                  <w:sz w:val="16"/>
                                  <w:szCs w:val="16"/>
                                </w:rPr>
                                <w:t xml:space="preserve">(11.0% of screened) </w:t>
                              </w:r>
                            </w:p>
                          </w:txbxContent>
                        </wps:txbx>
                        <wps:bodyPr rot="0" vert="horz" wrap="square" lIns="91440" tIns="45720" rIns="91440" bIns="45720" anchor="t" anchorCtr="0" upright="1">
                          <a:noAutofit/>
                        </wps:bodyPr>
                      </wps:wsp>
                      <wps:wsp>
                        <wps:cNvPr id="55" name="AutoShape 60"/>
                        <wps:cNvCnPr>
                          <a:cxnSpLocks noChangeShapeType="1"/>
                        </wps:cNvCnPr>
                        <wps:spPr bwMode="auto">
                          <a:xfrm>
                            <a:off x="2743091" y="515302"/>
                            <a:ext cx="6770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61"/>
                        <wps:cNvCnPr>
                          <a:cxnSpLocks noChangeShapeType="1"/>
                        </wps:cNvCnPr>
                        <wps:spPr bwMode="auto">
                          <a:xfrm flipH="1">
                            <a:off x="2065813" y="431756"/>
                            <a:ext cx="67727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2"/>
                        <wps:cNvSpPr txBox="1">
                          <a:spLocks noChangeArrowheads="1"/>
                        </wps:cNvSpPr>
                        <wps:spPr bwMode="auto">
                          <a:xfrm>
                            <a:off x="2155293" y="660400"/>
                            <a:ext cx="1142892" cy="359529"/>
                          </a:xfrm>
                          <a:prstGeom prst="rect">
                            <a:avLst/>
                          </a:prstGeom>
                          <a:solidFill>
                            <a:srgbClr val="FFFFFF"/>
                          </a:solidFill>
                          <a:ln w="9525">
                            <a:solidFill>
                              <a:srgbClr val="000000"/>
                            </a:solidFill>
                            <a:miter lim="800000"/>
                            <a:headEnd/>
                            <a:tailEnd/>
                          </a:ln>
                        </wps:spPr>
                        <wps:txbx>
                          <w:txbxContent>
                            <w:p w14:paraId="3FD1C84F" w14:textId="77777777" w:rsidR="00411708" w:rsidRPr="00953587" w:rsidRDefault="00411708" w:rsidP="00B80810">
                              <w:pPr>
                                <w:spacing w:after="0" w:line="240" w:lineRule="auto"/>
                                <w:jc w:val="center"/>
                                <w:rPr>
                                  <w:b/>
                                  <w:sz w:val="16"/>
                                  <w:szCs w:val="16"/>
                                </w:rPr>
                              </w:pPr>
                              <w:r w:rsidRPr="00953587">
                                <w:rPr>
                                  <w:b/>
                                  <w:sz w:val="16"/>
                                  <w:szCs w:val="16"/>
                                </w:rPr>
                                <w:t xml:space="preserve">Approached </w:t>
                              </w:r>
                            </w:p>
                            <w:p w14:paraId="6DFE48F3" w14:textId="77777777" w:rsidR="00411708" w:rsidRPr="00953587" w:rsidRDefault="00411708" w:rsidP="00B80810">
                              <w:pPr>
                                <w:spacing w:after="0" w:line="240" w:lineRule="auto"/>
                                <w:jc w:val="center"/>
                                <w:rPr>
                                  <w:sz w:val="16"/>
                                  <w:szCs w:val="16"/>
                                </w:rPr>
                              </w:pPr>
                              <w:r w:rsidRPr="00953587">
                                <w:rPr>
                                  <w:b/>
                                  <w:sz w:val="16"/>
                                  <w:szCs w:val="16"/>
                                </w:rPr>
                                <w:t xml:space="preserve">241/335 </w:t>
                              </w:r>
                              <w:r w:rsidRPr="00953587">
                                <w:rPr>
                                  <w:sz w:val="16"/>
                                  <w:szCs w:val="16"/>
                                </w:rPr>
                                <w:t>(71.9%)</w:t>
                              </w:r>
                            </w:p>
                            <w:p w14:paraId="4F4192B4" w14:textId="77777777" w:rsidR="00411708" w:rsidRPr="00953587" w:rsidRDefault="00411708" w:rsidP="00C21835">
                              <w:pPr>
                                <w:spacing w:line="240" w:lineRule="auto"/>
                                <w:rPr>
                                  <w:sz w:val="16"/>
                                  <w:szCs w:val="16"/>
                                </w:rPr>
                              </w:pPr>
                            </w:p>
                          </w:txbxContent>
                        </wps:txbx>
                        <wps:bodyPr rot="0" vert="horz" wrap="square" lIns="91440" tIns="45720" rIns="91440" bIns="45720" anchor="t" anchorCtr="0" upright="1">
                          <a:noAutofit/>
                        </wps:bodyPr>
                      </wps:wsp>
                      <wps:wsp>
                        <wps:cNvPr id="58" name="Text Box 311"/>
                        <wps:cNvSpPr txBox="1">
                          <a:spLocks noChangeArrowheads="1"/>
                        </wps:cNvSpPr>
                        <wps:spPr bwMode="auto">
                          <a:xfrm>
                            <a:off x="3420162" y="974716"/>
                            <a:ext cx="2286000" cy="342909"/>
                          </a:xfrm>
                          <a:prstGeom prst="rect">
                            <a:avLst/>
                          </a:prstGeom>
                          <a:solidFill>
                            <a:srgbClr val="FFFFFF"/>
                          </a:solidFill>
                          <a:ln w="9525">
                            <a:solidFill>
                              <a:srgbClr val="000000"/>
                            </a:solidFill>
                            <a:miter lim="800000"/>
                            <a:headEnd/>
                            <a:tailEnd/>
                          </a:ln>
                        </wps:spPr>
                        <wps:txbx>
                          <w:txbxContent>
                            <w:p w14:paraId="75135BDC" w14:textId="77777777" w:rsidR="00411708" w:rsidRPr="00953587" w:rsidRDefault="00411708" w:rsidP="00953587">
                              <w:pPr>
                                <w:spacing w:after="0" w:line="240" w:lineRule="auto"/>
                                <w:rPr>
                                  <w:b/>
                                  <w:sz w:val="16"/>
                                  <w:szCs w:val="16"/>
                                </w:rPr>
                              </w:pPr>
                              <w:r w:rsidRPr="00953587">
                                <w:rPr>
                                  <w:b/>
                                  <w:sz w:val="16"/>
                                  <w:szCs w:val="16"/>
                                </w:rPr>
                                <w:t xml:space="preserve">No response </w:t>
                              </w:r>
                              <w:r w:rsidRPr="00953587">
                                <w:rPr>
                                  <w:sz w:val="16"/>
                                  <w:szCs w:val="16"/>
                                </w:rPr>
                                <w:t xml:space="preserve">– </w:t>
                              </w:r>
                              <w:r w:rsidRPr="00953587">
                                <w:rPr>
                                  <w:b/>
                                  <w:sz w:val="16"/>
                                  <w:szCs w:val="16"/>
                                </w:rPr>
                                <w:t>40</w:t>
                              </w:r>
                              <w:r w:rsidRPr="00953587">
                                <w:rPr>
                                  <w:sz w:val="16"/>
                                  <w:szCs w:val="16"/>
                                </w:rPr>
                                <w:t xml:space="preserve"> (16.6% of approached)</w:t>
                              </w:r>
                            </w:p>
                            <w:p w14:paraId="02B7F465" w14:textId="77777777" w:rsidR="00411708" w:rsidRPr="00953587" w:rsidRDefault="00411708" w:rsidP="00953587">
                              <w:pPr>
                                <w:spacing w:after="0" w:line="240" w:lineRule="auto"/>
                                <w:ind w:left="709" w:hanging="709"/>
                                <w:rPr>
                                  <w:sz w:val="16"/>
                                  <w:szCs w:val="16"/>
                                </w:rPr>
                              </w:pPr>
                              <w:r w:rsidRPr="00953587">
                                <w:rPr>
                                  <w:sz w:val="16"/>
                                  <w:szCs w:val="16"/>
                                </w:rPr>
                                <w:t>(Several attempts at contact failed)</w:t>
                              </w:r>
                            </w:p>
                          </w:txbxContent>
                        </wps:txbx>
                        <wps:bodyPr rot="0" vert="horz" wrap="square" lIns="91440" tIns="45720" rIns="91440" bIns="45720" anchor="t" anchorCtr="0" upright="1">
                          <a:noAutofit/>
                        </wps:bodyPr>
                      </wps:wsp>
                      <wps:wsp>
                        <wps:cNvPr id="59" name="Text Box 7"/>
                        <wps:cNvSpPr txBox="1">
                          <a:spLocks noChangeArrowheads="1"/>
                        </wps:cNvSpPr>
                        <wps:spPr bwMode="auto">
                          <a:xfrm>
                            <a:off x="44414" y="660399"/>
                            <a:ext cx="2021398" cy="1380067"/>
                          </a:xfrm>
                          <a:prstGeom prst="rect">
                            <a:avLst/>
                          </a:prstGeom>
                          <a:solidFill>
                            <a:srgbClr val="FFFFFF"/>
                          </a:solidFill>
                          <a:ln w="9525">
                            <a:solidFill>
                              <a:srgbClr val="000000"/>
                            </a:solidFill>
                            <a:miter lim="800000"/>
                            <a:headEnd/>
                            <a:tailEnd/>
                          </a:ln>
                        </wps:spPr>
                        <wps:txbx>
                          <w:txbxContent>
                            <w:p w14:paraId="15B43C35" w14:textId="77777777" w:rsidR="00411708" w:rsidRPr="00953587" w:rsidRDefault="00411708" w:rsidP="00B80810">
                              <w:pPr>
                                <w:spacing w:after="0" w:line="240" w:lineRule="auto"/>
                                <w:rPr>
                                  <w:b/>
                                  <w:sz w:val="16"/>
                                  <w:szCs w:val="16"/>
                                </w:rPr>
                              </w:pPr>
                              <w:r w:rsidRPr="00953587">
                                <w:rPr>
                                  <w:b/>
                                  <w:sz w:val="16"/>
                                  <w:szCs w:val="16"/>
                                </w:rPr>
                                <w:t xml:space="preserve">Not interested </w:t>
                              </w:r>
                              <w:r w:rsidRPr="00953587">
                                <w:rPr>
                                  <w:sz w:val="16"/>
                                  <w:szCs w:val="16"/>
                                </w:rPr>
                                <w:t xml:space="preserve">– </w:t>
                              </w:r>
                              <w:r w:rsidRPr="00953587">
                                <w:rPr>
                                  <w:b/>
                                  <w:sz w:val="16"/>
                                  <w:szCs w:val="16"/>
                                </w:rPr>
                                <w:t>107</w:t>
                              </w:r>
                              <w:r w:rsidRPr="00953587">
                                <w:rPr>
                                  <w:sz w:val="16"/>
                                  <w:szCs w:val="16"/>
                                </w:rPr>
                                <w:t xml:space="preserve"> (44.4% of approached)</w:t>
                              </w:r>
                            </w:p>
                            <w:p w14:paraId="3E768D6D" w14:textId="77777777" w:rsidR="00411708" w:rsidRPr="00953587" w:rsidRDefault="00411708" w:rsidP="00B80810">
                              <w:pPr>
                                <w:spacing w:after="0" w:line="240" w:lineRule="auto"/>
                                <w:rPr>
                                  <w:sz w:val="16"/>
                                  <w:szCs w:val="16"/>
                                </w:rPr>
                              </w:pPr>
                              <w:r w:rsidRPr="00953587">
                                <w:rPr>
                                  <w:sz w:val="16"/>
                                  <w:szCs w:val="16"/>
                                </w:rPr>
                                <w:t>29 (27.1%) Not interested in research</w:t>
                              </w:r>
                            </w:p>
                            <w:p w14:paraId="651C7612" w14:textId="77777777" w:rsidR="00411708" w:rsidRPr="00953587" w:rsidRDefault="00411708" w:rsidP="00B80810">
                              <w:pPr>
                                <w:spacing w:after="0" w:line="240" w:lineRule="auto"/>
                                <w:rPr>
                                  <w:sz w:val="16"/>
                                  <w:szCs w:val="16"/>
                                </w:rPr>
                              </w:pPr>
                              <w:r w:rsidRPr="00953587">
                                <w:rPr>
                                  <w:sz w:val="16"/>
                                  <w:szCs w:val="16"/>
                                </w:rPr>
                                <w:t>27 (25.2%) Organisation declined</w:t>
                              </w:r>
                            </w:p>
                            <w:p w14:paraId="0FEA8AD3" w14:textId="77777777" w:rsidR="00411708" w:rsidRPr="00953587" w:rsidRDefault="00411708" w:rsidP="00B80810">
                              <w:pPr>
                                <w:spacing w:after="0" w:line="240" w:lineRule="auto"/>
                                <w:ind w:left="284" w:hanging="284"/>
                                <w:rPr>
                                  <w:sz w:val="16"/>
                                  <w:szCs w:val="16"/>
                                </w:rPr>
                              </w:pPr>
                              <w:r w:rsidRPr="00953587">
                                <w:rPr>
                                  <w:sz w:val="16"/>
                                  <w:szCs w:val="16"/>
                                </w:rPr>
                                <w:t>11 (10.3%) No/New manager</w:t>
                              </w:r>
                            </w:p>
                            <w:p w14:paraId="33DC84EA" w14:textId="77777777" w:rsidR="00411708" w:rsidRPr="00953587" w:rsidRDefault="00411708" w:rsidP="00B80810">
                              <w:pPr>
                                <w:spacing w:after="0" w:line="240" w:lineRule="auto"/>
                                <w:rPr>
                                  <w:sz w:val="16"/>
                                  <w:szCs w:val="16"/>
                                </w:rPr>
                              </w:pPr>
                              <w:r w:rsidRPr="00953587">
                                <w:rPr>
                                  <w:sz w:val="16"/>
                                  <w:szCs w:val="16"/>
                                </w:rPr>
                                <w:t>10   (9.3%) Too busy</w:t>
                              </w:r>
                            </w:p>
                            <w:p w14:paraId="2DE3CAB1" w14:textId="77777777" w:rsidR="00411708" w:rsidRPr="00953587" w:rsidRDefault="00411708" w:rsidP="00B80810">
                              <w:pPr>
                                <w:spacing w:after="0" w:line="240" w:lineRule="auto"/>
                                <w:ind w:left="284" w:hanging="284"/>
                                <w:rPr>
                                  <w:sz w:val="16"/>
                                  <w:szCs w:val="16"/>
                                </w:rPr>
                              </w:pPr>
                              <w:r w:rsidRPr="00953587">
                                <w:rPr>
                                  <w:sz w:val="16"/>
                                  <w:szCs w:val="16"/>
                                </w:rPr>
                                <w:t xml:space="preserve">  6   (5.6%) Care home closed</w:t>
                              </w:r>
                            </w:p>
                            <w:p w14:paraId="16E3BF4C" w14:textId="77777777" w:rsidR="00411708" w:rsidRPr="00953587" w:rsidRDefault="00411708" w:rsidP="00B80810">
                              <w:pPr>
                                <w:spacing w:after="0" w:line="240" w:lineRule="auto"/>
                                <w:ind w:left="284" w:hanging="284"/>
                                <w:rPr>
                                  <w:sz w:val="16"/>
                                  <w:szCs w:val="16"/>
                                </w:rPr>
                              </w:pPr>
                              <w:r w:rsidRPr="00953587">
                                <w:rPr>
                                  <w:sz w:val="16"/>
                                  <w:szCs w:val="16"/>
                                </w:rPr>
                                <w:t xml:space="preserve">  4   (3.7%) Taking part in other research</w:t>
                              </w:r>
                            </w:p>
                            <w:p w14:paraId="3A2E75AA" w14:textId="77777777" w:rsidR="00411708" w:rsidRPr="00953587" w:rsidRDefault="00411708" w:rsidP="00B80810">
                              <w:pPr>
                                <w:spacing w:after="0" w:line="240" w:lineRule="auto"/>
                                <w:ind w:left="284" w:hanging="284"/>
                                <w:rPr>
                                  <w:sz w:val="16"/>
                                  <w:szCs w:val="16"/>
                                </w:rPr>
                              </w:pPr>
                              <w:r w:rsidRPr="00953587">
                                <w:rPr>
                                  <w:sz w:val="16"/>
                                  <w:szCs w:val="16"/>
                                </w:rPr>
                                <w:t xml:space="preserve">  4   (3.7%) Ineligible</w:t>
                              </w:r>
                            </w:p>
                            <w:p w14:paraId="2364D74C" w14:textId="77777777" w:rsidR="00411708" w:rsidRPr="00953587" w:rsidRDefault="00411708" w:rsidP="00B80810">
                              <w:pPr>
                                <w:spacing w:after="0" w:line="240" w:lineRule="auto"/>
                                <w:ind w:left="709" w:hanging="709"/>
                                <w:rPr>
                                  <w:sz w:val="16"/>
                                  <w:szCs w:val="16"/>
                                </w:rPr>
                              </w:pPr>
                              <w:r w:rsidRPr="00953587">
                                <w:rPr>
                                  <w:sz w:val="16"/>
                                  <w:szCs w:val="16"/>
                                </w:rPr>
                                <w:t xml:space="preserve">  4   (3.7%) Not interested in intervention    </w:t>
                              </w:r>
                            </w:p>
                            <w:p w14:paraId="6EA43E98" w14:textId="77777777" w:rsidR="00411708" w:rsidRPr="00953587" w:rsidRDefault="00411708" w:rsidP="00C21835">
                              <w:pPr>
                                <w:spacing w:line="240" w:lineRule="auto"/>
                                <w:ind w:left="284" w:hanging="284"/>
                                <w:rPr>
                                  <w:sz w:val="16"/>
                                  <w:szCs w:val="16"/>
                                </w:rPr>
                              </w:pPr>
                              <w:r w:rsidRPr="00953587">
                                <w:rPr>
                                  <w:sz w:val="16"/>
                                  <w:szCs w:val="16"/>
                                </w:rPr>
                                <w:t xml:space="preserve">  2   (1.9%) Other</w:t>
                              </w:r>
                            </w:p>
                            <w:p w14:paraId="2E025211" w14:textId="77777777" w:rsidR="00411708" w:rsidRPr="00953587" w:rsidRDefault="00411708" w:rsidP="00C21835">
                              <w:pPr>
                                <w:spacing w:line="240" w:lineRule="auto"/>
                                <w:ind w:left="284" w:hanging="284"/>
                                <w:rPr>
                                  <w:sz w:val="16"/>
                                  <w:szCs w:val="16"/>
                                </w:rPr>
                              </w:pPr>
                              <w:r w:rsidRPr="00953587">
                                <w:rPr>
                                  <w:sz w:val="16"/>
                                  <w:szCs w:val="16"/>
                                </w:rPr>
                                <w:t>10   (9.3%) Unknown (no reason provided)</w:t>
                              </w:r>
                            </w:p>
                            <w:p w14:paraId="2A1331F7" w14:textId="77777777" w:rsidR="00411708" w:rsidRPr="00953587" w:rsidRDefault="00411708" w:rsidP="00C21835">
                              <w:pPr>
                                <w:spacing w:line="240" w:lineRule="auto"/>
                                <w:rPr>
                                  <w:sz w:val="16"/>
                                  <w:szCs w:val="16"/>
                                </w:rPr>
                              </w:pPr>
                            </w:p>
                          </w:txbxContent>
                        </wps:txbx>
                        <wps:bodyPr rot="0" vert="horz" wrap="square" lIns="91440" tIns="45720" rIns="91440" bIns="45720" anchor="t" anchorCtr="0" upright="1">
                          <a:noAutofit/>
                        </wps:bodyPr>
                      </wps:wsp>
                      <wps:wsp>
                        <wps:cNvPr id="60" name="Text Box 5"/>
                        <wps:cNvSpPr txBox="1">
                          <a:spLocks noChangeArrowheads="1"/>
                        </wps:cNvSpPr>
                        <wps:spPr bwMode="auto">
                          <a:xfrm>
                            <a:off x="2163126" y="1463040"/>
                            <a:ext cx="1142892" cy="357962"/>
                          </a:xfrm>
                          <a:prstGeom prst="rect">
                            <a:avLst/>
                          </a:prstGeom>
                          <a:solidFill>
                            <a:srgbClr val="FFFFFF"/>
                          </a:solidFill>
                          <a:ln w="9525">
                            <a:solidFill>
                              <a:srgbClr val="000000"/>
                            </a:solidFill>
                            <a:miter lim="800000"/>
                            <a:headEnd/>
                            <a:tailEnd/>
                          </a:ln>
                        </wps:spPr>
                        <wps:txbx>
                          <w:txbxContent>
                            <w:p w14:paraId="237AF52C" w14:textId="77777777" w:rsidR="00411708" w:rsidRPr="00953587" w:rsidRDefault="00411708" w:rsidP="00B80810">
                              <w:pPr>
                                <w:spacing w:after="0" w:line="240" w:lineRule="auto"/>
                                <w:jc w:val="center"/>
                                <w:rPr>
                                  <w:b/>
                                  <w:sz w:val="16"/>
                                  <w:szCs w:val="16"/>
                                </w:rPr>
                              </w:pPr>
                              <w:r w:rsidRPr="00953587">
                                <w:rPr>
                                  <w:b/>
                                  <w:sz w:val="16"/>
                                  <w:szCs w:val="16"/>
                                </w:rPr>
                                <w:t xml:space="preserve">Interested </w:t>
                              </w:r>
                            </w:p>
                            <w:p w14:paraId="3F1C70F3" w14:textId="77777777" w:rsidR="00411708" w:rsidRPr="00953587" w:rsidRDefault="00411708" w:rsidP="00B80810">
                              <w:pPr>
                                <w:spacing w:after="0" w:line="240" w:lineRule="auto"/>
                                <w:jc w:val="center"/>
                                <w:rPr>
                                  <w:sz w:val="16"/>
                                  <w:szCs w:val="16"/>
                                </w:rPr>
                              </w:pPr>
                              <w:r w:rsidRPr="00953587">
                                <w:rPr>
                                  <w:b/>
                                  <w:sz w:val="16"/>
                                  <w:szCs w:val="16"/>
                                </w:rPr>
                                <w:t>94/241</w:t>
                              </w:r>
                              <w:r w:rsidRPr="00953587">
                                <w:rPr>
                                  <w:sz w:val="16"/>
                                  <w:szCs w:val="16"/>
                                </w:rPr>
                                <w:t xml:space="preserve"> (39.0%)</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3412593" y="1479386"/>
                            <a:ext cx="2280772" cy="1349539"/>
                          </a:xfrm>
                          <a:prstGeom prst="rect">
                            <a:avLst/>
                          </a:prstGeom>
                          <a:solidFill>
                            <a:srgbClr val="FFFFFF"/>
                          </a:solidFill>
                          <a:ln w="9525">
                            <a:solidFill>
                              <a:srgbClr val="000000"/>
                            </a:solidFill>
                            <a:miter lim="800000"/>
                            <a:headEnd/>
                            <a:tailEnd/>
                          </a:ln>
                        </wps:spPr>
                        <wps:txbx>
                          <w:txbxContent>
                            <w:p w14:paraId="697D2446" w14:textId="77777777" w:rsidR="00411708" w:rsidRPr="00953587" w:rsidRDefault="00411708" w:rsidP="00B80810">
                              <w:pPr>
                                <w:spacing w:after="0" w:line="240" w:lineRule="auto"/>
                                <w:rPr>
                                  <w:b/>
                                  <w:sz w:val="16"/>
                                  <w:szCs w:val="16"/>
                                </w:rPr>
                              </w:pPr>
                              <w:r w:rsidRPr="00953587">
                                <w:rPr>
                                  <w:b/>
                                  <w:sz w:val="16"/>
                                  <w:szCs w:val="16"/>
                                </w:rPr>
                                <w:t>Not eligible – 31</w:t>
                              </w:r>
                              <w:r w:rsidRPr="00953587">
                                <w:rPr>
                                  <w:sz w:val="16"/>
                                  <w:szCs w:val="16"/>
                                </w:rPr>
                                <w:t xml:space="preserve"> (33.0% of interested)</w:t>
                              </w:r>
                            </w:p>
                            <w:p w14:paraId="00E57CA8" w14:textId="77777777" w:rsidR="00411708" w:rsidRPr="00953587" w:rsidRDefault="00411708" w:rsidP="00B80810">
                              <w:pPr>
                                <w:spacing w:after="0" w:line="240" w:lineRule="auto"/>
                                <w:ind w:left="709" w:hanging="709"/>
                                <w:rPr>
                                  <w:sz w:val="16"/>
                                  <w:szCs w:val="16"/>
                                </w:rPr>
                              </w:pPr>
                              <w:r w:rsidRPr="00953587">
                                <w:rPr>
                                  <w:b/>
                                  <w:sz w:val="16"/>
                                  <w:szCs w:val="16"/>
                                </w:rPr>
                                <w:t>22</w:t>
                              </w:r>
                              <w:r w:rsidRPr="00953587">
                                <w:rPr>
                                  <w:sz w:val="16"/>
                                  <w:szCs w:val="16"/>
                                </w:rPr>
                                <w:t xml:space="preserve"> (71.0%) Insufficient n of dementia residents </w:t>
                              </w:r>
                            </w:p>
                            <w:p w14:paraId="7EEBE9BB" w14:textId="77777777" w:rsidR="00411708" w:rsidRPr="00953587" w:rsidRDefault="00411708" w:rsidP="00B80810">
                              <w:pPr>
                                <w:spacing w:after="0" w:line="240" w:lineRule="auto"/>
                                <w:ind w:left="709" w:hanging="709"/>
                                <w:rPr>
                                  <w:b/>
                                  <w:sz w:val="16"/>
                                  <w:szCs w:val="16"/>
                                </w:rPr>
                              </w:pPr>
                              <w:r w:rsidRPr="00953587">
                                <w:rPr>
                                  <w:b/>
                                  <w:sz w:val="16"/>
                                  <w:szCs w:val="16"/>
                                </w:rPr>
                                <w:t xml:space="preserve">  5</w:t>
                              </w:r>
                              <w:r w:rsidRPr="00953587">
                                <w:rPr>
                                  <w:sz w:val="16"/>
                                  <w:szCs w:val="16"/>
                                </w:rPr>
                                <w:t xml:space="preserve"> (16.1%) Has used DCM</w:t>
                              </w:r>
                              <w:r w:rsidRPr="00953587">
                                <w:rPr>
                                  <w:sz w:val="16"/>
                                  <w:szCs w:val="16"/>
                                  <w:vertAlign w:val="superscript"/>
                                </w:rPr>
                                <w:t>TM</w:t>
                              </w:r>
                              <w:r w:rsidRPr="00953587">
                                <w:rPr>
                                  <w:sz w:val="16"/>
                                  <w:szCs w:val="16"/>
                                </w:rPr>
                                <w:t xml:space="preserve"> in last 18 months</w:t>
                              </w:r>
                              <w:r w:rsidRPr="00953587">
                                <w:rPr>
                                  <w:b/>
                                  <w:sz w:val="16"/>
                                  <w:szCs w:val="16"/>
                                </w:rPr>
                                <w:t xml:space="preserve"> </w:t>
                              </w:r>
                            </w:p>
                            <w:p w14:paraId="397DF69B" w14:textId="7F24B286" w:rsidR="00411708" w:rsidRPr="00953587" w:rsidRDefault="00411708" w:rsidP="00B80810">
                              <w:pPr>
                                <w:spacing w:after="0" w:line="240" w:lineRule="auto"/>
                                <w:ind w:left="709" w:hanging="709"/>
                                <w:rPr>
                                  <w:sz w:val="16"/>
                                  <w:szCs w:val="16"/>
                                </w:rPr>
                              </w:pPr>
                              <w:r w:rsidRPr="00953587">
                                <w:rPr>
                                  <w:b/>
                                  <w:sz w:val="16"/>
                                  <w:szCs w:val="16"/>
                                </w:rPr>
                                <w:t xml:space="preserve">  2</w:t>
                              </w:r>
                              <w:r w:rsidRPr="00953587">
                                <w:rPr>
                                  <w:sz w:val="16"/>
                                  <w:szCs w:val="16"/>
                                </w:rPr>
                                <w:t xml:space="preserve"> (6.5%) Not s</w:t>
                              </w:r>
                              <w:r>
                                <w:rPr>
                                  <w:sz w:val="16"/>
                                  <w:szCs w:val="16"/>
                                </w:rPr>
                                <w:t xml:space="preserve">uitable for participation (i.e. </w:t>
                              </w:r>
                              <w:r w:rsidRPr="00953587">
                                <w:rPr>
                                  <w:sz w:val="16"/>
                                  <w:szCs w:val="16"/>
                                </w:rPr>
                                <w:t>CQC status, admissions ban)</w:t>
                              </w:r>
                            </w:p>
                            <w:p w14:paraId="2E2A9282" w14:textId="56A0ECEA" w:rsidR="00411708" w:rsidRPr="00953587" w:rsidRDefault="00411708" w:rsidP="00953587">
                              <w:pPr>
                                <w:spacing w:after="0" w:line="240" w:lineRule="auto"/>
                                <w:ind w:left="90"/>
                                <w:rPr>
                                  <w:b/>
                                  <w:sz w:val="16"/>
                                  <w:szCs w:val="16"/>
                                </w:rPr>
                              </w:pPr>
                              <w:r w:rsidRPr="00953587">
                                <w:rPr>
                                  <w:b/>
                                  <w:sz w:val="16"/>
                                  <w:szCs w:val="16"/>
                                </w:rPr>
                                <w:t>1</w:t>
                              </w:r>
                              <w:r>
                                <w:rPr>
                                  <w:sz w:val="16"/>
                                  <w:szCs w:val="16"/>
                                </w:rPr>
                                <w:t xml:space="preserve"> </w:t>
                              </w:r>
                              <w:r w:rsidRPr="00953587">
                                <w:rPr>
                                  <w:sz w:val="16"/>
                                  <w:szCs w:val="16"/>
                                </w:rPr>
                                <w:t>(3.2%) Staff unavailable to attend DCM                       training</w:t>
                              </w:r>
                              <w:r w:rsidRPr="00953587">
                                <w:rPr>
                                  <w:b/>
                                  <w:sz w:val="16"/>
                                  <w:szCs w:val="16"/>
                                </w:rPr>
                                <w:t xml:space="preserve">  </w:t>
                              </w:r>
                            </w:p>
                            <w:p w14:paraId="6A3E453F" w14:textId="3AD9AECF" w:rsidR="00411708" w:rsidRPr="00953587" w:rsidRDefault="00411708" w:rsidP="00B80810">
                              <w:pPr>
                                <w:spacing w:after="0" w:line="240" w:lineRule="auto"/>
                                <w:ind w:left="90"/>
                                <w:rPr>
                                  <w:sz w:val="16"/>
                                  <w:szCs w:val="16"/>
                                </w:rPr>
                              </w:pPr>
                              <w:r>
                                <w:rPr>
                                  <w:b/>
                                  <w:sz w:val="16"/>
                                  <w:szCs w:val="16"/>
                                </w:rPr>
                                <w:t xml:space="preserve">1 </w:t>
                              </w:r>
                              <w:r w:rsidRPr="00953587">
                                <w:rPr>
                                  <w:sz w:val="16"/>
                                  <w:szCs w:val="16"/>
                                </w:rPr>
                                <w:t>(3.2%) Involved in conflicting research</w:t>
                              </w:r>
                            </w:p>
                            <w:p w14:paraId="71F3616B" w14:textId="77777777" w:rsidR="00411708" w:rsidRPr="00953587" w:rsidRDefault="00411708" w:rsidP="00C21835">
                              <w:pPr>
                                <w:spacing w:line="240" w:lineRule="auto"/>
                                <w:ind w:left="284" w:hanging="284"/>
                                <w:rPr>
                                  <w:sz w:val="16"/>
                                  <w:szCs w:val="16"/>
                                </w:rPr>
                              </w:pPr>
                            </w:p>
                          </w:txbxContent>
                        </wps:txbx>
                        <wps:bodyPr rot="0" vert="horz" wrap="square" lIns="91440" tIns="45720" rIns="91440" bIns="45720" anchor="t" anchorCtr="0" upright="1">
                          <a:noAutofit/>
                        </wps:bodyPr>
                      </wps:wsp>
                      <wps:wsp>
                        <wps:cNvPr id="62" name="Text Box 9"/>
                        <wps:cNvSpPr txBox="1">
                          <a:spLocks noChangeArrowheads="1"/>
                        </wps:cNvSpPr>
                        <wps:spPr bwMode="auto">
                          <a:xfrm>
                            <a:off x="2163126" y="2068196"/>
                            <a:ext cx="1142999" cy="537844"/>
                          </a:xfrm>
                          <a:prstGeom prst="rect">
                            <a:avLst/>
                          </a:prstGeom>
                          <a:solidFill>
                            <a:srgbClr val="FFFFFF"/>
                          </a:solidFill>
                          <a:ln w="9525">
                            <a:solidFill>
                              <a:srgbClr val="000000"/>
                            </a:solidFill>
                            <a:miter lim="800000"/>
                            <a:headEnd/>
                            <a:tailEnd/>
                          </a:ln>
                        </wps:spPr>
                        <wps:txbx>
                          <w:txbxContent>
                            <w:p w14:paraId="474D53C1" w14:textId="77777777" w:rsidR="00411708" w:rsidRPr="00953587" w:rsidRDefault="00411708" w:rsidP="00C21835">
                              <w:pPr>
                                <w:spacing w:line="240" w:lineRule="auto"/>
                                <w:jc w:val="center"/>
                                <w:rPr>
                                  <w:b/>
                                  <w:sz w:val="16"/>
                                  <w:szCs w:val="16"/>
                                </w:rPr>
                              </w:pPr>
                              <w:r w:rsidRPr="00953587">
                                <w:rPr>
                                  <w:b/>
                                  <w:sz w:val="16"/>
                                  <w:szCs w:val="16"/>
                                </w:rPr>
                                <w:t xml:space="preserve">Eligible </w:t>
                              </w:r>
                            </w:p>
                            <w:p w14:paraId="7C92E562" w14:textId="77777777" w:rsidR="00411708" w:rsidRPr="00953587" w:rsidRDefault="00411708" w:rsidP="00C21835">
                              <w:pPr>
                                <w:spacing w:line="240" w:lineRule="auto"/>
                                <w:jc w:val="center"/>
                                <w:rPr>
                                  <w:sz w:val="16"/>
                                  <w:szCs w:val="16"/>
                                </w:rPr>
                              </w:pPr>
                              <w:r w:rsidRPr="00953587">
                                <w:rPr>
                                  <w:b/>
                                  <w:sz w:val="16"/>
                                  <w:szCs w:val="16"/>
                                </w:rPr>
                                <w:t>63/94</w:t>
                              </w:r>
                              <w:r w:rsidRPr="00953587">
                                <w:rPr>
                                  <w:sz w:val="16"/>
                                  <w:szCs w:val="16"/>
                                </w:rPr>
                                <w:t xml:space="preserve"> (67.0%)</w:t>
                              </w:r>
                            </w:p>
                          </w:txbxContent>
                        </wps:txbx>
                        <wps:bodyPr rot="0" vert="horz" wrap="square" lIns="91440" tIns="45720" rIns="91440" bIns="45720" anchor="t" anchorCtr="0" upright="1">
                          <a:spAutoFit/>
                        </wps:bodyPr>
                      </wps:wsp>
                      <wps:wsp>
                        <wps:cNvPr id="63" name="Text Box 17"/>
                        <wps:cNvSpPr txBox="1">
                          <a:spLocks noChangeArrowheads="1"/>
                        </wps:cNvSpPr>
                        <wps:spPr bwMode="auto">
                          <a:xfrm>
                            <a:off x="36001" y="2087880"/>
                            <a:ext cx="2021398" cy="1394459"/>
                          </a:xfrm>
                          <a:prstGeom prst="rect">
                            <a:avLst/>
                          </a:prstGeom>
                          <a:solidFill>
                            <a:srgbClr val="FFFFFF"/>
                          </a:solidFill>
                          <a:ln w="9525">
                            <a:solidFill>
                              <a:srgbClr val="000000"/>
                            </a:solidFill>
                            <a:miter lim="800000"/>
                            <a:headEnd/>
                            <a:tailEnd/>
                          </a:ln>
                        </wps:spPr>
                        <wps:txbx>
                          <w:txbxContent>
                            <w:p w14:paraId="2A64F592" w14:textId="77777777" w:rsidR="00411708" w:rsidRPr="00953587" w:rsidRDefault="00411708" w:rsidP="00953587">
                              <w:pPr>
                                <w:spacing w:after="0" w:line="240" w:lineRule="auto"/>
                                <w:rPr>
                                  <w:b/>
                                  <w:sz w:val="16"/>
                                  <w:szCs w:val="16"/>
                                </w:rPr>
                              </w:pPr>
                              <w:r w:rsidRPr="00953587">
                                <w:rPr>
                                  <w:b/>
                                  <w:sz w:val="16"/>
                                  <w:szCs w:val="16"/>
                                </w:rPr>
                                <w:t xml:space="preserve">Not consented - 12 </w:t>
                              </w:r>
                              <w:r w:rsidRPr="00953587">
                                <w:rPr>
                                  <w:sz w:val="16"/>
                                  <w:szCs w:val="16"/>
                                </w:rPr>
                                <w:t>(19.0% of eligible)</w:t>
                              </w:r>
                            </w:p>
                            <w:p w14:paraId="7E2DB7C1" w14:textId="77777777" w:rsidR="00411708" w:rsidRPr="00953587" w:rsidRDefault="00411708" w:rsidP="00953587">
                              <w:pPr>
                                <w:spacing w:after="0" w:line="240" w:lineRule="auto"/>
                                <w:ind w:left="284" w:hanging="284"/>
                                <w:rPr>
                                  <w:sz w:val="16"/>
                                  <w:szCs w:val="16"/>
                                </w:rPr>
                              </w:pPr>
                              <w:r w:rsidRPr="00953587">
                                <w:rPr>
                                  <w:b/>
                                  <w:sz w:val="16"/>
                                  <w:szCs w:val="16"/>
                                </w:rPr>
                                <w:t xml:space="preserve">4 </w:t>
                              </w:r>
                              <w:r w:rsidRPr="00953587">
                                <w:rPr>
                                  <w:sz w:val="16"/>
                                  <w:szCs w:val="16"/>
                                </w:rPr>
                                <w:t>(33.3%) Staffing issues</w:t>
                              </w:r>
                            </w:p>
                            <w:p w14:paraId="3AEF5F86" w14:textId="77777777" w:rsidR="00411708" w:rsidRPr="00953587" w:rsidRDefault="00411708" w:rsidP="00953587">
                              <w:pPr>
                                <w:spacing w:after="0" w:line="240" w:lineRule="auto"/>
                                <w:ind w:left="284" w:hanging="284"/>
                                <w:rPr>
                                  <w:sz w:val="16"/>
                                  <w:szCs w:val="16"/>
                                </w:rPr>
                              </w:pPr>
                              <w:r w:rsidRPr="00953587">
                                <w:rPr>
                                  <w:b/>
                                  <w:sz w:val="16"/>
                                  <w:szCs w:val="16"/>
                                </w:rPr>
                                <w:t>3</w:t>
                              </w:r>
                              <w:r w:rsidRPr="00953587">
                                <w:rPr>
                                  <w:sz w:val="16"/>
                                  <w:szCs w:val="16"/>
                                </w:rPr>
                                <w:t xml:space="preserve"> (25.0%) Declined</w:t>
                              </w:r>
                            </w:p>
                            <w:p w14:paraId="0C306DA0" w14:textId="77777777" w:rsidR="00411708" w:rsidRPr="00953587" w:rsidRDefault="00411708" w:rsidP="00953587">
                              <w:pPr>
                                <w:spacing w:after="0" w:line="240" w:lineRule="auto"/>
                                <w:ind w:left="284" w:hanging="284"/>
                                <w:rPr>
                                  <w:sz w:val="16"/>
                                  <w:szCs w:val="16"/>
                                </w:rPr>
                              </w:pPr>
                              <w:r w:rsidRPr="00953587">
                                <w:rPr>
                                  <w:b/>
                                  <w:sz w:val="16"/>
                                  <w:szCs w:val="16"/>
                                </w:rPr>
                                <w:t>1</w:t>
                              </w:r>
                              <w:r w:rsidRPr="00953587">
                                <w:rPr>
                                  <w:sz w:val="16"/>
                                  <w:szCs w:val="16"/>
                                </w:rPr>
                                <w:t xml:space="preserve">   (8.3%) Care home being sold</w:t>
                              </w:r>
                            </w:p>
                            <w:p w14:paraId="38EA53B7" w14:textId="77777777" w:rsidR="00411708" w:rsidRPr="00953587" w:rsidRDefault="00411708" w:rsidP="00953587">
                              <w:pPr>
                                <w:spacing w:after="0" w:line="240" w:lineRule="auto"/>
                                <w:ind w:left="284" w:hanging="284"/>
                                <w:rPr>
                                  <w:sz w:val="16"/>
                                  <w:szCs w:val="16"/>
                                </w:rPr>
                              </w:pPr>
                              <w:r w:rsidRPr="00953587">
                                <w:rPr>
                                  <w:b/>
                                  <w:sz w:val="16"/>
                                  <w:szCs w:val="16"/>
                                </w:rPr>
                                <w:t>1</w:t>
                              </w:r>
                              <w:r w:rsidRPr="00953587">
                                <w:rPr>
                                  <w:sz w:val="16"/>
                                  <w:szCs w:val="16"/>
                                </w:rPr>
                                <w:t xml:space="preserve">   (8.3%) Care home under administration</w:t>
                              </w:r>
                            </w:p>
                            <w:p w14:paraId="109A5CFD" w14:textId="77777777" w:rsidR="00411708" w:rsidRPr="00953587" w:rsidRDefault="00411708" w:rsidP="00953587">
                              <w:pPr>
                                <w:spacing w:after="0" w:line="240" w:lineRule="auto"/>
                                <w:ind w:left="284" w:hanging="284"/>
                                <w:rPr>
                                  <w:sz w:val="16"/>
                                  <w:szCs w:val="16"/>
                                </w:rPr>
                              </w:pPr>
                              <w:r w:rsidRPr="00953587">
                                <w:rPr>
                                  <w:b/>
                                  <w:sz w:val="16"/>
                                  <w:szCs w:val="16"/>
                                </w:rPr>
                                <w:t xml:space="preserve">1   </w:t>
                              </w:r>
                              <w:r w:rsidRPr="00953587">
                                <w:rPr>
                                  <w:sz w:val="16"/>
                                  <w:szCs w:val="16"/>
                                </w:rPr>
                                <w:t>(8.3%) No response from care home</w:t>
                              </w:r>
                            </w:p>
                            <w:p w14:paraId="2401C018" w14:textId="0E3E3474" w:rsidR="00411708" w:rsidRPr="00953587" w:rsidRDefault="00411708" w:rsidP="00953587">
                              <w:pPr>
                                <w:spacing w:after="0" w:line="240" w:lineRule="auto"/>
                                <w:ind w:left="284" w:hanging="284"/>
                                <w:rPr>
                                  <w:sz w:val="16"/>
                                  <w:szCs w:val="16"/>
                                </w:rPr>
                              </w:pPr>
                              <w:r w:rsidRPr="00953587">
                                <w:rPr>
                                  <w:b/>
                                  <w:sz w:val="16"/>
                                  <w:szCs w:val="16"/>
                                </w:rPr>
                                <w:t xml:space="preserve">1   </w:t>
                              </w:r>
                              <w:r w:rsidRPr="00953587">
                                <w:rPr>
                                  <w:sz w:val="16"/>
                                  <w:szCs w:val="16"/>
                                </w:rPr>
                                <w:t>(8.3%) Care home</w:t>
                              </w:r>
                              <w:r>
                                <w:rPr>
                                  <w:sz w:val="16"/>
                                  <w:szCs w:val="16"/>
                                </w:rPr>
                                <w:t xml:space="preserve"> not required, </w:t>
                              </w:r>
                              <w:r w:rsidRPr="00953587">
                                <w:rPr>
                                  <w:sz w:val="16"/>
                                  <w:szCs w:val="16"/>
                                </w:rPr>
                                <w:t>sufficient number reached in area</w:t>
                              </w:r>
                            </w:p>
                            <w:p w14:paraId="2EAC2634" w14:textId="3220C2C7" w:rsidR="00411708" w:rsidRPr="00953587" w:rsidRDefault="00411708" w:rsidP="00953587">
                              <w:pPr>
                                <w:spacing w:after="0" w:line="240" w:lineRule="auto"/>
                                <w:ind w:left="284" w:hanging="284"/>
                                <w:rPr>
                                  <w:sz w:val="16"/>
                                  <w:szCs w:val="16"/>
                                </w:rPr>
                              </w:pPr>
                              <w:r w:rsidRPr="00953587">
                                <w:rPr>
                                  <w:b/>
                                  <w:sz w:val="16"/>
                                  <w:szCs w:val="16"/>
                                </w:rPr>
                                <w:t xml:space="preserve">1   </w:t>
                              </w:r>
                              <w:r w:rsidRPr="00953587">
                                <w:rPr>
                                  <w:sz w:val="16"/>
                                  <w:szCs w:val="16"/>
                                </w:rPr>
                                <w:t>(8.3%) Could not recruit minimum</w:t>
                              </w:r>
                              <w:r>
                                <w:rPr>
                                  <w:sz w:val="16"/>
                                  <w:szCs w:val="16"/>
                                </w:rPr>
                                <w:t xml:space="preserve"> </w:t>
                              </w:r>
                              <w:r w:rsidRPr="00953587">
                                <w:rPr>
                                  <w:sz w:val="16"/>
                                  <w:szCs w:val="16"/>
                                </w:rPr>
                                <w:t>number of residents</w:t>
                              </w:r>
                            </w:p>
                            <w:p w14:paraId="1D426864" w14:textId="77777777" w:rsidR="00411708" w:rsidRPr="00953587" w:rsidRDefault="00411708" w:rsidP="00C21835">
                              <w:pPr>
                                <w:spacing w:line="240" w:lineRule="auto"/>
                                <w:ind w:left="284" w:hanging="284"/>
                                <w:rPr>
                                  <w:sz w:val="16"/>
                                  <w:szCs w:val="16"/>
                                </w:rPr>
                              </w:pPr>
                            </w:p>
                          </w:txbxContent>
                        </wps:txbx>
                        <wps:bodyPr rot="0" vert="horz" wrap="square" lIns="91440" tIns="45720" rIns="91440" bIns="45720" anchor="t" anchorCtr="0" upright="1">
                          <a:noAutofit/>
                        </wps:bodyPr>
                      </wps:wsp>
                      <wps:wsp>
                        <wps:cNvPr id="64" name="Text Box 13"/>
                        <wps:cNvSpPr txBox="1">
                          <a:spLocks noChangeArrowheads="1"/>
                        </wps:cNvSpPr>
                        <wps:spPr bwMode="auto">
                          <a:xfrm>
                            <a:off x="2154551" y="2983231"/>
                            <a:ext cx="1143634" cy="334644"/>
                          </a:xfrm>
                          <a:prstGeom prst="rect">
                            <a:avLst/>
                          </a:prstGeom>
                          <a:solidFill>
                            <a:srgbClr val="FFFFFF"/>
                          </a:solidFill>
                          <a:ln w="9525">
                            <a:solidFill>
                              <a:srgbClr val="000000"/>
                            </a:solidFill>
                            <a:miter lim="800000"/>
                            <a:headEnd/>
                            <a:tailEnd/>
                          </a:ln>
                        </wps:spPr>
                        <wps:txbx>
                          <w:txbxContent>
                            <w:p w14:paraId="2C449BCA" w14:textId="77777777" w:rsidR="00411708" w:rsidRPr="00953587" w:rsidRDefault="00411708" w:rsidP="00953587">
                              <w:pPr>
                                <w:spacing w:after="0" w:line="240" w:lineRule="auto"/>
                                <w:jc w:val="center"/>
                                <w:rPr>
                                  <w:b/>
                                  <w:sz w:val="16"/>
                                  <w:szCs w:val="16"/>
                                </w:rPr>
                              </w:pPr>
                              <w:r w:rsidRPr="00953587">
                                <w:rPr>
                                  <w:b/>
                                  <w:sz w:val="16"/>
                                  <w:szCs w:val="16"/>
                                </w:rPr>
                                <w:t xml:space="preserve">Consented </w:t>
                              </w:r>
                            </w:p>
                            <w:p w14:paraId="5F195545" w14:textId="77777777" w:rsidR="00411708" w:rsidRPr="00953587" w:rsidRDefault="00411708" w:rsidP="00953587">
                              <w:pPr>
                                <w:spacing w:after="0" w:line="240" w:lineRule="auto"/>
                                <w:jc w:val="center"/>
                                <w:rPr>
                                  <w:sz w:val="16"/>
                                  <w:szCs w:val="16"/>
                                </w:rPr>
                              </w:pPr>
                              <w:r w:rsidRPr="00953587">
                                <w:rPr>
                                  <w:b/>
                                  <w:sz w:val="16"/>
                                  <w:szCs w:val="16"/>
                                </w:rPr>
                                <w:t>51/63</w:t>
                              </w:r>
                              <w:r w:rsidRPr="00953587">
                                <w:rPr>
                                  <w:sz w:val="16"/>
                                  <w:szCs w:val="16"/>
                                </w:rPr>
                                <w:t xml:space="preserve"> (80.9%)</w:t>
                              </w:r>
                            </w:p>
                          </w:txbxContent>
                        </wps:txbx>
                        <wps:bodyPr rot="0" vert="horz" wrap="square" lIns="91440" tIns="45720" rIns="91440" bIns="45720" anchor="t" anchorCtr="0" upright="1">
                          <a:spAutoFit/>
                        </wps:bodyPr>
                      </wps:wsp>
                      <wps:wsp>
                        <wps:cNvPr id="65" name="Text Box 14"/>
                        <wps:cNvSpPr txBox="1">
                          <a:spLocks noChangeArrowheads="1"/>
                        </wps:cNvSpPr>
                        <wps:spPr bwMode="auto">
                          <a:xfrm>
                            <a:off x="2075142" y="3862038"/>
                            <a:ext cx="1354231" cy="685800"/>
                          </a:xfrm>
                          <a:prstGeom prst="rect">
                            <a:avLst/>
                          </a:prstGeom>
                          <a:solidFill>
                            <a:srgbClr val="FFFFFF"/>
                          </a:solidFill>
                          <a:ln w="9525">
                            <a:solidFill>
                              <a:srgbClr val="000000"/>
                            </a:solidFill>
                            <a:miter lim="800000"/>
                            <a:headEnd/>
                            <a:tailEnd/>
                          </a:ln>
                        </wps:spPr>
                        <wps:txbx>
                          <w:txbxContent>
                            <w:p w14:paraId="2F1B6F0A" w14:textId="77777777" w:rsidR="00411708" w:rsidRPr="00953587" w:rsidRDefault="00411708" w:rsidP="00B80810">
                              <w:pPr>
                                <w:spacing w:after="0" w:line="240" w:lineRule="auto"/>
                                <w:jc w:val="center"/>
                                <w:rPr>
                                  <w:b/>
                                  <w:sz w:val="16"/>
                                  <w:szCs w:val="16"/>
                                </w:rPr>
                              </w:pPr>
                              <w:r w:rsidRPr="00953587">
                                <w:rPr>
                                  <w:b/>
                                  <w:sz w:val="16"/>
                                  <w:szCs w:val="16"/>
                                </w:rPr>
                                <w:t xml:space="preserve">Randomised </w:t>
                              </w:r>
                            </w:p>
                            <w:p w14:paraId="4A7F9731" w14:textId="77777777" w:rsidR="00411708" w:rsidRPr="00953587" w:rsidRDefault="00411708" w:rsidP="00B80810">
                              <w:pPr>
                                <w:spacing w:after="0" w:line="240" w:lineRule="auto"/>
                                <w:jc w:val="center"/>
                                <w:rPr>
                                  <w:sz w:val="16"/>
                                  <w:szCs w:val="16"/>
                                </w:rPr>
                              </w:pPr>
                              <w:r w:rsidRPr="00953587">
                                <w:rPr>
                                  <w:sz w:val="16"/>
                                  <w:szCs w:val="16"/>
                                </w:rPr>
                                <w:t>50 CARE HOMES and</w:t>
                              </w:r>
                            </w:p>
                            <w:p w14:paraId="1BD8145C" w14:textId="77777777" w:rsidR="00411708" w:rsidRPr="00953587" w:rsidRDefault="00411708" w:rsidP="00B80810">
                              <w:pPr>
                                <w:spacing w:after="0" w:line="240" w:lineRule="auto"/>
                                <w:jc w:val="center"/>
                                <w:rPr>
                                  <w:sz w:val="16"/>
                                  <w:szCs w:val="16"/>
                                </w:rPr>
                              </w:pPr>
                              <w:r w:rsidRPr="00953587">
                                <w:rPr>
                                  <w:sz w:val="16"/>
                                  <w:szCs w:val="16"/>
                                </w:rPr>
                                <w:t xml:space="preserve">726 RESIDENTS registered </w:t>
                              </w:r>
                            </w:p>
                            <w:p w14:paraId="4B91D3EE" w14:textId="77777777" w:rsidR="00411708" w:rsidRPr="00953587" w:rsidRDefault="00411708" w:rsidP="00C21835">
                              <w:pPr>
                                <w:spacing w:line="240" w:lineRule="auto"/>
                                <w:jc w:val="center"/>
                                <w:rPr>
                                  <w:sz w:val="16"/>
                                  <w:szCs w:val="16"/>
                                </w:rPr>
                              </w:pPr>
                              <w:r w:rsidRPr="00953587">
                                <w:rPr>
                                  <w:sz w:val="16"/>
                                  <w:szCs w:val="16"/>
                                </w:rPr>
                                <w:t xml:space="preserve">at randomisation </w:t>
                              </w:r>
                            </w:p>
                            <w:p w14:paraId="347C2861" w14:textId="77777777" w:rsidR="00411708" w:rsidRPr="00953587" w:rsidRDefault="00411708" w:rsidP="00C21835">
                              <w:pPr>
                                <w:spacing w:line="240" w:lineRule="auto"/>
                                <w:jc w:val="center"/>
                                <w:rPr>
                                  <w:sz w:val="16"/>
                                  <w:szCs w:val="16"/>
                                </w:rPr>
                              </w:pPr>
                            </w:p>
                          </w:txbxContent>
                        </wps:txbx>
                        <wps:bodyPr rot="0" vert="horz" wrap="square" lIns="91440" tIns="45720" rIns="91440" bIns="45720" anchor="t" anchorCtr="0" upright="1">
                          <a:noAutofit/>
                        </wps:bodyPr>
                      </wps:wsp>
                      <wps:wsp>
                        <wps:cNvPr id="66" name="Text Box 22"/>
                        <wps:cNvSpPr txBox="1">
                          <a:spLocks noChangeArrowheads="1"/>
                        </wps:cNvSpPr>
                        <wps:spPr bwMode="auto">
                          <a:xfrm>
                            <a:off x="3429000" y="3067702"/>
                            <a:ext cx="2286634" cy="451484"/>
                          </a:xfrm>
                          <a:prstGeom prst="rect">
                            <a:avLst/>
                          </a:prstGeom>
                          <a:solidFill>
                            <a:srgbClr val="FFFFFF"/>
                          </a:solidFill>
                          <a:ln w="9525">
                            <a:solidFill>
                              <a:srgbClr val="000000"/>
                            </a:solidFill>
                            <a:miter lim="800000"/>
                            <a:headEnd/>
                            <a:tailEnd/>
                          </a:ln>
                        </wps:spPr>
                        <wps:txbx>
                          <w:txbxContent>
                            <w:p w14:paraId="3A034398" w14:textId="77777777" w:rsidR="00411708" w:rsidRPr="00953587" w:rsidRDefault="00411708" w:rsidP="00953587">
                              <w:pPr>
                                <w:spacing w:after="0" w:line="240" w:lineRule="auto"/>
                                <w:rPr>
                                  <w:sz w:val="16"/>
                                  <w:szCs w:val="16"/>
                                </w:rPr>
                              </w:pPr>
                              <w:r w:rsidRPr="00953587">
                                <w:rPr>
                                  <w:b/>
                                  <w:sz w:val="16"/>
                                  <w:szCs w:val="16"/>
                                </w:rPr>
                                <w:t>Withdrawn prior to randomisation – 1</w:t>
                              </w:r>
                              <w:r w:rsidRPr="00953587">
                                <w:rPr>
                                  <w:sz w:val="16"/>
                                  <w:szCs w:val="16"/>
                                </w:rPr>
                                <w:t xml:space="preserve"> (2.0%)</w:t>
                              </w:r>
                            </w:p>
                            <w:p w14:paraId="2A450433" w14:textId="77777777" w:rsidR="00411708" w:rsidRPr="00953587" w:rsidRDefault="00411708" w:rsidP="00953587">
                              <w:pPr>
                                <w:spacing w:after="0" w:line="240" w:lineRule="auto"/>
                                <w:rPr>
                                  <w:sz w:val="16"/>
                                  <w:szCs w:val="16"/>
                                </w:rPr>
                              </w:pPr>
                              <w:r w:rsidRPr="00953587">
                                <w:rPr>
                                  <w:b/>
                                  <w:sz w:val="16"/>
                                  <w:szCs w:val="16"/>
                                </w:rPr>
                                <w:t>1</w:t>
                              </w:r>
                              <w:r w:rsidRPr="00953587">
                                <w:rPr>
                                  <w:sz w:val="16"/>
                                  <w:szCs w:val="16"/>
                                </w:rPr>
                                <w:t xml:space="preserve"> (100%) Staffing issues</w:t>
                              </w:r>
                            </w:p>
                          </w:txbxContent>
                        </wps:txbx>
                        <wps:bodyPr rot="0" vert="horz" wrap="square" lIns="91440" tIns="45720" rIns="91440" bIns="45720" anchor="t" anchorCtr="0" upright="1">
                          <a:spAutoFit/>
                        </wps:bodyPr>
                      </wps:wsp>
                      <wps:wsp>
                        <wps:cNvPr id="67" name="AutoShape 72"/>
                        <wps:cNvCnPr>
                          <a:cxnSpLocks noChangeShapeType="1"/>
                        </wps:cNvCnPr>
                        <wps:spPr bwMode="auto">
                          <a:xfrm>
                            <a:off x="2743091" y="342832"/>
                            <a:ext cx="0" cy="317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73"/>
                        <wps:cNvCnPr>
                          <a:cxnSpLocks noChangeShapeType="1"/>
                          <a:stCxn id="57" idx="2"/>
                          <a:endCxn id="60" idx="0"/>
                        </wps:cNvCnPr>
                        <wps:spPr bwMode="auto">
                          <a:xfrm>
                            <a:off x="2726739" y="1019929"/>
                            <a:ext cx="7833" cy="4431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4"/>
                        <wps:cNvCnPr>
                          <a:cxnSpLocks noChangeShapeType="1"/>
                          <a:stCxn id="60" idx="2"/>
                          <a:endCxn id="62" idx="0"/>
                        </wps:cNvCnPr>
                        <wps:spPr bwMode="auto">
                          <a:xfrm>
                            <a:off x="2734572" y="1821002"/>
                            <a:ext cx="54" cy="2471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75"/>
                        <wps:cNvCnPr>
                          <a:cxnSpLocks noChangeShapeType="1"/>
                        </wps:cNvCnPr>
                        <wps:spPr bwMode="auto">
                          <a:xfrm>
                            <a:off x="2743091" y="1120077"/>
                            <a:ext cx="6774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76"/>
                        <wps:cNvCnPr>
                          <a:cxnSpLocks noChangeShapeType="1"/>
                        </wps:cNvCnPr>
                        <wps:spPr bwMode="auto">
                          <a:xfrm flipH="1">
                            <a:off x="2065812" y="1273521"/>
                            <a:ext cx="6692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77"/>
                        <wps:cNvCnPr>
                          <a:cxnSpLocks noChangeShapeType="1"/>
                        </wps:cNvCnPr>
                        <wps:spPr bwMode="auto">
                          <a:xfrm>
                            <a:off x="2726739" y="1920240"/>
                            <a:ext cx="6858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78"/>
                        <wps:cNvCnPr>
                          <a:cxnSpLocks noChangeShapeType="1"/>
                        </wps:cNvCnPr>
                        <wps:spPr bwMode="auto">
                          <a:xfrm>
                            <a:off x="2751560" y="2628900"/>
                            <a:ext cx="861"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79"/>
                        <wps:cNvCnPr>
                          <a:cxnSpLocks noChangeShapeType="1"/>
                        </wps:cNvCnPr>
                        <wps:spPr bwMode="auto">
                          <a:xfrm flipH="1">
                            <a:off x="2075142" y="2729865"/>
                            <a:ext cx="6772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80"/>
                        <wps:cNvCnPr>
                          <a:cxnSpLocks noChangeShapeType="1"/>
                        </wps:cNvCnPr>
                        <wps:spPr bwMode="auto">
                          <a:xfrm flipH="1">
                            <a:off x="2735050" y="3333750"/>
                            <a:ext cx="8041" cy="5181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81"/>
                        <wps:cNvCnPr>
                          <a:cxnSpLocks noChangeShapeType="1"/>
                        </wps:cNvCnPr>
                        <wps:spPr bwMode="auto">
                          <a:xfrm>
                            <a:off x="2762569" y="3482340"/>
                            <a:ext cx="6858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16"/>
                        <wps:cNvSpPr txBox="1">
                          <a:spLocks noChangeArrowheads="1"/>
                        </wps:cNvSpPr>
                        <wps:spPr bwMode="auto">
                          <a:xfrm>
                            <a:off x="3429000" y="0"/>
                            <a:ext cx="2286000" cy="914400"/>
                          </a:xfrm>
                          <a:prstGeom prst="rect">
                            <a:avLst/>
                          </a:prstGeom>
                          <a:solidFill>
                            <a:srgbClr val="FFFFFF"/>
                          </a:solidFill>
                          <a:ln w="9525">
                            <a:solidFill>
                              <a:srgbClr val="000000"/>
                            </a:solidFill>
                            <a:miter lim="800000"/>
                            <a:headEnd/>
                            <a:tailEnd/>
                          </a:ln>
                        </wps:spPr>
                        <wps:txbx>
                          <w:txbxContent>
                            <w:p w14:paraId="17DE65F1" w14:textId="77777777" w:rsidR="00411708" w:rsidRPr="00953587" w:rsidRDefault="00411708" w:rsidP="00B80810">
                              <w:pPr>
                                <w:spacing w:after="0" w:line="240" w:lineRule="auto"/>
                                <w:rPr>
                                  <w:b/>
                                  <w:sz w:val="16"/>
                                  <w:szCs w:val="16"/>
                                </w:rPr>
                              </w:pPr>
                              <w:r w:rsidRPr="00953587">
                                <w:rPr>
                                  <w:b/>
                                  <w:sz w:val="16"/>
                                  <w:szCs w:val="16"/>
                                </w:rPr>
                                <w:t xml:space="preserve">No longer eligible – 57 </w:t>
                              </w:r>
                              <w:r w:rsidRPr="00953587">
                                <w:rPr>
                                  <w:sz w:val="16"/>
                                  <w:szCs w:val="16"/>
                                </w:rPr>
                                <w:t>(17.1% of Screened)</w:t>
                              </w:r>
                            </w:p>
                            <w:p w14:paraId="49F98CBE" w14:textId="77777777" w:rsidR="00411708" w:rsidRPr="00953587" w:rsidRDefault="00411708" w:rsidP="00B80810">
                              <w:pPr>
                                <w:spacing w:after="0" w:line="240" w:lineRule="auto"/>
                                <w:rPr>
                                  <w:sz w:val="16"/>
                                  <w:szCs w:val="16"/>
                                </w:rPr>
                              </w:pPr>
                              <w:r w:rsidRPr="00953587">
                                <w:rPr>
                                  <w:sz w:val="16"/>
                                  <w:szCs w:val="16"/>
                                </w:rPr>
                                <w:t>36 (63.2%)   CQC Status</w:t>
                              </w:r>
                            </w:p>
                            <w:p w14:paraId="059925BA" w14:textId="32B05BD1" w:rsidR="00411708" w:rsidRPr="00953587" w:rsidRDefault="00411708" w:rsidP="00B80810">
                              <w:pPr>
                                <w:spacing w:after="0" w:line="240" w:lineRule="auto"/>
                                <w:rPr>
                                  <w:sz w:val="16"/>
                                  <w:szCs w:val="16"/>
                                </w:rPr>
                              </w:pPr>
                              <w:r w:rsidRPr="00953587">
                                <w:rPr>
                                  <w:sz w:val="16"/>
                                  <w:szCs w:val="16"/>
                                </w:rPr>
                                <w:t>14 (24.6%)   Insuffici</w:t>
                              </w:r>
                              <w:r>
                                <w:rPr>
                                  <w:sz w:val="16"/>
                                  <w:szCs w:val="16"/>
                                </w:rPr>
                                <w:t xml:space="preserve">ent n residents with </w:t>
                              </w:r>
                              <w:r w:rsidRPr="00953587">
                                <w:rPr>
                                  <w:sz w:val="16"/>
                                  <w:szCs w:val="16"/>
                                </w:rPr>
                                <w:t xml:space="preserve">dementia </w:t>
                              </w:r>
                            </w:p>
                            <w:p w14:paraId="5F48F5BC" w14:textId="3DC844D1" w:rsidR="00411708" w:rsidRPr="00953587" w:rsidRDefault="00411708" w:rsidP="00953587">
                              <w:pPr>
                                <w:spacing w:after="0" w:line="240" w:lineRule="auto"/>
                                <w:rPr>
                                  <w:sz w:val="16"/>
                                  <w:szCs w:val="16"/>
                                </w:rPr>
                              </w:pPr>
                              <w:r>
                                <w:rPr>
                                  <w:sz w:val="16"/>
                                  <w:szCs w:val="16"/>
                                </w:rPr>
                                <w:t xml:space="preserve"> </w:t>
                              </w:r>
                              <w:r w:rsidRPr="00953587">
                                <w:rPr>
                                  <w:sz w:val="16"/>
                                  <w:szCs w:val="16"/>
                                </w:rPr>
                                <w:t>2</w:t>
                              </w:r>
                              <w:r>
                                <w:rPr>
                                  <w:sz w:val="16"/>
                                  <w:szCs w:val="16"/>
                                </w:rPr>
                                <w:t xml:space="preserve"> </w:t>
                              </w:r>
                              <w:r w:rsidRPr="00953587">
                                <w:rPr>
                                  <w:sz w:val="16"/>
                                  <w:szCs w:val="16"/>
                                </w:rPr>
                                <w:t>(3.5%)   Insufficient n</w:t>
                              </w:r>
                              <w:r>
                                <w:rPr>
                                  <w:sz w:val="16"/>
                                  <w:szCs w:val="16"/>
                                </w:rPr>
                                <w:t xml:space="preserve"> </w:t>
                              </w:r>
                              <w:r w:rsidRPr="00953587">
                                <w:rPr>
                                  <w:sz w:val="16"/>
                                  <w:szCs w:val="16"/>
                                </w:rPr>
                                <w:t>permanent residents</w:t>
                              </w:r>
                            </w:p>
                            <w:p w14:paraId="0D080ABC" w14:textId="79858179" w:rsidR="00411708" w:rsidRPr="00953587" w:rsidRDefault="00411708" w:rsidP="00953587">
                              <w:pPr>
                                <w:spacing w:after="0" w:line="240" w:lineRule="auto"/>
                                <w:rPr>
                                  <w:sz w:val="16"/>
                                  <w:szCs w:val="16"/>
                                </w:rPr>
                              </w:pPr>
                              <w:r>
                                <w:rPr>
                                  <w:sz w:val="16"/>
                                  <w:szCs w:val="16"/>
                                </w:rPr>
                                <w:t xml:space="preserve"> </w:t>
                              </w:r>
                              <w:r w:rsidRPr="00953587">
                                <w:rPr>
                                  <w:sz w:val="16"/>
                                  <w:szCs w:val="16"/>
                                </w:rPr>
                                <w:t>1 (1.8%)   Participating in conflicting trial</w:t>
                              </w:r>
                            </w:p>
                            <w:p w14:paraId="0890952F" w14:textId="608D67E6" w:rsidR="00411708" w:rsidRPr="00953587" w:rsidRDefault="00411708" w:rsidP="00C21835">
                              <w:pPr>
                                <w:spacing w:line="240" w:lineRule="auto"/>
                                <w:rPr>
                                  <w:sz w:val="16"/>
                                  <w:szCs w:val="16"/>
                                </w:rPr>
                              </w:pPr>
                              <w:r>
                                <w:rPr>
                                  <w:sz w:val="16"/>
                                  <w:szCs w:val="16"/>
                                </w:rPr>
                                <w:t xml:space="preserve"> </w:t>
                              </w:r>
                              <w:r w:rsidRPr="00953587">
                                <w:rPr>
                                  <w:sz w:val="16"/>
                                  <w:szCs w:val="16"/>
                                </w:rPr>
                                <w:t>4 (7.0%)   Other</w:t>
                              </w:r>
                            </w:p>
                          </w:txbxContent>
                        </wps:txbx>
                        <wps:bodyPr rot="0" vert="horz" wrap="square" lIns="91440" tIns="45720" rIns="91440" bIns="45720" anchor="t" anchorCtr="0" upright="1">
                          <a:noAutofit/>
                        </wps:bodyPr>
                      </wps:wsp>
                      <wps:wsp>
                        <wps:cNvPr id="100" name="Rectangle 100"/>
                        <wps:cNvSpPr>
                          <a:spLocks noChangeArrowheads="1"/>
                        </wps:cNvSpPr>
                        <wps:spPr bwMode="auto">
                          <a:xfrm>
                            <a:off x="28382" y="3520242"/>
                            <a:ext cx="2021397" cy="690609"/>
                          </a:xfrm>
                          <a:prstGeom prst="rect">
                            <a:avLst/>
                          </a:prstGeom>
                          <a:solidFill>
                            <a:srgbClr val="FFFFFF"/>
                          </a:solidFill>
                          <a:ln w="9525">
                            <a:solidFill>
                              <a:srgbClr val="000000"/>
                            </a:solidFill>
                            <a:miter lim="800000"/>
                            <a:headEnd/>
                            <a:tailEnd/>
                          </a:ln>
                        </wps:spPr>
                        <wps:txbx>
                          <w:txbxContent>
                            <w:p w14:paraId="0110C105" w14:textId="77777777" w:rsidR="00411708" w:rsidRPr="00953587" w:rsidRDefault="00411708" w:rsidP="00C21835">
                              <w:pPr>
                                <w:pStyle w:val="NormalWeb"/>
                                <w:spacing w:before="0" w:line="240" w:lineRule="auto"/>
                                <w:rPr>
                                  <w:rFonts w:eastAsia="Calibri" w:cs="Arial"/>
                                  <w:b/>
                                  <w:bCs/>
                                  <w:sz w:val="16"/>
                                  <w:szCs w:val="16"/>
                                </w:rPr>
                              </w:pPr>
                              <w:r w:rsidRPr="00953587">
                                <w:rPr>
                                  <w:rFonts w:eastAsia="Calibri" w:cs="Arial"/>
                                  <w:b/>
                                  <w:bCs/>
                                  <w:sz w:val="16"/>
                                  <w:szCs w:val="16"/>
                                </w:rPr>
                                <w:t>RESIDENTS</w:t>
                              </w:r>
                            </w:p>
                            <w:p w14:paraId="7AC998FB" w14:textId="77777777" w:rsidR="00411708" w:rsidRPr="00953587" w:rsidRDefault="00411708" w:rsidP="00C21835">
                              <w:pPr>
                                <w:pStyle w:val="NormalWeb"/>
                                <w:spacing w:before="0" w:line="240" w:lineRule="auto"/>
                                <w:rPr>
                                  <w:rFonts w:eastAsia="Calibri" w:cs="Arial"/>
                                  <w:sz w:val="16"/>
                                  <w:szCs w:val="16"/>
                                </w:rPr>
                              </w:pPr>
                              <w:r w:rsidRPr="00953587">
                                <w:rPr>
                                  <w:rFonts w:eastAsia="Calibri" w:cs="Arial"/>
                                  <w:b/>
                                  <w:bCs/>
                                  <w:sz w:val="16"/>
                                  <w:szCs w:val="16"/>
                                </w:rPr>
                                <w:t>Screened</w:t>
                              </w:r>
                              <w:r w:rsidRPr="00953587">
                                <w:rPr>
                                  <w:rFonts w:eastAsia="Calibri" w:cs="Arial"/>
                                  <w:sz w:val="16"/>
                                  <w:szCs w:val="16"/>
                                </w:rPr>
                                <w:t xml:space="preserve"> </w:t>
                              </w:r>
                              <w:r w:rsidRPr="00953587">
                                <w:rPr>
                                  <w:rFonts w:eastAsia="Calibri" w:cs="Arial"/>
                                  <w:b/>
                                  <w:sz w:val="16"/>
                                  <w:szCs w:val="16"/>
                                </w:rPr>
                                <w:t>1564</w:t>
                              </w:r>
                            </w:p>
                            <w:p w14:paraId="22FECFEB" w14:textId="77777777" w:rsidR="00411708" w:rsidRPr="00953587" w:rsidRDefault="00411708" w:rsidP="00C21835">
                              <w:pPr>
                                <w:pStyle w:val="NormalWeb"/>
                                <w:spacing w:before="0" w:line="240" w:lineRule="auto"/>
                                <w:rPr>
                                  <w:rFonts w:eastAsia="Calibri" w:cs="Arial"/>
                                  <w:sz w:val="16"/>
                                  <w:szCs w:val="16"/>
                                </w:rPr>
                              </w:pPr>
                              <w:r w:rsidRPr="00953587">
                                <w:rPr>
                                  <w:rFonts w:eastAsia="Calibri" w:cs="Arial"/>
                                  <w:b/>
                                  <w:sz w:val="16"/>
                                  <w:szCs w:val="16"/>
                                </w:rPr>
                                <w:t>Eligible</w:t>
                              </w:r>
                              <w:r w:rsidRPr="00953587">
                                <w:rPr>
                                  <w:rFonts w:eastAsia="Calibri" w:cs="Arial"/>
                                  <w:sz w:val="16"/>
                                  <w:szCs w:val="16"/>
                                </w:rPr>
                                <w:t xml:space="preserve">   </w:t>
                              </w:r>
                              <w:r w:rsidRPr="00953587">
                                <w:rPr>
                                  <w:rFonts w:eastAsia="Calibri" w:cs="Arial"/>
                                  <w:sz w:val="16"/>
                                  <w:szCs w:val="16"/>
                                </w:rPr>
                                <w:tab/>
                              </w:r>
                              <w:r w:rsidRPr="00953587">
                                <w:rPr>
                                  <w:rFonts w:eastAsia="Calibri" w:cs="Arial"/>
                                  <w:b/>
                                  <w:sz w:val="16"/>
                                  <w:szCs w:val="16"/>
                                </w:rPr>
                                <w:t>1069</w:t>
                              </w:r>
                              <w:r w:rsidRPr="00953587">
                                <w:rPr>
                                  <w:rFonts w:eastAsia="Calibri" w:cs="Arial"/>
                                  <w:sz w:val="16"/>
                                  <w:szCs w:val="16"/>
                                </w:rPr>
                                <w:t>/1564 (68.4%)</w:t>
                              </w:r>
                            </w:p>
                            <w:p w14:paraId="247B3D9E" w14:textId="77777777" w:rsidR="00411708" w:rsidRPr="00953587" w:rsidRDefault="00411708" w:rsidP="00C21835">
                              <w:pPr>
                                <w:pStyle w:val="NormalWeb"/>
                                <w:spacing w:before="0" w:line="240" w:lineRule="auto"/>
                                <w:rPr>
                                  <w:rFonts w:eastAsia="Calibri" w:cs="Arial"/>
                                  <w:sz w:val="16"/>
                                  <w:szCs w:val="16"/>
                                </w:rPr>
                              </w:pPr>
                              <w:r w:rsidRPr="00953587">
                                <w:rPr>
                                  <w:rFonts w:eastAsia="Calibri" w:cs="Arial"/>
                                  <w:b/>
                                  <w:sz w:val="16"/>
                                  <w:szCs w:val="16"/>
                                </w:rPr>
                                <w:t>Consented</w:t>
                              </w:r>
                              <w:r w:rsidRPr="00953587">
                                <w:rPr>
                                  <w:rFonts w:eastAsia="Calibri" w:cs="Arial"/>
                                  <w:sz w:val="16"/>
                                  <w:szCs w:val="16"/>
                                </w:rPr>
                                <w:t xml:space="preserve"> </w:t>
                              </w:r>
                              <w:r w:rsidRPr="00953587">
                                <w:rPr>
                                  <w:rFonts w:eastAsia="Calibri" w:cs="Arial"/>
                                  <w:b/>
                                  <w:sz w:val="16"/>
                                  <w:szCs w:val="16"/>
                                </w:rPr>
                                <w:t>781</w:t>
                              </w:r>
                              <w:r w:rsidRPr="00953587">
                                <w:rPr>
                                  <w:rFonts w:eastAsia="Calibri" w:cs="Arial"/>
                                  <w:sz w:val="16"/>
                                  <w:szCs w:val="16"/>
                                </w:rPr>
                                <w:t>/1069 (73.1%)</w:t>
                              </w:r>
                            </w:p>
                            <w:p w14:paraId="26F7A8AC" w14:textId="77777777" w:rsidR="00411708" w:rsidRPr="00953587" w:rsidRDefault="00411708" w:rsidP="00C21835">
                              <w:pPr>
                                <w:pStyle w:val="NormalWeb"/>
                                <w:spacing w:before="0" w:line="240" w:lineRule="auto"/>
                                <w:rPr>
                                  <w:rFonts w:cs="Arial"/>
                                  <w:sz w:val="16"/>
                                  <w:szCs w:val="16"/>
                                </w:rPr>
                              </w:pPr>
                              <w:r w:rsidRPr="00953587">
                                <w:rPr>
                                  <w:rFonts w:eastAsia="Calibri" w:cs="Arial"/>
                                  <w:b/>
                                  <w:sz w:val="16"/>
                                  <w:szCs w:val="16"/>
                                </w:rPr>
                                <w:t>Registered</w:t>
                              </w:r>
                              <w:r w:rsidRPr="00953587">
                                <w:rPr>
                                  <w:rFonts w:eastAsia="Calibri" w:cs="Arial"/>
                                  <w:sz w:val="16"/>
                                  <w:szCs w:val="16"/>
                                </w:rPr>
                                <w:t xml:space="preserve"> </w:t>
                              </w:r>
                              <w:r w:rsidRPr="00953587">
                                <w:rPr>
                                  <w:rFonts w:eastAsia="Calibri" w:cs="Arial"/>
                                  <w:b/>
                                  <w:sz w:val="16"/>
                                  <w:szCs w:val="16"/>
                                </w:rPr>
                                <w:t>743</w:t>
                              </w:r>
                              <w:r w:rsidRPr="00953587">
                                <w:rPr>
                                  <w:rFonts w:eastAsia="Calibri" w:cs="Arial"/>
                                  <w:sz w:val="16"/>
                                  <w:szCs w:val="16"/>
                                </w:rPr>
                                <w:t>/781 (95.1%)</w:t>
                              </w:r>
                            </w:p>
                          </w:txbxContent>
                        </wps:txbx>
                        <wps:bodyPr rot="0" vert="horz" wrap="square" lIns="91440" tIns="45720" rIns="91440" bIns="45720" anchor="t" anchorCtr="0" upright="1">
                          <a:noAutofit/>
                        </wps:bodyPr>
                      </wps:wsp>
                      <wps:wsp>
                        <wps:cNvPr id="103" name="AutoShape 79"/>
                        <wps:cNvCnPr>
                          <a:cxnSpLocks noChangeShapeType="1"/>
                        </wps:cNvCnPr>
                        <wps:spPr bwMode="auto">
                          <a:xfrm flipH="1">
                            <a:off x="2066609" y="3625215"/>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74"/>
                        <wps:cNvCnPr>
                          <a:cxnSpLocks noChangeShapeType="1"/>
                        </wps:cNvCnPr>
                        <wps:spPr bwMode="auto">
                          <a:xfrm flipH="1">
                            <a:off x="2166620" y="4548663"/>
                            <a:ext cx="576899" cy="119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5"/>
                        <wps:cNvSpPr txBox="1"/>
                        <wps:spPr>
                          <a:xfrm>
                            <a:off x="1" y="4668520"/>
                            <a:ext cx="2163232" cy="566420"/>
                          </a:xfrm>
                          <a:prstGeom prst="rect">
                            <a:avLst/>
                          </a:prstGeom>
                          <a:solidFill>
                            <a:sysClr val="window" lastClr="FFFFFF"/>
                          </a:solidFill>
                          <a:ln w="6350">
                            <a:solidFill>
                              <a:prstClr val="black"/>
                            </a:solidFill>
                          </a:ln>
                          <a:effectLst/>
                        </wps:spPr>
                        <wps:txbx>
                          <w:txbxContent>
                            <w:p w14:paraId="78262ECF" w14:textId="77777777" w:rsidR="00411708" w:rsidRPr="00953587" w:rsidRDefault="00411708" w:rsidP="00C21835">
                              <w:pPr>
                                <w:pStyle w:val="NormalWeb"/>
                                <w:spacing w:before="0" w:line="240" w:lineRule="auto"/>
                                <w:rPr>
                                  <w:rFonts w:cs="Arial"/>
                                  <w:sz w:val="16"/>
                                  <w:szCs w:val="16"/>
                                </w:rPr>
                              </w:pPr>
                              <w:r w:rsidRPr="00953587">
                                <w:rPr>
                                  <w:rFonts w:eastAsia="Calibri" w:cs="Arial"/>
                                  <w:b/>
                                  <w:bCs/>
                                  <w:sz w:val="16"/>
                                  <w:szCs w:val="16"/>
                                </w:rPr>
                                <w:t>CONTROL</w:t>
                              </w:r>
                            </w:p>
                            <w:p w14:paraId="6BDEB04F"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Care Homes, n=19</w:t>
                              </w:r>
                            </w:p>
                            <w:p w14:paraId="591EC34E"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Assessed, n=308 residents</w:t>
                              </w:r>
                            </w:p>
                            <w:p w14:paraId="0C3763E0"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Median (min, max) = 14 (9, 36) residents/home</w:t>
                              </w:r>
                            </w:p>
                            <w:p w14:paraId="43FF485D"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Text Box 3"/>
                        <wps:cNvSpPr txBox="1"/>
                        <wps:spPr>
                          <a:xfrm>
                            <a:off x="3412593" y="4668520"/>
                            <a:ext cx="2152800" cy="571500"/>
                          </a:xfrm>
                          <a:prstGeom prst="rect">
                            <a:avLst/>
                          </a:prstGeom>
                          <a:solidFill>
                            <a:sysClr val="window" lastClr="FFFFFF"/>
                          </a:solidFill>
                          <a:ln w="6350">
                            <a:solidFill>
                              <a:prstClr val="black"/>
                            </a:solidFill>
                          </a:ln>
                          <a:effectLst/>
                        </wps:spPr>
                        <wps:txbx>
                          <w:txbxContent>
                            <w:p w14:paraId="01FF90C8" w14:textId="77777777" w:rsidR="00411708" w:rsidRPr="00953587" w:rsidRDefault="00411708" w:rsidP="00C21835">
                              <w:pPr>
                                <w:pStyle w:val="NormalWeb"/>
                                <w:spacing w:before="0" w:line="240" w:lineRule="auto"/>
                                <w:rPr>
                                  <w:rFonts w:cs="Arial"/>
                                  <w:sz w:val="16"/>
                                  <w:szCs w:val="16"/>
                                </w:rPr>
                              </w:pPr>
                              <w:r w:rsidRPr="00953587">
                                <w:rPr>
                                  <w:rFonts w:eastAsia="Calibri" w:cs="Arial"/>
                                  <w:b/>
                                  <w:bCs/>
                                  <w:sz w:val="16"/>
                                  <w:szCs w:val="16"/>
                                </w:rPr>
                                <w:t>INTERVENTION</w:t>
                              </w:r>
                            </w:p>
                            <w:p w14:paraId="446208B8"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Care Homes, n=31</w:t>
                              </w:r>
                            </w:p>
                            <w:p w14:paraId="7FF5604C"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Assessed, n=418 residents</w:t>
                              </w:r>
                            </w:p>
                            <w:p w14:paraId="037C3235"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xml:space="preserve">Median (min, max) = </w:t>
                              </w:r>
                              <w:r w:rsidRPr="00953587">
                                <w:rPr>
                                  <w:rFonts w:eastAsia="Times New Roman" w:cs="Arial"/>
                                  <w:color w:val="000000"/>
                                  <w:sz w:val="16"/>
                                  <w:szCs w:val="16"/>
                                </w:rPr>
                                <w:t>13 (8, 21)</w:t>
                              </w:r>
                              <w:r w:rsidRPr="00953587">
                                <w:rPr>
                                  <w:rFonts w:eastAsia="Calibri" w:cs="Arial"/>
                                  <w:sz w:val="16"/>
                                  <w:szCs w:val="16"/>
                                </w:rPr>
                                <w:t xml:space="preserve"> residents/home</w:t>
                              </w:r>
                            </w:p>
                            <w:p w14:paraId="4E9ED2A0"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p w14:paraId="3E0326E2"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Text Box 28"/>
                        <wps:cNvSpPr txBox="1"/>
                        <wps:spPr>
                          <a:xfrm>
                            <a:off x="3870960" y="5308739"/>
                            <a:ext cx="1694918" cy="553846"/>
                          </a:xfrm>
                          <a:prstGeom prst="rect">
                            <a:avLst/>
                          </a:prstGeom>
                          <a:solidFill>
                            <a:sysClr val="window" lastClr="FFFFFF"/>
                          </a:solidFill>
                          <a:ln w="6350">
                            <a:solidFill>
                              <a:prstClr val="black"/>
                            </a:solidFill>
                          </a:ln>
                          <a:effectLst/>
                        </wps:spPr>
                        <wps:txbx>
                          <w:txbxContent>
                            <w:p w14:paraId="2806F3E8" w14:textId="77777777" w:rsidR="00411708" w:rsidRPr="008015C7" w:rsidRDefault="00411708" w:rsidP="00B47536">
                              <w:pPr>
                                <w:pStyle w:val="NormalWeb"/>
                                <w:spacing w:before="0" w:line="240" w:lineRule="auto"/>
                                <w:rPr>
                                  <w:rFonts w:cs="Arial"/>
                                  <w:color w:val="FF0000"/>
                                  <w:sz w:val="16"/>
                                  <w:szCs w:val="16"/>
                                </w:rPr>
                              </w:pPr>
                              <w:r w:rsidRPr="008015C7">
                                <w:rPr>
                                  <w:rFonts w:eastAsia="Calibri" w:cs="Arial"/>
                                  <w:color w:val="FF0000"/>
                                  <w:sz w:val="16"/>
                                  <w:szCs w:val="16"/>
                                </w:rPr>
                                <w:t>Residents died, n=65</w:t>
                              </w:r>
                            </w:p>
                            <w:p w14:paraId="2DC7D41D" w14:textId="77777777" w:rsidR="00411708"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Residents withdrawn, n=1</w:t>
                              </w:r>
                            </w:p>
                            <w:p w14:paraId="6621254A" w14:textId="77777777" w:rsidR="00411708" w:rsidRPr="008015C7" w:rsidRDefault="00411708" w:rsidP="00B47536">
                              <w:pPr>
                                <w:pStyle w:val="NormalWeb"/>
                                <w:spacing w:before="0" w:line="240" w:lineRule="auto"/>
                                <w:rPr>
                                  <w:rFonts w:cs="Arial"/>
                                  <w:color w:val="FF0000"/>
                                  <w:sz w:val="16"/>
                                  <w:szCs w:val="16"/>
                                </w:rPr>
                              </w:pPr>
                              <w:r w:rsidRPr="008015C7">
                                <w:rPr>
                                  <w:rFonts w:eastAsia="Calibri" w:cs="Arial"/>
                                  <w:color w:val="FF0000"/>
                                  <w:sz w:val="16"/>
                                  <w:szCs w:val="16"/>
                                </w:rPr>
                                <w:t>Residents moved out, n=16</w:t>
                              </w:r>
                            </w:p>
                            <w:p w14:paraId="20A07009" w14:textId="1F7033BC"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 xml:space="preserve">No CMAI </w:t>
                              </w:r>
                              <w:r>
                                <w:rPr>
                                  <w:rFonts w:eastAsia="Calibri" w:cs="Arial"/>
                                  <w:color w:val="FF0000"/>
                                  <w:sz w:val="16"/>
                                  <w:szCs w:val="16"/>
                                </w:rPr>
                                <w:t>score</w:t>
                              </w:r>
                              <w:r w:rsidRPr="008015C7">
                                <w:rPr>
                                  <w:rFonts w:eastAsia="Calibri" w:cs="Arial"/>
                                  <w:color w:val="FF0000"/>
                                  <w:sz w:val="16"/>
                                  <w:szCs w:val="16"/>
                                </w:rPr>
                                <w:t xml:space="preserve"> at 6</w:t>
                              </w:r>
                              <w:r>
                                <w:rPr>
                                  <w:rFonts w:eastAsia="Calibri" w:cs="Arial"/>
                                  <w:color w:val="FF0000"/>
                                  <w:sz w:val="16"/>
                                  <w:szCs w:val="16"/>
                                </w:rPr>
                                <w:t>-</w:t>
                              </w:r>
                              <w:r w:rsidRPr="008015C7">
                                <w:rPr>
                                  <w:rFonts w:eastAsia="Calibri" w:cs="Arial"/>
                                  <w:color w:val="FF0000"/>
                                  <w:sz w:val="16"/>
                                  <w:szCs w:val="16"/>
                                </w:rPr>
                                <w:t>months, n=2</w:t>
                              </w:r>
                              <w:r w:rsidRPr="008015C7">
                                <w:rPr>
                                  <w:rFonts w:eastAsia="Calibri" w:cs="Arial"/>
                                  <w:sz w:val="16"/>
                                  <w:szCs w:val="16"/>
                                </w:rPr>
                                <w:t> </w:t>
                              </w:r>
                            </w:p>
                            <w:p w14:paraId="45F6CF2D" w14:textId="77777777"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n=2</w:t>
                              </w:r>
                              <w:r w:rsidRPr="008015C7">
                                <w:rPr>
                                  <w:rFonts w:eastAsia="Calibri" w:cs="Arial"/>
                                  <w:sz w:val="16"/>
                                  <w:szCs w:val="16"/>
                                </w:rPr>
                                <w:t> </w:t>
                              </w:r>
                            </w:p>
                            <w:p w14:paraId="5E71F7D2"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0" name="Text Box 3"/>
                        <wps:cNvSpPr txBox="1"/>
                        <wps:spPr>
                          <a:xfrm>
                            <a:off x="9948" y="5935069"/>
                            <a:ext cx="2166620" cy="441250"/>
                          </a:xfrm>
                          <a:prstGeom prst="rect">
                            <a:avLst/>
                          </a:prstGeom>
                          <a:solidFill>
                            <a:sysClr val="window" lastClr="FFFFFF"/>
                          </a:solidFill>
                          <a:ln w="6350">
                            <a:solidFill>
                              <a:prstClr val="black"/>
                            </a:solidFill>
                          </a:ln>
                          <a:effectLst/>
                        </wps:spPr>
                        <wps:txbx>
                          <w:txbxContent>
                            <w:p w14:paraId="249D4099" w14:textId="77777777" w:rsidR="00411708" w:rsidRPr="00953587" w:rsidRDefault="00411708" w:rsidP="00C21835">
                              <w:pPr>
                                <w:pStyle w:val="NormalWeb"/>
                                <w:spacing w:before="0" w:line="240" w:lineRule="auto"/>
                                <w:rPr>
                                  <w:rFonts w:cs="Arial"/>
                                  <w:b/>
                                  <w:sz w:val="16"/>
                                  <w:szCs w:val="16"/>
                                </w:rPr>
                              </w:pPr>
                              <w:r w:rsidRPr="00953587">
                                <w:rPr>
                                  <w:rFonts w:eastAsia="Calibri" w:cs="Arial"/>
                                  <w:b/>
                                  <w:sz w:val="16"/>
                                  <w:szCs w:val="16"/>
                                </w:rPr>
                                <w:t>Care Homes, n=19</w:t>
                              </w:r>
                            </w:p>
                            <w:p w14:paraId="3FC3FB0F" w14:textId="2E7D83C5"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Assessed, n=24</w:t>
                              </w:r>
                              <w:r w:rsidRPr="008015C7">
                                <w:rPr>
                                  <w:rFonts w:eastAsia="Calibri" w:cs="Arial"/>
                                  <w:color w:val="FF0000"/>
                                  <w:sz w:val="16"/>
                                  <w:szCs w:val="16"/>
                                </w:rPr>
                                <w:t>4</w:t>
                              </w:r>
                              <w:r w:rsidRPr="00953587">
                                <w:rPr>
                                  <w:rFonts w:eastAsia="Calibri" w:cs="Arial"/>
                                  <w:sz w:val="16"/>
                                  <w:szCs w:val="16"/>
                                </w:rPr>
                                <w:t>residents (closed-cohort)</w:t>
                              </w:r>
                            </w:p>
                            <w:p w14:paraId="5C83413E" w14:textId="77777777" w:rsidR="00411708" w:rsidRPr="00953587" w:rsidRDefault="00411708" w:rsidP="00C21835">
                              <w:pPr>
                                <w:pStyle w:val="NormalWeb"/>
                                <w:spacing w:before="0" w:line="240" w:lineRule="auto"/>
                                <w:rPr>
                                  <w:rFonts w:cs="Arial"/>
                                  <w:sz w:val="16"/>
                                  <w:szCs w:val="16"/>
                                </w:rPr>
                              </w:pPr>
                              <w:r w:rsidRPr="00B47536">
                                <w:rPr>
                                  <w:rFonts w:eastAsia="Calibri" w:cs="Arial"/>
                                  <w:sz w:val="16"/>
                                  <w:szCs w:val="16"/>
                                </w:rPr>
                                <w:t xml:space="preserve">Median (min, max) = 11 (5, 25) </w:t>
                              </w:r>
                              <w:r w:rsidRPr="00953587">
                                <w:rPr>
                                  <w:rFonts w:eastAsia="Calibri" w:cs="Arial"/>
                                  <w:sz w:val="16"/>
                                  <w:szCs w:val="16"/>
                                </w:rPr>
                                <w:t>residents/home</w:t>
                              </w:r>
                            </w:p>
                            <w:p w14:paraId="326ADCB6"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p w14:paraId="48A20F41"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p w14:paraId="0C3001FD"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Text Box 3"/>
                        <wps:cNvSpPr txBox="1"/>
                        <wps:spPr>
                          <a:xfrm>
                            <a:off x="3412593" y="5935080"/>
                            <a:ext cx="2153285" cy="442309"/>
                          </a:xfrm>
                          <a:prstGeom prst="rect">
                            <a:avLst/>
                          </a:prstGeom>
                          <a:solidFill>
                            <a:sysClr val="window" lastClr="FFFFFF"/>
                          </a:solidFill>
                          <a:ln w="6350">
                            <a:solidFill>
                              <a:prstClr val="black"/>
                            </a:solidFill>
                          </a:ln>
                          <a:effectLst/>
                        </wps:spPr>
                        <wps:txbx>
                          <w:txbxContent>
                            <w:p w14:paraId="42BBA84F" w14:textId="77777777" w:rsidR="00411708" w:rsidRPr="00953587" w:rsidRDefault="00411708" w:rsidP="00C21835">
                              <w:pPr>
                                <w:pStyle w:val="NormalWeb"/>
                                <w:spacing w:before="0" w:line="240" w:lineRule="auto"/>
                                <w:rPr>
                                  <w:rFonts w:cs="Arial"/>
                                  <w:b/>
                                  <w:sz w:val="16"/>
                                  <w:szCs w:val="16"/>
                                </w:rPr>
                              </w:pPr>
                              <w:r w:rsidRPr="00953587">
                                <w:rPr>
                                  <w:rFonts w:eastAsia="Calibri" w:cs="Arial"/>
                                  <w:b/>
                                  <w:sz w:val="16"/>
                                  <w:szCs w:val="16"/>
                                </w:rPr>
                                <w:t>Care Homes, n=31</w:t>
                              </w:r>
                            </w:p>
                            <w:p w14:paraId="3434A8F4" w14:textId="6FC76CAA" w:rsidR="00411708" w:rsidRPr="00953587" w:rsidRDefault="00411708" w:rsidP="00C21835">
                              <w:pPr>
                                <w:pStyle w:val="NormalWeb"/>
                                <w:spacing w:before="0" w:line="240" w:lineRule="auto"/>
                                <w:rPr>
                                  <w:rFonts w:eastAsia="Calibri" w:cs="Arial"/>
                                  <w:sz w:val="16"/>
                                  <w:szCs w:val="16"/>
                                </w:rPr>
                              </w:pPr>
                              <w:r w:rsidRPr="00953587">
                                <w:rPr>
                                  <w:rFonts w:eastAsia="Calibri" w:cs="Arial"/>
                                  <w:sz w:val="16"/>
                                  <w:szCs w:val="16"/>
                                </w:rPr>
                                <w:t>Assessed, n=</w:t>
                              </w:r>
                              <w:r w:rsidRPr="009566A1">
                                <w:rPr>
                                  <w:rFonts w:eastAsia="Calibri" w:cs="Arial"/>
                                  <w:color w:val="000000" w:themeColor="text1"/>
                                  <w:sz w:val="16"/>
                                  <w:szCs w:val="16"/>
                                </w:rPr>
                                <w:t>3</w:t>
                              </w:r>
                              <w:r w:rsidRPr="009566A1">
                                <w:rPr>
                                  <w:rFonts w:eastAsia="Calibri" w:cs="Arial"/>
                                  <w:color w:val="FF0000"/>
                                  <w:sz w:val="16"/>
                                  <w:szCs w:val="16"/>
                                </w:rPr>
                                <w:t>34</w:t>
                              </w:r>
                              <w:r w:rsidRPr="00953587">
                                <w:rPr>
                                  <w:rFonts w:eastAsia="Calibri" w:cs="Arial"/>
                                  <w:sz w:val="16"/>
                                  <w:szCs w:val="16"/>
                                </w:rPr>
                                <w:t xml:space="preserve"> residents (closed-cohort)</w:t>
                              </w:r>
                            </w:p>
                            <w:p w14:paraId="634272B4" w14:textId="6A8B8FC9" w:rsidR="00411708" w:rsidRPr="00953587" w:rsidRDefault="00411708" w:rsidP="00C21835">
                              <w:pPr>
                                <w:pStyle w:val="NormalWeb"/>
                                <w:spacing w:before="0" w:line="240" w:lineRule="auto"/>
                                <w:rPr>
                                  <w:rFonts w:cs="Arial"/>
                                  <w:sz w:val="16"/>
                                  <w:szCs w:val="16"/>
                                </w:rPr>
                              </w:pPr>
                              <w:r w:rsidRPr="00B47536">
                                <w:rPr>
                                  <w:rFonts w:eastAsia="Calibri" w:cs="Arial"/>
                                  <w:sz w:val="16"/>
                                  <w:szCs w:val="16"/>
                                </w:rPr>
                                <w:t xml:space="preserve">Median (min, max) = </w:t>
                              </w:r>
                              <w:r w:rsidRPr="005A50AD">
                                <w:rPr>
                                  <w:rFonts w:eastAsia="Calibri" w:cs="Arial"/>
                                  <w:color w:val="FF0000"/>
                                  <w:sz w:val="16"/>
                                  <w:szCs w:val="16"/>
                                </w:rPr>
                                <w:t>10</w:t>
                              </w:r>
                              <w:r w:rsidRPr="00B47536">
                                <w:rPr>
                                  <w:rFonts w:eastAsia="Calibri" w:cs="Arial"/>
                                  <w:sz w:val="16"/>
                                  <w:szCs w:val="16"/>
                                </w:rPr>
                                <w:t xml:space="preserve"> (5, 19) </w:t>
                              </w:r>
                              <w:r w:rsidRPr="00953587">
                                <w:rPr>
                                  <w:rFonts w:eastAsia="Calibri" w:cs="Arial"/>
                                  <w:sz w:val="16"/>
                                  <w:szCs w:val="16"/>
                                </w:rPr>
                                <w:t>residents/home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 name="Text Box 13"/>
                        <wps:cNvSpPr txBox="1">
                          <a:spLocks noChangeArrowheads="1"/>
                        </wps:cNvSpPr>
                        <wps:spPr bwMode="auto">
                          <a:xfrm>
                            <a:off x="2232211" y="5941515"/>
                            <a:ext cx="1133396" cy="435874"/>
                          </a:xfrm>
                          <a:prstGeom prst="rect">
                            <a:avLst/>
                          </a:prstGeom>
                          <a:solidFill>
                            <a:srgbClr val="FFFFFF"/>
                          </a:solidFill>
                          <a:ln w="9525">
                            <a:solidFill>
                              <a:srgbClr val="000000"/>
                            </a:solidFill>
                            <a:miter lim="800000"/>
                            <a:headEnd/>
                            <a:tailEnd/>
                          </a:ln>
                        </wps:spPr>
                        <wps:txbx>
                          <w:txbxContent>
                            <w:p w14:paraId="6F1D7C1E" w14:textId="77777777" w:rsidR="00411708" w:rsidRPr="00953587" w:rsidRDefault="00411708" w:rsidP="00C21835">
                              <w:pPr>
                                <w:pStyle w:val="NormalWeb"/>
                                <w:jc w:val="center"/>
                                <w:rPr>
                                  <w:rFonts w:cs="Arial"/>
                                  <w:sz w:val="16"/>
                                  <w:szCs w:val="16"/>
                                </w:rPr>
                              </w:pPr>
                              <w:r w:rsidRPr="00953587">
                                <w:rPr>
                                  <w:rFonts w:eastAsia="Calibri" w:cs="Arial"/>
                                  <w:b/>
                                  <w:bCs/>
                                  <w:sz w:val="16"/>
                                  <w:szCs w:val="16"/>
                                </w:rPr>
                                <w:t>6 MONTHS FOLLOW-UP</w:t>
                              </w:r>
                            </w:p>
                          </w:txbxContent>
                        </wps:txbx>
                        <wps:bodyPr rot="0" vert="horz" wrap="square" lIns="91440" tIns="45720" rIns="91440" bIns="45720" anchor="t" anchorCtr="0" upright="1">
                          <a:noAutofit/>
                        </wps:bodyPr>
                      </wps:wsp>
                      <wps:wsp>
                        <wps:cNvPr id="116" name="Text Box 13"/>
                        <wps:cNvSpPr txBox="1">
                          <a:spLocks noChangeArrowheads="1"/>
                        </wps:cNvSpPr>
                        <wps:spPr bwMode="auto">
                          <a:xfrm>
                            <a:off x="2224399" y="7216540"/>
                            <a:ext cx="1116209" cy="460319"/>
                          </a:xfrm>
                          <a:prstGeom prst="rect">
                            <a:avLst/>
                          </a:prstGeom>
                          <a:solidFill>
                            <a:srgbClr val="FFFFFF"/>
                          </a:solidFill>
                          <a:ln w="9525">
                            <a:solidFill>
                              <a:srgbClr val="000000"/>
                            </a:solidFill>
                            <a:miter lim="800000"/>
                            <a:headEnd/>
                            <a:tailEnd/>
                          </a:ln>
                        </wps:spPr>
                        <wps:txbx>
                          <w:txbxContent>
                            <w:p w14:paraId="0E65C84D" w14:textId="77777777" w:rsidR="00411708" w:rsidRPr="00953587" w:rsidRDefault="00411708" w:rsidP="00C21835">
                              <w:pPr>
                                <w:pStyle w:val="NormalWeb"/>
                                <w:spacing w:before="0" w:line="240" w:lineRule="auto"/>
                                <w:jc w:val="center"/>
                                <w:rPr>
                                  <w:rFonts w:eastAsia="Calibri" w:cs="Arial"/>
                                  <w:b/>
                                  <w:bCs/>
                                  <w:sz w:val="16"/>
                                  <w:szCs w:val="16"/>
                                </w:rPr>
                              </w:pPr>
                              <w:r w:rsidRPr="00953587">
                                <w:rPr>
                                  <w:rFonts w:eastAsia="Calibri" w:cs="Arial"/>
                                  <w:b/>
                                  <w:bCs/>
                                  <w:sz w:val="16"/>
                                  <w:szCs w:val="16"/>
                                </w:rPr>
                                <w:t>16 MONTHS FOLLOW-UP</w:t>
                              </w:r>
                            </w:p>
                            <w:p w14:paraId="71C1ED77" w14:textId="77777777" w:rsidR="00411708" w:rsidRPr="00953587" w:rsidRDefault="00411708" w:rsidP="00C21835">
                              <w:pPr>
                                <w:pStyle w:val="NormalWeb"/>
                                <w:spacing w:before="0" w:line="240" w:lineRule="auto"/>
                                <w:jc w:val="center"/>
                                <w:rPr>
                                  <w:rFonts w:eastAsia="Calibri" w:cs="Arial"/>
                                  <w:b/>
                                  <w:bCs/>
                                  <w:sz w:val="16"/>
                                  <w:szCs w:val="16"/>
                                </w:rPr>
                              </w:pPr>
                              <w:r w:rsidRPr="00953587">
                                <w:rPr>
                                  <w:rFonts w:eastAsia="Calibri" w:cs="Arial"/>
                                  <w:b/>
                                  <w:bCs/>
                                  <w:sz w:val="16"/>
                                  <w:szCs w:val="16"/>
                                </w:rPr>
                                <w:t>(PRIMARY)</w:t>
                              </w:r>
                            </w:p>
                            <w:p w14:paraId="37BFD09D" w14:textId="77777777" w:rsidR="00411708" w:rsidRPr="00953587" w:rsidRDefault="00411708" w:rsidP="00C21835">
                              <w:pPr>
                                <w:pStyle w:val="NormalWeb"/>
                                <w:spacing w:before="0" w:line="240" w:lineRule="auto"/>
                                <w:jc w:val="center"/>
                                <w:rPr>
                                  <w:rFonts w:cs="Arial"/>
                                  <w:sz w:val="16"/>
                                  <w:szCs w:val="16"/>
                                </w:rPr>
                              </w:pPr>
                            </w:p>
                          </w:txbxContent>
                        </wps:txbx>
                        <wps:bodyPr rot="0" vert="horz" wrap="square" lIns="91440" tIns="45720" rIns="91440" bIns="45720" anchor="t" anchorCtr="0" upright="1">
                          <a:noAutofit/>
                        </wps:bodyPr>
                      </wps:wsp>
                      <wps:wsp>
                        <wps:cNvPr id="129" name="Text Box 31"/>
                        <wps:cNvSpPr txBox="1"/>
                        <wps:spPr>
                          <a:xfrm>
                            <a:off x="21274" y="6462426"/>
                            <a:ext cx="2264725" cy="675990"/>
                          </a:xfrm>
                          <a:prstGeom prst="rect">
                            <a:avLst/>
                          </a:prstGeom>
                          <a:solidFill>
                            <a:sysClr val="window" lastClr="FFFFFF"/>
                          </a:solidFill>
                          <a:ln w="6350">
                            <a:solidFill>
                              <a:prstClr val="black"/>
                            </a:solidFill>
                          </a:ln>
                          <a:effectLst/>
                        </wps:spPr>
                        <wps:txbx>
                          <w:txbxContent>
                            <w:p w14:paraId="6CE9F469" w14:textId="77777777" w:rsidR="00411708" w:rsidRPr="00953587" w:rsidRDefault="00411708" w:rsidP="00C21835">
                              <w:pPr>
                                <w:pStyle w:val="NormalWeb"/>
                                <w:spacing w:before="0" w:line="240" w:lineRule="auto"/>
                                <w:rPr>
                                  <w:rFonts w:eastAsia="Calibri" w:cs="Arial"/>
                                  <w:sz w:val="16"/>
                                  <w:szCs w:val="16"/>
                                </w:rPr>
                              </w:pPr>
                              <w:r w:rsidRPr="00953587">
                                <w:rPr>
                                  <w:rFonts w:eastAsia="Calibri" w:cs="Arial"/>
                                  <w:sz w:val="16"/>
                                  <w:szCs w:val="16"/>
                                </w:rPr>
                                <w:t>Care homes withdrawn from intervention, n=0</w:t>
                              </w:r>
                            </w:p>
                            <w:p w14:paraId="2E96CF45" w14:textId="77777777" w:rsidR="00411708" w:rsidRPr="00003D2E" w:rsidRDefault="00411708" w:rsidP="00B47536">
                              <w:pPr>
                                <w:pStyle w:val="NormalWeb"/>
                                <w:spacing w:before="0" w:line="240" w:lineRule="auto"/>
                                <w:rPr>
                                  <w:rFonts w:cs="Arial"/>
                                  <w:color w:val="FF0000"/>
                                  <w:sz w:val="16"/>
                                  <w:szCs w:val="16"/>
                                </w:rPr>
                              </w:pPr>
                              <w:r w:rsidRPr="00003D2E">
                                <w:rPr>
                                  <w:rFonts w:eastAsia="Calibri" w:cs="Arial"/>
                                  <w:color w:val="FF0000"/>
                                  <w:sz w:val="16"/>
                                  <w:szCs w:val="16"/>
                                </w:rPr>
                                <w:t>Residents died, n=54</w:t>
                              </w:r>
                            </w:p>
                            <w:p w14:paraId="6A9A5884" w14:textId="77777777"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Residents withdrawn, n=</w:t>
                              </w:r>
                              <w:r>
                                <w:rPr>
                                  <w:rFonts w:eastAsia="Calibri" w:cs="Arial"/>
                                  <w:color w:val="FF0000"/>
                                  <w:sz w:val="16"/>
                                  <w:szCs w:val="16"/>
                                </w:rPr>
                                <w:t>1</w:t>
                              </w:r>
                            </w:p>
                            <w:p w14:paraId="3E42A09C" w14:textId="77777777" w:rsidR="00411708" w:rsidRPr="00003D2E" w:rsidRDefault="00411708" w:rsidP="00B47536">
                              <w:pPr>
                                <w:pStyle w:val="NormalWeb"/>
                                <w:spacing w:before="0" w:line="240" w:lineRule="auto"/>
                                <w:rPr>
                                  <w:rFonts w:cs="Arial"/>
                                  <w:color w:val="FF0000"/>
                                  <w:sz w:val="16"/>
                                  <w:szCs w:val="16"/>
                                </w:rPr>
                              </w:pPr>
                              <w:r w:rsidRPr="00003D2E">
                                <w:rPr>
                                  <w:rFonts w:eastAsia="Calibri" w:cs="Arial"/>
                                  <w:color w:val="FF0000"/>
                                  <w:sz w:val="16"/>
                                  <w:szCs w:val="16"/>
                                </w:rPr>
                                <w:t>Residents moved out, n=6</w:t>
                              </w:r>
                            </w:p>
                            <w:p w14:paraId="1D1866A7" w14:textId="2034F98E"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 xml:space="preserve">No CMAI </w:t>
                              </w:r>
                              <w:r>
                                <w:rPr>
                                  <w:rFonts w:eastAsia="Calibri" w:cs="Arial"/>
                                  <w:color w:val="FF0000"/>
                                  <w:sz w:val="16"/>
                                  <w:szCs w:val="16"/>
                                </w:rPr>
                                <w:t>score at 16months, n=0</w:t>
                              </w:r>
                              <w:r w:rsidRPr="008015C7">
                                <w:rPr>
                                  <w:rFonts w:eastAsia="Calibri" w:cs="Arial"/>
                                  <w:sz w:val="16"/>
                                  <w:szCs w:val="16"/>
                                </w:rPr>
                                <w:t> </w:t>
                              </w:r>
                            </w:p>
                            <w:p w14:paraId="3F60708F"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Text Box 30"/>
                        <wps:cNvSpPr txBox="1"/>
                        <wps:spPr>
                          <a:xfrm>
                            <a:off x="3306125" y="6453496"/>
                            <a:ext cx="2259753" cy="678821"/>
                          </a:xfrm>
                          <a:prstGeom prst="rect">
                            <a:avLst/>
                          </a:prstGeom>
                          <a:solidFill>
                            <a:sysClr val="window" lastClr="FFFFFF"/>
                          </a:solidFill>
                          <a:ln w="6350">
                            <a:solidFill>
                              <a:prstClr val="black"/>
                            </a:solidFill>
                          </a:ln>
                          <a:effectLst/>
                        </wps:spPr>
                        <wps:txbx>
                          <w:txbxContent>
                            <w:p w14:paraId="125474C6" w14:textId="4394E85C" w:rsidR="00411708" w:rsidRPr="00953587" w:rsidRDefault="00411708" w:rsidP="00C21835">
                              <w:pPr>
                                <w:pStyle w:val="NormalWeb"/>
                                <w:spacing w:before="0" w:line="240" w:lineRule="auto"/>
                                <w:rPr>
                                  <w:rFonts w:eastAsia="Calibri" w:cs="Arial"/>
                                  <w:sz w:val="16"/>
                                  <w:szCs w:val="16"/>
                                </w:rPr>
                              </w:pPr>
                              <w:r w:rsidRPr="00953587">
                                <w:rPr>
                                  <w:rFonts w:eastAsia="Calibri" w:cs="Arial"/>
                                  <w:sz w:val="16"/>
                                  <w:szCs w:val="16"/>
                                </w:rPr>
                                <w:t>Care homes withdrawn from intervention, n=2</w:t>
                              </w:r>
                            </w:p>
                            <w:p w14:paraId="0DF4B162" w14:textId="77777777" w:rsidR="00411708" w:rsidRPr="00003D2E" w:rsidRDefault="00411708" w:rsidP="00B47536">
                              <w:pPr>
                                <w:pStyle w:val="NormalWeb"/>
                                <w:spacing w:before="0" w:line="240" w:lineRule="auto"/>
                                <w:rPr>
                                  <w:rFonts w:cs="Arial"/>
                                  <w:color w:val="FF0000"/>
                                  <w:sz w:val="16"/>
                                  <w:szCs w:val="16"/>
                                </w:rPr>
                              </w:pPr>
                              <w:r w:rsidRPr="00003D2E">
                                <w:rPr>
                                  <w:rFonts w:eastAsia="Calibri" w:cs="Arial"/>
                                  <w:color w:val="FF0000"/>
                                  <w:sz w:val="16"/>
                                  <w:szCs w:val="16"/>
                                </w:rPr>
                                <w:t>Residents died, n=92</w:t>
                              </w:r>
                            </w:p>
                            <w:p w14:paraId="7F45B16C" w14:textId="77777777" w:rsidR="00411708"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Residents withdrawn, n=</w:t>
                              </w:r>
                              <w:r>
                                <w:rPr>
                                  <w:rFonts w:eastAsia="Calibri" w:cs="Arial"/>
                                  <w:color w:val="FF0000"/>
                                  <w:sz w:val="16"/>
                                  <w:szCs w:val="16"/>
                                </w:rPr>
                                <w:t>0</w:t>
                              </w:r>
                            </w:p>
                            <w:p w14:paraId="2FB47E9C" w14:textId="77777777" w:rsidR="00411708" w:rsidRPr="00003D2E" w:rsidRDefault="00411708" w:rsidP="00B47536">
                              <w:pPr>
                                <w:pStyle w:val="NormalWeb"/>
                                <w:spacing w:before="0" w:line="240" w:lineRule="auto"/>
                                <w:rPr>
                                  <w:rFonts w:cs="Arial"/>
                                  <w:color w:val="FF0000"/>
                                  <w:sz w:val="16"/>
                                  <w:szCs w:val="16"/>
                                </w:rPr>
                              </w:pPr>
                              <w:r w:rsidRPr="00003D2E">
                                <w:rPr>
                                  <w:rFonts w:eastAsia="Calibri" w:cs="Arial"/>
                                  <w:color w:val="FF0000"/>
                                  <w:sz w:val="16"/>
                                  <w:szCs w:val="16"/>
                                </w:rPr>
                                <w:t>Residents moved out, n=22</w:t>
                              </w:r>
                            </w:p>
                            <w:p w14:paraId="3A6A029C" w14:textId="2B568006"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 xml:space="preserve">No CMAI </w:t>
                              </w:r>
                              <w:r>
                                <w:rPr>
                                  <w:rFonts w:eastAsia="Calibri" w:cs="Arial"/>
                                  <w:color w:val="FF0000"/>
                                  <w:sz w:val="16"/>
                                  <w:szCs w:val="16"/>
                                </w:rPr>
                                <w:t>score at 16-months, n=2</w:t>
                              </w:r>
                              <w:r w:rsidRPr="008015C7">
                                <w:rPr>
                                  <w:rFonts w:eastAsia="Calibri" w:cs="Arial"/>
                                  <w:sz w:val="16"/>
                                  <w:szCs w:val="16"/>
                                </w:rPr>
                                <w:t> </w:t>
                              </w:r>
                            </w:p>
                            <w:p w14:paraId="0C70862F"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Text Box 3"/>
                        <wps:cNvSpPr txBox="1"/>
                        <wps:spPr>
                          <a:xfrm>
                            <a:off x="3383280" y="7216254"/>
                            <a:ext cx="2194559" cy="1243411"/>
                          </a:xfrm>
                          <a:prstGeom prst="rect">
                            <a:avLst/>
                          </a:prstGeom>
                          <a:solidFill>
                            <a:sysClr val="window" lastClr="FFFFFF"/>
                          </a:solidFill>
                          <a:ln w="6350">
                            <a:solidFill>
                              <a:prstClr val="black"/>
                            </a:solidFill>
                          </a:ln>
                          <a:effectLst/>
                        </wps:spPr>
                        <wps:txbx>
                          <w:txbxContent>
                            <w:p w14:paraId="312AEA80" w14:textId="77777777" w:rsidR="00411708" w:rsidRPr="00953587" w:rsidRDefault="00411708" w:rsidP="00C21835">
                              <w:pPr>
                                <w:pStyle w:val="NormalWeb"/>
                                <w:spacing w:before="0" w:line="240" w:lineRule="auto"/>
                                <w:rPr>
                                  <w:rFonts w:cs="Arial"/>
                                  <w:b/>
                                  <w:sz w:val="16"/>
                                  <w:szCs w:val="16"/>
                                </w:rPr>
                              </w:pPr>
                              <w:r w:rsidRPr="00953587">
                                <w:rPr>
                                  <w:rFonts w:eastAsia="Calibri" w:cs="Arial"/>
                                  <w:b/>
                                  <w:sz w:val="16"/>
                                  <w:szCs w:val="16"/>
                                </w:rPr>
                                <w:t>Care Homes, n=31</w:t>
                              </w:r>
                            </w:p>
                            <w:p w14:paraId="3BE1F3BE" w14:textId="77777777" w:rsidR="00411708" w:rsidRPr="003047B3" w:rsidRDefault="00411708" w:rsidP="00B47536">
                              <w:pPr>
                                <w:pStyle w:val="NormalWeb"/>
                                <w:spacing w:before="0" w:line="240" w:lineRule="auto"/>
                                <w:rPr>
                                  <w:rFonts w:eastAsia="Calibri" w:cs="Arial"/>
                                  <w:color w:val="FF0000"/>
                                  <w:sz w:val="16"/>
                                  <w:szCs w:val="16"/>
                                </w:rPr>
                              </w:pPr>
                              <w:r w:rsidRPr="003047B3">
                                <w:rPr>
                                  <w:rFonts w:eastAsia="Calibri" w:cs="Arial"/>
                                  <w:color w:val="FF0000"/>
                                  <w:sz w:val="16"/>
                                  <w:szCs w:val="16"/>
                                </w:rPr>
                                <w:t>Registered, n=226 residents and</w:t>
                              </w:r>
                            </w:p>
                            <w:p w14:paraId="5672F0DD" w14:textId="1DF738E8" w:rsidR="00411708" w:rsidRPr="00953587" w:rsidRDefault="00411708" w:rsidP="00C21835">
                              <w:pPr>
                                <w:pStyle w:val="NormalWeb"/>
                                <w:spacing w:before="0" w:line="240" w:lineRule="auto"/>
                                <w:rPr>
                                  <w:rFonts w:eastAsia="Calibri" w:cs="Arial"/>
                                  <w:sz w:val="16"/>
                                  <w:szCs w:val="16"/>
                                </w:rPr>
                              </w:pPr>
                              <w:r w:rsidRPr="00953587">
                                <w:rPr>
                                  <w:rFonts w:eastAsia="Calibri" w:cs="Arial"/>
                                  <w:sz w:val="16"/>
                                  <w:szCs w:val="16"/>
                                </w:rPr>
                                <w:t>Assessed, n=</w:t>
                              </w:r>
                              <w:r w:rsidRPr="00953587">
                                <w:rPr>
                                  <w:rFonts w:eastAsia="Times New Roman" w:cs="Arial"/>
                                  <w:color w:val="000000"/>
                                  <w:sz w:val="16"/>
                                  <w:szCs w:val="16"/>
                                </w:rPr>
                                <w:t>22</w:t>
                              </w:r>
                              <w:r w:rsidRPr="00323093">
                                <w:rPr>
                                  <w:rFonts w:eastAsia="Times New Roman" w:cs="Arial"/>
                                  <w:color w:val="FF0000"/>
                                  <w:sz w:val="16"/>
                                  <w:szCs w:val="16"/>
                                </w:rPr>
                                <w:t>0</w:t>
                              </w:r>
                              <w:r w:rsidRPr="00953587">
                                <w:rPr>
                                  <w:rFonts w:eastAsia="Times New Roman" w:cs="Arial"/>
                                  <w:color w:val="000000"/>
                                  <w:sz w:val="16"/>
                                  <w:szCs w:val="16"/>
                                </w:rPr>
                                <w:t xml:space="preserve"> </w:t>
                              </w:r>
                              <w:r w:rsidRPr="00953587">
                                <w:rPr>
                                  <w:rFonts w:eastAsia="Calibri" w:cs="Arial"/>
                                  <w:sz w:val="16"/>
                                  <w:szCs w:val="16"/>
                                </w:rPr>
                                <w:t>residents (closed-cohort)</w:t>
                              </w:r>
                            </w:p>
                            <w:p w14:paraId="6C7BC387" w14:textId="2EA44FB2" w:rsidR="00411708" w:rsidRDefault="00411708" w:rsidP="00C21835">
                              <w:pPr>
                                <w:pStyle w:val="NormalWeb"/>
                                <w:spacing w:before="0" w:line="240" w:lineRule="auto"/>
                                <w:rPr>
                                  <w:rFonts w:eastAsia="Calibri" w:cs="Arial"/>
                                  <w:color w:val="0070C0"/>
                                  <w:sz w:val="16"/>
                                  <w:szCs w:val="16"/>
                                </w:rPr>
                              </w:pPr>
                              <w:r w:rsidRPr="00BC7A4C">
                                <w:rPr>
                                  <w:rFonts w:eastAsia="Calibri" w:cs="Arial"/>
                                  <w:sz w:val="16"/>
                                  <w:szCs w:val="16"/>
                                </w:rPr>
                                <w:t>Median (min, max) =</w:t>
                              </w:r>
                              <w:r w:rsidRPr="00AA252B">
                                <w:rPr>
                                  <w:rFonts w:eastAsia="Calibri" w:cs="Arial"/>
                                  <w:color w:val="FF0000"/>
                                  <w:sz w:val="16"/>
                                  <w:szCs w:val="16"/>
                                </w:rPr>
                                <w:t>7 (1</w:t>
                              </w:r>
                              <w:r w:rsidRPr="00BC7A4C">
                                <w:rPr>
                                  <w:rFonts w:eastAsia="Calibri" w:cs="Arial"/>
                                  <w:sz w:val="16"/>
                                  <w:szCs w:val="16"/>
                                </w:rPr>
                                <w:t xml:space="preserve">,12)  </w:t>
                              </w:r>
                            </w:p>
                            <w:p w14:paraId="128F2940" w14:textId="09C650FA" w:rsidR="00411708" w:rsidRPr="00953587" w:rsidRDefault="00411708" w:rsidP="00C21835">
                              <w:pPr>
                                <w:pStyle w:val="NormalWeb"/>
                                <w:spacing w:before="0" w:line="240" w:lineRule="auto"/>
                                <w:rPr>
                                  <w:rFonts w:cs="Arial"/>
                                  <w:sz w:val="16"/>
                                  <w:szCs w:val="16"/>
                                </w:rPr>
                              </w:pPr>
                              <w:r>
                                <w:rPr>
                                  <w:rFonts w:eastAsia="Calibri" w:cs="Arial"/>
                                  <w:color w:val="0070C0"/>
                                  <w:sz w:val="16"/>
                                  <w:szCs w:val="16"/>
                                </w:rPr>
                                <w:t xml:space="preserve">   </w:t>
                              </w:r>
                              <w:r w:rsidRPr="00953587">
                                <w:rPr>
                                  <w:rFonts w:eastAsia="Calibri" w:cs="Arial"/>
                                  <w:sz w:val="16"/>
                                  <w:szCs w:val="16"/>
                                </w:rPr>
                                <w:t>residents/home</w:t>
                              </w:r>
                            </w:p>
                            <w:p w14:paraId="1EDAE25C" w14:textId="1233036F" w:rsidR="00411708" w:rsidRPr="00BC7A4C" w:rsidRDefault="00411708" w:rsidP="00C21835">
                              <w:pPr>
                                <w:pStyle w:val="NormalWeb"/>
                                <w:spacing w:before="0" w:line="240" w:lineRule="auto"/>
                                <w:rPr>
                                  <w:rFonts w:cs="Arial"/>
                                  <w:sz w:val="16"/>
                                  <w:szCs w:val="16"/>
                                </w:rPr>
                              </w:pPr>
                              <w:r w:rsidRPr="00BC7A4C">
                                <w:rPr>
                                  <w:rFonts w:eastAsia="Calibri" w:cs="Arial"/>
                                  <w:sz w:val="16"/>
                                  <w:szCs w:val="16"/>
                                </w:rPr>
                                <w:t>Registered, n=162 residents (additional)</w:t>
                              </w:r>
                              <w:r w:rsidRPr="00BC7A4C">
                                <w:rPr>
                                  <w:rFonts w:cs="Arial"/>
                                  <w:sz w:val="16"/>
                                  <w:szCs w:val="16"/>
                                </w:rPr>
                                <w:t xml:space="preserve"> and </w:t>
                              </w:r>
                              <w:r w:rsidRPr="00BC7A4C">
                                <w:rPr>
                                  <w:rFonts w:eastAsia="Calibri" w:cs="Arial"/>
                                  <w:sz w:val="16"/>
                                  <w:szCs w:val="16"/>
                                </w:rPr>
                                <w:t>n=388 residents (</w:t>
                              </w:r>
                              <w:r w:rsidRPr="00BC7A4C">
                                <w:rPr>
                                  <w:rFonts w:eastAsia="Calibri" w:cs="Arial"/>
                                  <w:bCs/>
                                  <w:sz w:val="16"/>
                                  <w:szCs w:val="16"/>
                                </w:rPr>
                                <w:t>cross-section)</w:t>
                              </w:r>
                            </w:p>
                            <w:p w14:paraId="2A353C47" w14:textId="77777777" w:rsidR="00411708" w:rsidRPr="00BC7A4C" w:rsidRDefault="00411708" w:rsidP="00C21835">
                              <w:pPr>
                                <w:pStyle w:val="NormalWeb"/>
                                <w:spacing w:before="0" w:line="240" w:lineRule="auto"/>
                                <w:rPr>
                                  <w:rFonts w:eastAsia="Calibri" w:cs="Arial"/>
                                  <w:sz w:val="16"/>
                                  <w:szCs w:val="16"/>
                                </w:rPr>
                              </w:pPr>
                              <w:r w:rsidRPr="00BC7A4C">
                                <w:rPr>
                                  <w:rFonts w:eastAsia="Calibri" w:cs="Arial"/>
                                  <w:sz w:val="16"/>
                                  <w:szCs w:val="16"/>
                                </w:rPr>
                                <w:t xml:space="preserve">Median (min, max) = 12 (5, 24) </w:t>
                              </w:r>
                            </w:p>
                            <w:p w14:paraId="4E2AB744" w14:textId="00B28F33" w:rsidR="00411708" w:rsidRPr="00BC7A4C" w:rsidRDefault="00411708" w:rsidP="00C21835">
                              <w:pPr>
                                <w:pStyle w:val="NormalWeb"/>
                                <w:spacing w:before="0" w:line="240" w:lineRule="auto"/>
                                <w:rPr>
                                  <w:rFonts w:cs="Arial"/>
                                  <w:sz w:val="16"/>
                                  <w:szCs w:val="16"/>
                                </w:rPr>
                              </w:pPr>
                              <w:r w:rsidRPr="00BC7A4C">
                                <w:rPr>
                                  <w:rFonts w:eastAsia="Calibri" w:cs="Arial"/>
                                  <w:sz w:val="16"/>
                                  <w:szCs w:val="16"/>
                                </w:rPr>
                                <w:t xml:space="preserve">   residents/home</w:t>
                              </w:r>
                            </w:p>
                            <w:p w14:paraId="22AA1142" w14:textId="77777777" w:rsidR="00411708" w:rsidRPr="00304503" w:rsidRDefault="00411708" w:rsidP="00B47536">
                              <w:pPr>
                                <w:pStyle w:val="NormalWeb"/>
                                <w:spacing w:before="0" w:line="240" w:lineRule="auto"/>
                                <w:rPr>
                                  <w:rFonts w:cs="Arial"/>
                                  <w:color w:val="FF0000"/>
                                  <w:sz w:val="16"/>
                                  <w:szCs w:val="16"/>
                                </w:rPr>
                              </w:pPr>
                              <w:r>
                                <w:rPr>
                                  <w:rFonts w:eastAsia="Calibri" w:cs="Arial"/>
                                  <w:color w:val="FF0000"/>
                                  <w:sz w:val="16"/>
                                  <w:szCs w:val="16"/>
                                </w:rPr>
                                <w:t>Assessed, n=382</w:t>
                              </w:r>
                              <w:r w:rsidRPr="00304503">
                                <w:rPr>
                                  <w:rFonts w:eastAsia="Calibri" w:cs="Arial"/>
                                  <w:color w:val="FF0000"/>
                                  <w:sz w:val="16"/>
                                  <w:szCs w:val="16"/>
                                </w:rPr>
                                <w:t xml:space="preserve"> residents (cross-section) </w:t>
                              </w:r>
                            </w:p>
                            <w:p w14:paraId="57C58F5B"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Text Box 3"/>
                        <wps:cNvSpPr txBox="1"/>
                        <wps:spPr>
                          <a:xfrm>
                            <a:off x="12967" y="7215640"/>
                            <a:ext cx="2150159" cy="1244360"/>
                          </a:xfrm>
                          <a:prstGeom prst="rect">
                            <a:avLst/>
                          </a:prstGeom>
                          <a:solidFill>
                            <a:sysClr val="window" lastClr="FFFFFF"/>
                          </a:solidFill>
                          <a:ln w="6350">
                            <a:solidFill>
                              <a:prstClr val="black"/>
                            </a:solidFill>
                          </a:ln>
                          <a:effectLst/>
                        </wps:spPr>
                        <wps:txbx>
                          <w:txbxContent>
                            <w:p w14:paraId="5B3F35B0" w14:textId="77777777" w:rsidR="00411708" w:rsidRPr="00953587" w:rsidRDefault="00411708" w:rsidP="00C21835">
                              <w:pPr>
                                <w:pStyle w:val="NormalWeb"/>
                                <w:spacing w:before="0" w:line="240" w:lineRule="auto"/>
                                <w:rPr>
                                  <w:rFonts w:cs="Arial"/>
                                  <w:b/>
                                  <w:sz w:val="16"/>
                                  <w:szCs w:val="16"/>
                                </w:rPr>
                              </w:pPr>
                              <w:r w:rsidRPr="00953587">
                                <w:rPr>
                                  <w:rFonts w:eastAsia="Calibri" w:cs="Arial"/>
                                  <w:b/>
                                  <w:sz w:val="16"/>
                                  <w:szCs w:val="16"/>
                                </w:rPr>
                                <w:t>Care Homes, n=19</w:t>
                              </w:r>
                            </w:p>
                            <w:p w14:paraId="37D2CA76" w14:textId="77777777" w:rsidR="00411708" w:rsidRPr="003047B3" w:rsidRDefault="00411708" w:rsidP="00B47536">
                              <w:pPr>
                                <w:pStyle w:val="NormalWeb"/>
                                <w:spacing w:before="0" w:line="240" w:lineRule="auto"/>
                                <w:rPr>
                                  <w:rFonts w:eastAsia="Calibri" w:cs="Arial"/>
                                  <w:color w:val="FF0000"/>
                                  <w:sz w:val="16"/>
                                  <w:szCs w:val="16"/>
                                </w:rPr>
                              </w:pPr>
                              <w:r w:rsidRPr="003047B3">
                                <w:rPr>
                                  <w:rFonts w:eastAsia="Calibri" w:cs="Arial"/>
                                  <w:color w:val="FF0000"/>
                                  <w:sz w:val="16"/>
                                  <w:szCs w:val="16"/>
                                </w:rPr>
                                <w:t>Registered, n=188 residents and</w:t>
                              </w:r>
                            </w:p>
                            <w:p w14:paraId="22FB79E1" w14:textId="4072B110" w:rsidR="00411708" w:rsidRPr="00953587" w:rsidRDefault="00411708" w:rsidP="00C21835">
                              <w:pPr>
                                <w:pStyle w:val="NormalWeb"/>
                                <w:spacing w:before="0" w:line="240" w:lineRule="auto"/>
                                <w:rPr>
                                  <w:rFonts w:eastAsia="Calibri" w:cs="Arial"/>
                                  <w:sz w:val="16"/>
                                  <w:szCs w:val="16"/>
                                </w:rPr>
                              </w:pPr>
                              <w:r>
                                <w:rPr>
                                  <w:rFonts w:eastAsia="Calibri" w:cs="Arial"/>
                                  <w:sz w:val="16"/>
                                  <w:szCs w:val="16"/>
                                </w:rPr>
                                <w:t>Assessed, n=18</w:t>
                              </w:r>
                              <w:r w:rsidRPr="00323093">
                                <w:rPr>
                                  <w:rFonts w:eastAsia="Calibri" w:cs="Arial"/>
                                  <w:color w:val="FF0000"/>
                                  <w:sz w:val="16"/>
                                  <w:szCs w:val="16"/>
                                </w:rPr>
                                <w:t>5</w:t>
                              </w:r>
                              <w:r w:rsidRPr="00953587">
                                <w:rPr>
                                  <w:rFonts w:eastAsia="Calibri" w:cs="Arial"/>
                                  <w:sz w:val="16"/>
                                  <w:szCs w:val="16"/>
                                </w:rPr>
                                <w:t xml:space="preserve"> residents (closed-cohort)</w:t>
                              </w:r>
                            </w:p>
                            <w:p w14:paraId="7E1E53D5" w14:textId="63725BBB" w:rsidR="00411708" w:rsidRDefault="00411708" w:rsidP="00C21835">
                              <w:pPr>
                                <w:pStyle w:val="NormalWeb"/>
                                <w:spacing w:before="0" w:line="240" w:lineRule="auto"/>
                                <w:rPr>
                                  <w:rFonts w:eastAsia="Calibri" w:cs="Arial"/>
                                  <w:color w:val="0070C0"/>
                                  <w:sz w:val="16"/>
                                  <w:szCs w:val="16"/>
                                </w:rPr>
                              </w:pPr>
                              <w:r w:rsidRPr="00B47536">
                                <w:rPr>
                                  <w:rFonts w:eastAsia="Calibri" w:cs="Arial"/>
                                  <w:sz w:val="16"/>
                                  <w:szCs w:val="16"/>
                                </w:rPr>
                                <w:t>Median (min, max) =</w:t>
                              </w:r>
                              <w:r w:rsidRPr="00A40D9A">
                                <w:rPr>
                                  <w:rFonts w:eastAsia="Calibri" w:cs="Arial"/>
                                  <w:sz w:val="16"/>
                                  <w:szCs w:val="16"/>
                                </w:rPr>
                                <w:t xml:space="preserve"> </w:t>
                              </w:r>
                              <w:r w:rsidRPr="00AA252B">
                                <w:rPr>
                                  <w:rFonts w:eastAsia="Calibri" w:cs="Arial"/>
                                  <w:color w:val="FF0000"/>
                                  <w:sz w:val="16"/>
                                  <w:szCs w:val="16"/>
                                </w:rPr>
                                <w:t>9</w:t>
                              </w:r>
                              <w:r w:rsidRPr="00323093">
                                <w:rPr>
                                  <w:rFonts w:eastAsia="Calibri" w:cs="Arial"/>
                                  <w:color w:val="0070C0"/>
                                  <w:sz w:val="16"/>
                                  <w:szCs w:val="16"/>
                                </w:rPr>
                                <w:t xml:space="preserve"> </w:t>
                              </w:r>
                              <w:r w:rsidRPr="00B47536">
                                <w:rPr>
                                  <w:rFonts w:eastAsia="Calibri" w:cs="Arial"/>
                                  <w:sz w:val="16"/>
                                  <w:szCs w:val="16"/>
                                </w:rPr>
                                <w:t xml:space="preserve"> (4, 19)  </w:t>
                              </w:r>
                            </w:p>
                            <w:p w14:paraId="247F7785" w14:textId="55DDC070" w:rsidR="00411708" w:rsidRPr="00953587" w:rsidRDefault="00411708" w:rsidP="00C21835">
                              <w:pPr>
                                <w:pStyle w:val="NormalWeb"/>
                                <w:spacing w:before="0" w:line="240" w:lineRule="auto"/>
                                <w:rPr>
                                  <w:rFonts w:cs="Arial"/>
                                  <w:sz w:val="16"/>
                                  <w:szCs w:val="16"/>
                                </w:rPr>
                              </w:pPr>
                              <w:r>
                                <w:rPr>
                                  <w:rFonts w:eastAsia="Calibri" w:cs="Arial"/>
                                  <w:color w:val="0070C0"/>
                                  <w:sz w:val="16"/>
                                  <w:szCs w:val="16"/>
                                </w:rPr>
                                <w:t xml:space="preserve">   </w:t>
                              </w:r>
                              <w:r w:rsidRPr="00953587">
                                <w:rPr>
                                  <w:rFonts w:eastAsia="Calibri" w:cs="Arial"/>
                                  <w:sz w:val="16"/>
                                  <w:szCs w:val="16"/>
                                </w:rPr>
                                <w:t>residents/home</w:t>
                              </w:r>
                            </w:p>
                            <w:p w14:paraId="5B73570D" w14:textId="036387D4" w:rsidR="00411708" w:rsidRPr="00B47536" w:rsidRDefault="00411708" w:rsidP="00C21835">
                              <w:pPr>
                                <w:pStyle w:val="NormalWeb"/>
                                <w:spacing w:before="0" w:line="240" w:lineRule="auto"/>
                                <w:rPr>
                                  <w:rFonts w:cs="Arial"/>
                                  <w:b/>
                                  <w:sz w:val="16"/>
                                  <w:szCs w:val="16"/>
                                </w:rPr>
                              </w:pPr>
                              <w:r w:rsidRPr="00B47536">
                                <w:rPr>
                                  <w:rFonts w:eastAsia="Calibri" w:cs="Arial"/>
                                  <w:sz w:val="16"/>
                                  <w:szCs w:val="16"/>
                                </w:rPr>
                                <w:t>Registered, n=99 residents (additional) and</w:t>
                              </w:r>
                              <w:r w:rsidRPr="00B47536">
                                <w:rPr>
                                  <w:rFonts w:eastAsia="Calibri" w:cs="Arial"/>
                                  <w:b/>
                                  <w:sz w:val="16"/>
                                  <w:szCs w:val="16"/>
                                </w:rPr>
                                <w:t xml:space="preserve"> </w:t>
                              </w:r>
                              <w:r w:rsidRPr="00B47536">
                                <w:rPr>
                                  <w:rFonts w:eastAsia="Calibri" w:cs="Arial"/>
                                  <w:sz w:val="16"/>
                                  <w:szCs w:val="16"/>
                                </w:rPr>
                                <w:t>n=287 residents (</w:t>
                              </w:r>
                              <w:r w:rsidRPr="00B47536">
                                <w:rPr>
                                  <w:rFonts w:eastAsia="Calibri" w:cs="Arial"/>
                                  <w:bCs/>
                                  <w:sz w:val="16"/>
                                  <w:szCs w:val="16"/>
                                </w:rPr>
                                <w:t>cross-section)</w:t>
                              </w:r>
                            </w:p>
                            <w:p w14:paraId="2125D353" w14:textId="77777777" w:rsidR="00411708" w:rsidRPr="00B47536" w:rsidRDefault="00411708" w:rsidP="00C21835">
                              <w:pPr>
                                <w:pStyle w:val="NormalWeb"/>
                                <w:spacing w:before="0" w:line="240" w:lineRule="auto"/>
                                <w:rPr>
                                  <w:rFonts w:eastAsia="Calibri" w:cs="Arial"/>
                                  <w:sz w:val="16"/>
                                  <w:szCs w:val="16"/>
                                </w:rPr>
                              </w:pPr>
                              <w:r w:rsidRPr="00B47536">
                                <w:rPr>
                                  <w:rFonts w:eastAsia="Calibri" w:cs="Arial"/>
                                  <w:sz w:val="16"/>
                                  <w:szCs w:val="16"/>
                                </w:rPr>
                                <w:t xml:space="preserve">Median (min, max) = 12 (4, 34)   </w:t>
                              </w:r>
                            </w:p>
                            <w:p w14:paraId="72DF83BB" w14:textId="38DC5DC7" w:rsidR="00411708" w:rsidRPr="00B47536" w:rsidRDefault="00411708" w:rsidP="00C21835">
                              <w:pPr>
                                <w:pStyle w:val="NormalWeb"/>
                                <w:spacing w:before="0" w:line="240" w:lineRule="auto"/>
                                <w:rPr>
                                  <w:rFonts w:cs="Arial"/>
                                  <w:sz w:val="16"/>
                                  <w:szCs w:val="16"/>
                                </w:rPr>
                              </w:pPr>
                              <w:r w:rsidRPr="00B47536">
                                <w:rPr>
                                  <w:rFonts w:eastAsia="Calibri" w:cs="Arial"/>
                                  <w:sz w:val="16"/>
                                  <w:szCs w:val="16"/>
                                </w:rPr>
                                <w:t xml:space="preserve">   residents/home</w:t>
                              </w:r>
                            </w:p>
                            <w:p w14:paraId="66E172CB" w14:textId="77777777" w:rsidR="00411708" w:rsidRPr="00304503" w:rsidRDefault="00411708" w:rsidP="00B47536">
                              <w:pPr>
                                <w:pStyle w:val="NormalWeb"/>
                                <w:spacing w:before="0" w:line="240" w:lineRule="auto"/>
                                <w:rPr>
                                  <w:rFonts w:cs="Arial"/>
                                  <w:color w:val="FF0000"/>
                                  <w:sz w:val="16"/>
                                  <w:szCs w:val="16"/>
                                </w:rPr>
                              </w:pPr>
                              <w:r w:rsidRPr="00304503">
                                <w:rPr>
                                  <w:rFonts w:eastAsia="Calibri" w:cs="Arial"/>
                                  <w:color w:val="FF0000"/>
                                  <w:sz w:val="16"/>
                                  <w:szCs w:val="16"/>
                                </w:rPr>
                                <w:t>Assessed, n=284 residents (cross-section) </w:t>
                              </w:r>
                            </w:p>
                            <w:p w14:paraId="028DB3FB"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AutoShape 80"/>
                        <wps:cNvCnPr>
                          <a:cxnSpLocks noChangeShapeType="1"/>
                        </wps:cNvCnPr>
                        <wps:spPr bwMode="auto">
                          <a:xfrm>
                            <a:off x="578229" y="5862587"/>
                            <a:ext cx="0" cy="73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Straight Arrow Connector 37"/>
                        <wps:cNvCnPr/>
                        <wps:spPr>
                          <a:xfrm>
                            <a:off x="592151" y="5238840"/>
                            <a:ext cx="0" cy="632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3" name="Straight Arrow Connector 43"/>
                        <wps:cNvCnPr/>
                        <wps:spPr>
                          <a:xfrm>
                            <a:off x="2743091" y="4548663"/>
                            <a:ext cx="669017" cy="11910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79" name="Straight Arrow Connector 79"/>
                        <wps:cNvCnPr/>
                        <wps:spPr>
                          <a:xfrm>
                            <a:off x="4944251" y="5246697"/>
                            <a:ext cx="0" cy="7065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80" name="AutoShape 80"/>
                        <wps:cNvCnPr>
                          <a:cxnSpLocks noChangeShapeType="1"/>
                        </wps:cNvCnPr>
                        <wps:spPr bwMode="auto">
                          <a:xfrm>
                            <a:off x="4944251" y="5862257"/>
                            <a:ext cx="0" cy="72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Straight Arrow Connector 81"/>
                        <wps:cNvCnPr/>
                        <wps:spPr>
                          <a:xfrm>
                            <a:off x="597014" y="6387214"/>
                            <a:ext cx="0" cy="673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82" name="Straight Arrow Connector 82"/>
                        <wps:cNvCnPr/>
                        <wps:spPr>
                          <a:xfrm>
                            <a:off x="4944251" y="6387860"/>
                            <a:ext cx="0" cy="6636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83" name="AutoShape 80"/>
                        <wps:cNvCnPr>
                          <a:cxnSpLocks noChangeShapeType="1"/>
                        </wps:cNvCnPr>
                        <wps:spPr bwMode="auto">
                          <a:xfrm flipH="1">
                            <a:off x="578230" y="7132319"/>
                            <a:ext cx="6986" cy="834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80"/>
                        <wps:cNvCnPr>
                          <a:cxnSpLocks noChangeShapeType="1"/>
                        </wps:cNvCnPr>
                        <wps:spPr bwMode="auto">
                          <a:xfrm>
                            <a:off x="4944251" y="7138415"/>
                            <a:ext cx="7684" cy="777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D7C998E" id="Canvas 78" o:spid="_x0000_s1026" editas="canvas" style="width:451.3pt;height:669pt;mso-position-horizontal-relative:char;mso-position-vertical-relative:line" coordsize="57315,8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84956;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24003;top:46674;width:8001;height:5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14:paraId="2A14E6C7" w14:textId="77777777" w:rsidR="00411708" w:rsidRPr="00953587" w:rsidRDefault="00411708" w:rsidP="00C21835">
                        <w:pPr>
                          <w:pStyle w:val="NormalWeb"/>
                          <w:jc w:val="center"/>
                          <w:rPr>
                            <w:rFonts w:cs="Arial"/>
                            <w:sz w:val="16"/>
                            <w:szCs w:val="16"/>
                          </w:rPr>
                        </w:pPr>
                        <w:r w:rsidRPr="00953587">
                          <w:rPr>
                            <w:rFonts w:eastAsia="Calibri" w:cs="Arial"/>
                            <w:b/>
                            <w:bCs/>
                            <w:sz w:val="16"/>
                            <w:szCs w:val="16"/>
                          </w:rPr>
                          <w:t>BASELINE</w:t>
                        </w:r>
                      </w:p>
                    </w:txbxContent>
                  </v:textbox>
                </v:shape>
                <v:shape id="Text Box 29" o:spid="_x0000_s1029" type="#_x0000_t202" style="position:absolute;top:53021;width:17434;height: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" fillcolor="window" strokeweight=".5pt">
                  <v:textbox>
                    <w:txbxContent>
                      <w:p w14:paraId="60EE3730" w14:textId="77777777" w:rsidR="00411708" w:rsidRPr="008015C7" w:rsidRDefault="00411708" w:rsidP="00B47536">
                        <w:pPr>
                          <w:pStyle w:val="NormalWeb"/>
                          <w:spacing w:before="0" w:line="240" w:lineRule="auto"/>
                          <w:rPr>
                            <w:rFonts w:cs="Arial"/>
                            <w:color w:val="FF0000"/>
                            <w:sz w:val="16"/>
                            <w:szCs w:val="16"/>
                          </w:rPr>
                        </w:pPr>
                        <w:r w:rsidRPr="008015C7">
                          <w:rPr>
                            <w:rFonts w:eastAsia="Calibri" w:cs="Arial"/>
                            <w:color w:val="FF0000"/>
                            <w:sz w:val="16"/>
                            <w:szCs w:val="16"/>
                          </w:rPr>
                          <w:t>Residents died, n=55</w:t>
                        </w:r>
                      </w:p>
                      <w:p w14:paraId="2DC8205A" w14:textId="77777777"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Residents withdrawn, n=0</w:t>
                        </w:r>
                      </w:p>
                      <w:p w14:paraId="718DF675" w14:textId="77777777" w:rsidR="00411708" w:rsidRPr="008015C7" w:rsidRDefault="00411708" w:rsidP="00B47536">
                        <w:pPr>
                          <w:pStyle w:val="NormalWeb"/>
                          <w:spacing w:before="0" w:line="240" w:lineRule="auto"/>
                          <w:rPr>
                            <w:rFonts w:cs="Arial"/>
                            <w:color w:val="FF0000"/>
                            <w:sz w:val="16"/>
                            <w:szCs w:val="16"/>
                          </w:rPr>
                        </w:pPr>
                        <w:r w:rsidRPr="008015C7">
                          <w:rPr>
                            <w:rFonts w:eastAsia="Calibri" w:cs="Arial"/>
                            <w:color w:val="FF0000"/>
                            <w:sz w:val="16"/>
                            <w:szCs w:val="16"/>
                          </w:rPr>
                          <w:t>Residents moved out, n=7</w:t>
                        </w:r>
                      </w:p>
                      <w:p w14:paraId="6E34D791" w14:textId="0655AA3A"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 xml:space="preserve">No CMAI </w:t>
                        </w:r>
                        <w:r>
                          <w:rPr>
                            <w:rFonts w:eastAsia="Calibri" w:cs="Arial"/>
                            <w:color w:val="FF0000"/>
                            <w:sz w:val="16"/>
                            <w:szCs w:val="16"/>
                          </w:rPr>
                          <w:t>score</w:t>
                        </w:r>
                        <w:r w:rsidRPr="008015C7">
                          <w:rPr>
                            <w:rFonts w:eastAsia="Calibri" w:cs="Arial"/>
                            <w:color w:val="FF0000"/>
                            <w:sz w:val="16"/>
                            <w:szCs w:val="16"/>
                          </w:rPr>
                          <w:t xml:space="preserve"> at 6</w:t>
                        </w:r>
                        <w:r>
                          <w:rPr>
                            <w:rFonts w:eastAsia="Calibri" w:cs="Arial"/>
                            <w:color w:val="FF0000"/>
                            <w:sz w:val="16"/>
                            <w:szCs w:val="16"/>
                          </w:rPr>
                          <w:t>-</w:t>
                        </w:r>
                        <w:r w:rsidRPr="008015C7">
                          <w:rPr>
                            <w:rFonts w:eastAsia="Calibri" w:cs="Arial"/>
                            <w:color w:val="FF0000"/>
                            <w:sz w:val="16"/>
                            <w:szCs w:val="16"/>
                          </w:rPr>
                          <w:t>months, n=2</w:t>
                        </w:r>
                        <w:r w:rsidRPr="008015C7">
                          <w:rPr>
                            <w:rFonts w:eastAsia="Calibri" w:cs="Arial"/>
                            <w:sz w:val="16"/>
                            <w:szCs w:val="16"/>
                          </w:rPr>
                          <w:t> </w:t>
                        </w:r>
                      </w:p>
                      <w:p w14:paraId="59593F54" w14:textId="4A344CBB" w:rsidR="00411708" w:rsidRPr="008015C7" w:rsidRDefault="00411708" w:rsidP="00C21835">
                        <w:pPr>
                          <w:pStyle w:val="NormalWeb"/>
                          <w:spacing w:before="0" w:line="240" w:lineRule="auto"/>
                          <w:rPr>
                            <w:rFonts w:eastAsia="Calibri" w:cs="Arial"/>
                            <w:color w:val="FF0000"/>
                            <w:sz w:val="16"/>
                            <w:szCs w:val="16"/>
                          </w:rPr>
                        </w:pPr>
                      </w:p>
                    </w:txbxContent>
                  </v:textbox>
                </v:shape>
                <v:shape id="Text Box 307" o:spid="_x0000_s1030" type="#_x0000_t202" style="position:absolute;left:21717;width:1142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48C3B6BE" w14:textId="77777777" w:rsidR="00411708" w:rsidRPr="00953587" w:rsidRDefault="00411708" w:rsidP="00C21835">
                        <w:pPr>
                          <w:spacing w:line="240" w:lineRule="auto"/>
                          <w:jc w:val="center"/>
                          <w:rPr>
                            <w:b/>
                            <w:sz w:val="16"/>
                            <w:szCs w:val="16"/>
                          </w:rPr>
                        </w:pPr>
                        <w:r w:rsidRPr="00953587">
                          <w:rPr>
                            <w:b/>
                            <w:sz w:val="16"/>
                            <w:szCs w:val="16"/>
                          </w:rPr>
                          <w:t>CARE HOMES Screened 335</w:t>
                        </w:r>
                      </w:p>
                      <w:p w14:paraId="17467B0E" w14:textId="77777777" w:rsidR="00411708" w:rsidRPr="00953587" w:rsidRDefault="00411708" w:rsidP="00C21835">
                        <w:pPr>
                          <w:spacing w:line="240" w:lineRule="auto"/>
                          <w:rPr>
                            <w:sz w:val="16"/>
                            <w:szCs w:val="16"/>
                          </w:rPr>
                        </w:pPr>
                      </w:p>
                    </w:txbxContent>
                  </v:textbox>
                </v:shape>
                <v:shape id="Text Box 299" o:spid="_x0000_s1031" type="#_x0000_t202" style="position:absolute;left:537;top:1040;width:20214;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38C19486" w14:textId="77777777" w:rsidR="00411708" w:rsidRPr="00953587" w:rsidRDefault="00411708" w:rsidP="00C21835">
                        <w:pPr>
                          <w:spacing w:line="240" w:lineRule="auto"/>
                          <w:rPr>
                            <w:sz w:val="16"/>
                            <w:szCs w:val="16"/>
                          </w:rPr>
                        </w:pPr>
                        <w:r w:rsidRPr="00953587">
                          <w:rPr>
                            <w:b/>
                            <w:sz w:val="16"/>
                            <w:szCs w:val="16"/>
                          </w:rPr>
                          <w:t xml:space="preserve">CHs not approached, as sufficient number reached in area – 37 </w:t>
                        </w:r>
                        <w:r w:rsidRPr="00953587">
                          <w:rPr>
                            <w:sz w:val="16"/>
                            <w:szCs w:val="16"/>
                          </w:rPr>
                          <w:t xml:space="preserve">(11.0% of screened) </w:t>
                        </w:r>
                      </w:p>
                    </w:txbxContent>
                  </v:textbox>
                </v:shape>
                <v:shapetype id="_x0000_t32" coordsize="21600,21600" o:spt="32" o:oned="t" path="m,l21600,21600e" filled="f">
                  <v:path arrowok="t" fillok="f" o:connecttype="none"/>
                  <o:lock v:ext="edit" shapetype="t"/>
                </v:shapetype>
                <v:shape id="AutoShape 60" o:spid="_x0000_s1032" type="#_x0000_t32" style="position:absolute;left:27430;top:5153;width:67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61" o:spid="_x0000_s1033" type="#_x0000_t32" style="position:absolute;left:20658;top:4317;width:67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shape id="Text Box 2" o:spid="_x0000_s1034" type="#_x0000_t202" style="position:absolute;left:21552;top:6604;width:11429;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3FD1C84F" w14:textId="77777777" w:rsidR="00411708" w:rsidRPr="00953587" w:rsidRDefault="00411708" w:rsidP="00B80810">
                        <w:pPr>
                          <w:spacing w:after="0" w:line="240" w:lineRule="auto"/>
                          <w:jc w:val="center"/>
                          <w:rPr>
                            <w:b/>
                            <w:sz w:val="16"/>
                            <w:szCs w:val="16"/>
                          </w:rPr>
                        </w:pPr>
                        <w:r w:rsidRPr="00953587">
                          <w:rPr>
                            <w:b/>
                            <w:sz w:val="16"/>
                            <w:szCs w:val="16"/>
                          </w:rPr>
                          <w:t xml:space="preserve">Approached </w:t>
                        </w:r>
                      </w:p>
                      <w:p w14:paraId="6DFE48F3" w14:textId="77777777" w:rsidR="00411708" w:rsidRPr="00953587" w:rsidRDefault="00411708" w:rsidP="00B80810">
                        <w:pPr>
                          <w:spacing w:after="0" w:line="240" w:lineRule="auto"/>
                          <w:jc w:val="center"/>
                          <w:rPr>
                            <w:sz w:val="16"/>
                            <w:szCs w:val="16"/>
                          </w:rPr>
                        </w:pPr>
                        <w:r w:rsidRPr="00953587">
                          <w:rPr>
                            <w:b/>
                            <w:sz w:val="16"/>
                            <w:szCs w:val="16"/>
                          </w:rPr>
                          <w:t xml:space="preserve">241/335 </w:t>
                        </w:r>
                        <w:r w:rsidRPr="00953587">
                          <w:rPr>
                            <w:sz w:val="16"/>
                            <w:szCs w:val="16"/>
                          </w:rPr>
                          <w:t>(71.9%)</w:t>
                        </w:r>
                      </w:p>
                      <w:p w14:paraId="4F4192B4" w14:textId="77777777" w:rsidR="00411708" w:rsidRPr="00953587" w:rsidRDefault="00411708" w:rsidP="00C21835">
                        <w:pPr>
                          <w:spacing w:line="240" w:lineRule="auto"/>
                          <w:rPr>
                            <w:sz w:val="16"/>
                            <w:szCs w:val="16"/>
                          </w:rPr>
                        </w:pPr>
                      </w:p>
                    </w:txbxContent>
                  </v:textbox>
                </v:shape>
                <v:shape id="Text Box 311" o:spid="_x0000_s1035" type="#_x0000_t202" style="position:absolute;left:34201;top:9747;width:228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75135BDC" w14:textId="77777777" w:rsidR="00411708" w:rsidRPr="00953587" w:rsidRDefault="00411708" w:rsidP="00953587">
                        <w:pPr>
                          <w:spacing w:after="0" w:line="240" w:lineRule="auto"/>
                          <w:rPr>
                            <w:b/>
                            <w:sz w:val="16"/>
                            <w:szCs w:val="16"/>
                          </w:rPr>
                        </w:pPr>
                        <w:r w:rsidRPr="00953587">
                          <w:rPr>
                            <w:b/>
                            <w:sz w:val="16"/>
                            <w:szCs w:val="16"/>
                          </w:rPr>
                          <w:t xml:space="preserve">No response </w:t>
                        </w:r>
                        <w:r w:rsidRPr="00953587">
                          <w:rPr>
                            <w:sz w:val="16"/>
                            <w:szCs w:val="16"/>
                          </w:rPr>
                          <w:t xml:space="preserve">– </w:t>
                        </w:r>
                        <w:r w:rsidRPr="00953587">
                          <w:rPr>
                            <w:b/>
                            <w:sz w:val="16"/>
                            <w:szCs w:val="16"/>
                          </w:rPr>
                          <w:t>40</w:t>
                        </w:r>
                        <w:r w:rsidRPr="00953587">
                          <w:rPr>
                            <w:sz w:val="16"/>
                            <w:szCs w:val="16"/>
                          </w:rPr>
                          <w:t xml:space="preserve"> (16.6% of approached)</w:t>
                        </w:r>
                      </w:p>
                      <w:p w14:paraId="02B7F465" w14:textId="77777777" w:rsidR="00411708" w:rsidRPr="00953587" w:rsidRDefault="00411708" w:rsidP="00953587">
                        <w:pPr>
                          <w:spacing w:after="0" w:line="240" w:lineRule="auto"/>
                          <w:ind w:left="709" w:hanging="709"/>
                          <w:rPr>
                            <w:sz w:val="16"/>
                            <w:szCs w:val="16"/>
                          </w:rPr>
                        </w:pPr>
                        <w:r w:rsidRPr="00953587">
                          <w:rPr>
                            <w:sz w:val="16"/>
                            <w:szCs w:val="16"/>
                          </w:rPr>
                          <w:t>(Several attempts at contact failed)</w:t>
                        </w:r>
                      </w:p>
                    </w:txbxContent>
                  </v:textbox>
                </v:shape>
                <v:shape id="Text Box 7" o:spid="_x0000_s1036" type="#_x0000_t202" style="position:absolute;left:444;top:6603;width:20214;height:1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15B43C35" w14:textId="77777777" w:rsidR="00411708" w:rsidRPr="00953587" w:rsidRDefault="00411708" w:rsidP="00B80810">
                        <w:pPr>
                          <w:spacing w:after="0" w:line="240" w:lineRule="auto"/>
                          <w:rPr>
                            <w:b/>
                            <w:sz w:val="16"/>
                            <w:szCs w:val="16"/>
                          </w:rPr>
                        </w:pPr>
                        <w:r w:rsidRPr="00953587">
                          <w:rPr>
                            <w:b/>
                            <w:sz w:val="16"/>
                            <w:szCs w:val="16"/>
                          </w:rPr>
                          <w:t xml:space="preserve">Not interested </w:t>
                        </w:r>
                        <w:r w:rsidRPr="00953587">
                          <w:rPr>
                            <w:sz w:val="16"/>
                            <w:szCs w:val="16"/>
                          </w:rPr>
                          <w:t xml:space="preserve">– </w:t>
                        </w:r>
                        <w:r w:rsidRPr="00953587">
                          <w:rPr>
                            <w:b/>
                            <w:sz w:val="16"/>
                            <w:szCs w:val="16"/>
                          </w:rPr>
                          <w:t>107</w:t>
                        </w:r>
                        <w:r w:rsidRPr="00953587">
                          <w:rPr>
                            <w:sz w:val="16"/>
                            <w:szCs w:val="16"/>
                          </w:rPr>
                          <w:t xml:space="preserve"> (44.4% of approached)</w:t>
                        </w:r>
                      </w:p>
                      <w:p w14:paraId="3E768D6D" w14:textId="77777777" w:rsidR="00411708" w:rsidRPr="00953587" w:rsidRDefault="00411708" w:rsidP="00B80810">
                        <w:pPr>
                          <w:spacing w:after="0" w:line="240" w:lineRule="auto"/>
                          <w:rPr>
                            <w:sz w:val="16"/>
                            <w:szCs w:val="16"/>
                          </w:rPr>
                        </w:pPr>
                        <w:r w:rsidRPr="00953587">
                          <w:rPr>
                            <w:sz w:val="16"/>
                            <w:szCs w:val="16"/>
                          </w:rPr>
                          <w:t>29 (27.1%) Not interested in research</w:t>
                        </w:r>
                      </w:p>
                      <w:p w14:paraId="651C7612" w14:textId="77777777" w:rsidR="00411708" w:rsidRPr="00953587" w:rsidRDefault="00411708" w:rsidP="00B80810">
                        <w:pPr>
                          <w:spacing w:after="0" w:line="240" w:lineRule="auto"/>
                          <w:rPr>
                            <w:sz w:val="16"/>
                            <w:szCs w:val="16"/>
                          </w:rPr>
                        </w:pPr>
                        <w:r w:rsidRPr="00953587">
                          <w:rPr>
                            <w:sz w:val="16"/>
                            <w:szCs w:val="16"/>
                          </w:rPr>
                          <w:t>27 (25.2%) Organisation declined</w:t>
                        </w:r>
                      </w:p>
                      <w:p w14:paraId="0FEA8AD3" w14:textId="77777777" w:rsidR="00411708" w:rsidRPr="00953587" w:rsidRDefault="00411708" w:rsidP="00B80810">
                        <w:pPr>
                          <w:spacing w:after="0" w:line="240" w:lineRule="auto"/>
                          <w:ind w:left="284" w:hanging="284"/>
                          <w:rPr>
                            <w:sz w:val="16"/>
                            <w:szCs w:val="16"/>
                          </w:rPr>
                        </w:pPr>
                        <w:r w:rsidRPr="00953587">
                          <w:rPr>
                            <w:sz w:val="16"/>
                            <w:szCs w:val="16"/>
                          </w:rPr>
                          <w:t>11 (10.3%) No/New manager</w:t>
                        </w:r>
                      </w:p>
                      <w:p w14:paraId="33DC84EA" w14:textId="77777777" w:rsidR="00411708" w:rsidRPr="00953587" w:rsidRDefault="00411708" w:rsidP="00B80810">
                        <w:pPr>
                          <w:spacing w:after="0" w:line="240" w:lineRule="auto"/>
                          <w:rPr>
                            <w:sz w:val="16"/>
                            <w:szCs w:val="16"/>
                          </w:rPr>
                        </w:pPr>
                        <w:r w:rsidRPr="00953587">
                          <w:rPr>
                            <w:sz w:val="16"/>
                            <w:szCs w:val="16"/>
                          </w:rPr>
                          <w:t>10   (9.3%) Too busy</w:t>
                        </w:r>
                      </w:p>
                      <w:p w14:paraId="2DE3CAB1" w14:textId="77777777" w:rsidR="00411708" w:rsidRPr="00953587" w:rsidRDefault="00411708" w:rsidP="00B80810">
                        <w:pPr>
                          <w:spacing w:after="0" w:line="240" w:lineRule="auto"/>
                          <w:ind w:left="284" w:hanging="284"/>
                          <w:rPr>
                            <w:sz w:val="16"/>
                            <w:szCs w:val="16"/>
                          </w:rPr>
                        </w:pPr>
                        <w:r w:rsidRPr="00953587">
                          <w:rPr>
                            <w:sz w:val="16"/>
                            <w:szCs w:val="16"/>
                          </w:rPr>
                          <w:t xml:space="preserve">  6   (5.6%) Care home closed</w:t>
                        </w:r>
                      </w:p>
                      <w:p w14:paraId="16E3BF4C" w14:textId="77777777" w:rsidR="00411708" w:rsidRPr="00953587" w:rsidRDefault="00411708" w:rsidP="00B80810">
                        <w:pPr>
                          <w:spacing w:after="0" w:line="240" w:lineRule="auto"/>
                          <w:ind w:left="284" w:hanging="284"/>
                          <w:rPr>
                            <w:sz w:val="16"/>
                            <w:szCs w:val="16"/>
                          </w:rPr>
                        </w:pPr>
                        <w:r w:rsidRPr="00953587">
                          <w:rPr>
                            <w:sz w:val="16"/>
                            <w:szCs w:val="16"/>
                          </w:rPr>
                          <w:t xml:space="preserve">  4   (3.7%) Taking part in other research</w:t>
                        </w:r>
                      </w:p>
                      <w:p w14:paraId="3A2E75AA" w14:textId="77777777" w:rsidR="00411708" w:rsidRPr="00953587" w:rsidRDefault="00411708" w:rsidP="00B80810">
                        <w:pPr>
                          <w:spacing w:after="0" w:line="240" w:lineRule="auto"/>
                          <w:ind w:left="284" w:hanging="284"/>
                          <w:rPr>
                            <w:sz w:val="16"/>
                            <w:szCs w:val="16"/>
                          </w:rPr>
                        </w:pPr>
                        <w:r w:rsidRPr="00953587">
                          <w:rPr>
                            <w:sz w:val="16"/>
                            <w:szCs w:val="16"/>
                          </w:rPr>
                          <w:t xml:space="preserve">  4   (3.7%) Ineligible</w:t>
                        </w:r>
                      </w:p>
                      <w:p w14:paraId="2364D74C" w14:textId="77777777" w:rsidR="00411708" w:rsidRPr="00953587" w:rsidRDefault="00411708" w:rsidP="00B80810">
                        <w:pPr>
                          <w:spacing w:after="0" w:line="240" w:lineRule="auto"/>
                          <w:ind w:left="709" w:hanging="709"/>
                          <w:rPr>
                            <w:sz w:val="16"/>
                            <w:szCs w:val="16"/>
                          </w:rPr>
                        </w:pPr>
                        <w:r w:rsidRPr="00953587">
                          <w:rPr>
                            <w:sz w:val="16"/>
                            <w:szCs w:val="16"/>
                          </w:rPr>
                          <w:t xml:space="preserve">  4   (3.7%) Not interested in intervention    </w:t>
                        </w:r>
                      </w:p>
                      <w:p w14:paraId="6EA43E98" w14:textId="77777777" w:rsidR="00411708" w:rsidRPr="00953587" w:rsidRDefault="00411708" w:rsidP="00C21835">
                        <w:pPr>
                          <w:spacing w:line="240" w:lineRule="auto"/>
                          <w:ind w:left="284" w:hanging="284"/>
                          <w:rPr>
                            <w:sz w:val="16"/>
                            <w:szCs w:val="16"/>
                          </w:rPr>
                        </w:pPr>
                        <w:r w:rsidRPr="00953587">
                          <w:rPr>
                            <w:sz w:val="16"/>
                            <w:szCs w:val="16"/>
                          </w:rPr>
                          <w:t xml:space="preserve">  2   (1.9%) Other</w:t>
                        </w:r>
                      </w:p>
                      <w:p w14:paraId="2E025211" w14:textId="77777777" w:rsidR="00411708" w:rsidRPr="00953587" w:rsidRDefault="00411708" w:rsidP="00C21835">
                        <w:pPr>
                          <w:spacing w:line="240" w:lineRule="auto"/>
                          <w:ind w:left="284" w:hanging="284"/>
                          <w:rPr>
                            <w:sz w:val="16"/>
                            <w:szCs w:val="16"/>
                          </w:rPr>
                        </w:pPr>
                        <w:r w:rsidRPr="00953587">
                          <w:rPr>
                            <w:sz w:val="16"/>
                            <w:szCs w:val="16"/>
                          </w:rPr>
                          <w:t>10   (9.3%) Unknown (no reason provided)</w:t>
                        </w:r>
                      </w:p>
                      <w:p w14:paraId="2A1331F7" w14:textId="77777777" w:rsidR="00411708" w:rsidRPr="00953587" w:rsidRDefault="00411708" w:rsidP="00C21835">
                        <w:pPr>
                          <w:spacing w:line="240" w:lineRule="auto"/>
                          <w:rPr>
                            <w:sz w:val="16"/>
                            <w:szCs w:val="16"/>
                          </w:rPr>
                        </w:pPr>
                      </w:p>
                    </w:txbxContent>
                  </v:textbox>
                </v:shape>
                <v:shape id="Text Box 5" o:spid="_x0000_s1037" type="#_x0000_t202" style="position:absolute;left:21631;top:14630;width:11429;height:3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237AF52C" w14:textId="77777777" w:rsidR="00411708" w:rsidRPr="00953587" w:rsidRDefault="00411708" w:rsidP="00B80810">
                        <w:pPr>
                          <w:spacing w:after="0" w:line="240" w:lineRule="auto"/>
                          <w:jc w:val="center"/>
                          <w:rPr>
                            <w:b/>
                            <w:sz w:val="16"/>
                            <w:szCs w:val="16"/>
                          </w:rPr>
                        </w:pPr>
                        <w:r w:rsidRPr="00953587">
                          <w:rPr>
                            <w:b/>
                            <w:sz w:val="16"/>
                            <w:szCs w:val="16"/>
                          </w:rPr>
                          <w:t xml:space="preserve">Interested </w:t>
                        </w:r>
                      </w:p>
                      <w:p w14:paraId="3F1C70F3" w14:textId="77777777" w:rsidR="00411708" w:rsidRPr="00953587" w:rsidRDefault="00411708" w:rsidP="00B80810">
                        <w:pPr>
                          <w:spacing w:after="0" w:line="240" w:lineRule="auto"/>
                          <w:jc w:val="center"/>
                          <w:rPr>
                            <w:sz w:val="16"/>
                            <w:szCs w:val="16"/>
                          </w:rPr>
                        </w:pPr>
                        <w:r w:rsidRPr="00953587">
                          <w:rPr>
                            <w:b/>
                            <w:sz w:val="16"/>
                            <w:szCs w:val="16"/>
                          </w:rPr>
                          <w:t>94/241</w:t>
                        </w:r>
                        <w:r w:rsidRPr="00953587">
                          <w:rPr>
                            <w:sz w:val="16"/>
                            <w:szCs w:val="16"/>
                          </w:rPr>
                          <w:t xml:space="preserve"> (39.0%)</w:t>
                        </w:r>
                      </w:p>
                    </w:txbxContent>
                  </v:textbox>
                </v:shape>
                <v:shape id="Text Box 11" o:spid="_x0000_s1038" type="#_x0000_t202" style="position:absolute;left:34125;top:14793;width:22808;height:1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697D2446" w14:textId="77777777" w:rsidR="00411708" w:rsidRPr="00953587" w:rsidRDefault="00411708" w:rsidP="00B80810">
                        <w:pPr>
                          <w:spacing w:after="0" w:line="240" w:lineRule="auto"/>
                          <w:rPr>
                            <w:b/>
                            <w:sz w:val="16"/>
                            <w:szCs w:val="16"/>
                          </w:rPr>
                        </w:pPr>
                        <w:r w:rsidRPr="00953587">
                          <w:rPr>
                            <w:b/>
                            <w:sz w:val="16"/>
                            <w:szCs w:val="16"/>
                          </w:rPr>
                          <w:t>Not eligible – 31</w:t>
                        </w:r>
                        <w:r w:rsidRPr="00953587">
                          <w:rPr>
                            <w:sz w:val="16"/>
                            <w:szCs w:val="16"/>
                          </w:rPr>
                          <w:t xml:space="preserve"> (33.0% of interested)</w:t>
                        </w:r>
                      </w:p>
                      <w:p w14:paraId="00E57CA8" w14:textId="77777777" w:rsidR="00411708" w:rsidRPr="00953587" w:rsidRDefault="00411708" w:rsidP="00B80810">
                        <w:pPr>
                          <w:spacing w:after="0" w:line="240" w:lineRule="auto"/>
                          <w:ind w:left="709" w:hanging="709"/>
                          <w:rPr>
                            <w:sz w:val="16"/>
                            <w:szCs w:val="16"/>
                          </w:rPr>
                        </w:pPr>
                        <w:r w:rsidRPr="00953587">
                          <w:rPr>
                            <w:b/>
                            <w:sz w:val="16"/>
                            <w:szCs w:val="16"/>
                          </w:rPr>
                          <w:t>22</w:t>
                        </w:r>
                        <w:r w:rsidRPr="00953587">
                          <w:rPr>
                            <w:sz w:val="16"/>
                            <w:szCs w:val="16"/>
                          </w:rPr>
                          <w:t xml:space="preserve"> (71.0%) Insufficient n of dementia residents </w:t>
                        </w:r>
                      </w:p>
                      <w:p w14:paraId="7EEBE9BB" w14:textId="77777777" w:rsidR="00411708" w:rsidRPr="00953587" w:rsidRDefault="00411708" w:rsidP="00B80810">
                        <w:pPr>
                          <w:spacing w:after="0" w:line="240" w:lineRule="auto"/>
                          <w:ind w:left="709" w:hanging="709"/>
                          <w:rPr>
                            <w:b/>
                            <w:sz w:val="16"/>
                            <w:szCs w:val="16"/>
                          </w:rPr>
                        </w:pPr>
                        <w:r w:rsidRPr="00953587">
                          <w:rPr>
                            <w:b/>
                            <w:sz w:val="16"/>
                            <w:szCs w:val="16"/>
                          </w:rPr>
                          <w:t xml:space="preserve">  5</w:t>
                        </w:r>
                        <w:r w:rsidRPr="00953587">
                          <w:rPr>
                            <w:sz w:val="16"/>
                            <w:szCs w:val="16"/>
                          </w:rPr>
                          <w:t xml:space="preserve"> (16.1%) Has used DCM</w:t>
                        </w:r>
                        <w:r w:rsidRPr="00953587">
                          <w:rPr>
                            <w:sz w:val="16"/>
                            <w:szCs w:val="16"/>
                            <w:vertAlign w:val="superscript"/>
                          </w:rPr>
                          <w:t>TM</w:t>
                        </w:r>
                        <w:r w:rsidRPr="00953587">
                          <w:rPr>
                            <w:sz w:val="16"/>
                            <w:szCs w:val="16"/>
                          </w:rPr>
                          <w:t xml:space="preserve"> in last 18 months</w:t>
                        </w:r>
                        <w:r w:rsidRPr="00953587">
                          <w:rPr>
                            <w:b/>
                            <w:sz w:val="16"/>
                            <w:szCs w:val="16"/>
                          </w:rPr>
                          <w:t xml:space="preserve"> </w:t>
                        </w:r>
                      </w:p>
                      <w:p w14:paraId="397DF69B" w14:textId="7F24B286" w:rsidR="00411708" w:rsidRPr="00953587" w:rsidRDefault="00411708" w:rsidP="00B80810">
                        <w:pPr>
                          <w:spacing w:after="0" w:line="240" w:lineRule="auto"/>
                          <w:ind w:left="709" w:hanging="709"/>
                          <w:rPr>
                            <w:sz w:val="16"/>
                            <w:szCs w:val="16"/>
                          </w:rPr>
                        </w:pPr>
                        <w:r w:rsidRPr="00953587">
                          <w:rPr>
                            <w:b/>
                            <w:sz w:val="16"/>
                            <w:szCs w:val="16"/>
                          </w:rPr>
                          <w:t xml:space="preserve">  2</w:t>
                        </w:r>
                        <w:r w:rsidRPr="00953587">
                          <w:rPr>
                            <w:sz w:val="16"/>
                            <w:szCs w:val="16"/>
                          </w:rPr>
                          <w:t xml:space="preserve"> (6.5%) Not s</w:t>
                        </w:r>
                        <w:r>
                          <w:rPr>
                            <w:sz w:val="16"/>
                            <w:szCs w:val="16"/>
                          </w:rPr>
                          <w:t xml:space="preserve">uitable for participation (i.e. </w:t>
                        </w:r>
                        <w:r w:rsidRPr="00953587">
                          <w:rPr>
                            <w:sz w:val="16"/>
                            <w:szCs w:val="16"/>
                          </w:rPr>
                          <w:t>CQC status, admissions ban)</w:t>
                        </w:r>
                      </w:p>
                      <w:p w14:paraId="2E2A9282" w14:textId="56A0ECEA" w:rsidR="00411708" w:rsidRPr="00953587" w:rsidRDefault="00411708" w:rsidP="00953587">
                        <w:pPr>
                          <w:spacing w:after="0" w:line="240" w:lineRule="auto"/>
                          <w:ind w:left="90"/>
                          <w:rPr>
                            <w:b/>
                            <w:sz w:val="16"/>
                            <w:szCs w:val="16"/>
                          </w:rPr>
                        </w:pPr>
                        <w:r w:rsidRPr="00953587">
                          <w:rPr>
                            <w:b/>
                            <w:sz w:val="16"/>
                            <w:szCs w:val="16"/>
                          </w:rPr>
                          <w:t>1</w:t>
                        </w:r>
                        <w:r>
                          <w:rPr>
                            <w:sz w:val="16"/>
                            <w:szCs w:val="16"/>
                          </w:rPr>
                          <w:t xml:space="preserve"> </w:t>
                        </w:r>
                        <w:r w:rsidRPr="00953587">
                          <w:rPr>
                            <w:sz w:val="16"/>
                            <w:szCs w:val="16"/>
                          </w:rPr>
                          <w:t>(3.2%) Staff unavailable to attend DCM                       training</w:t>
                        </w:r>
                        <w:r w:rsidRPr="00953587">
                          <w:rPr>
                            <w:b/>
                            <w:sz w:val="16"/>
                            <w:szCs w:val="16"/>
                          </w:rPr>
                          <w:t xml:space="preserve">  </w:t>
                        </w:r>
                      </w:p>
                      <w:p w14:paraId="6A3E453F" w14:textId="3AD9AECF" w:rsidR="00411708" w:rsidRPr="00953587" w:rsidRDefault="00411708" w:rsidP="00B80810">
                        <w:pPr>
                          <w:spacing w:after="0" w:line="240" w:lineRule="auto"/>
                          <w:ind w:left="90"/>
                          <w:rPr>
                            <w:sz w:val="16"/>
                            <w:szCs w:val="16"/>
                          </w:rPr>
                        </w:pPr>
                        <w:r>
                          <w:rPr>
                            <w:b/>
                            <w:sz w:val="16"/>
                            <w:szCs w:val="16"/>
                          </w:rPr>
                          <w:t xml:space="preserve">1 </w:t>
                        </w:r>
                        <w:r w:rsidRPr="00953587">
                          <w:rPr>
                            <w:sz w:val="16"/>
                            <w:szCs w:val="16"/>
                          </w:rPr>
                          <w:t>(3.2%) Involved in conflicting research</w:t>
                        </w:r>
                      </w:p>
                      <w:p w14:paraId="71F3616B" w14:textId="77777777" w:rsidR="00411708" w:rsidRPr="00953587" w:rsidRDefault="00411708" w:rsidP="00C21835">
                        <w:pPr>
                          <w:spacing w:line="240" w:lineRule="auto"/>
                          <w:ind w:left="284" w:hanging="284"/>
                          <w:rPr>
                            <w:sz w:val="16"/>
                            <w:szCs w:val="16"/>
                          </w:rPr>
                        </w:pPr>
                      </w:p>
                    </w:txbxContent>
                  </v:textbox>
                </v:shape>
                <v:shape id="Text Box 9" o:spid="_x0000_s1039" type="#_x0000_t202" style="position:absolute;left:21631;top:20681;width:11430;height:5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">
                  <v:textbox style="mso-fit-shape-to-text:t">
                    <w:txbxContent>
                      <w:p w14:paraId="474D53C1" w14:textId="77777777" w:rsidR="00411708" w:rsidRPr="00953587" w:rsidRDefault="00411708" w:rsidP="00C21835">
                        <w:pPr>
                          <w:spacing w:line="240" w:lineRule="auto"/>
                          <w:jc w:val="center"/>
                          <w:rPr>
                            <w:b/>
                            <w:sz w:val="16"/>
                            <w:szCs w:val="16"/>
                          </w:rPr>
                        </w:pPr>
                        <w:r w:rsidRPr="00953587">
                          <w:rPr>
                            <w:b/>
                            <w:sz w:val="16"/>
                            <w:szCs w:val="16"/>
                          </w:rPr>
                          <w:t xml:space="preserve">Eligible </w:t>
                        </w:r>
                      </w:p>
                      <w:p w14:paraId="7C92E562" w14:textId="77777777" w:rsidR="00411708" w:rsidRPr="00953587" w:rsidRDefault="00411708" w:rsidP="00C21835">
                        <w:pPr>
                          <w:spacing w:line="240" w:lineRule="auto"/>
                          <w:jc w:val="center"/>
                          <w:rPr>
                            <w:sz w:val="16"/>
                            <w:szCs w:val="16"/>
                          </w:rPr>
                        </w:pPr>
                        <w:r w:rsidRPr="00953587">
                          <w:rPr>
                            <w:b/>
                            <w:sz w:val="16"/>
                            <w:szCs w:val="16"/>
                          </w:rPr>
                          <w:t>63/94</w:t>
                        </w:r>
                        <w:r w:rsidRPr="00953587">
                          <w:rPr>
                            <w:sz w:val="16"/>
                            <w:szCs w:val="16"/>
                          </w:rPr>
                          <w:t xml:space="preserve"> (67.0%)</w:t>
                        </w:r>
                      </w:p>
                    </w:txbxContent>
                  </v:textbox>
                </v:shape>
                <v:shape id="Text Box 17" o:spid="_x0000_s1040" type="#_x0000_t202" style="position:absolute;left:360;top:20878;width:20213;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2A64F592" w14:textId="77777777" w:rsidR="00411708" w:rsidRPr="00953587" w:rsidRDefault="00411708" w:rsidP="00953587">
                        <w:pPr>
                          <w:spacing w:after="0" w:line="240" w:lineRule="auto"/>
                          <w:rPr>
                            <w:b/>
                            <w:sz w:val="16"/>
                            <w:szCs w:val="16"/>
                          </w:rPr>
                        </w:pPr>
                        <w:r w:rsidRPr="00953587">
                          <w:rPr>
                            <w:b/>
                            <w:sz w:val="16"/>
                            <w:szCs w:val="16"/>
                          </w:rPr>
                          <w:t xml:space="preserve">Not consented - 12 </w:t>
                        </w:r>
                        <w:r w:rsidRPr="00953587">
                          <w:rPr>
                            <w:sz w:val="16"/>
                            <w:szCs w:val="16"/>
                          </w:rPr>
                          <w:t>(19.0% of eligible)</w:t>
                        </w:r>
                      </w:p>
                      <w:p w14:paraId="7E2DB7C1" w14:textId="77777777" w:rsidR="00411708" w:rsidRPr="00953587" w:rsidRDefault="00411708" w:rsidP="00953587">
                        <w:pPr>
                          <w:spacing w:after="0" w:line="240" w:lineRule="auto"/>
                          <w:ind w:left="284" w:hanging="284"/>
                          <w:rPr>
                            <w:sz w:val="16"/>
                            <w:szCs w:val="16"/>
                          </w:rPr>
                        </w:pPr>
                        <w:r w:rsidRPr="00953587">
                          <w:rPr>
                            <w:b/>
                            <w:sz w:val="16"/>
                            <w:szCs w:val="16"/>
                          </w:rPr>
                          <w:t xml:space="preserve">4 </w:t>
                        </w:r>
                        <w:r w:rsidRPr="00953587">
                          <w:rPr>
                            <w:sz w:val="16"/>
                            <w:szCs w:val="16"/>
                          </w:rPr>
                          <w:t>(33.3%) Staffing issues</w:t>
                        </w:r>
                      </w:p>
                      <w:p w14:paraId="3AEF5F86" w14:textId="77777777" w:rsidR="00411708" w:rsidRPr="00953587" w:rsidRDefault="00411708" w:rsidP="00953587">
                        <w:pPr>
                          <w:spacing w:after="0" w:line="240" w:lineRule="auto"/>
                          <w:ind w:left="284" w:hanging="284"/>
                          <w:rPr>
                            <w:sz w:val="16"/>
                            <w:szCs w:val="16"/>
                          </w:rPr>
                        </w:pPr>
                        <w:r w:rsidRPr="00953587">
                          <w:rPr>
                            <w:b/>
                            <w:sz w:val="16"/>
                            <w:szCs w:val="16"/>
                          </w:rPr>
                          <w:t>3</w:t>
                        </w:r>
                        <w:r w:rsidRPr="00953587">
                          <w:rPr>
                            <w:sz w:val="16"/>
                            <w:szCs w:val="16"/>
                          </w:rPr>
                          <w:t xml:space="preserve"> (25.0%) Declined</w:t>
                        </w:r>
                      </w:p>
                      <w:p w14:paraId="0C306DA0" w14:textId="77777777" w:rsidR="00411708" w:rsidRPr="00953587" w:rsidRDefault="00411708" w:rsidP="00953587">
                        <w:pPr>
                          <w:spacing w:after="0" w:line="240" w:lineRule="auto"/>
                          <w:ind w:left="284" w:hanging="284"/>
                          <w:rPr>
                            <w:sz w:val="16"/>
                            <w:szCs w:val="16"/>
                          </w:rPr>
                        </w:pPr>
                        <w:r w:rsidRPr="00953587">
                          <w:rPr>
                            <w:b/>
                            <w:sz w:val="16"/>
                            <w:szCs w:val="16"/>
                          </w:rPr>
                          <w:t>1</w:t>
                        </w:r>
                        <w:r w:rsidRPr="00953587">
                          <w:rPr>
                            <w:sz w:val="16"/>
                            <w:szCs w:val="16"/>
                          </w:rPr>
                          <w:t xml:space="preserve">   (8.3%) Care home being sold</w:t>
                        </w:r>
                      </w:p>
                      <w:p w14:paraId="38EA53B7" w14:textId="77777777" w:rsidR="00411708" w:rsidRPr="00953587" w:rsidRDefault="00411708" w:rsidP="00953587">
                        <w:pPr>
                          <w:spacing w:after="0" w:line="240" w:lineRule="auto"/>
                          <w:ind w:left="284" w:hanging="284"/>
                          <w:rPr>
                            <w:sz w:val="16"/>
                            <w:szCs w:val="16"/>
                          </w:rPr>
                        </w:pPr>
                        <w:r w:rsidRPr="00953587">
                          <w:rPr>
                            <w:b/>
                            <w:sz w:val="16"/>
                            <w:szCs w:val="16"/>
                          </w:rPr>
                          <w:t>1</w:t>
                        </w:r>
                        <w:r w:rsidRPr="00953587">
                          <w:rPr>
                            <w:sz w:val="16"/>
                            <w:szCs w:val="16"/>
                          </w:rPr>
                          <w:t xml:space="preserve">   (8.3%) Care home under administration</w:t>
                        </w:r>
                      </w:p>
                      <w:p w14:paraId="109A5CFD" w14:textId="77777777" w:rsidR="00411708" w:rsidRPr="00953587" w:rsidRDefault="00411708" w:rsidP="00953587">
                        <w:pPr>
                          <w:spacing w:after="0" w:line="240" w:lineRule="auto"/>
                          <w:ind w:left="284" w:hanging="284"/>
                          <w:rPr>
                            <w:sz w:val="16"/>
                            <w:szCs w:val="16"/>
                          </w:rPr>
                        </w:pPr>
                        <w:r w:rsidRPr="00953587">
                          <w:rPr>
                            <w:b/>
                            <w:sz w:val="16"/>
                            <w:szCs w:val="16"/>
                          </w:rPr>
                          <w:t xml:space="preserve">1   </w:t>
                        </w:r>
                        <w:r w:rsidRPr="00953587">
                          <w:rPr>
                            <w:sz w:val="16"/>
                            <w:szCs w:val="16"/>
                          </w:rPr>
                          <w:t>(8.3%) No response from care home</w:t>
                        </w:r>
                      </w:p>
                      <w:p w14:paraId="2401C018" w14:textId="0E3E3474" w:rsidR="00411708" w:rsidRPr="00953587" w:rsidRDefault="00411708" w:rsidP="00953587">
                        <w:pPr>
                          <w:spacing w:after="0" w:line="240" w:lineRule="auto"/>
                          <w:ind w:left="284" w:hanging="284"/>
                          <w:rPr>
                            <w:sz w:val="16"/>
                            <w:szCs w:val="16"/>
                          </w:rPr>
                        </w:pPr>
                        <w:r w:rsidRPr="00953587">
                          <w:rPr>
                            <w:b/>
                            <w:sz w:val="16"/>
                            <w:szCs w:val="16"/>
                          </w:rPr>
                          <w:t xml:space="preserve">1   </w:t>
                        </w:r>
                        <w:r w:rsidRPr="00953587">
                          <w:rPr>
                            <w:sz w:val="16"/>
                            <w:szCs w:val="16"/>
                          </w:rPr>
                          <w:t>(8.3%) Care home</w:t>
                        </w:r>
                        <w:r>
                          <w:rPr>
                            <w:sz w:val="16"/>
                            <w:szCs w:val="16"/>
                          </w:rPr>
                          <w:t xml:space="preserve"> not required, </w:t>
                        </w:r>
                        <w:r w:rsidRPr="00953587">
                          <w:rPr>
                            <w:sz w:val="16"/>
                            <w:szCs w:val="16"/>
                          </w:rPr>
                          <w:t>sufficient number reached in area</w:t>
                        </w:r>
                      </w:p>
                      <w:p w14:paraId="2EAC2634" w14:textId="3220C2C7" w:rsidR="00411708" w:rsidRPr="00953587" w:rsidRDefault="00411708" w:rsidP="00953587">
                        <w:pPr>
                          <w:spacing w:after="0" w:line="240" w:lineRule="auto"/>
                          <w:ind w:left="284" w:hanging="284"/>
                          <w:rPr>
                            <w:sz w:val="16"/>
                            <w:szCs w:val="16"/>
                          </w:rPr>
                        </w:pPr>
                        <w:r w:rsidRPr="00953587">
                          <w:rPr>
                            <w:b/>
                            <w:sz w:val="16"/>
                            <w:szCs w:val="16"/>
                          </w:rPr>
                          <w:t xml:space="preserve">1   </w:t>
                        </w:r>
                        <w:r w:rsidRPr="00953587">
                          <w:rPr>
                            <w:sz w:val="16"/>
                            <w:szCs w:val="16"/>
                          </w:rPr>
                          <w:t>(8.3%) Could not recruit minimum</w:t>
                        </w:r>
                        <w:r>
                          <w:rPr>
                            <w:sz w:val="16"/>
                            <w:szCs w:val="16"/>
                          </w:rPr>
                          <w:t xml:space="preserve"> </w:t>
                        </w:r>
                        <w:r w:rsidRPr="00953587">
                          <w:rPr>
                            <w:sz w:val="16"/>
                            <w:szCs w:val="16"/>
                          </w:rPr>
                          <w:t>number of residents</w:t>
                        </w:r>
                      </w:p>
                      <w:p w14:paraId="1D426864" w14:textId="77777777" w:rsidR="00411708" w:rsidRPr="00953587" w:rsidRDefault="00411708" w:rsidP="00C21835">
                        <w:pPr>
                          <w:spacing w:line="240" w:lineRule="auto"/>
                          <w:ind w:left="284" w:hanging="284"/>
                          <w:rPr>
                            <w:sz w:val="16"/>
                            <w:szCs w:val="16"/>
                          </w:rPr>
                        </w:pPr>
                      </w:p>
                    </w:txbxContent>
                  </v:textbox>
                </v:shape>
                <v:shape id="Text Box 13" o:spid="_x0000_s1041" type="#_x0000_t202" style="position:absolute;left:21545;top:29832;width:11436;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">
                  <v:textbox style="mso-fit-shape-to-text:t">
                    <w:txbxContent>
                      <w:p w14:paraId="2C449BCA" w14:textId="77777777" w:rsidR="00411708" w:rsidRPr="00953587" w:rsidRDefault="00411708" w:rsidP="00953587">
                        <w:pPr>
                          <w:spacing w:after="0" w:line="240" w:lineRule="auto"/>
                          <w:jc w:val="center"/>
                          <w:rPr>
                            <w:b/>
                            <w:sz w:val="16"/>
                            <w:szCs w:val="16"/>
                          </w:rPr>
                        </w:pPr>
                        <w:r w:rsidRPr="00953587">
                          <w:rPr>
                            <w:b/>
                            <w:sz w:val="16"/>
                            <w:szCs w:val="16"/>
                          </w:rPr>
                          <w:t xml:space="preserve">Consented </w:t>
                        </w:r>
                      </w:p>
                      <w:p w14:paraId="5F195545" w14:textId="77777777" w:rsidR="00411708" w:rsidRPr="00953587" w:rsidRDefault="00411708" w:rsidP="00953587">
                        <w:pPr>
                          <w:spacing w:after="0" w:line="240" w:lineRule="auto"/>
                          <w:jc w:val="center"/>
                          <w:rPr>
                            <w:sz w:val="16"/>
                            <w:szCs w:val="16"/>
                          </w:rPr>
                        </w:pPr>
                        <w:r w:rsidRPr="00953587">
                          <w:rPr>
                            <w:b/>
                            <w:sz w:val="16"/>
                            <w:szCs w:val="16"/>
                          </w:rPr>
                          <w:t>51/63</w:t>
                        </w:r>
                        <w:r w:rsidRPr="00953587">
                          <w:rPr>
                            <w:sz w:val="16"/>
                            <w:szCs w:val="16"/>
                          </w:rPr>
                          <w:t xml:space="preserve"> (80.9%)</w:t>
                        </w:r>
                      </w:p>
                    </w:txbxContent>
                  </v:textbox>
                </v:shape>
                <v:shape id="Text Box 14" o:spid="_x0000_s1042" type="#_x0000_t202" style="position:absolute;left:20751;top:38620;width:1354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2F1B6F0A" w14:textId="77777777" w:rsidR="00411708" w:rsidRPr="00953587" w:rsidRDefault="00411708" w:rsidP="00B80810">
                        <w:pPr>
                          <w:spacing w:after="0" w:line="240" w:lineRule="auto"/>
                          <w:jc w:val="center"/>
                          <w:rPr>
                            <w:b/>
                            <w:sz w:val="16"/>
                            <w:szCs w:val="16"/>
                          </w:rPr>
                        </w:pPr>
                        <w:r w:rsidRPr="00953587">
                          <w:rPr>
                            <w:b/>
                            <w:sz w:val="16"/>
                            <w:szCs w:val="16"/>
                          </w:rPr>
                          <w:t xml:space="preserve">Randomised </w:t>
                        </w:r>
                      </w:p>
                      <w:p w14:paraId="4A7F9731" w14:textId="77777777" w:rsidR="00411708" w:rsidRPr="00953587" w:rsidRDefault="00411708" w:rsidP="00B80810">
                        <w:pPr>
                          <w:spacing w:after="0" w:line="240" w:lineRule="auto"/>
                          <w:jc w:val="center"/>
                          <w:rPr>
                            <w:sz w:val="16"/>
                            <w:szCs w:val="16"/>
                          </w:rPr>
                        </w:pPr>
                        <w:r w:rsidRPr="00953587">
                          <w:rPr>
                            <w:sz w:val="16"/>
                            <w:szCs w:val="16"/>
                          </w:rPr>
                          <w:t>50 CARE HOMES and</w:t>
                        </w:r>
                      </w:p>
                      <w:p w14:paraId="1BD8145C" w14:textId="77777777" w:rsidR="00411708" w:rsidRPr="00953587" w:rsidRDefault="00411708" w:rsidP="00B80810">
                        <w:pPr>
                          <w:spacing w:after="0" w:line="240" w:lineRule="auto"/>
                          <w:jc w:val="center"/>
                          <w:rPr>
                            <w:sz w:val="16"/>
                            <w:szCs w:val="16"/>
                          </w:rPr>
                        </w:pPr>
                        <w:r w:rsidRPr="00953587">
                          <w:rPr>
                            <w:sz w:val="16"/>
                            <w:szCs w:val="16"/>
                          </w:rPr>
                          <w:t xml:space="preserve">726 RESIDENTS registered </w:t>
                        </w:r>
                      </w:p>
                      <w:p w14:paraId="4B91D3EE" w14:textId="77777777" w:rsidR="00411708" w:rsidRPr="00953587" w:rsidRDefault="00411708" w:rsidP="00C21835">
                        <w:pPr>
                          <w:spacing w:line="240" w:lineRule="auto"/>
                          <w:jc w:val="center"/>
                          <w:rPr>
                            <w:sz w:val="16"/>
                            <w:szCs w:val="16"/>
                          </w:rPr>
                        </w:pPr>
                        <w:r w:rsidRPr="00953587">
                          <w:rPr>
                            <w:sz w:val="16"/>
                            <w:szCs w:val="16"/>
                          </w:rPr>
                          <w:t xml:space="preserve">at randomisation </w:t>
                        </w:r>
                      </w:p>
                      <w:p w14:paraId="347C2861" w14:textId="77777777" w:rsidR="00411708" w:rsidRPr="00953587" w:rsidRDefault="00411708" w:rsidP="00C21835">
                        <w:pPr>
                          <w:spacing w:line="240" w:lineRule="auto"/>
                          <w:jc w:val="center"/>
                          <w:rPr>
                            <w:sz w:val="16"/>
                            <w:szCs w:val="16"/>
                          </w:rPr>
                        </w:pPr>
                      </w:p>
                    </w:txbxContent>
                  </v:textbox>
                </v:shape>
                <v:shape id="Text Box 22" o:spid="_x0000_s1043" type="#_x0000_t202" style="position:absolute;left:34290;top:30677;width:22866;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">
                  <v:textbox style="mso-fit-shape-to-text:t">
                    <w:txbxContent>
                      <w:p w14:paraId="3A034398" w14:textId="77777777" w:rsidR="00411708" w:rsidRPr="00953587" w:rsidRDefault="00411708" w:rsidP="00953587">
                        <w:pPr>
                          <w:spacing w:after="0" w:line="240" w:lineRule="auto"/>
                          <w:rPr>
                            <w:sz w:val="16"/>
                            <w:szCs w:val="16"/>
                          </w:rPr>
                        </w:pPr>
                        <w:r w:rsidRPr="00953587">
                          <w:rPr>
                            <w:b/>
                            <w:sz w:val="16"/>
                            <w:szCs w:val="16"/>
                          </w:rPr>
                          <w:t>Withdrawn prior to randomisation – 1</w:t>
                        </w:r>
                        <w:r w:rsidRPr="00953587">
                          <w:rPr>
                            <w:sz w:val="16"/>
                            <w:szCs w:val="16"/>
                          </w:rPr>
                          <w:t xml:space="preserve"> (2.0%)</w:t>
                        </w:r>
                      </w:p>
                      <w:p w14:paraId="2A450433" w14:textId="77777777" w:rsidR="00411708" w:rsidRPr="00953587" w:rsidRDefault="00411708" w:rsidP="00953587">
                        <w:pPr>
                          <w:spacing w:after="0" w:line="240" w:lineRule="auto"/>
                          <w:rPr>
                            <w:sz w:val="16"/>
                            <w:szCs w:val="16"/>
                          </w:rPr>
                        </w:pPr>
                        <w:r w:rsidRPr="00953587">
                          <w:rPr>
                            <w:b/>
                            <w:sz w:val="16"/>
                            <w:szCs w:val="16"/>
                          </w:rPr>
                          <w:t>1</w:t>
                        </w:r>
                        <w:r w:rsidRPr="00953587">
                          <w:rPr>
                            <w:sz w:val="16"/>
                            <w:szCs w:val="16"/>
                          </w:rPr>
                          <w:t xml:space="preserve"> (100%) Staffing issues</w:t>
                        </w:r>
                      </w:p>
                    </w:txbxContent>
                  </v:textbox>
                </v:shape>
                <v:shape id="AutoShape 72" o:spid="_x0000_s1044" type="#_x0000_t32" style="position:absolute;left:27430;top:3428;width:0;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AutoShape 73" o:spid="_x0000_s1045" type="#_x0000_t32" style="position:absolute;left:27267;top:10199;width:78;height:4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AutoShape 74" o:spid="_x0000_s1046" type="#_x0000_t32" style="position:absolute;left:27345;top:18210;width:1;height:2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75" o:spid="_x0000_s1047" type="#_x0000_t32" style="position:absolute;left:27430;top:11200;width:67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76" o:spid="_x0000_s1048" type="#_x0000_t32" style="position:absolute;left:20658;top:12735;width:66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shape id="AutoShape 77" o:spid="_x0000_s1049" type="#_x0000_t32" style="position:absolute;left:27267;top:19202;width:6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AutoShape 78" o:spid="_x0000_s1050" type="#_x0000_t32" style="position:absolute;left:27515;top:26289;width:9;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79" o:spid="_x0000_s1051" type="#_x0000_t32" style="position:absolute;left:20751;top:27298;width:67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P4wgAAANsAAAAPAAAAZHJzL2Rvd25yZXYueG1sRI9BawIx&#10;FITvgv8hPKE3zVqs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AVnvP4wgAAANsAAAAPAAAA&#10;AAAAAAAAAAAAAAcCAABkcnMvZG93bnJldi54bWxQSwUGAAAAAAMAAwC3AAAA9gIAAAAA&#10;">
                  <v:stroke endarrow="block"/>
                </v:shape>
                <v:shape id="AutoShape 80" o:spid="_x0000_s1052" type="#_x0000_t32" style="position:absolute;left:27350;top:33337;width:80;height:5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">
                  <v:stroke endarrow="block"/>
                </v:shape>
                <v:shape id="AutoShape 81" o:spid="_x0000_s1053" type="#_x0000_t32" style="position:absolute;left:27625;top:34823;width:68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Text Box 16" o:spid="_x0000_s1054" type="#_x0000_t202" style="position:absolute;left:34290;width:2286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17DE65F1" w14:textId="77777777" w:rsidR="00411708" w:rsidRPr="00953587" w:rsidRDefault="00411708" w:rsidP="00B80810">
                        <w:pPr>
                          <w:spacing w:after="0" w:line="240" w:lineRule="auto"/>
                          <w:rPr>
                            <w:b/>
                            <w:sz w:val="16"/>
                            <w:szCs w:val="16"/>
                          </w:rPr>
                        </w:pPr>
                        <w:r w:rsidRPr="00953587">
                          <w:rPr>
                            <w:b/>
                            <w:sz w:val="16"/>
                            <w:szCs w:val="16"/>
                          </w:rPr>
                          <w:t xml:space="preserve">No longer eligible – 57 </w:t>
                        </w:r>
                        <w:r w:rsidRPr="00953587">
                          <w:rPr>
                            <w:sz w:val="16"/>
                            <w:szCs w:val="16"/>
                          </w:rPr>
                          <w:t>(17.1% of Screened)</w:t>
                        </w:r>
                      </w:p>
                      <w:p w14:paraId="49F98CBE" w14:textId="77777777" w:rsidR="00411708" w:rsidRPr="00953587" w:rsidRDefault="00411708" w:rsidP="00B80810">
                        <w:pPr>
                          <w:spacing w:after="0" w:line="240" w:lineRule="auto"/>
                          <w:rPr>
                            <w:sz w:val="16"/>
                            <w:szCs w:val="16"/>
                          </w:rPr>
                        </w:pPr>
                        <w:r w:rsidRPr="00953587">
                          <w:rPr>
                            <w:sz w:val="16"/>
                            <w:szCs w:val="16"/>
                          </w:rPr>
                          <w:t>36 (63.2%)   CQC Status</w:t>
                        </w:r>
                      </w:p>
                      <w:p w14:paraId="059925BA" w14:textId="32B05BD1" w:rsidR="00411708" w:rsidRPr="00953587" w:rsidRDefault="00411708" w:rsidP="00B80810">
                        <w:pPr>
                          <w:spacing w:after="0" w:line="240" w:lineRule="auto"/>
                          <w:rPr>
                            <w:sz w:val="16"/>
                            <w:szCs w:val="16"/>
                          </w:rPr>
                        </w:pPr>
                        <w:r w:rsidRPr="00953587">
                          <w:rPr>
                            <w:sz w:val="16"/>
                            <w:szCs w:val="16"/>
                          </w:rPr>
                          <w:t>14 (24.6%)   Insuffici</w:t>
                        </w:r>
                        <w:r>
                          <w:rPr>
                            <w:sz w:val="16"/>
                            <w:szCs w:val="16"/>
                          </w:rPr>
                          <w:t xml:space="preserve">ent n residents with </w:t>
                        </w:r>
                        <w:r w:rsidRPr="00953587">
                          <w:rPr>
                            <w:sz w:val="16"/>
                            <w:szCs w:val="16"/>
                          </w:rPr>
                          <w:t xml:space="preserve">dementia </w:t>
                        </w:r>
                      </w:p>
                      <w:p w14:paraId="5F48F5BC" w14:textId="3DC844D1" w:rsidR="00411708" w:rsidRPr="00953587" w:rsidRDefault="00411708" w:rsidP="00953587">
                        <w:pPr>
                          <w:spacing w:after="0" w:line="240" w:lineRule="auto"/>
                          <w:rPr>
                            <w:sz w:val="16"/>
                            <w:szCs w:val="16"/>
                          </w:rPr>
                        </w:pPr>
                        <w:r>
                          <w:rPr>
                            <w:sz w:val="16"/>
                            <w:szCs w:val="16"/>
                          </w:rPr>
                          <w:t xml:space="preserve"> </w:t>
                        </w:r>
                        <w:r w:rsidRPr="00953587">
                          <w:rPr>
                            <w:sz w:val="16"/>
                            <w:szCs w:val="16"/>
                          </w:rPr>
                          <w:t>2</w:t>
                        </w:r>
                        <w:r>
                          <w:rPr>
                            <w:sz w:val="16"/>
                            <w:szCs w:val="16"/>
                          </w:rPr>
                          <w:t xml:space="preserve"> </w:t>
                        </w:r>
                        <w:r w:rsidRPr="00953587">
                          <w:rPr>
                            <w:sz w:val="16"/>
                            <w:szCs w:val="16"/>
                          </w:rPr>
                          <w:t>(3.5%)   Insufficient n</w:t>
                        </w:r>
                        <w:r>
                          <w:rPr>
                            <w:sz w:val="16"/>
                            <w:szCs w:val="16"/>
                          </w:rPr>
                          <w:t xml:space="preserve"> </w:t>
                        </w:r>
                        <w:r w:rsidRPr="00953587">
                          <w:rPr>
                            <w:sz w:val="16"/>
                            <w:szCs w:val="16"/>
                          </w:rPr>
                          <w:t>permanent residents</w:t>
                        </w:r>
                      </w:p>
                      <w:p w14:paraId="0D080ABC" w14:textId="79858179" w:rsidR="00411708" w:rsidRPr="00953587" w:rsidRDefault="00411708" w:rsidP="00953587">
                        <w:pPr>
                          <w:spacing w:after="0" w:line="240" w:lineRule="auto"/>
                          <w:rPr>
                            <w:sz w:val="16"/>
                            <w:szCs w:val="16"/>
                          </w:rPr>
                        </w:pPr>
                        <w:r>
                          <w:rPr>
                            <w:sz w:val="16"/>
                            <w:szCs w:val="16"/>
                          </w:rPr>
                          <w:t xml:space="preserve"> </w:t>
                        </w:r>
                        <w:r w:rsidRPr="00953587">
                          <w:rPr>
                            <w:sz w:val="16"/>
                            <w:szCs w:val="16"/>
                          </w:rPr>
                          <w:t>1 (1.8%)   Participating in conflicting trial</w:t>
                        </w:r>
                      </w:p>
                      <w:p w14:paraId="0890952F" w14:textId="608D67E6" w:rsidR="00411708" w:rsidRPr="00953587" w:rsidRDefault="00411708" w:rsidP="00C21835">
                        <w:pPr>
                          <w:spacing w:line="240" w:lineRule="auto"/>
                          <w:rPr>
                            <w:sz w:val="16"/>
                            <w:szCs w:val="16"/>
                          </w:rPr>
                        </w:pPr>
                        <w:r>
                          <w:rPr>
                            <w:sz w:val="16"/>
                            <w:szCs w:val="16"/>
                          </w:rPr>
                          <w:t xml:space="preserve"> </w:t>
                        </w:r>
                        <w:r w:rsidRPr="00953587">
                          <w:rPr>
                            <w:sz w:val="16"/>
                            <w:szCs w:val="16"/>
                          </w:rPr>
                          <w:t>4 (7.0%)   Other</w:t>
                        </w:r>
                      </w:p>
                    </w:txbxContent>
                  </v:textbox>
                </v:shape>
                <v:rect id="Rectangle 100" o:spid="_x0000_s1055" style="position:absolute;left:283;top:35202;width:20214;height:6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textbox>
                    <w:txbxContent>
                      <w:p w14:paraId="0110C105" w14:textId="77777777" w:rsidR="00411708" w:rsidRPr="00953587" w:rsidRDefault="00411708" w:rsidP="00C21835">
                        <w:pPr>
                          <w:pStyle w:val="NormalWeb"/>
                          <w:spacing w:before="0" w:line="240" w:lineRule="auto"/>
                          <w:rPr>
                            <w:rFonts w:eastAsia="Calibri" w:cs="Arial"/>
                            <w:b/>
                            <w:bCs/>
                            <w:sz w:val="16"/>
                            <w:szCs w:val="16"/>
                          </w:rPr>
                        </w:pPr>
                        <w:r w:rsidRPr="00953587">
                          <w:rPr>
                            <w:rFonts w:eastAsia="Calibri" w:cs="Arial"/>
                            <w:b/>
                            <w:bCs/>
                            <w:sz w:val="16"/>
                            <w:szCs w:val="16"/>
                          </w:rPr>
                          <w:t>RESIDENTS</w:t>
                        </w:r>
                      </w:p>
                      <w:p w14:paraId="7AC998FB" w14:textId="77777777" w:rsidR="00411708" w:rsidRPr="00953587" w:rsidRDefault="00411708" w:rsidP="00C21835">
                        <w:pPr>
                          <w:pStyle w:val="NormalWeb"/>
                          <w:spacing w:before="0" w:line="240" w:lineRule="auto"/>
                          <w:rPr>
                            <w:rFonts w:eastAsia="Calibri" w:cs="Arial"/>
                            <w:sz w:val="16"/>
                            <w:szCs w:val="16"/>
                          </w:rPr>
                        </w:pPr>
                        <w:r w:rsidRPr="00953587">
                          <w:rPr>
                            <w:rFonts w:eastAsia="Calibri" w:cs="Arial"/>
                            <w:b/>
                            <w:bCs/>
                            <w:sz w:val="16"/>
                            <w:szCs w:val="16"/>
                          </w:rPr>
                          <w:t>Screened</w:t>
                        </w:r>
                        <w:r w:rsidRPr="00953587">
                          <w:rPr>
                            <w:rFonts w:eastAsia="Calibri" w:cs="Arial"/>
                            <w:sz w:val="16"/>
                            <w:szCs w:val="16"/>
                          </w:rPr>
                          <w:t xml:space="preserve"> </w:t>
                        </w:r>
                        <w:r w:rsidRPr="00953587">
                          <w:rPr>
                            <w:rFonts w:eastAsia="Calibri" w:cs="Arial"/>
                            <w:b/>
                            <w:sz w:val="16"/>
                            <w:szCs w:val="16"/>
                          </w:rPr>
                          <w:t>1564</w:t>
                        </w:r>
                      </w:p>
                      <w:p w14:paraId="22FECFEB" w14:textId="77777777" w:rsidR="00411708" w:rsidRPr="00953587" w:rsidRDefault="00411708" w:rsidP="00C21835">
                        <w:pPr>
                          <w:pStyle w:val="NormalWeb"/>
                          <w:spacing w:before="0" w:line="240" w:lineRule="auto"/>
                          <w:rPr>
                            <w:rFonts w:eastAsia="Calibri" w:cs="Arial"/>
                            <w:sz w:val="16"/>
                            <w:szCs w:val="16"/>
                          </w:rPr>
                        </w:pPr>
                        <w:r w:rsidRPr="00953587">
                          <w:rPr>
                            <w:rFonts w:eastAsia="Calibri" w:cs="Arial"/>
                            <w:b/>
                            <w:sz w:val="16"/>
                            <w:szCs w:val="16"/>
                          </w:rPr>
                          <w:t>Eligible</w:t>
                        </w:r>
                        <w:r w:rsidRPr="00953587">
                          <w:rPr>
                            <w:rFonts w:eastAsia="Calibri" w:cs="Arial"/>
                            <w:sz w:val="16"/>
                            <w:szCs w:val="16"/>
                          </w:rPr>
                          <w:t xml:space="preserve">   </w:t>
                        </w:r>
                        <w:r w:rsidRPr="00953587">
                          <w:rPr>
                            <w:rFonts w:eastAsia="Calibri" w:cs="Arial"/>
                            <w:sz w:val="16"/>
                            <w:szCs w:val="16"/>
                          </w:rPr>
                          <w:tab/>
                        </w:r>
                        <w:r w:rsidRPr="00953587">
                          <w:rPr>
                            <w:rFonts w:eastAsia="Calibri" w:cs="Arial"/>
                            <w:b/>
                            <w:sz w:val="16"/>
                            <w:szCs w:val="16"/>
                          </w:rPr>
                          <w:t>1069</w:t>
                        </w:r>
                        <w:r w:rsidRPr="00953587">
                          <w:rPr>
                            <w:rFonts w:eastAsia="Calibri" w:cs="Arial"/>
                            <w:sz w:val="16"/>
                            <w:szCs w:val="16"/>
                          </w:rPr>
                          <w:t>/1564 (68.4%)</w:t>
                        </w:r>
                      </w:p>
                      <w:p w14:paraId="247B3D9E" w14:textId="77777777" w:rsidR="00411708" w:rsidRPr="00953587" w:rsidRDefault="00411708" w:rsidP="00C21835">
                        <w:pPr>
                          <w:pStyle w:val="NormalWeb"/>
                          <w:spacing w:before="0" w:line="240" w:lineRule="auto"/>
                          <w:rPr>
                            <w:rFonts w:eastAsia="Calibri" w:cs="Arial"/>
                            <w:sz w:val="16"/>
                            <w:szCs w:val="16"/>
                          </w:rPr>
                        </w:pPr>
                        <w:r w:rsidRPr="00953587">
                          <w:rPr>
                            <w:rFonts w:eastAsia="Calibri" w:cs="Arial"/>
                            <w:b/>
                            <w:sz w:val="16"/>
                            <w:szCs w:val="16"/>
                          </w:rPr>
                          <w:t>Consented</w:t>
                        </w:r>
                        <w:r w:rsidRPr="00953587">
                          <w:rPr>
                            <w:rFonts w:eastAsia="Calibri" w:cs="Arial"/>
                            <w:sz w:val="16"/>
                            <w:szCs w:val="16"/>
                          </w:rPr>
                          <w:t xml:space="preserve"> </w:t>
                        </w:r>
                        <w:r w:rsidRPr="00953587">
                          <w:rPr>
                            <w:rFonts w:eastAsia="Calibri" w:cs="Arial"/>
                            <w:b/>
                            <w:sz w:val="16"/>
                            <w:szCs w:val="16"/>
                          </w:rPr>
                          <w:t>781</w:t>
                        </w:r>
                        <w:r w:rsidRPr="00953587">
                          <w:rPr>
                            <w:rFonts w:eastAsia="Calibri" w:cs="Arial"/>
                            <w:sz w:val="16"/>
                            <w:szCs w:val="16"/>
                          </w:rPr>
                          <w:t>/1069 (73.1%)</w:t>
                        </w:r>
                      </w:p>
                      <w:p w14:paraId="26F7A8AC" w14:textId="77777777" w:rsidR="00411708" w:rsidRPr="00953587" w:rsidRDefault="00411708" w:rsidP="00C21835">
                        <w:pPr>
                          <w:pStyle w:val="NormalWeb"/>
                          <w:spacing w:before="0" w:line="240" w:lineRule="auto"/>
                          <w:rPr>
                            <w:rFonts w:cs="Arial"/>
                            <w:sz w:val="16"/>
                            <w:szCs w:val="16"/>
                          </w:rPr>
                        </w:pPr>
                        <w:r w:rsidRPr="00953587">
                          <w:rPr>
                            <w:rFonts w:eastAsia="Calibri" w:cs="Arial"/>
                            <w:b/>
                            <w:sz w:val="16"/>
                            <w:szCs w:val="16"/>
                          </w:rPr>
                          <w:t>Registered</w:t>
                        </w:r>
                        <w:r w:rsidRPr="00953587">
                          <w:rPr>
                            <w:rFonts w:eastAsia="Calibri" w:cs="Arial"/>
                            <w:sz w:val="16"/>
                            <w:szCs w:val="16"/>
                          </w:rPr>
                          <w:t xml:space="preserve"> </w:t>
                        </w:r>
                        <w:r w:rsidRPr="00953587">
                          <w:rPr>
                            <w:rFonts w:eastAsia="Calibri" w:cs="Arial"/>
                            <w:b/>
                            <w:sz w:val="16"/>
                            <w:szCs w:val="16"/>
                          </w:rPr>
                          <w:t>743</w:t>
                        </w:r>
                        <w:r w:rsidRPr="00953587">
                          <w:rPr>
                            <w:rFonts w:eastAsia="Calibri" w:cs="Arial"/>
                            <w:sz w:val="16"/>
                            <w:szCs w:val="16"/>
                          </w:rPr>
                          <w:t>/781 (95.1%)</w:t>
                        </w:r>
                      </w:p>
                    </w:txbxContent>
                  </v:textbox>
                </v:rect>
                <v:shape id="AutoShape 79" o:spid="_x0000_s1056" type="#_x0000_t32" style="position:absolute;left:20666;top:36252;width:67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">
                  <v:stroke endarrow="block"/>
                </v:shape>
                <v:shape id="AutoShape 74" o:spid="_x0000_s1057" type="#_x0000_t32" style="position:absolute;left:21666;top:45486;width:5769;height:1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">
                  <v:stroke endarrow="block"/>
                </v:shape>
                <v:shape id="Text Box 5" o:spid="_x0000_s1058" type="#_x0000_t202" style="position:absolute;top:46685;width:21632;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" fillcolor="window" strokeweight=".5pt">
                  <v:textbox>
                    <w:txbxContent>
                      <w:p w14:paraId="78262ECF" w14:textId="77777777" w:rsidR="00411708" w:rsidRPr="00953587" w:rsidRDefault="00411708" w:rsidP="00C21835">
                        <w:pPr>
                          <w:pStyle w:val="NormalWeb"/>
                          <w:spacing w:before="0" w:line="240" w:lineRule="auto"/>
                          <w:rPr>
                            <w:rFonts w:cs="Arial"/>
                            <w:sz w:val="16"/>
                            <w:szCs w:val="16"/>
                          </w:rPr>
                        </w:pPr>
                        <w:r w:rsidRPr="00953587">
                          <w:rPr>
                            <w:rFonts w:eastAsia="Calibri" w:cs="Arial"/>
                            <w:b/>
                            <w:bCs/>
                            <w:sz w:val="16"/>
                            <w:szCs w:val="16"/>
                          </w:rPr>
                          <w:t>CONTROL</w:t>
                        </w:r>
                      </w:p>
                      <w:p w14:paraId="6BDEB04F"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Care Homes, n=19</w:t>
                        </w:r>
                      </w:p>
                      <w:p w14:paraId="591EC34E"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Assessed, n=308 residents</w:t>
                        </w:r>
                      </w:p>
                      <w:p w14:paraId="0C3763E0"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Median (min, max) = 14 (9, 36) residents/home</w:t>
                        </w:r>
                      </w:p>
                      <w:p w14:paraId="43FF485D"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v:textbox>
                </v:shape>
                <v:shape id="Text Box 3" o:spid="_x0000_s1059" type="#_x0000_t202" style="position:absolute;left:34125;top:46685;width:2152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" fillcolor="window" strokeweight=".5pt">
                  <v:textbox>
                    <w:txbxContent>
                      <w:p w14:paraId="01FF90C8" w14:textId="77777777" w:rsidR="00411708" w:rsidRPr="00953587" w:rsidRDefault="00411708" w:rsidP="00C21835">
                        <w:pPr>
                          <w:pStyle w:val="NormalWeb"/>
                          <w:spacing w:before="0" w:line="240" w:lineRule="auto"/>
                          <w:rPr>
                            <w:rFonts w:cs="Arial"/>
                            <w:sz w:val="16"/>
                            <w:szCs w:val="16"/>
                          </w:rPr>
                        </w:pPr>
                        <w:r w:rsidRPr="00953587">
                          <w:rPr>
                            <w:rFonts w:eastAsia="Calibri" w:cs="Arial"/>
                            <w:b/>
                            <w:bCs/>
                            <w:sz w:val="16"/>
                            <w:szCs w:val="16"/>
                          </w:rPr>
                          <w:t>INTERVENTION</w:t>
                        </w:r>
                      </w:p>
                      <w:p w14:paraId="446208B8"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Care Homes, n=31</w:t>
                        </w:r>
                      </w:p>
                      <w:p w14:paraId="7FF5604C"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Assessed, n=418 residents</w:t>
                        </w:r>
                      </w:p>
                      <w:p w14:paraId="037C3235"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xml:space="preserve">Median (min, max) = </w:t>
                        </w:r>
                        <w:r w:rsidRPr="00953587">
                          <w:rPr>
                            <w:rFonts w:eastAsia="Times New Roman" w:cs="Arial"/>
                            <w:color w:val="000000"/>
                            <w:sz w:val="16"/>
                            <w:szCs w:val="16"/>
                          </w:rPr>
                          <w:t>13 (8, 21)</w:t>
                        </w:r>
                        <w:r w:rsidRPr="00953587">
                          <w:rPr>
                            <w:rFonts w:eastAsia="Calibri" w:cs="Arial"/>
                            <w:sz w:val="16"/>
                            <w:szCs w:val="16"/>
                          </w:rPr>
                          <w:t xml:space="preserve"> residents/home</w:t>
                        </w:r>
                      </w:p>
                      <w:p w14:paraId="4E9ED2A0"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p w14:paraId="3E0326E2"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v:textbox>
                </v:shape>
                <v:shape id="Text Box 28" o:spid="_x0000_s1060" type="#_x0000_t202" style="position:absolute;left:38709;top:53087;width:16949;height:5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" fillcolor="window" strokeweight=".5pt">
                  <v:textbox>
                    <w:txbxContent>
                      <w:p w14:paraId="2806F3E8" w14:textId="77777777" w:rsidR="00411708" w:rsidRPr="008015C7" w:rsidRDefault="00411708" w:rsidP="00B47536">
                        <w:pPr>
                          <w:pStyle w:val="NormalWeb"/>
                          <w:spacing w:before="0" w:line="240" w:lineRule="auto"/>
                          <w:rPr>
                            <w:rFonts w:cs="Arial"/>
                            <w:color w:val="FF0000"/>
                            <w:sz w:val="16"/>
                            <w:szCs w:val="16"/>
                          </w:rPr>
                        </w:pPr>
                        <w:r w:rsidRPr="008015C7">
                          <w:rPr>
                            <w:rFonts w:eastAsia="Calibri" w:cs="Arial"/>
                            <w:color w:val="FF0000"/>
                            <w:sz w:val="16"/>
                            <w:szCs w:val="16"/>
                          </w:rPr>
                          <w:t>Residents died, n=65</w:t>
                        </w:r>
                      </w:p>
                      <w:p w14:paraId="2DC7D41D" w14:textId="77777777" w:rsidR="00411708"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Residents withdrawn, n=1</w:t>
                        </w:r>
                      </w:p>
                      <w:p w14:paraId="6621254A" w14:textId="77777777" w:rsidR="00411708" w:rsidRPr="008015C7" w:rsidRDefault="00411708" w:rsidP="00B47536">
                        <w:pPr>
                          <w:pStyle w:val="NormalWeb"/>
                          <w:spacing w:before="0" w:line="240" w:lineRule="auto"/>
                          <w:rPr>
                            <w:rFonts w:cs="Arial"/>
                            <w:color w:val="FF0000"/>
                            <w:sz w:val="16"/>
                            <w:szCs w:val="16"/>
                          </w:rPr>
                        </w:pPr>
                        <w:r w:rsidRPr="008015C7">
                          <w:rPr>
                            <w:rFonts w:eastAsia="Calibri" w:cs="Arial"/>
                            <w:color w:val="FF0000"/>
                            <w:sz w:val="16"/>
                            <w:szCs w:val="16"/>
                          </w:rPr>
                          <w:t>Residents moved out, n=16</w:t>
                        </w:r>
                      </w:p>
                      <w:p w14:paraId="20A07009" w14:textId="1F7033BC"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 xml:space="preserve">No CMAI </w:t>
                        </w:r>
                        <w:r>
                          <w:rPr>
                            <w:rFonts w:eastAsia="Calibri" w:cs="Arial"/>
                            <w:color w:val="FF0000"/>
                            <w:sz w:val="16"/>
                            <w:szCs w:val="16"/>
                          </w:rPr>
                          <w:t>score</w:t>
                        </w:r>
                        <w:r w:rsidRPr="008015C7">
                          <w:rPr>
                            <w:rFonts w:eastAsia="Calibri" w:cs="Arial"/>
                            <w:color w:val="FF0000"/>
                            <w:sz w:val="16"/>
                            <w:szCs w:val="16"/>
                          </w:rPr>
                          <w:t xml:space="preserve"> at 6</w:t>
                        </w:r>
                        <w:r>
                          <w:rPr>
                            <w:rFonts w:eastAsia="Calibri" w:cs="Arial"/>
                            <w:color w:val="FF0000"/>
                            <w:sz w:val="16"/>
                            <w:szCs w:val="16"/>
                          </w:rPr>
                          <w:t>-</w:t>
                        </w:r>
                        <w:r w:rsidRPr="008015C7">
                          <w:rPr>
                            <w:rFonts w:eastAsia="Calibri" w:cs="Arial"/>
                            <w:color w:val="FF0000"/>
                            <w:sz w:val="16"/>
                            <w:szCs w:val="16"/>
                          </w:rPr>
                          <w:t>months, n=2</w:t>
                        </w:r>
                        <w:r w:rsidRPr="008015C7">
                          <w:rPr>
                            <w:rFonts w:eastAsia="Calibri" w:cs="Arial"/>
                            <w:sz w:val="16"/>
                            <w:szCs w:val="16"/>
                          </w:rPr>
                          <w:t> </w:t>
                        </w:r>
                      </w:p>
                      <w:p w14:paraId="45F6CF2D" w14:textId="77777777"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n=2</w:t>
                        </w:r>
                        <w:r w:rsidRPr="008015C7">
                          <w:rPr>
                            <w:rFonts w:eastAsia="Calibri" w:cs="Arial"/>
                            <w:sz w:val="16"/>
                            <w:szCs w:val="16"/>
                          </w:rPr>
                          <w:t> </w:t>
                        </w:r>
                      </w:p>
                      <w:p w14:paraId="5E71F7D2"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v:textbox>
                </v:shape>
                <v:shape id="Text Box 3" o:spid="_x0000_s1061" type="#_x0000_t202" style="position:absolute;left:99;top:59350;width:21666;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" fillcolor="window" strokeweight=".5pt">
                  <v:textbox>
                    <w:txbxContent>
                      <w:p w14:paraId="249D4099" w14:textId="77777777" w:rsidR="00411708" w:rsidRPr="00953587" w:rsidRDefault="00411708" w:rsidP="00C21835">
                        <w:pPr>
                          <w:pStyle w:val="NormalWeb"/>
                          <w:spacing w:before="0" w:line="240" w:lineRule="auto"/>
                          <w:rPr>
                            <w:rFonts w:cs="Arial"/>
                            <w:b/>
                            <w:sz w:val="16"/>
                            <w:szCs w:val="16"/>
                          </w:rPr>
                        </w:pPr>
                        <w:r w:rsidRPr="00953587">
                          <w:rPr>
                            <w:rFonts w:eastAsia="Calibri" w:cs="Arial"/>
                            <w:b/>
                            <w:sz w:val="16"/>
                            <w:szCs w:val="16"/>
                          </w:rPr>
                          <w:t>Care Homes, n=19</w:t>
                        </w:r>
                      </w:p>
                      <w:p w14:paraId="3FC3FB0F" w14:textId="2E7D83C5"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Assessed, n=24</w:t>
                        </w:r>
                        <w:r w:rsidRPr="008015C7">
                          <w:rPr>
                            <w:rFonts w:eastAsia="Calibri" w:cs="Arial"/>
                            <w:color w:val="FF0000"/>
                            <w:sz w:val="16"/>
                            <w:szCs w:val="16"/>
                          </w:rPr>
                          <w:t>4</w:t>
                        </w:r>
                        <w:r w:rsidRPr="00953587">
                          <w:rPr>
                            <w:rFonts w:eastAsia="Calibri" w:cs="Arial"/>
                            <w:sz w:val="16"/>
                            <w:szCs w:val="16"/>
                          </w:rPr>
                          <w:t>residents (closed-cohort)</w:t>
                        </w:r>
                      </w:p>
                      <w:p w14:paraId="5C83413E" w14:textId="77777777" w:rsidR="00411708" w:rsidRPr="00953587" w:rsidRDefault="00411708" w:rsidP="00C21835">
                        <w:pPr>
                          <w:pStyle w:val="NormalWeb"/>
                          <w:spacing w:before="0" w:line="240" w:lineRule="auto"/>
                          <w:rPr>
                            <w:rFonts w:cs="Arial"/>
                            <w:sz w:val="16"/>
                            <w:szCs w:val="16"/>
                          </w:rPr>
                        </w:pPr>
                        <w:r w:rsidRPr="00B47536">
                          <w:rPr>
                            <w:rFonts w:eastAsia="Calibri" w:cs="Arial"/>
                            <w:sz w:val="16"/>
                            <w:szCs w:val="16"/>
                          </w:rPr>
                          <w:t xml:space="preserve">Median (min, max) = 11 (5, 25) </w:t>
                        </w:r>
                        <w:r w:rsidRPr="00953587">
                          <w:rPr>
                            <w:rFonts w:eastAsia="Calibri" w:cs="Arial"/>
                            <w:sz w:val="16"/>
                            <w:szCs w:val="16"/>
                          </w:rPr>
                          <w:t>residents/home</w:t>
                        </w:r>
                      </w:p>
                      <w:p w14:paraId="326ADCB6"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p w14:paraId="48A20F41"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p w14:paraId="0C3001FD"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v:textbox>
                </v:shape>
                <v:shape id="Text Box 3" o:spid="_x0000_s1062" type="#_x0000_t202" style="position:absolute;left:34125;top:59350;width:21533;height:4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" fillcolor="window" strokeweight=".5pt">
                  <v:textbox>
                    <w:txbxContent>
                      <w:p w14:paraId="42BBA84F" w14:textId="77777777" w:rsidR="00411708" w:rsidRPr="00953587" w:rsidRDefault="00411708" w:rsidP="00C21835">
                        <w:pPr>
                          <w:pStyle w:val="NormalWeb"/>
                          <w:spacing w:before="0" w:line="240" w:lineRule="auto"/>
                          <w:rPr>
                            <w:rFonts w:cs="Arial"/>
                            <w:b/>
                            <w:sz w:val="16"/>
                            <w:szCs w:val="16"/>
                          </w:rPr>
                        </w:pPr>
                        <w:r w:rsidRPr="00953587">
                          <w:rPr>
                            <w:rFonts w:eastAsia="Calibri" w:cs="Arial"/>
                            <w:b/>
                            <w:sz w:val="16"/>
                            <w:szCs w:val="16"/>
                          </w:rPr>
                          <w:t>Care Homes, n=31</w:t>
                        </w:r>
                      </w:p>
                      <w:p w14:paraId="3434A8F4" w14:textId="6FC76CAA" w:rsidR="00411708" w:rsidRPr="00953587" w:rsidRDefault="00411708" w:rsidP="00C21835">
                        <w:pPr>
                          <w:pStyle w:val="NormalWeb"/>
                          <w:spacing w:before="0" w:line="240" w:lineRule="auto"/>
                          <w:rPr>
                            <w:rFonts w:eastAsia="Calibri" w:cs="Arial"/>
                            <w:sz w:val="16"/>
                            <w:szCs w:val="16"/>
                          </w:rPr>
                        </w:pPr>
                        <w:r w:rsidRPr="00953587">
                          <w:rPr>
                            <w:rFonts w:eastAsia="Calibri" w:cs="Arial"/>
                            <w:sz w:val="16"/>
                            <w:szCs w:val="16"/>
                          </w:rPr>
                          <w:t>Assessed, n=</w:t>
                        </w:r>
                        <w:r w:rsidRPr="009566A1">
                          <w:rPr>
                            <w:rFonts w:eastAsia="Calibri" w:cs="Arial"/>
                            <w:color w:val="000000" w:themeColor="text1"/>
                            <w:sz w:val="16"/>
                            <w:szCs w:val="16"/>
                          </w:rPr>
                          <w:t>3</w:t>
                        </w:r>
                        <w:r w:rsidRPr="009566A1">
                          <w:rPr>
                            <w:rFonts w:eastAsia="Calibri" w:cs="Arial"/>
                            <w:color w:val="FF0000"/>
                            <w:sz w:val="16"/>
                            <w:szCs w:val="16"/>
                          </w:rPr>
                          <w:t>34</w:t>
                        </w:r>
                        <w:r w:rsidRPr="00953587">
                          <w:rPr>
                            <w:rFonts w:eastAsia="Calibri" w:cs="Arial"/>
                            <w:sz w:val="16"/>
                            <w:szCs w:val="16"/>
                          </w:rPr>
                          <w:t xml:space="preserve"> residents (closed-cohort)</w:t>
                        </w:r>
                      </w:p>
                      <w:p w14:paraId="634272B4" w14:textId="6A8B8FC9" w:rsidR="00411708" w:rsidRPr="00953587" w:rsidRDefault="00411708" w:rsidP="00C21835">
                        <w:pPr>
                          <w:pStyle w:val="NormalWeb"/>
                          <w:spacing w:before="0" w:line="240" w:lineRule="auto"/>
                          <w:rPr>
                            <w:rFonts w:cs="Arial"/>
                            <w:sz w:val="16"/>
                            <w:szCs w:val="16"/>
                          </w:rPr>
                        </w:pPr>
                        <w:r w:rsidRPr="00B47536">
                          <w:rPr>
                            <w:rFonts w:eastAsia="Calibri" w:cs="Arial"/>
                            <w:sz w:val="16"/>
                            <w:szCs w:val="16"/>
                          </w:rPr>
                          <w:t xml:space="preserve">Median (min, max) = </w:t>
                        </w:r>
                        <w:r w:rsidRPr="005A50AD">
                          <w:rPr>
                            <w:rFonts w:eastAsia="Calibri" w:cs="Arial"/>
                            <w:color w:val="FF0000"/>
                            <w:sz w:val="16"/>
                            <w:szCs w:val="16"/>
                          </w:rPr>
                          <w:t>10</w:t>
                        </w:r>
                        <w:r w:rsidRPr="00B47536">
                          <w:rPr>
                            <w:rFonts w:eastAsia="Calibri" w:cs="Arial"/>
                            <w:sz w:val="16"/>
                            <w:szCs w:val="16"/>
                          </w:rPr>
                          <w:t xml:space="preserve"> (5, 19) </w:t>
                        </w:r>
                        <w:r w:rsidRPr="00953587">
                          <w:rPr>
                            <w:rFonts w:eastAsia="Calibri" w:cs="Arial"/>
                            <w:sz w:val="16"/>
                            <w:szCs w:val="16"/>
                          </w:rPr>
                          <w:t>residents/home </w:t>
                        </w:r>
                      </w:p>
                    </w:txbxContent>
                  </v:textbox>
                </v:shape>
                <v:shape id="Text Box 13" o:spid="_x0000_s1063" type="#_x0000_t202" style="position:absolute;left:22322;top:59415;width:11334;height:4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14:paraId="6F1D7C1E" w14:textId="77777777" w:rsidR="00411708" w:rsidRPr="00953587" w:rsidRDefault="00411708" w:rsidP="00C21835">
                        <w:pPr>
                          <w:pStyle w:val="NormalWeb"/>
                          <w:jc w:val="center"/>
                          <w:rPr>
                            <w:rFonts w:cs="Arial"/>
                            <w:sz w:val="16"/>
                            <w:szCs w:val="16"/>
                          </w:rPr>
                        </w:pPr>
                        <w:r w:rsidRPr="00953587">
                          <w:rPr>
                            <w:rFonts w:eastAsia="Calibri" w:cs="Arial"/>
                            <w:b/>
                            <w:bCs/>
                            <w:sz w:val="16"/>
                            <w:szCs w:val="16"/>
                          </w:rPr>
                          <w:t>6 MONTHS FOLLOW-UP</w:t>
                        </w:r>
                      </w:p>
                    </w:txbxContent>
                  </v:textbox>
                </v:shape>
                <v:shape id="Text Box 13" o:spid="_x0000_s1064" type="#_x0000_t202" style="position:absolute;left:22243;top:72165;width:11163;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0E65C84D" w14:textId="77777777" w:rsidR="00411708" w:rsidRPr="00953587" w:rsidRDefault="00411708" w:rsidP="00C21835">
                        <w:pPr>
                          <w:pStyle w:val="NormalWeb"/>
                          <w:spacing w:before="0" w:line="240" w:lineRule="auto"/>
                          <w:jc w:val="center"/>
                          <w:rPr>
                            <w:rFonts w:eastAsia="Calibri" w:cs="Arial"/>
                            <w:b/>
                            <w:bCs/>
                            <w:sz w:val="16"/>
                            <w:szCs w:val="16"/>
                          </w:rPr>
                        </w:pPr>
                        <w:r w:rsidRPr="00953587">
                          <w:rPr>
                            <w:rFonts w:eastAsia="Calibri" w:cs="Arial"/>
                            <w:b/>
                            <w:bCs/>
                            <w:sz w:val="16"/>
                            <w:szCs w:val="16"/>
                          </w:rPr>
                          <w:t>16 MONTHS FOLLOW-UP</w:t>
                        </w:r>
                      </w:p>
                      <w:p w14:paraId="71C1ED77" w14:textId="77777777" w:rsidR="00411708" w:rsidRPr="00953587" w:rsidRDefault="00411708" w:rsidP="00C21835">
                        <w:pPr>
                          <w:pStyle w:val="NormalWeb"/>
                          <w:spacing w:before="0" w:line="240" w:lineRule="auto"/>
                          <w:jc w:val="center"/>
                          <w:rPr>
                            <w:rFonts w:eastAsia="Calibri" w:cs="Arial"/>
                            <w:b/>
                            <w:bCs/>
                            <w:sz w:val="16"/>
                            <w:szCs w:val="16"/>
                          </w:rPr>
                        </w:pPr>
                        <w:r w:rsidRPr="00953587">
                          <w:rPr>
                            <w:rFonts w:eastAsia="Calibri" w:cs="Arial"/>
                            <w:b/>
                            <w:bCs/>
                            <w:sz w:val="16"/>
                            <w:szCs w:val="16"/>
                          </w:rPr>
                          <w:t>(PRIMARY)</w:t>
                        </w:r>
                      </w:p>
                      <w:p w14:paraId="37BFD09D" w14:textId="77777777" w:rsidR="00411708" w:rsidRPr="00953587" w:rsidRDefault="00411708" w:rsidP="00C21835">
                        <w:pPr>
                          <w:pStyle w:val="NormalWeb"/>
                          <w:spacing w:before="0" w:line="240" w:lineRule="auto"/>
                          <w:jc w:val="center"/>
                          <w:rPr>
                            <w:rFonts w:cs="Arial"/>
                            <w:sz w:val="16"/>
                            <w:szCs w:val="16"/>
                          </w:rPr>
                        </w:pPr>
                      </w:p>
                    </w:txbxContent>
                  </v:textbox>
                </v:shape>
                <v:shape id="Text Box 31" o:spid="_x0000_s1065" type="#_x0000_t202" style="position:absolute;left:212;top:64624;width:22647;height:6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" fillcolor="window" strokeweight=".5pt">
                  <v:textbox>
                    <w:txbxContent>
                      <w:p w14:paraId="6CE9F469" w14:textId="77777777" w:rsidR="00411708" w:rsidRPr="00953587" w:rsidRDefault="00411708" w:rsidP="00C21835">
                        <w:pPr>
                          <w:pStyle w:val="NormalWeb"/>
                          <w:spacing w:before="0" w:line="240" w:lineRule="auto"/>
                          <w:rPr>
                            <w:rFonts w:eastAsia="Calibri" w:cs="Arial"/>
                            <w:sz w:val="16"/>
                            <w:szCs w:val="16"/>
                          </w:rPr>
                        </w:pPr>
                        <w:r w:rsidRPr="00953587">
                          <w:rPr>
                            <w:rFonts w:eastAsia="Calibri" w:cs="Arial"/>
                            <w:sz w:val="16"/>
                            <w:szCs w:val="16"/>
                          </w:rPr>
                          <w:t>Care homes withdrawn from intervention, n=0</w:t>
                        </w:r>
                      </w:p>
                      <w:p w14:paraId="2E96CF45" w14:textId="77777777" w:rsidR="00411708" w:rsidRPr="00003D2E" w:rsidRDefault="00411708" w:rsidP="00B47536">
                        <w:pPr>
                          <w:pStyle w:val="NormalWeb"/>
                          <w:spacing w:before="0" w:line="240" w:lineRule="auto"/>
                          <w:rPr>
                            <w:rFonts w:cs="Arial"/>
                            <w:color w:val="FF0000"/>
                            <w:sz w:val="16"/>
                            <w:szCs w:val="16"/>
                          </w:rPr>
                        </w:pPr>
                        <w:r w:rsidRPr="00003D2E">
                          <w:rPr>
                            <w:rFonts w:eastAsia="Calibri" w:cs="Arial"/>
                            <w:color w:val="FF0000"/>
                            <w:sz w:val="16"/>
                            <w:szCs w:val="16"/>
                          </w:rPr>
                          <w:t>Residents died, n=54</w:t>
                        </w:r>
                      </w:p>
                      <w:p w14:paraId="6A9A5884" w14:textId="77777777"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Residents withdrawn, n=</w:t>
                        </w:r>
                        <w:r>
                          <w:rPr>
                            <w:rFonts w:eastAsia="Calibri" w:cs="Arial"/>
                            <w:color w:val="FF0000"/>
                            <w:sz w:val="16"/>
                            <w:szCs w:val="16"/>
                          </w:rPr>
                          <w:t>1</w:t>
                        </w:r>
                      </w:p>
                      <w:p w14:paraId="3E42A09C" w14:textId="77777777" w:rsidR="00411708" w:rsidRPr="00003D2E" w:rsidRDefault="00411708" w:rsidP="00B47536">
                        <w:pPr>
                          <w:pStyle w:val="NormalWeb"/>
                          <w:spacing w:before="0" w:line="240" w:lineRule="auto"/>
                          <w:rPr>
                            <w:rFonts w:cs="Arial"/>
                            <w:color w:val="FF0000"/>
                            <w:sz w:val="16"/>
                            <w:szCs w:val="16"/>
                          </w:rPr>
                        </w:pPr>
                        <w:r w:rsidRPr="00003D2E">
                          <w:rPr>
                            <w:rFonts w:eastAsia="Calibri" w:cs="Arial"/>
                            <w:color w:val="FF0000"/>
                            <w:sz w:val="16"/>
                            <w:szCs w:val="16"/>
                          </w:rPr>
                          <w:t>Residents moved out, n=6</w:t>
                        </w:r>
                      </w:p>
                      <w:p w14:paraId="1D1866A7" w14:textId="2034F98E"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 xml:space="preserve">No CMAI </w:t>
                        </w:r>
                        <w:r>
                          <w:rPr>
                            <w:rFonts w:eastAsia="Calibri" w:cs="Arial"/>
                            <w:color w:val="FF0000"/>
                            <w:sz w:val="16"/>
                            <w:szCs w:val="16"/>
                          </w:rPr>
                          <w:t>score at 16months, n=0</w:t>
                        </w:r>
                        <w:r w:rsidRPr="008015C7">
                          <w:rPr>
                            <w:rFonts w:eastAsia="Calibri" w:cs="Arial"/>
                            <w:sz w:val="16"/>
                            <w:szCs w:val="16"/>
                          </w:rPr>
                          <w:t> </w:t>
                        </w:r>
                      </w:p>
                      <w:p w14:paraId="3F60708F"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v:textbox>
                </v:shape>
                <v:shape id="Text Box 30" o:spid="_x0000_s1066" type="#_x0000_t202" style="position:absolute;left:33061;top:64534;width:22597;height:6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" fillcolor="window" strokeweight=".5pt">
                  <v:textbox>
                    <w:txbxContent>
                      <w:p w14:paraId="125474C6" w14:textId="4394E85C" w:rsidR="00411708" w:rsidRPr="00953587" w:rsidRDefault="00411708" w:rsidP="00C21835">
                        <w:pPr>
                          <w:pStyle w:val="NormalWeb"/>
                          <w:spacing w:before="0" w:line="240" w:lineRule="auto"/>
                          <w:rPr>
                            <w:rFonts w:eastAsia="Calibri" w:cs="Arial"/>
                            <w:sz w:val="16"/>
                            <w:szCs w:val="16"/>
                          </w:rPr>
                        </w:pPr>
                        <w:r w:rsidRPr="00953587">
                          <w:rPr>
                            <w:rFonts w:eastAsia="Calibri" w:cs="Arial"/>
                            <w:sz w:val="16"/>
                            <w:szCs w:val="16"/>
                          </w:rPr>
                          <w:t>Care homes withdrawn from intervention, n=2</w:t>
                        </w:r>
                      </w:p>
                      <w:p w14:paraId="0DF4B162" w14:textId="77777777" w:rsidR="00411708" w:rsidRPr="00003D2E" w:rsidRDefault="00411708" w:rsidP="00B47536">
                        <w:pPr>
                          <w:pStyle w:val="NormalWeb"/>
                          <w:spacing w:before="0" w:line="240" w:lineRule="auto"/>
                          <w:rPr>
                            <w:rFonts w:cs="Arial"/>
                            <w:color w:val="FF0000"/>
                            <w:sz w:val="16"/>
                            <w:szCs w:val="16"/>
                          </w:rPr>
                        </w:pPr>
                        <w:r w:rsidRPr="00003D2E">
                          <w:rPr>
                            <w:rFonts w:eastAsia="Calibri" w:cs="Arial"/>
                            <w:color w:val="FF0000"/>
                            <w:sz w:val="16"/>
                            <w:szCs w:val="16"/>
                          </w:rPr>
                          <w:t>Residents died, n=92</w:t>
                        </w:r>
                      </w:p>
                      <w:p w14:paraId="7F45B16C" w14:textId="77777777" w:rsidR="00411708"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Residents withdrawn, n=</w:t>
                        </w:r>
                        <w:r>
                          <w:rPr>
                            <w:rFonts w:eastAsia="Calibri" w:cs="Arial"/>
                            <w:color w:val="FF0000"/>
                            <w:sz w:val="16"/>
                            <w:szCs w:val="16"/>
                          </w:rPr>
                          <w:t>0</w:t>
                        </w:r>
                      </w:p>
                      <w:p w14:paraId="2FB47E9C" w14:textId="77777777" w:rsidR="00411708" w:rsidRPr="00003D2E" w:rsidRDefault="00411708" w:rsidP="00B47536">
                        <w:pPr>
                          <w:pStyle w:val="NormalWeb"/>
                          <w:spacing w:before="0" w:line="240" w:lineRule="auto"/>
                          <w:rPr>
                            <w:rFonts w:cs="Arial"/>
                            <w:color w:val="FF0000"/>
                            <w:sz w:val="16"/>
                            <w:szCs w:val="16"/>
                          </w:rPr>
                        </w:pPr>
                        <w:r w:rsidRPr="00003D2E">
                          <w:rPr>
                            <w:rFonts w:eastAsia="Calibri" w:cs="Arial"/>
                            <w:color w:val="FF0000"/>
                            <w:sz w:val="16"/>
                            <w:szCs w:val="16"/>
                          </w:rPr>
                          <w:t>Residents moved out, n=22</w:t>
                        </w:r>
                      </w:p>
                      <w:p w14:paraId="3A6A029C" w14:textId="2B568006" w:rsidR="00411708" w:rsidRPr="008015C7" w:rsidRDefault="00411708" w:rsidP="00B47536">
                        <w:pPr>
                          <w:pStyle w:val="NormalWeb"/>
                          <w:spacing w:before="0" w:line="240" w:lineRule="auto"/>
                          <w:rPr>
                            <w:rFonts w:eastAsia="Calibri" w:cs="Arial"/>
                            <w:color w:val="FF0000"/>
                            <w:sz w:val="16"/>
                            <w:szCs w:val="16"/>
                          </w:rPr>
                        </w:pPr>
                        <w:r w:rsidRPr="008015C7">
                          <w:rPr>
                            <w:rFonts w:eastAsia="Calibri" w:cs="Arial"/>
                            <w:color w:val="FF0000"/>
                            <w:sz w:val="16"/>
                            <w:szCs w:val="16"/>
                          </w:rPr>
                          <w:t xml:space="preserve">No CMAI </w:t>
                        </w:r>
                        <w:r>
                          <w:rPr>
                            <w:rFonts w:eastAsia="Calibri" w:cs="Arial"/>
                            <w:color w:val="FF0000"/>
                            <w:sz w:val="16"/>
                            <w:szCs w:val="16"/>
                          </w:rPr>
                          <w:t>score at 16-months, n=2</w:t>
                        </w:r>
                        <w:r w:rsidRPr="008015C7">
                          <w:rPr>
                            <w:rFonts w:eastAsia="Calibri" w:cs="Arial"/>
                            <w:sz w:val="16"/>
                            <w:szCs w:val="16"/>
                          </w:rPr>
                          <w:t> </w:t>
                        </w:r>
                      </w:p>
                      <w:p w14:paraId="0C70862F"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v:textbox>
                </v:shape>
                <v:shape id="Text Box 3" o:spid="_x0000_s1067" type="#_x0000_t202" style="position:absolute;left:33832;top:72162;width:21946;height:1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" fillcolor="window" strokeweight=".5pt">
                  <v:textbox>
                    <w:txbxContent>
                      <w:p w14:paraId="312AEA80" w14:textId="77777777" w:rsidR="00411708" w:rsidRPr="00953587" w:rsidRDefault="00411708" w:rsidP="00C21835">
                        <w:pPr>
                          <w:pStyle w:val="NormalWeb"/>
                          <w:spacing w:before="0" w:line="240" w:lineRule="auto"/>
                          <w:rPr>
                            <w:rFonts w:cs="Arial"/>
                            <w:b/>
                            <w:sz w:val="16"/>
                            <w:szCs w:val="16"/>
                          </w:rPr>
                        </w:pPr>
                        <w:r w:rsidRPr="00953587">
                          <w:rPr>
                            <w:rFonts w:eastAsia="Calibri" w:cs="Arial"/>
                            <w:b/>
                            <w:sz w:val="16"/>
                            <w:szCs w:val="16"/>
                          </w:rPr>
                          <w:t>Care Homes, n=31</w:t>
                        </w:r>
                      </w:p>
                      <w:p w14:paraId="3BE1F3BE" w14:textId="77777777" w:rsidR="00411708" w:rsidRPr="003047B3" w:rsidRDefault="00411708" w:rsidP="00B47536">
                        <w:pPr>
                          <w:pStyle w:val="NormalWeb"/>
                          <w:spacing w:before="0" w:line="240" w:lineRule="auto"/>
                          <w:rPr>
                            <w:rFonts w:eastAsia="Calibri" w:cs="Arial"/>
                            <w:color w:val="FF0000"/>
                            <w:sz w:val="16"/>
                            <w:szCs w:val="16"/>
                          </w:rPr>
                        </w:pPr>
                        <w:r w:rsidRPr="003047B3">
                          <w:rPr>
                            <w:rFonts w:eastAsia="Calibri" w:cs="Arial"/>
                            <w:color w:val="FF0000"/>
                            <w:sz w:val="16"/>
                            <w:szCs w:val="16"/>
                          </w:rPr>
                          <w:t>Registered, n=226 residents and</w:t>
                        </w:r>
                      </w:p>
                      <w:p w14:paraId="5672F0DD" w14:textId="1DF738E8" w:rsidR="00411708" w:rsidRPr="00953587" w:rsidRDefault="00411708" w:rsidP="00C21835">
                        <w:pPr>
                          <w:pStyle w:val="NormalWeb"/>
                          <w:spacing w:before="0" w:line="240" w:lineRule="auto"/>
                          <w:rPr>
                            <w:rFonts w:eastAsia="Calibri" w:cs="Arial"/>
                            <w:sz w:val="16"/>
                            <w:szCs w:val="16"/>
                          </w:rPr>
                        </w:pPr>
                        <w:r w:rsidRPr="00953587">
                          <w:rPr>
                            <w:rFonts w:eastAsia="Calibri" w:cs="Arial"/>
                            <w:sz w:val="16"/>
                            <w:szCs w:val="16"/>
                          </w:rPr>
                          <w:t>Assessed, n=</w:t>
                        </w:r>
                        <w:r w:rsidRPr="00953587">
                          <w:rPr>
                            <w:rFonts w:eastAsia="Times New Roman" w:cs="Arial"/>
                            <w:color w:val="000000"/>
                            <w:sz w:val="16"/>
                            <w:szCs w:val="16"/>
                          </w:rPr>
                          <w:t>22</w:t>
                        </w:r>
                        <w:r w:rsidRPr="00323093">
                          <w:rPr>
                            <w:rFonts w:eastAsia="Times New Roman" w:cs="Arial"/>
                            <w:color w:val="FF0000"/>
                            <w:sz w:val="16"/>
                            <w:szCs w:val="16"/>
                          </w:rPr>
                          <w:t>0</w:t>
                        </w:r>
                        <w:r w:rsidRPr="00953587">
                          <w:rPr>
                            <w:rFonts w:eastAsia="Times New Roman" w:cs="Arial"/>
                            <w:color w:val="000000"/>
                            <w:sz w:val="16"/>
                            <w:szCs w:val="16"/>
                          </w:rPr>
                          <w:t xml:space="preserve"> </w:t>
                        </w:r>
                        <w:r w:rsidRPr="00953587">
                          <w:rPr>
                            <w:rFonts w:eastAsia="Calibri" w:cs="Arial"/>
                            <w:sz w:val="16"/>
                            <w:szCs w:val="16"/>
                          </w:rPr>
                          <w:t>residents (closed-cohort)</w:t>
                        </w:r>
                      </w:p>
                      <w:p w14:paraId="6C7BC387" w14:textId="2EA44FB2" w:rsidR="00411708" w:rsidRDefault="00411708" w:rsidP="00C21835">
                        <w:pPr>
                          <w:pStyle w:val="NormalWeb"/>
                          <w:spacing w:before="0" w:line="240" w:lineRule="auto"/>
                          <w:rPr>
                            <w:rFonts w:eastAsia="Calibri" w:cs="Arial"/>
                            <w:color w:val="0070C0"/>
                            <w:sz w:val="16"/>
                            <w:szCs w:val="16"/>
                          </w:rPr>
                        </w:pPr>
                        <w:r w:rsidRPr="00BC7A4C">
                          <w:rPr>
                            <w:rFonts w:eastAsia="Calibri" w:cs="Arial"/>
                            <w:sz w:val="16"/>
                            <w:szCs w:val="16"/>
                          </w:rPr>
                          <w:t>Median (min, max) =</w:t>
                        </w:r>
                        <w:r w:rsidRPr="00AA252B">
                          <w:rPr>
                            <w:rFonts w:eastAsia="Calibri" w:cs="Arial"/>
                            <w:color w:val="FF0000"/>
                            <w:sz w:val="16"/>
                            <w:szCs w:val="16"/>
                          </w:rPr>
                          <w:t>7 (1</w:t>
                        </w:r>
                        <w:r w:rsidRPr="00BC7A4C">
                          <w:rPr>
                            <w:rFonts w:eastAsia="Calibri" w:cs="Arial"/>
                            <w:sz w:val="16"/>
                            <w:szCs w:val="16"/>
                          </w:rPr>
                          <w:t xml:space="preserve">,12)  </w:t>
                        </w:r>
                      </w:p>
                      <w:p w14:paraId="128F2940" w14:textId="09C650FA" w:rsidR="00411708" w:rsidRPr="00953587" w:rsidRDefault="00411708" w:rsidP="00C21835">
                        <w:pPr>
                          <w:pStyle w:val="NormalWeb"/>
                          <w:spacing w:before="0" w:line="240" w:lineRule="auto"/>
                          <w:rPr>
                            <w:rFonts w:cs="Arial"/>
                            <w:sz w:val="16"/>
                            <w:szCs w:val="16"/>
                          </w:rPr>
                        </w:pPr>
                        <w:r>
                          <w:rPr>
                            <w:rFonts w:eastAsia="Calibri" w:cs="Arial"/>
                            <w:color w:val="0070C0"/>
                            <w:sz w:val="16"/>
                            <w:szCs w:val="16"/>
                          </w:rPr>
                          <w:t xml:space="preserve">   </w:t>
                        </w:r>
                        <w:r w:rsidRPr="00953587">
                          <w:rPr>
                            <w:rFonts w:eastAsia="Calibri" w:cs="Arial"/>
                            <w:sz w:val="16"/>
                            <w:szCs w:val="16"/>
                          </w:rPr>
                          <w:t>residents/home</w:t>
                        </w:r>
                      </w:p>
                      <w:p w14:paraId="1EDAE25C" w14:textId="1233036F" w:rsidR="00411708" w:rsidRPr="00BC7A4C" w:rsidRDefault="00411708" w:rsidP="00C21835">
                        <w:pPr>
                          <w:pStyle w:val="NormalWeb"/>
                          <w:spacing w:before="0" w:line="240" w:lineRule="auto"/>
                          <w:rPr>
                            <w:rFonts w:cs="Arial"/>
                            <w:sz w:val="16"/>
                            <w:szCs w:val="16"/>
                          </w:rPr>
                        </w:pPr>
                        <w:r w:rsidRPr="00BC7A4C">
                          <w:rPr>
                            <w:rFonts w:eastAsia="Calibri" w:cs="Arial"/>
                            <w:sz w:val="16"/>
                            <w:szCs w:val="16"/>
                          </w:rPr>
                          <w:t>Registered, n=162 residents (additional)</w:t>
                        </w:r>
                        <w:r w:rsidRPr="00BC7A4C">
                          <w:rPr>
                            <w:rFonts w:cs="Arial"/>
                            <w:sz w:val="16"/>
                            <w:szCs w:val="16"/>
                          </w:rPr>
                          <w:t xml:space="preserve"> and </w:t>
                        </w:r>
                        <w:r w:rsidRPr="00BC7A4C">
                          <w:rPr>
                            <w:rFonts w:eastAsia="Calibri" w:cs="Arial"/>
                            <w:sz w:val="16"/>
                            <w:szCs w:val="16"/>
                          </w:rPr>
                          <w:t>n=388 residents (</w:t>
                        </w:r>
                        <w:r w:rsidRPr="00BC7A4C">
                          <w:rPr>
                            <w:rFonts w:eastAsia="Calibri" w:cs="Arial"/>
                            <w:bCs/>
                            <w:sz w:val="16"/>
                            <w:szCs w:val="16"/>
                          </w:rPr>
                          <w:t>cross-section)</w:t>
                        </w:r>
                      </w:p>
                      <w:p w14:paraId="2A353C47" w14:textId="77777777" w:rsidR="00411708" w:rsidRPr="00BC7A4C" w:rsidRDefault="00411708" w:rsidP="00C21835">
                        <w:pPr>
                          <w:pStyle w:val="NormalWeb"/>
                          <w:spacing w:before="0" w:line="240" w:lineRule="auto"/>
                          <w:rPr>
                            <w:rFonts w:eastAsia="Calibri" w:cs="Arial"/>
                            <w:sz w:val="16"/>
                            <w:szCs w:val="16"/>
                          </w:rPr>
                        </w:pPr>
                        <w:r w:rsidRPr="00BC7A4C">
                          <w:rPr>
                            <w:rFonts w:eastAsia="Calibri" w:cs="Arial"/>
                            <w:sz w:val="16"/>
                            <w:szCs w:val="16"/>
                          </w:rPr>
                          <w:t xml:space="preserve">Median (min, max) = 12 (5, 24) </w:t>
                        </w:r>
                      </w:p>
                      <w:p w14:paraId="4E2AB744" w14:textId="00B28F33" w:rsidR="00411708" w:rsidRPr="00BC7A4C" w:rsidRDefault="00411708" w:rsidP="00C21835">
                        <w:pPr>
                          <w:pStyle w:val="NormalWeb"/>
                          <w:spacing w:before="0" w:line="240" w:lineRule="auto"/>
                          <w:rPr>
                            <w:rFonts w:cs="Arial"/>
                            <w:sz w:val="16"/>
                            <w:szCs w:val="16"/>
                          </w:rPr>
                        </w:pPr>
                        <w:r w:rsidRPr="00BC7A4C">
                          <w:rPr>
                            <w:rFonts w:eastAsia="Calibri" w:cs="Arial"/>
                            <w:sz w:val="16"/>
                            <w:szCs w:val="16"/>
                          </w:rPr>
                          <w:t xml:space="preserve">   residents/home</w:t>
                        </w:r>
                      </w:p>
                      <w:p w14:paraId="22AA1142" w14:textId="77777777" w:rsidR="00411708" w:rsidRPr="00304503" w:rsidRDefault="00411708" w:rsidP="00B47536">
                        <w:pPr>
                          <w:pStyle w:val="NormalWeb"/>
                          <w:spacing w:before="0" w:line="240" w:lineRule="auto"/>
                          <w:rPr>
                            <w:rFonts w:cs="Arial"/>
                            <w:color w:val="FF0000"/>
                            <w:sz w:val="16"/>
                            <w:szCs w:val="16"/>
                          </w:rPr>
                        </w:pPr>
                        <w:r>
                          <w:rPr>
                            <w:rFonts w:eastAsia="Calibri" w:cs="Arial"/>
                            <w:color w:val="FF0000"/>
                            <w:sz w:val="16"/>
                            <w:szCs w:val="16"/>
                          </w:rPr>
                          <w:t>Assessed, n=382</w:t>
                        </w:r>
                        <w:r w:rsidRPr="00304503">
                          <w:rPr>
                            <w:rFonts w:eastAsia="Calibri" w:cs="Arial"/>
                            <w:color w:val="FF0000"/>
                            <w:sz w:val="16"/>
                            <w:szCs w:val="16"/>
                          </w:rPr>
                          <w:t xml:space="preserve"> residents (cross-section) </w:t>
                        </w:r>
                      </w:p>
                      <w:p w14:paraId="57C58F5B"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v:textbox>
                </v:shape>
                <v:shape id="Text Box 3" o:spid="_x0000_s1068" type="#_x0000_t202" style="position:absolute;left:129;top:72156;width:21502;height:1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" fillcolor="window" strokeweight=".5pt">
                  <v:textbox>
                    <w:txbxContent>
                      <w:p w14:paraId="5B3F35B0" w14:textId="77777777" w:rsidR="00411708" w:rsidRPr="00953587" w:rsidRDefault="00411708" w:rsidP="00C21835">
                        <w:pPr>
                          <w:pStyle w:val="NormalWeb"/>
                          <w:spacing w:before="0" w:line="240" w:lineRule="auto"/>
                          <w:rPr>
                            <w:rFonts w:cs="Arial"/>
                            <w:b/>
                            <w:sz w:val="16"/>
                            <w:szCs w:val="16"/>
                          </w:rPr>
                        </w:pPr>
                        <w:r w:rsidRPr="00953587">
                          <w:rPr>
                            <w:rFonts w:eastAsia="Calibri" w:cs="Arial"/>
                            <w:b/>
                            <w:sz w:val="16"/>
                            <w:szCs w:val="16"/>
                          </w:rPr>
                          <w:t>Care Homes, n=19</w:t>
                        </w:r>
                      </w:p>
                      <w:p w14:paraId="37D2CA76" w14:textId="77777777" w:rsidR="00411708" w:rsidRPr="003047B3" w:rsidRDefault="00411708" w:rsidP="00B47536">
                        <w:pPr>
                          <w:pStyle w:val="NormalWeb"/>
                          <w:spacing w:before="0" w:line="240" w:lineRule="auto"/>
                          <w:rPr>
                            <w:rFonts w:eastAsia="Calibri" w:cs="Arial"/>
                            <w:color w:val="FF0000"/>
                            <w:sz w:val="16"/>
                            <w:szCs w:val="16"/>
                          </w:rPr>
                        </w:pPr>
                        <w:r w:rsidRPr="003047B3">
                          <w:rPr>
                            <w:rFonts w:eastAsia="Calibri" w:cs="Arial"/>
                            <w:color w:val="FF0000"/>
                            <w:sz w:val="16"/>
                            <w:szCs w:val="16"/>
                          </w:rPr>
                          <w:t>Registered, n=188 residents and</w:t>
                        </w:r>
                      </w:p>
                      <w:p w14:paraId="22FB79E1" w14:textId="4072B110" w:rsidR="00411708" w:rsidRPr="00953587" w:rsidRDefault="00411708" w:rsidP="00C21835">
                        <w:pPr>
                          <w:pStyle w:val="NormalWeb"/>
                          <w:spacing w:before="0" w:line="240" w:lineRule="auto"/>
                          <w:rPr>
                            <w:rFonts w:eastAsia="Calibri" w:cs="Arial"/>
                            <w:sz w:val="16"/>
                            <w:szCs w:val="16"/>
                          </w:rPr>
                        </w:pPr>
                        <w:r>
                          <w:rPr>
                            <w:rFonts w:eastAsia="Calibri" w:cs="Arial"/>
                            <w:sz w:val="16"/>
                            <w:szCs w:val="16"/>
                          </w:rPr>
                          <w:t>Assessed, n=18</w:t>
                        </w:r>
                        <w:r w:rsidRPr="00323093">
                          <w:rPr>
                            <w:rFonts w:eastAsia="Calibri" w:cs="Arial"/>
                            <w:color w:val="FF0000"/>
                            <w:sz w:val="16"/>
                            <w:szCs w:val="16"/>
                          </w:rPr>
                          <w:t>5</w:t>
                        </w:r>
                        <w:r w:rsidRPr="00953587">
                          <w:rPr>
                            <w:rFonts w:eastAsia="Calibri" w:cs="Arial"/>
                            <w:sz w:val="16"/>
                            <w:szCs w:val="16"/>
                          </w:rPr>
                          <w:t xml:space="preserve"> residents (closed-cohort)</w:t>
                        </w:r>
                      </w:p>
                      <w:p w14:paraId="7E1E53D5" w14:textId="63725BBB" w:rsidR="00411708" w:rsidRDefault="00411708" w:rsidP="00C21835">
                        <w:pPr>
                          <w:pStyle w:val="NormalWeb"/>
                          <w:spacing w:before="0" w:line="240" w:lineRule="auto"/>
                          <w:rPr>
                            <w:rFonts w:eastAsia="Calibri" w:cs="Arial"/>
                            <w:color w:val="0070C0"/>
                            <w:sz w:val="16"/>
                            <w:szCs w:val="16"/>
                          </w:rPr>
                        </w:pPr>
                        <w:r w:rsidRPr="00B47536">
                          <w:rPr>
                            <w:rFonts w:eastAsia="Calibri" w:cs="Arial"/>
                            <w:sz w:val="16"/>
                            <w:szCs w:val="16"/>
                          </w:rPr>
                          <w:t>Median (min, max) =</w:t>
                        </w:r>
                        <w:r w:rsidRPr="00A40D9A">
                          <w:rPr>
                            <w:rFonts w:eastAsia="Calibri" w:cs="Arial"/>
                            <w:sz w:val="16"/>
                            <w:szCs w:val="16"/>
                          </w:rPr>
                          <w:t xml:space="preserve"> </w:t>
                        </w:r>
                        <w:r w:rsidRPr="00AA252B">
                          <w:rPr>
                            <w:rFonts w:eastAsia="Calibri" w:cs="Arial"/>
                            <w:color w:val="FF0000"/>
                            <w:sz w:val="16"/>
                            <w:szCs w:val="16"/>
                          </w:rPr>
                          <w:t>9</w:t>
                        </w:r>
                        <w:r w:rsidRPr="00323093">
                          <w:rPr>
                            <w:rFonts w:eastAsia="Calibri" w:cs="Arial"/>
                            <w:color w:val="0070C0"/>
                            <w:sz w:val="16"/>
                            <w:szCs w:val="16"/>
                          </w:rPr>
                          <w:t xml:space="preserve"> </w:t>
                        </w:r>
                        <w:r w:rsidRPr="00B47536">
                          <w:rPr>
                            <w:rFonts w:eastAsia="Calibri" w:cs="Arial"/>
                            <w:sz w:val="16"/>
                            <w:szCs w:val="16"/>
                          </w:rPr>
                          <w:t xml:space="preserve"> (4, 19)  </w:t>
                        </w:r>
                      </w:p>
                      <w:p w14:paraId="247F7785" w14:textId="55DDC070" w:rsidR="00411708" w:rsidRPr="00953587" w:rsidRDefault="00411708" w:rsidP="00C21835">
                        <w:pPr>
                          <w:pStyle w:val="NormalWeb"/>
                          <w:spacing w:before="0" w:line="240" w:lineRule="auto"/>
                          <w:rPr>
                            <w:rFonts w:cs="Arial"/>
                            <w:sz w:val="16"/>
                            <w:szCs w:val="16"/>
                          </w:rPr>
                        </w:pPr>
                        <w:r>
                          <w:rPr>
                            <w:rFonts w:eastAsia="Calibri" w:cs="Arial"/>
                            <w:color w:val="0070C0"/>
                            <w:sz w:val="16"/>
                            <w:szCs w:val="16"/>
                          </w:rPr>
                          <w:t xml:space="preserve">   </w:t>
                        </w:r>
                        <w:r w:rsidRPr="00953587">
                          <w:rPr>
                            <w:rFonts w:eastAsia="Calibri" w:cs="Arial"/>
                            <w:sz w:val="16"/>
                            <w:szCs w:val="16"/>
                          </w:rPr>
                          <w:t>residents/home</w:t>
                        </w:r>
                      </w:p>
                      <w:p w14:paraId="5B73570D" w14:textId="036387D4" w:rsidR="00411708" w:rsidRPr="00B47536" w:rsidRDefault="00411708" w:rsidP="00C21835">
                        <w:pPr>
                          <w:pStyle w:val="NormalWeb"/>
                          <w:spacing w:before="0" w:line="240" w:lineRule="auto"/>
                          <w:rPr>
                            <w:rFonts w:cs="Arial"/>
                            <w:b/>
                            <w:sz w:val="16"/>
                            <w:szCs w:val="16"/>
                          </w:rPr>
                        </w:pPr>
                        <w:r w:rsidRPr="00B47536">
                          <w:rPr>
                            <w:rFonts w:eastAsia="Calibri" w:cs="Arial"/>
                            <w:sz w:val="16"/>
                            <w:szCs w:val="16"/>
                          </w:rPr>
                          <w:t>Registered, n=99 residents (additional) and</w:t>
                        </w:r>
                        <w:r w:rsidRPr="00B47536">
                          <w:rPr>
                            <w:rFonts w:eastAsia="Calibri" w:cs="Arial"/>
                            <w:b/>
                            <w:sz w:val="16"/>
                            <w:szCs w:val="16"/>
                          </w:rPr>
                          <w:t xml:space="preserve"> </w:t>
                        </w:r>
                        <w:r w:rsidRPr="00B47536">
                          <w:rPr>
                            <w:rFonts w:eastAsia="Calibri" w:cs="Arial"/>
                            <w:sz w:val="16"/>
                            <w:szCs w:val="16"/>
                          </w:rPr>
                          <w:t>n=287 residents (</w:t>
                        </w:r>
                        <w:r w:rsidRPr="00B47536">
                          <w:rPr>
                            <w:rFonts w:eastAsia="Calibri" w:cs="Arial"/>
                            <w:bCs/>
                            <w:sz w:val="16"/>
                            <w:szCs w:val="16"/>
                          </w:rPr>
                          <w:t>cross-section)</w:t>
                        </w:r>
                      </w:p>
                      <w:p w14:paraId="2125D353" w14:textId="77777777" w:rsidR="00411708" w:rsidRPr="00B47536" w:rsidRDefault="00411708" w:rsidP="00C21835">
                        <w:pPr>
                          <w:pStyle w:val="NormalWeb"/>
                          <w:spacing w:before="0" w:line="240" w:lineRule="auto"/>
                          <w:rPr>
                            <w:rFonts w:eastAsia="Calibri" w:cs="Arial"/>
                            <w:sz w:val="16"/>
                            <w:szCs w:val="16"/>
                          </w:rPr>
                        </w:pPr>
                        <w:r w:rsidRPr="00B47536">
                          <w:rPr>
                            <w:rFonts w:eastAsia="Calibri" w:cs="Arial"/>
                            <w:sz w:val="16"/>
                            <w:szCs w:val="16"/>
                          </w:rPr>
                          <w:t xml:space="preserve">Median (min, max) = 12 (4, 34)   </w:t>
                        </w:r>
                      </w:p>
                      <w:p w14:paraId="72DF83BB" w14:textId="38DC5DC7" w:rsidR="00411708" w:rsidRPr="00B47536" w:rsidRDefault="00411708" w:rsidP="00C21835">
                        <w:pPr>
                          <w:pStyle w:val="NormalWeb"/>
                          <w:spacing w:before="0" w:line="240" w:lineRule="auto"/>
                          <w:rPr>
                            <w:rFonts w:cs="Arial"/>
                            <w:sz w:val="16"/>
                            <w:szCs w:val="16"/>
                          </w:rPr>
                        </w:pPr>
                        <w:r w:rsidRPr="00B47536">
                          <w:rPr>
                            <w:rFonts w:eastAsia="Calibri" w:cs="Arial"/>
                            <w:sz w:val="16"/>
                            <w:szCs w:val="16"/>
                          </w:rPr>
                          <w:t xml:space="preserve">   residents/home</w:t>
                        </w:r>
                      </w:p>
                      <w:p w14:paraId="66E172CB" w14:textId="77777777" w:rsidR="00411708" w:rsidRPr="00304503" w:rsidRDefault="00411708" w:rsidP="00B47536">
                        <w:pPr>
                          <w:pStyle w:val="NormalWeb"/>
                          <w:spacing w:before="0" w:line="240" w:lineRule="auto"/>
                          <w:rPr>
                            <w:rFonts w:cs="Arial"/>
                            <w:color w:val="FF0000"/>
                            <w:sz w:val="16"/>
                            <w:szCs w:val="16"/>
                          </w:rPr>
                        </w:pPr>
                        <w:r w:rsidRPr="00304503">
                          <w:rPr>
                            <w:rFonts w:eastAsia="Calibri" w:cs="Arial"/>
                            <w:color w:val="FF0000"/>
                            <w:sz w:val="16"/>
                            <w:szCs w:val="16"/>
                          </w:rPr>
                          <w:t>Assessed, n=284 residents (cross-section) </w:t>
                        </w:r>
                      </w:p>
                      <w:p w14:paraId="028DB3FB" w14:textId="77777777" w:rsidR="00411708" w:rsidRPr="00953587" w:rsidRDefault="00411708" w:rsidP="00C21835">
                        <w:pPr>
                          <w:pStyle w:val="NormalWeb"/>
                          <w:spacing w:before="0" w:line="240" w:lineRule="auto"/>
                          <w:rPr>
                            <w:rFonts w:cs="Arial"/>
                            <w:sz w:val="16"/>
                            <w:szCs w:val="16"/>
                          </w:rPr>
                        </w:pPr>
                        <w:r w:rsidRPr="00953587">
                          <w:rPr>
                            <w:rFonts w:eastAsia="Calibri" w:cs="Arial"/>
                            <w:sz w:val="16"/>
                            <w:szCs w:val="16"/>
                          </w:rPr>
                          <w:t> </w:t>
                        </w:r>
                      </w:p>
                    </w:txbxContent>
                  </v:textbox>
                </v:shape>
                <v:shape id="AutoShape 80" o:spid="_x0000_s1069" type="#_x0000_t32" style="position:absolute;left:5782;top:58625;width:0;height: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pewwAAANwAAAAPAAAAZHJzL2Rvd25yZXYueG1sRE9Na8JA&#10;EL0L/odlhN50kwq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yQF6XsMAAADcAAAADwAA&#10;AAAAAAAAAAAAAAAHAgAAZHJzL2Rvd25yZXYueG1sUEsFBgAAAAADAAMAtwAAAPcCAAAAAA==&#10;">
                  <v:stroke endarrow="block"/>
                </v:shape>
                <v:shape id="Straight Arrow Connector 37" o:spid="_x0000_s1070" type="#_x0000_t32" style="position:absolute;left:5921;top:52388;width:0;height: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Straight Arrow Connector 43" o:spid="_x0000_s1071" type="#_x0000_t32" style="position:absolute;left:27430;top:45486;width:6691;height:1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Straight Arrow Connector 79" o:spid="_x0000_s1072" type="#_x0000_t32" style="position:absolute;left:49442;top:52466;width:0;height:7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80" o:spid="_x0000_s1073" type="#_x0000_t32" style="position:absolute;left:49442;top:58622;width:0;height: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Straight Arrow Connector 81" o:spid="_x0000_s1074" type="#_x0000_t32" style="position:absolute;left:5970;top:63872;width:0;height:6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Straight Arrow Connector 82" o:spid="_x0000_s1075" type="#_x0000_t32" style="position:absolute;left:49442;top:63878;width:0;height: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">
                  <v:stroke endarrow="block"/>
                </v:shape>
                <v:shape id="AutoShape 80" o:spid="_x0000_s1076" type="#_x0000_t32" style="position:absolute;left:5782;top:71323;width:70;height: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 id="AutoShape 80" o:spid="_x0000_s1077" type="#_x0000_t32" style="position:absolute;left:49442;top:71384;width:77;height:7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w10:anchorlock/>
              </v:group>
            </w:pict>
          </mc:Fallback>
        </mc:AlternateContent>
      </w:r>
    </w:p>
    <w:p w14:paraId="4AD67A3C" w14:textId="51ACCCF2" w:rsidR="009B13F3" w:rsidRPr="00563AD3" w:rsidRDefault="009B13F3" w:rsidP="003047B3">
      <w:pPr>
        <w:pStyle w:val="Figure"/>
        <w:spacing w:line="276" w:lineRule="auto"/>
      </w:pPr>
      <w:bookmarkStart w:id="120" w:name="_Toc525805237"/>
      <w:r w:rsidRPr="00563AD3">
        <w:t xml:space="preserve">Figure </w:t>
      </w:r>
      <w:r w:rsidR="004F64A1">
        <w:rPr>
          <w:noProof/>
        </w:rPr>
        <w:fldChar w:fldCharType="begin"/>
      </w:r>
      <w:r w:rsidR="004F64A1">
        <w:rPr>
          <w:noProof/>
        </w:rPr>
        <w:instrText xml:space="preserve"> SEQ Figure \* ARABIC </w:instrText>
      </w:r>
      <w:r w:rsidR="004F64A1">
        <w:rPr>
          <w:noProof/>
        </w:rPr>
        <w:fldChar w:fldCharType="separate"/>
      </w:r>
      <w:r w:rsidR="008015C7">
        <w:rPr>
          <w:noProof/>
        </w:rPr>
        <w:t>1</w:t>
      </w:r>
      <w:r w:rsidR="004F64A1">
        <w:rPr>
          <w:noProof/>
        </w:rPr>
        <w:fldChar w:fldCharType="end"/>
      </w:r>
      <w:r w:rsidRPr="00563AD3">
        <w:t xml:space="preserve"> Care Home and Resident CONSORT Diagram</w:t>
      </w:r>
      <w:bookmarkEnd w:id="120"/>
    </w:p>
    <w:p w14:paraId="24DAC3CB" w14:textId="77777777" w:rsidR="006B095C" w:rsidRPr="00563AD3" w:rsidRDefault="006B095C" w:rsidP="009B13F3">
      <w:pPr>
        <w:sectPr w:rsidR="006B095C" w:rsidRPr="00563AD3" w:rsidSect="006B095C">
          <w:type w:val="continuous"/>
          <w:pgSz w:w="11906" w:h="16838"/>
          <w:pgMar w:top="1440" w:right="1440" w:bottom="1440" w:left="1440" w:header="708" w:footer="708" w:gutter="0"/>
          <w:cols w:space="708"/>
          <w:docGrid w:linePitch="360"/>
        </w:sectPr>
      </w:pPr>
    </w:p>
    <w:p w14:paraId="7795FACA" w14:textId="2BEFE857" w:rsidR="006B095C" w:rsidRPr="00563AD3" w:rsidRDefault="006B095C" w:rsidP="009B13F3">
      <w:pPr>
        <w:pStyle w:val="Tableheading"/>
      </w:pPr>
      <w:bookmarkStart w:id="121" w:name="_Toc948201"/>
      <w:bookmarkEnd w:id="119"/>
      <w:r w:rsidRPr="00563AD3">
        <w:t xml:space="preserve">Table </w:t>
      </w:r>
      <w:r w:rsidR="00CD5287" w:rsidRPr="00563AD3">
        <w:t>4</w:t>
      </w:r>
      <w:r w:rsidRPr="00563AD3">
        <w:t xml:space="preserve"> Characteristics of Screened Residents Overall and by Arm</w:t>
      </w:r>
      <w:bookmarkEnd w:id="121"/>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36"/>
        <w:gridCol w:w="1277"/>
        <w:gridCol w:w="1277"/>
        <w:gridCol w:w="1274"/>
        <w:gridCol w:w="1279"/>
        <w:gridCol w:w="1277"/>
        <w:gridCol w:w="1274"/>
        <w:gridCol w:w="1279"/>
        <w:gridCol w:w="1274"/>
        <w:gridCol w:w="1277"/>
        <w:gridCol w:w="1282"/>
      </w:tblGrid>
      <w:tr w:rsidR="006B095C" w:rsidRPr="00563AD3" w14:paraId="560CFDA2" w14:textId="77777777" w:rsidTr="00233B0D">
        <w:trPr>
          <w:cantSplit/>
          <w:tblHeader/>
          <w:jc w:val="center"/>
        </w:trPr>
        <w:tc>
          <w:tcPr>
            <w:tcW w:w="629" w:type="pct"/>
            <w:vMerge w:val="restart"/>
            <w:tcBorders>
              <w:top w:val="single" w:sz="4" w:space="0" w:color="auto"/>
              <w:left w:val="nil"/>
              <w:right w:val="nil"/>
            </w:tcBorders>
            <w:shd w:val="clear" w:color="auto" w:fill="FFFFFF"/>
            <w:tcMar>
              <w:top w:w="0" w:type="dxa"/>
              <w:left w:w="67" w:type="dxa"/>
              <w:bottom w:w="0" w:type="dxa"/>
              <w:right w:w="67" w:type="dxa"/>
            </w:tcMar>
            <w:vAlign w:val="bottom"/>
            <w:hideMark/>
          </w:tcPr>
          <w:p w14:paraId="4FC3127D" w14:textId="77777777" w:rsidR="006B095C" w:rsidRPr="00563AD3" w:rsidRDefault="006B095C" w:rsidP="00CC68C0">
            <w:pPr>
              <w:keepNext/>
              <w:spacing w:line="240" w:lineRule="auto"/>
              <w:rPr>
                <w:b/>
                <w:bCs/>
                <w:color w:val="000000"/>
                <w:sz w:val="20"/>
                <w:szCs w:val="20"/>
              </w:rPr>
            </w:pPr>
          </w:p>
        </w:tc>
        <w:tc>
          <w:tcPr>
            <w:tcW w:w="1748" w:type="pct"/>
            <w:gridSpan w:val="4"/>
            <w:tcBorders>
              <w:top w:val="single" w:sz="4" w:space="0" w:color="auto"/>
              <w:left w:val="nil"/>
              <w:bottom w:val="single" w:sz="4" w:space="0" w:color="auto"/>
              <w:right w:val="nil"/>
            </w:tcBorders>
            <w:shd w:val="clear" w:color="auto" w:fill="FFFFFF"/>
            <w:tcMar>
              <w:top w:w="0" w:type="dxa"/>
              <w:left w:w="67" w:type="dxa"/>
              <w:bottom w:w="0" w:type="dxa"/>
              <w:right w:w="67" w:type="dxa"/>
            </w:tcMar>
            <w:vAlign w:val="bottom"/>
            <w:hideMark/>
          </w:tcPr>
          <w:p w14:paraId="09A93009" w14:textId="77777777" w:rsidR="006B095C" w:rsidRPr="00563AD3" w:rsidRDefault="006B095C" w:rsidP="00CC68C0">
            <w:pPr>
              <w:keepNext/>
              <w:spacing w:line="240" w:lineRule="auto"/>
              <w:jc w:val="center"/>
              <w:rPr>
                <w:b/>
                <w:bCs/>
                <w:color w:val="000000"/>
                <w:sz w:val="20"/>
                <w:szCs w:val="20"/>
              </w:rPr>
            </w:pPr>
            <w:r w:rsidRPr="00563AD3">
              <w:rPr>
                <w:b/>
                <w:bCs/>
                <w:color w:val="000000"/>
                <w:sz w:val="20"/>
                <w:szCs w:val="20"/>
              </w:rPr>
              <w:t xml:space="preserve">Original Cohort          </w:t>
            </w:r>
          </w:p>
        </w:tc>
        <w:tc>
          <w:tcPr>
            <w:tcW w:w="2622" w:type="pct"/>
            <w:gridSpan w:val="6"/>
            <w:tcBorders>
              <w:top w:val="single" w:sz="4" w:space="0" w:color="auto"/>
              <w:left w:val="nil"/>
              <w:bottom w:val="single" w:sz="4" w:space="0" w:color="auto"/>
              <w:right w:val="nil"/>
            </w:tcBorders>
            <w:shd w:val="clear" w:color="auto" w:fill="A6A6A6" w:themeFill="background1" w:themeFillShade="A6"/>
            <w:vAlign w:val="bottom"/>
            <w:hideMark/>
          </w:tcPr>
          <w:p w14:paraId="3AA48EF4" w14:textId="77777777" w:rsidR="006B095C" w:rsidRPr="00563AD3" w:rsidRDefault="006B095C" w:rsidP="00CC68C0">
            <w:pPr>
              <w:keepNext/>
              <w:spacing w:line="240" w:lineRule="auto"/>
              <w:jc w:val="center"/>
              <w:rPr>
                <w:b/>
                <w:bCs/>
                <w:color w:val="000000"/>
                <w:sz w:val="20"/>
                <w:szCs w:val="20"/>
              </w:rPr>
            </w:pPr>
            <w:r w:rsidRPr="00563AD3">
              <w:rPr>
                <w:b/>
                <w:bCs/>
                <w:color w:val="000000"/>
                <w:sz w:val="20"/>
                <w:szCs w:val="20"/>
              </w:rPr>
              <w:t>Additional</w:t>
            </w:r>
          </w:p>
        </w:tc>
      </w:tr>
      <w:tr w:rsidR="006B095C" w:rsidRPr="00563AD3" w14:paraId="224E7E64" w14:textId="77777777" w:rsidTr="00233B0D">
        <w:trPr>
          <w:cantSplit/>
          <w:tblHeader/>
          <w:jc w:val="center"/>
        </w:trPr>
        <w:tc>
          <w:tcPr>
            <w:tcW w:w="629" w:type="pct"/>
            <w:vMerge/>
            <w:tcBorders>
              <w:left w:val="nil"/>
              <w:bottom w:val="single" w:sz="4" w:space="0" w:color="auto"/>
              <w:right w:val="nil"/>
            </w:tcBorders>
            <w:shd w:val="clear" w:color="auto" w:fill="FFFFFF"/>
            <w:tcMar>
              <w:top w:w="0" w:type="dxa"/>
              <w:left w:w="67" w:type="dxa"/>
              <w:bottom w:w="0" w:type="dxa"/>
              <w:right w:w="67" w:type="dxa"/>
            </w:tcMar>
            <w:vAlign w:val="bottom"/>
          </w:tcPr>
          <w:p w14:paraId="4B6B0545" w14:textId="77777777" w:rsidR="006B095C" w:rsidRPr="00563AD3" w:rsidRDefault="006B095C" w:rsidP="00CC68C0">
            <w:pPr>
              <w:keepNext/>
              <w:spacing w:line="240" w:lineRule="auto"/>
              <w:rPr>
                <w:b/>
                <w:bCs/>
                <w:color w:val="000000"/>
                <w:sz w:val="20"/>
                <w:szCs w:val="20"/>
              </w:rPr>
            </w:pPr>
          </w:p>
        </w:tc>
        <w:tc>
          <w:tcPr>
            <w:tcW w:w="437" w:type="pct"/>
            <w:tcBorders>
              <w:top w:val="single" w:sz="4" w:space="0" w:color="auto"/>
              <w:left w:val="nil"/>
              <w:bottom w:val="single" w:sz="4" w:space="0" w:color="auto"/>
              <w:right w:val="nil"/>
            </w:tcBorders>
            <w:shd w:val="clear" w:color="auto" w:fill="F2F2F2" w:themeFill="background1" w:themeFillShade="F2"/>
            <w:tcMar>
              <w:top w:w="0" w:type="dxa"/>
              <w:left w:w="67" w:type="dxa"/>
              <w:bottom w:w="0" w:type="dxa"/>
              <w:right w:w="67" w:type="dxa"/>
            </w:tcMar>
            <w:vAlign w:val="bottom"/>
          </w:tcPr>
          <w:p w14:paraId="63B6049A" w14:textId="77777777" w:rsidR="006B095C" w:rsidRPr="00563AD3" w:rsidRDefault="006B095C" w:rsidP="00CC68C0">
            <w:pPr>
              <w:keepNext/>
              <w:spacing w:line="240" w:lineRule="auto"/>
              <w:jc w:val="center"/>
              <w:rPr>
                <w:b/>
                <w:bCs/>
                <w:color w:val="000000"/>
                <w:sz w:val="20"/>
                <w:szCs w:val="20"/>
              </w:rPr>
            </w:pPr>
            <w:r w:rsidRPr="00563AD3">
              <w:rPr>
                <w:b/>
                <w:bCs/>
                <w:color w:val="000000"/>
                <w:sz w:val="20"/>
                <w:szCs w:val="20"/>
              </w:rPr>
              <w:t>Screened</w:t>
            </w:r>
          </w:p>
        </w:tc>
        <w:tc>
          <w:tcPr>
            <w:tcW w:w="1311" w:type="pct"/>
            <w:gridSpan w:val="3"/>
            <w:tcBorders>
              <w:top w:val="single" w:sz="4" w:space="0" w:color="auto"/>
              <w:left w:val="nil"/>
              <w:bottom w:val="single" w:sz="4" w:space="0" w:color="auto"/>
              <w:right w:val="nil"/>
            </w:tcBorders>
            <w:shd w:val="clear" w:color="auto" w:fill="D9D9D9" w:themeFill="background1" w:themeFillShade="D9"/>
            <w:vAlign w:val="bottom"/>
          </w:tcPr>
          <w:p w14:paraId="58DB6E4C" w14:textId="77777777" w:rsidR="006B095C" w:rsidRPr="00563AD3" w:rsidRDefault="006B095C" w:rsidP="00CC68C0">
            <w:pPr>
              <w:keepNext/>
              <w:spacing w:line="240" w:lineRule="auto"/>
              <w:jc w:val="center"/>
              <w:rPr>
                <w:b/>
                <w:sz w:val="20"/>
                <w:szCs w:val="20"/>
              </w:rPr>
            </w:pPr>
            <w:r w:rsidRPr="00563AD3">
              <w:rPr>
                <w:b/>
                <w:bCs/>
                <w:color w:val="000000"/>
                <w:sz w:val="20"/>
                <w:szCs w:val="20"/>
              </w:rPr>
              <w:t>Registered</w:t>
            </w:r>
          </w:p>
        </w:tc>
        <w:tc>
          <w:tcPr>
            <w:tcW w:w="1311" w:type="pct"/>
            <w:gridSpan w:val="3"/>
            <w:tcBorders>
              <w:top w:val="single" w:sz="4" w:space="0" w:color="auto"/>
              <w:left w:val="nil"/>
              <w:bottom w:val="single" w:sz="4" w:space="0" w:color="auto"/>
              <w:right w:val="nil"/>
            </w:tcBorders>
            <w:shd w:val="clear" w:color="auto" w:fill="F2F2F2" w:themeFill="background1" w:themeFillShade="F2"/>
            <w:vAlign w:val="bottom"/>
          </w:tcPr>
          <w:p w14:paraId="75233817" w14:textId="77777777" w:rsidR="006B095C" w:rsidRPr="00563AD3" w:rsidRDefault="006B095C" w:rsidP="00CC68C0">
            <w:pPr>
              <w:keepNext/>
              <w:spacing w:line="240" w:lineRule="auto"/>
              <w:jc w:val="center"/>
              <w:rPr>
                <w:b/>
                <w:sz w:val="20"/>
                <w:szCs w:val="20"/>
              </w:rPr>
            </w:pPr>
            <w:r w:rsidRPr="00563AD3">
              <w:rPr>
                <w:b/>
                <w:bCs/>
                <w:color w:val="000000"/>
                <w:sz w:val="20"/>
                <w:szCs w:val="20"/>
              </w:rPr>
              <w:t>Screened*</w:t>
            </w:r>
          </w:p>
        </w:tc>
        <w:tc>
          <w:tcPr>
            <w:tcW w:w="1311" w:type="pct"/>
            <w:gridSpan w:val="3"/>
            <w:tcBorders>
              <w:top w:val="single" w:sz="4" w:space="0" w:color="auto"/>
              <w:left w:val="nil"/>
              <w:bottom w:val="single" w:sz="4" w:space="0" w:color="auto"/>
              <w:right w:val="nil"/>
            </w:tcBorders>
            <w:shd w:val="clear" w:color="auto" w:fill="D9D9D9" w:themeFill="background1" w:themeFillShade="D9"/>
            <w:vAlign w:val="bottom"/>
          </w:tcPr>
          <w:p w14:paraId="632BCC6E" w14:textId="77777777" w:rsidR="006B095C" w:rsidRPr="00563AD3" w:rsidRDefault="006B095C" w:rsidP="00CC68C0">
            <w:pPr>
              <w:keepNext/>
              <w:spacing w:line="240" w:lineRule="auto"/>
              <w:jc w:val="center"/>
              <w:rPr>
                <w:b/>
                <w:bCs/>
                <w:color w:val="000000"/>
                <w:sz w:val="20"/>
                <w:szCs w:val="20"/>
              </w:rPr>
            </w:pPr>
            <w:r w:rsidRPr="00563AD3">
              <w:rPr>
                <w:b/>
                <w:sz w:val="20"/>
                <w:szCs w:val="20"/>
              </w:rPr>
              <w:t>Registered</w:t>
            </w:r>
          </w:p>
        </w:tc>
      </w:tr>
      <w:tr w:rsidR="006B095C" w:rsidRPr="00563AD3" w14:paraId="49D36E8D" w14:textId="77777777" w:rsidTr="00233B0D">
        <w:trPr>
          <w:cantSplit/>
          <w:tblHeader/>
          <w:jc w:val="center"/>
        </w:trPr>
        <w:tc>
          <w:tcPr>
            <w:tcW w:w="629" w:type="pct"/>
            <w:vMerge/>
            <w:tcBorders>
              <w:left w:val="nil"/>
              <w:bottom w:val="single" w:sz="4" w:space="0" w:color="auto"/>
              <w:right w:val="nil"/>
            </w:tcBorders>
            <w:shd w:val="clear" w:color="auto" w:fill="FFFFFF"/>
            <w:tcMar>
              <w:top w:w="0" w:type="dxa"/>
              <w:left w:w="67" w:type="dxa"/>
              <w:bottom w:w="0" w:type="dxa"/>
              <w:right w:w="67" w:type="dxa"/>
            </w:tcMar>
            <w:vAlign w:val="bottom"/>
          </w:tcPr>
          <w:p w14:paraId="3853816B" w14:textId="77777777" w:rsidR="006B095C" w:rsidRPr="00563AD3" w:rsidRDefault="006B095C" w:rsidP="00CC68C0">
            <w:pPr>
              <w:keepNext/>
              <w:spacing w:line="240" w:lineRule="auto"/>
              <w:rPr>
                <w:b/>
                <w:bCs/>
                <w:color w:val="000000"/>
                <w:sz w:val="20"/>
                <w:szCs w:val="20"/>
              </w:rPr>
            </w:pPr>
          </w:p>
        </w:tc>
        <w:tc>
          <w:tcPr>
            <w:tcW w:w="437" w:type="pct"/>
            <w:tcBorders>
              <w:top w:val="single" w:sz="4" w:space="0" w:color="auto"/>
              <w:left w:val="nil"/>
              <w:bottom w:val="single" w:sz="4" w:space="0" w:color="auto"/>
              <w:right w:val="nil"/>
            </w:tcBorders>
            <w:shd w:val="clear" w:color="auto" w:fill="F2F2F2" w:themeFill="background1" w:themeFillShade="F2"/>
            <w:tcMar>
              <w:top w:w="0" w:type="dxa"/>
              <w:left w:w="67" w:type="dxa"/>
              <w:bottom w:w="0" w:type="dxa"/>
              <w:right w:w="67" w:type="dxa"/>
            </w:tcMar>
            <w:vAlign w:val="bottom"/>
          </w:tcPr>
          <w:p w14:paraId="7698BD76" w14:textId="77777777" w:rsidR="006B095C" w:rsidRPr="00563AD3" w:rsidRDefault="006B095C" w:rsidP="00CC68C0">
            <w:pPr>
              <w:keepNext/>
              <w:spacing w:line="240" w:lineRule="auto"/>
              <w:jc w:val="right"/>
              <w:rPr>
                <w:b/>
                <w:bCs/>
                <w:color w:val="000000"/>
                <w:sz w:val="20"/>
                <w:szCs w:val="20"/>
              </w:rPr>
            </w:pPr>
            <w:r w:rsidRPr="00563AD3">
              <w:rPr>
                <w:b/>
                <w:bCs/>
                <w:color w:val="000000"/>
                <w:sz w:val="20"/>
                <w:szCs w:val="20"/>
              </w:rPr>
              <w:t>Total (n=1564)</w:t>
            </w:r>
          </w:p>
        </w:tc>
        <w:tc>
          <w:tcPr>
            <w:tcW w:w="437" w:type="pct"/>
            <w:tcBorders>
              <w:top w:val="single" w:sz="4" w:space="0" w:color="auto"/>
              <w:left w:val="nil"/>
              <w:bottom w:val="single" w:sz="4" w:space="0" w:color="auto"/>
              <w:right w:val="nil"/>
            </w:tcBorders>
            <w:shd w:val="clear" w:color="auto" w:fill="FFFFFF"/>
            <w:vAlign w:val="bottom"/>
          </w:tcPr>
          <w:p w14:paraId="5CA93EAB" w14:textId="77777777" w:rsidR="006B095C" w:rsidRPr="00563AD3" w:rsidRDefault="006B095C" w:rsidP="00CC68C0">
            <w:pPr>
              <w:keepNext/>
              <w:spacing w:line="240" w:lineRule="auto"/>
              <w:jc w:val="right"/>
              <w:rPr>
                <w:b/>
                <w:bCs/>
                <w:color w:val="000000"/>
                <w:sz w:val="20"/>
                <w:szCs w:val="20"/>
              </w:rPr>
            </w:pPr>
            <w:r w:rsidRPr="00563AD3">
              <w:rPr>
                <w:b/>
                <w:bCs/>
                <w:color w:val="000000"/>
                <w:sz w:val="20"/>
                <w:szCs w:val="20"/>
              </w:rPr>
              <w:t xml:space="preserve">Control (n=308) </w:t>
            </w:r>
          </w:p>
        </w:tc>
        <w:tc>
          <w:tcPr>
            <w:tcW w:w="436" w:type="pct"/>
            <w:tcBorders>
              <w:top w:val="single" w:sz="4" w:space="0" w:color="auto"/>
              <w:left w:val="nil"/>
              <w:bottom w:val="single" w:sz="4" w:space="0" w:color="auto"/>
              <w:right w:val="nil"/>
            </w:tcBorders>
            <w:shd w:val="clear" w:color="auto" w:fill="FFFFFF"/>
            <w:vAlign w:val="bottom"/>
          </w:tcPr>
          <w:p w14:paraId="63D6080D" w14:textId="77777777" w:rsidR="006B095C" w:rsidRPr="00563AD3" w:rsidRDefault="006B095C" w:rsidP="00CC68C0">
            <w:pPr>
              <w:keepNext/>
              <w:spacing w:line="240" w:lineRule="auto"/>
              <w:jc w:val="right"/>
              <w:rPr>
                <w:b/>
                <w:sz w:val="20"/>
                <w:szCs w:val="20"/>
              </w:rPr>
            </w:pPr>
            <w:r w:rsidRPr="00563AD3">
              <w:rPr>
                <w:b/>
                <w:sz w:val="20"/>
                <w:szCs w:val="20"/>
              </w:rPr>
              <w:t xml:space="preserve">Intervention </w:t>
            </w:r>
            <w:r w:rsidRPr="00563AD3">
              <w:rPr>
                <w:b/>
                <w:bCs/>
                <w:color w:val="000000"/>
                <w:sz w:val="20"/>
                <w:szCs w:val="20"/>
              </w:rPr>
              <w:t>(n=418)</w:t>
            </w:r>
          </w:p>
        </w:tc>
        <w:tc>
          <w:tcPr>
            <w:tcW w:w="437" w:type="pct"/>
            <w:tcBorders>
              <w:top w:val="single" w:sz="4" w:space="0" w:color="auto"/>
              <w:left w:val="nil"/>
              <w:bottom w:val="single" w:sz="4" w:space="0" w:color="auto"/>
              <w:right w:val="nil"/>
            </w:tcBorders>
            <w:shd w:val="clear" w:color="auto" w:fill="D9D9D9" w:themeFill="background1" w:themeFillShade="D9"/>
            <w:vAlign w:val="bottom"/>
          </w:tcPr>
          <w:p w14:paraId="24FFC413" w14:textId="77777777" w:rsidR="006B095C" w:rsidRPr="00563AD3" w:rsidRDefault="006B095C" w:rsidP="00CC68C0">
            <w:pPr>
              <w:keepNext/>
              <w:spacing w:line="240" w:lineRule="auto"/>
              <w:jc w:val="right"/>
              <w:rPr>
                <w:b/>
                <w:sz w:val="20"/>
                <w:szCs w:val="20"/>
              </w:rPr>
            </w:pPr>
            <w:r w:rsidRPr="00563AD3">
              <w:rPr>
                <w:b/>
                <w:sz w:val="20"/>
                <w:szCs w:val="20"/>
              </w:rPr>
              <w:t xml:space="preserve">Total </w:t>
            </w:r>
            <w:r w:rsidRPr="00563AD3">
              <w:rPr>
                <w:b/>
                <w:bCs/>
                <w:color w:val="000000"/>
                <w:sz w:val="20"/>
                <w:szCs w:val="20"/>
              </w:rPr>
              <w:t>(n=726)</w:t>
            </w:r>
          </w:p>
        </w:tc>
        <w:tc>
          <w:tcPr>
            <w:tcW w:w="437" w:type="pct"/>
            <w:tcBorders>
              <w:top w:val="single" w:sz="4" w:space="0" w:color="auto"/>
              <w:left w:val="nil"/>
              <w:bottom w:val="single" w:sz="4" w:space="0" w:color="auto"/>
              <w:right w:val="nil"/>
            </w:tcBorders>
            <w:shd w:val="clear" w:color="auto" w:fill="FFFFFF"/>
            <w:vAlign w:val="bottom"/>
          </w:tcPr>
          <w:p w14:paraId="0311CF38" w14:textId="77777777" w:rsidR="006B095C" w:rsidRPr="00563AD3" w:rsidRDefault="006B095C" w:rsidP="00CC68C0">
            <w:pPr>
              <w:keepNext/>
              <w:spacing w:line="240" w:lineRule="auto"/>
              <w:jc w:val="right"/>
              <w:rPr>
                <w:b/>
                <w:bCs/>
                <w:color w:val="000000"/>
                <w:sz w:val="20"/>
                <w:szCs w:val="20"/>
              </w:rPr>
            </w:pPr>
            <w:r w:rsidRPr="00563AD3">
              <w:rPr>
                <w:b/>
                <w:bCs/>
                <w:color w:val="000000"/>
                <w:sz w:val="20"/>
                <w:szCs w:val="20"/>
              </w:rPr>
              <w:t>Control (n=275)</w:t>
            </w:r>
          </w:p>
        </w:tc>
        <w:tc>
          <w:tcPr>
            <w:tcW w:w="436" w:type="pct"/>
            <w:tcBorders>
              <w:top w:val="single" w:sz="4" w:space="0" w:color="auto"/>
              <w:left w:val="nil"/>
              <w:bottom w:val="single" w:sz="4" w:space="0" w:color="auto"/>
              <w:right w:val="nil"/>
            </w:tcBorders>
            <w:shd w:val="clear" w:color="auto" w:fill="FFFFFF"/>
            <w:vAlign w:val="bottom"/>
          </w:tcPr>
          <w:p w14:paraId="5D47414D" w14:textId="77777777" w:rsidR="006B095C" w:rsidRPr="00563AD3" w:rsidRDefault="006B095C" w:rsidP="00CC68C0">
            <w:pPr>
              <w:keepNext/>
              <w:spacing w:line="240" w:lineRule="auto"/>
              <w:jc w:val="right"/>
              <w:rPr>
                <w:b/>
                <w:bCs/>
                <w:color w:val="000000"/>
                <w:sz w:val="20"/>
                <w:szCs w:val="20"/>
              </w:rPr>
            </w:pPr>
            <w:r w:rsidRPr="00563AD3">
              <w:rPr>
                <w:b/>
                <w:bCs/>
                <w:color w:val="000000"/>
                <w:sz w:val="20"/>
                <w:szCs w:val="20"/>
              </w:rPr>
              <w:t>Intervention (n=602)</w:t>
            </w:r>
          </w:p>
        </w:tc>
        <w:tc>
          <w:tcPr>
            <w:tcW w:w="437" w:type="pct"/>
            <w:tcBorders>
              <w:top w:val="single" w:sz="4" w:space="0" w:color="auto"/>
              <w:left w:val="nil"/>
              <w:bottom w:val="single" w:sz="4" w:space="0" w:color="auto"/>
              <w:right w:val="nil"/>
            </w:tcBorders>
            <w:shd w:val="clear" w:color="auto" w:fill="F2F2F2" w:themeFill="background1" w:themeFillShade="F2"/>
            <w:vAlign w:val="bottom"/>
          </w:tcPr>
          <w:p w14:paraId="11A11C64" w14:textId="77777777" w:rsidR="006B095C" w:rsidRPr="00563AD3" w:rsidRDefault="006B095C" w:rsidP="00CC68C0">
            <w:pPr>
              <w:keepNext/>
              <w:spacing w:line="240" w:lineRule="auto"/>
              <w:jc w:val="right"/>
              <w:rPr>
                <w:b/>
                <w:sz w:val="20"/>
                <w:szCs w:val="20"/>
              </w:rPr>
            </w:pPr>
            <w:r w:rsidRPr="00563AD3">
              <w:rPr>
                <w:b/>
                <w:bCs/>
                <w:color w:val="000000"/>
                <w:sz w:val="20"/>
                <w:szCs w:val="20"/>
              </w:rPr>
              <w:t>Total (n=877)</w:t>
            </w:r>
          </w:p>
        </w:tc>
        <w:tc>
          <w:tcPr>
            <w:tcW w:w="436" w:type="pct"/>
            <w:tcBorders>
              <w:top w:val="single" w:sz="4" w:space="0" w:color="auto"/>
              <w:left w:val="nil"/>
              <w:bottom w:val="single" w:sz="4" w:space="0" w:color="auto"/>
              <w:right w:val="nil"/>
            </w:tcBorders>
            <w:shd w:val="clear" w:color="auto" w:fill="FFFFFF"/>
            <w:vAlign w:val="bottom"/>
          </w:tcPr>
          <w:p w14:paraId="6CCAE4A5" w14:textId="77777777" w:rsidR="006B095C" w:rsidRPr="00563AD3" w:rsidRDefault="006B095C" w:rsidP="00CC68C0">
            <w:pPr>
              <w:keepNext/>
              <w:spacing w:line="240" w:lineRule="auto"/>
              <w:jc w:val="right"/>
              <w:rPr>
                <w:b/>
                <w:sz w:val="20"/>
                <w:szCs w:val="20"/>
              </w:rPr>
            </w:pPr>
            <w:r w:rsidRPr="00563AD3">
              <w:rPr>
                <w:b/>
                <w:bCs/>
                <w:color w:val="000000"/>
                <w:sz w:val="20"/>
                <w:szCs w:val="20"/>
              </w:rPr>
              <w:t>Control (n=99)</w:t>
            </w:r>
          </w:p>
        </w:tc>
        <w:tc>
          <w:tcPr>
            <w:tcW w:w="437" w:type="pct"/>
            <w:tcBorders>
              <w:top w:val="single" w:sz="4" w:space="0" w:color="auto"/>
              <w:left w:val="nil"/>
              <w:bottom w:val="single" w:sz="4" w:space="0" w:color="auto"/>
              <w:right w:val="nil"/>
            </w:tcBorders>
            <w:shd w:val="clear" w:color="auto" w:fill="FFFFFF"/>
            <w:vAlign w:val="bottom"/>
          </w:tcPr>
          <w:p w14:paraId="3EB2703F" w14:textId="77777777" w:rsidR="006B095C" w:rsidRPr="00563AD3" w:rsidRDefault="006B095C" w:rsidP="00CC68C0">
            <w:pPr>
              <w:keepNext/>
              <w:spacing w:line="240" w:lineRule="auto"/>
              <w:jc w:val="right"/>
              <w:rPr>
                <w:b/>
                <w:sz w:val="20"/>
                <w:szCs w:val="20"/>
              </w:rPr>
            </w:pPr>
            <w:r w:rsidRPr="00563AD3">
              <w:rPr>
                <w:b/>
                <w:bCs/>
                <w:color w:val="000000"/>
                <w:sz w:val="20"/>
                <w:szCs w:val="20"/>
              </w:rPr>
              <w:t>Intervention (n=162)</w:t>
            </w:r>
          </w:p>
        </w:tc>
        <w:tc>
          <w:tcPr>
            <w:tcW w:w="437" w:type="pct"/>
            <w:tcBorders>
              <w:top w:val="single" w:sz="4" w:space="0" w:color="auto"/>
              <w:left w:val="nil"/>
              <w:bottom w:val="single" w:sz="4" w:space="0" w:color="auto"/>
              <w:right w:val="nil"/>
            </w:tcBorders>
            <w:shd w:val="clear" w:color="auto" w:fill="D9D9D9" w:themeFill="background1" w:themeFillShade="D9"/>
            <w:vAlign w:val="bottom"/>
          </w:tcPr>
          <w:p w14:paraId="5E8906B6" w14:textId="77777777" w:rsidR="006B095C" w:rsidRPr="00563AD3" w:rsidRDefault="006B095C" w:rsidP="00CC68C0">
            <w:pPr>
              <w:keepNext/>
              <w:spacing w:line="240" w:lineRule="auto"/>
              <w:jc w:val="right"/>
              <w:rPr>
                <w:b/>
                <w:sz w:val="20"/>
                <w:szCs w:val="20"/>
              </w:rPr>
            </w:pPr>
            <w:r w:rsidRPr="00563AD3">
              <w:rPr>
                <w:b/>
                <w:bCs/>
                <w:color w:val="000000"/>
                <w:sz w:val="20"/>
                <w:szCs w:val="20"/>
              </w:rPr>
              <w:t>Total (n=261)</w:t>
            </w:r>
          </w:p>
        </w:tc>
      </w:tr>
      <w:tr w:rsidR="006B095C" w:rsidRPr="00563AD3" w14:paraId="46C0AB8B" w14:textId="77777777" w:rsidTr="00233B0D">
        <w:trPr>
          <w:cantSplit/>
          <w:jc w:val="center"/>
        </w:trPr>
        <w:tc>
          <w:tcPr>
            <w:tcW w:w="629" w:type="pct"/>
            <w:tcBorders>
              <w:top w:val="single" w:sz="4" w:space="0" w:color="auto"/>
              <w:left w:val="nil"/>
              <w:bottom w:val="single" w:sz="4" w:space="0" w:color="auto"/>
              <w:right w:val="nil"/>
            </w:tcBorders>
            <w:shd w:val="clear" w:color="auto" w:fill="FFFFFF"/>
            <w:tcMar>
              <w:top w:w="0" w:type="dxa"/>
              <w:left w:w="67" w:type="dxa"/>
              <w:bottom w:w="0" w:type="dxa"/>
              <w:right w:w="67" w:type="dxa"/>
            </w:tcMar>
            <w:hideMark/>
          </w:tcPr>
          <w:p w14:paraId="4F44E96B" w14:textId="77777777" w:rsidR="006B095C" w:rsidRPr="00563AD3" w:rsidRDefault="006B095C" w:rsidP="00CC68C0">
            <w:pPr>
              <w:spacing w:line="240" w:lineRule="auto"/>
              <w:rPr>
                <w:color w:val="000000"/>
                <w:sz w:val="20"/>
                <w:szCs w:val="20"/>
              </w:rPr>
            </w:pPr>
            <w:r w:rsidRPr="00563AD3">
              <w:rPr>
                <w:b/>
                <w:bCs/>
                <w:color w:val="000000"/>
                <w:sz w:val="20"/>
                <w:szCs w:val="20"/>
              </w:rPr>
              <w:t xml:space="preserve">Age at registration (years) </w:t>
            </w:r>
            <w:r w:rsidRPr="00563AD3">
              <w:rPr>
                <w:color w:val="000000"/>
                <w:sz w:val="20"/>
                <w:szCs w:val="20"/>
              </w:rPr>
              <w:t>Mean (SD)</w:t>
            </w:r>
          </w:p>
        </w:tc>
        <w:tc>
          <w:tcPr>
            <w:tcW w:w="437" w:type="pct"/>
            <w:tcBorders>
              <w:top w:val="single" w:sz="4" w:space="0" w:color="auto"/>
              <w:left w:val="nil"/>
              <w:bottom w:val="single" w:sz="4" w:space="0" w:color="auto"/>
              <w:right w:val="nil"/>
            </w:tcBorders>
            <w:shd w:val="clear" w:color="auto" w:fill="F2F2F2" w:themeFill="background1" w:themeFillShade="F2"/>
            <w:tcMar>
              <w:top w:w="0" w:type="dxa"/>
              <w:left w:w="67" w:type="dxa"/>
              <w:bottom w:w="0" w:type="dxa"/>
              <w:right w:w="67" w:type="dxa"/>
            </w:tcMar>
          </w:tcPr>
          <w:p w14:paraId="21BB91AE" w14:textId="77777777" w:rsidR="006B095C" w:rsidRPr="00563AD3" w:rsidRDefault="006B095C" w:rsidP="00CC68C0">
            <w:pPr>
              <w:spacing w:line="240" w:lineRule="auto"/>
              <w:jc w:val="right"/>
              <w:rPr>
                <w:color w:val="000000"/>
                <w:sz w:val="20"/>
                <w:szCs w:val="20"/>
              </w:rPr>
            </w:pPr>
            <w:r w:rsidRPr="00563AD3">
              <w:rPr>
                <w:color w:val="000000"/>
                <w:sz w:val="20"/>
                <w:szCs w:val="20"/>
              </w:rPr>
              <w:t>85.1 (8.18)</w:t>
            </w:r>
          </w:p>
        </w:tc>
        <w:tc>
          <w:tcPr>
            <w:tcW w:w="437" w:type="pct"/>
            <w:tcBorders>
              <w:top w:val="single" w:sz="4" w:space="0" w:color="auto"/>
              <w:left w:val="nil"/>
              <w:bottom w:val="single" w:sz="4" w:space="0" w:color="auto"/>
              <w:right w:val="nil"/>
            </w:tcBorders>
            <w:shd w:val="clear" w:color="auto" w:fill="FFFFFF"/>
          </w:tcPr>
          <w:p w14:paraId="33D07197" w14:textId="77777777" w:rsidR="006B095C" w:rsidRPr="00563AD3" w:rsidRDefault="006B095C" w:rsidP="00CC68C0">
            <w:pPr>
              <w:spacing w:line="240" w:lineRule="auto"/>
              <w:jc w:val="right"/>
              <w:rPr>
                <w:color w:val="000000"/>
                <w:sz w:val="20"/>
                <w:szCs w:val="20"/>
              </w:rPr>
            </w:pPr>
            <w:r w:rsidRPr="00563AD3">
              <w:rPr>
                <w:color w:val="000000"/>
                <w:sz w:val="20"/>
                <w:szCs w:val="20"/>
              </w:rPr>
              <w:t>85.2 (7.37)</w:t>
            </w:r>
          </w:p>
        </w:tc>
        <w:tc>
          <w:tcPr>
            <w:tcW w:w="436" w:type="pct"/>
            <w:tcBorders>
              <w:top w:val="single" w:sz="4" w:space="0" w:color="auto"/>
              <w:left w:val="nil"/>
              <w:bottom w:val="single" w:sz="4" w:space="0" w:color="auto"/>
              <w:right w:val="nil"/>
            </w:tcBorders>
            <w:shd w:val="clear" w:color="auto" w:fill="FFFFFF"/>
          </w:tcPr>
          <w:p w14:paraId="5EA27C3B" w14:textId="77777777" w:rsidR="006B095C" w:rsidRPr="00563AD3" w:rsidRDefault="006B095C" w:rsidP="00CC68C0">
            <w:pPr>
              <w:spacing w:line="240" w:lineRule="auto"/>
              <w:jc w:val="right"/>
              <w:rPr>
                <w:color w:val="000000"/>
                <w:sz w:val="20"/>
                <w:szCs w:val="20"/>
              </w:rPr>
            </w:pPr>
            <w:r w:rsidRPr="00563AD3">
              <w:rPr>
                <w:color w:val="000000"/>
                <w:sz w:val="20"/>
                <w:szCs w:val="20"/>
              </w:rPr>
              <w:t>85.9 (7.83)</w:t>
            </w:r>
          </w:p>
        </w:tc>
        <w:tc>
          <w:tcPr>
            <w:tcW w:w="437" w:type="pct"/>
            <w:tcBorders>
              <w:top w:val="single" w:sz="4" w:space="0" w:color="auto"/>
              <w:left w:val="nil"/>
              <w:bottom w:val="single" w:sz="4" w:space="0" w:color="auto"/>
              <w:right w:val="nil"/>
            </w:tcBorders>
            <w:shd w:val="clear" w:color="auto" w:fill="D9D9D9" w:themeFill="background1" w:themeFillShade="D9"/>
          </w:tcPr>
          <w:p w14:paraId="1A84BD20" w14:textId="77777777" w:rsidR="006B095C" w:rsidRPr="00563AD3" w:rsidRDefault="006B095C" w:rsidP="00CC68C0">
            <w:pPr>
              <w:spacing w:line="240" w:lineRule="auto"/>
              <w:jc w:val="right"/>
              <w:rPr>
                <w:color w:val="000000"/>
                <w:sz w:val="20"/>
                <w:szCs w:val="20"/>
              </w:rPr>
            </w:pPr>
            <w:r w:rsidRPr="00563AD3">
              <w:rPr>
                <w:color w:val="000000"/>
                <w:sz w:val="20"/>
                <w:szCs w:val="20"/>
              </w:rPr>
              <w:t>85.6 (7.64)</w:t>
            </w:r>
          </w:p>
        </w:tc>
        <w:tc>
          <w:tcPr>
            <w:tcW w:w="437" w:type="pct"/>
            <w:tcBorders>
              <w:top w:val="single" w:sz="4" w:space="0" w:color="auto"/>
              <w:left w:val="nil"/>
              <w:bottom w:val="single" w:sz="4" w:space="0" w:color="auto"/>
              <w:right w:val="nil"/>
            </w:tcBorders>
            <w:shd w:val="clear" w:color="auto" w:fill="FFFFFF"/>
          </w:tcPr>
          <w:p w14:paraId="7158385C" w14:textId="77777777" w:rsidR="006B095C" w:rsidRPr="00563AD3" w:rsidRDefault="006B095C" w:rsidP="00CC68C0">
            <w:pPr>
              <w:spacing w:line="240" w:lineRule="auto"/>
              <w:jc w:val="right"/>
              <w:rPr>
                <w:color w:val="000000"/>
                <w:sz w:val="20"/>
                <w:szCs w:val="20"/>
              </w:rPr>
            </w:pPr>
            <w:r w:rsidRPr="00563AD3">
              <w:rPr>
                <w:color w:val="000000"/>
                <w:sz w:val="20"/>
                <w:szCs w:val="20"/>
              </w:rPr>
              <w:t>85.1 (7.51)</w:t>
            </w:r>
          </w:p>
        </w:tc>
        <w:tc>
          <w:tcPr>
            <w:tcW w:w="436" w:type="pct"/>
            <w:tcBorders>
              <w:top w:val="single" w:sz="4" w:space="0" w:color="auto"/>
              <w:left w:val="nil"/>
              <w:bottom w:val="single" w:sz="4" w:space="0" w:color="auto"/>
              <w:right w:val="nil"/>
            </w:tcBorders>
            <w:shd w:val="clear" w:color="auto" w:fill="FFFFFF"/>
          </w:tcPr>
          <w:p w14:paraId="6077030D" w14:textId="77777777" w:rsidR="006B095C" w:rsidRPr="00563AD3" w:rsidRDefault="006B095C" w:rsidP="00CC68C0">
            <w:pPr>
              <w:spacing w:line="240" w:lineRule="auto"/>
              <w:jc w:val="right"/>
              <w:rPr>
                <w:color w:val="000000"/>
                <w:sz w:val="20"/>
                <w:szCs w:val="20"/>
              </w:rPr>
            </w:pPr>
            <w:r w:rsidRPr="00563AD3">
              <w:rPr>
                <w:color w:val="000000"/>
                <w:sz w:val="20"/>
                <w:szCs w:val="20"/>
              </w:rPr>
              <w:t>85.1 (8.36)</w:t>
            </w:r>
          </w:p>
        </w:tc>
        <w:tc>
          <w:tcPr>
            <w:tcW w:w="437" w:type="pct"/>
            <w:tcBorders>
              <w:top w:val="single" w:sz="4" w:space="0" w:color="auto"/>
              <w:left w:val="nil"/>
              <w:bottom w:val="single" w:sz="4" w:space="0" w:color="auto"/>
              <w:right w:val="nil"/>
            </w:tcBorders>
            <w:shd w:val="clear" w:color="auto" w:fill="F2F2F2" w:themeFill="background1" w:themeFillShade="F2"/>
          </w:tcPr>
          <w:p w14:paraId="50BCFDA3" w14:textId="77777777" w:rsidR="006B095C" w:rsidRPr="00563AD3" w:rsidRDefault="006B095C" w:rsidP="00CC68C0">
            <w:pPr>
              <w:spacing w:line="240" w:lineRule="auto"/>
              <w:jc w:val="right"/>
              <w:rPr>
                <w:color w:val="000000"/>
                <w:sz w:val="20"/>
                <w:szCs w:val="20"/>
              </w:rPr>
            </w:pPr>
            <w:r w:rsidRPr="00563AD3">
              <w:rPr>
                <w:color w:val="000000"/>
                <w:sz w:val="20"/>
                <w:szCs w:val="20"/>
              </w:rPr>
              <w:t>85.1 (8.10)</w:t>
            </w:r>
          </w:p>
        </w:tc>
        <w:tc>
          <w:tcPr>
            <w:tcW w:w="436" w:type="pct"/>
            <w:tcBorders>
              <w:top w:val="single" w:sz="4" w:space="0" w:color="auto"/>
              <w:left w:val="nil"/>
              <w:bottom w:val="single" w:sz="4" w:space="0" w:color="auto"/>
              <w:right w:val="nil"/>
            </w:tcBorders>
            <w:shd w:val="clear" w:color="auto" w:fill="FFFFFF"/>
          </w:tcPr>
          <w:p w14:paraId="7D5B2FFA" w14:textId="77777777" w:rsidR="006B095C" w:rsidRPr="00563AD3" w:rsidRDefault="006B095C" w:rsidP="00CC68C0">
            <w:pPr>
              <w:spacing w:line="240" w:lineRule="auto"/>
              <w:jc w:val="right"/>
              <w:rPr>
                <w:color w:val="000000"/>
                <w:sz w:val="20"/>
                <w:szCs w:val="20"/>
              </w:rPr>
            </w:pPr>
            <w:r w:rsidRPr="00563AD3">
              <w:rPr>
                <w:color w:val="000000"/>
                <w:sz w:val="20"/>
                <w:szCs w:val="20"/>
              </w:rPr>
              <w:t>84.6 (7.69)</w:t>
            </w:r>
          </w:p>
        </w:tc>
        <w:tc>
          <w:tcPr>
            <w:tcW w:w="437" w:type="pct"/>
            <w:tcBorders>
              <w:top w:val="single" w:sz="4" w:space="0" w:color="auto"/>
              <w:left w:val="nil"/>
              <w:bottom w:val="single" w:sz="4" w:space="0" w:color="auto"/>
              <w:right w:val="nil"/>
            </w:tcBorders>
            <w:shd w:val="clear" w:color="auto" w:fill="FFFFFF"/>
          </w:tcPr>
          <w:p w14:paraId="2E4C7AE3" w14:textId="77777777" w:rsidR="006B095C" w:rsidRPr="00563AD3" w:rsidRDefault="006B095C" w:rsidP="00CC68C0">
            <w:pPr>
              <w:spacing w:line="240" w:lineRule="auto"/>
              <w:jc w:val="right"/>
              <w:rPr>
                <w:color w:val="000000"/>
                <w:sz w:val="20"/>
                <w:szCs w:val="20"/>
              </w:rPr>
            </w:pPr>
            <w:r w:rsidRPr="00563AD3">
              <w:rPr>
                <w:color w:val="000000"/>
                <w:sz w:val="20"/>
                <w:szCs w:val="20"/>
              </w:rPr>
              <w:t>85.9 (8.09)</w:t>
            </w:r>
          </w:p>
        </w:tc>
        <w:tc>
          <w:tcPr>
            <w:tcW w:w="437" w:type="pct"/>
            <w:tcBorders>
              <w:top w:val="single" w:sz="4" w:space="0" w:color="auto"/>
              <w:left w:val="nil"/>
              <w:bottom w:val="single" w:sz="4" w:space="0" w:color="auto"/>
              <w:right w:val="nil"/>
            </w:tcBorders>
            <w:shd w:val="clear" w:color="auto" w:fill="D9D9D9" w:themeFill="background1" w:themeFillShade="D9"/>
          </w:tcPr>
          <w:p w14:paraId="4713340D" w14:textId="77777777" w:rsidR="006B095C" w:rsidRPr="00563AD3" w:rsidRDefault="006B095C" w:rsidP="00CC68C0">
            <w:pPr>
              <w:spacing w:line="240" w:lineRule="auto"/>
              <w:jc w:val="right"/>
              <w:rPr>
                <w:color w:val="000000"/>
                <w:sz w:val="20"/>
                <w:szCs w:val="20"/>
              </w:rPr>
            </w:pPr>
            <w:r w:rsidRPr="00563AD3">
              <w:rPr>
                <w:color w:val="000000"/>
                <w:sz w:val="20"/>
                <w:szCs w:val="20"/>
              </w:rPr>
              <w:t>85.4 (7.95)</w:t>
            </w:r>
          </w:p>
        </w:tc>
      </w:tr>
      <w:tr w:rsidR="006B095C" w:rsidRPr="00563AD3" w14:paraId="7006C559" w14:textId="77777777" w:rsidTr="00233B0D">
        <w:trPr>
          <w:cantSplit/>
          <w:jc w:val="center"/>
        </w:trPr>
        <w:tc>
          <w:tcPr>
            <w:tcW w:w="629" w:type="pct"/>
            <w:tcBorders>
              <w:top w:val="single" w:sz="4" w:space="0" w:color="auto"/>
              <w:left w:val="nil"/>
              <w:bottom w:val="single" w:sz="4" w:space="0" w:color="auto"/>
              <w:right w:val="nil"/>
            </w:tcBorders>
            <w:shd w:val="clear" w:color="auto" w:fill="FFFFFF"/>
            <w:tcMar>
              <w:top w:w="0" w:type="dxa"/>
              <w:left w:w="67" w:type="dxa"/>
              <w:bottom w:w="0" w:type="dxa"/>
              <w:right w:w="67" w:type="dxa"/>
            </w:tcMar>
          </w:tcPr>
          <w:p w14:paraId="6881BEA6" w14:textId="77777777" w:rsidR="006B095C" w:rsidRPr="00563AD3" w:rsidRDefault="006B095C" w:rsidP="00CC68C0">
            <w:pPr>
              <w:keepNext/>
              <w:spacing w:line="240" w:lineRule="auto"/>
              <w:rPr>
                <w:b/>
                <w:color w:val="000000"/>
                <w:sz w:val="20"/>
                <w:szCs w:val="20"/>
              </w:rPr>
            </w:pPr>
            <w:r w:rsidRPr="00563AD3">
              <w:rPr>
                <w:b/>
                <w:color w:val="000000"/>
                <w:sz w:val="20"/>
                <w:szCs w:val="20"/>
              </w:rPr>
              <w:t xml:space="preserve">Length of stay in care home (years) </w:t>
            </w:r>
          </w:p>
          <w:p w14:paraId="547BC743" w14:textId="77777777" w:rsidR="006B095C" w:rsidRPr="00563AD3" w:rsidRDefault="006B095C" w:rsidP="00CC68C0">
            <w:pPr>
              <w:keepNext/>
              <w:spacing w:line="240" w:lineRule="auto"/>
              <w:rPr>
                <w:color w:val="000000"/>
                <w:sz w:val="20"/>
                <w:szCs w:val="20"/>
              </w:rPr>
            </w:pPr>
            <w:r w:rsidRPr="00563AD3">
              <w:rPr>
                <w:color w:val="000000"/>
                <w:sz w:val="20"/>
                <w:szCs w:val="20"/>
              </w:rPr>
              <w:t>Mean (SD)</w:t>
            </w:r>
          </w:p>
        </w:tc>
        <w:tc>
          <w:tcPr>
            <w:tcW w:w="437" w:type="pct"/>
            <w:tcBorders>
              <w:top w:val="single" w:sz="4" w:space="0" w:color="auto"/>
              <w:left w:val="nil"/>
              <w:bottom w:val="single" w:sz="4" w:space="0" w:color="auto"/>
              <w:right w:val="nil"/>
            </w:tcBorders>
            <w:shd w:val="clear" w:color="auto" w:fill="F2F2F2" w:themeFill="background1" w:themeFillShade="F2"/>
            <w:tcMar>
              <w:top w:w="0" w:type="dxa"/>
              <w:left w:w="67" w:type="dxa"/>
              <w:bottom w:w="0" w:type="dxa"/>
              <w:right w:w="67" w:type="dxa"/>
            </w:tcMar>
          </w:tcPr>
          <w:p w14:paraId="2B9830D4"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2.3 (2.48)</w:t>
            </w:r>
          </w:p>
        </w:tc>
        <w:tc>
          <w:tcPr>
            <w:tcW w:w="437" w:type="pct"/>
            <w:tcBorders>
              <w:top w:val="single" w:sz="4" w:space="0" w:color="auto"/>
              <w:left w:val="nil"/>
              <w:bottom w:val="single" w:sz="4" w:space="0" w:color="auto"/>
              <w:right w:val="nil"/>
            </w:tcBorders>
            <w:shd w:val="clear" w:color="auto" w:fill="FFFFFF"/>
          </w:tcPr>
          <w:p w14:paraId="0896068B"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2.3 (2.14)</w:t>
            </w:r>
          </w:p>
        </w:tc>
        <w:tc>
          <w:tcPr>
            <w:tcW w:w="436" w:type="pct"/>
            <w:tcBorders>
              <w:top w:val="single" w:sz="4" w:space="0" w:color="auto"/>
              <w:left w:val="nil"/>
              <w:bottom w:val="single" w:sz="4" w:space="0" w:color="auto"/>
              <w:right w:val="nil"/>
            </w:tcBorders>
            <w:shd w:val="clear" w:color="auto" w:fill="FFFFFF"/>
          </w:tcPr>
          <w:p w14:paraId="7E85A795"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2.4 (2.47)</w:t>
            </w:r>
          </w:p>
        </w:tc>
        <w:tc>
          <w:tcPr>
            <w:tcW w:w="437" w:type="pct"/>
            <w:tcBorders>
              <w:top w:val="single" w:sz="4" w:space="0" w:color="auto"/>
              <w:left w:val="nil"/>
              <w:bottom w:val="single" w:sz="4" w:space="0" w:color="auto"/>
              <w:right w:val="nil"/>
            </w:tcBorders>
            <w:shd w:val="clear" w:color="auto" w:fill="D9D9D9" w:themeFill="background1" w:themeFillShade="D9"/>
          </w:tcPr>
          <w:p w14:paraId="687AFBF5"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2.3 (2.34)</w:t>
            </w:r>
          </w:p>
        </w:tc>
        <w:tc>
          <w:tcPr>
            <w:tcW w:w="437" w:type="pct"/>
            <w:tcBorders>
              <w:top w:val="single" w:sz="4" w:space="0" w:color="auto"/>
              <w:left w:val="nil"/>
              <w:bottom w:val="single" w:sz="4" w:space="0" w:color="auto"/>
              <w:right w:val="nil"/>
            </w:tcBorders>
            <w:shd w:val="clear" w:color="auto" w:fill="FFFFFF"/>
          </w:tcPr>
          <w:p w14:paraId="5120D785"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1.3 (1.84)</w:t>
            </w:r>
          </w:p>
        </w:tc>
        <w:tc>
          <w:tcPr>
            <w:tcW w:w="436" w:type="pct"/>
            <w:tcBorders>
              <w:top w:val="single" w:sz="4" w:space="0" w:color="auto"/>
              <w:left w:val="nil"/>
              <w:bottom w:val="single" w:sz="4" w:space="0" w:color="auto"/>
              <w:right w:val="nil"/>
            </w:tcBorders>
            <w:shd w:val="clear" w:color="auto" w:fill="FFFFFF"/>
          </w:tcPr>
          <w:p w14:paraId="73F8EA45"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1.7 (2.29)</w:t>
            </w:r>
          </w:p>
        </w:tc>
        <w:tc>
          <w:tcPr>
            <w:tcW w:w="437" w:type="pct"/>
            <w:tcBorders>
              <w:top w:val="single" w:sz="4" w:space="0" w:color="auto"/>
              <w:left w:val="nil"/>
              <w:bottom w:val="single" w:sz="4" w:space="0" w:color="auto"/>
              <w:right w:val="nil"/>
            </w:tcBorders>
            <w:shd w:val="clear" w:color="auto" w:fill="F2F2F2" w:themeFill="background1" w:themeFillShade="F2"/>
          </w:tcPr>
          <w:p w14:paraId="2F405AEB"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1.6 (2.17)</w:t>
            </w:r>
          </w:p>
        </w:tc>
        <w:tc>
          <w:tcPr>
            <w:tcW w:w="436" w:type="pct"/>
            <w:tcBorders>
              <w:top w:val="single" w:sz="4" w:space="0" w:color="auto"/>
              <w:left w:val="nil"/>
              <w:bottom w:val="single" w:sz="4" w:space="0" w:color="auto"/>
              <w:right w:val="nil"/>
            </w:tcBorders>
            <w:shd w:val="clear" w:color="auto" w:fill="FFFFFF"/>
          </w:tcPr>
          <w:p w14:paraId="52ECBAF8"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1.2 (1.01)</w:t>
            </w:r>
          </w:p>
        </w:tc>
        <w:tc>
          <w:tcPr>
            <w:tcW w:w="437" w:type="pct"/>
            <w:tcBorders>
              <w:top w:val="single" w:sz="4" w:space="0" w:color="auto"/>
              <w:left w:val="nil"/>
              <w:bottom w:val="single" w:sz="4" w:space="0" w:color="auto"/>
              <w:right w:val="nil"/>
            </w:tcBorders>
            <w:shd w:val="clear" w:color="auto" w:fill="FFFFFF"/>
          </w:tcPr>
          <w:p w14:paraId="5ECD8E83"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1.5 (1.72)</w:t>
            </w:r>
          </w:p>
        </w:tc>
        <w:tc>
          <w:tcPr>
            <w:tcW w:w="437" w:type="pct"/>
            <w:tcBorders>
              <w:top w:val="single" w:sz="4" w:space="0" w:color="auto"/>
              <w:left w:val="nil"/>
              <w:bottom w:val="single" w:sz="4" w:space="0" w:color="auto"/>
              <w:right w:val="nil"/>
            </w:tcBorders>
            <w:shd w:val="clear" w:color="auto" w:fill="D9D9D9" w:themeFill="background1" w:themeFillShade="D9"/>
          </w:tcPr>
          <w:p w14:paraId="0EE1304D"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1.4 (1.50)</w:t>
            </w:r>
          </w:p>
        </w:tc>
      </w:tr>
      <w:tr w:rsidR="006B095C" w:rsidRPr="00563AD3" w14:paraId="77FBC83E" w14:textId="77777777" w:rsidTr="00233B0D">
        <w:trPr>
          <w:cantSplit/>
          <w:jc w:val="center"/>
        </w:trPr>
        <w:tc>
          <w:tcPr>
            <w:tcW w:w="629" w:type="pct"/>
            <w:tcBorders>
              <w:top w:val="single" w:sz="4" w:space="0" w:color="auto"/>
              <w:left w:val="nil"/>
              <w:bottom w:val="single" w:sz="4" w:space="0" w:color="auto"/>
              <w:right w:val="nil"/>
            </w:tcBorders>
            <w:shd w:val="clear" w:color="auto" w:fill="FFFFFF"/>
            <w:tcMar>
              <w:top w:w="0" w:type="dxa"/>
              <w:left w:w="67" w:type="dxa"/>
              <w:bottom w:w="0" w:type="dxa"/>
              <w:right w:w="67" w:type="dxa"/>
            </w:tcMar>
            <w:hideMark/>
          </w:tcPr>
          <w:p w14:paraId="4ECDDD32" w14:textId="77777777" w:rsidR="006B095C" w:rsidRPr="00563AD3" w:rsidRDefault="006B095C" w:rsidP="00CC68C0">
            <w:pPr>
              <w:spacing w:line="240" w:lineRule="auto"/>
              <w:rPr>
                <w:color w:val="000000"/>
                <w:sz w:val="20"/>
                <w:szCs w:val="20"/>
              </w:rPr>
            </w:pPr>
            <w:r w:rsidRPr="00563AD3">
              <w:rPr>
                <w:b/>
                <w:bCs/>
                <w:color w:val="000000"/>
                <w:sz w:val="20"/>
                <w:szCs w:val="20"/>
              </w:rPr>
              <w:t>Sex</w:t>
            </w:r>
            <w:r w:rsidRPr="00563AD3">
              <w:rPr>
                <w:color w:val="000000"/>
                <w:sz w:val="20"/>
                <w:szCs w:val="20"/>
              </w:rPr>
              <w:t xml:space="preserve"> Female N (%) </w:t>
            </w:r>
          </w:p>
        </w:tc>
        <w:tc>
          <w:tcPr>
            <w:tcW w:w="437" w:type="pct"/>
            <w:tcBorders>
              <w:top w:val="single" w:sz="4" w:space="0" w:color="auto"/>
              <w:left w:val="nil"/>
              <w:bottom w:val="single" w:sz="4" w:space="0" w:color="auto"/>
              <w:right w:val="nil"/>
            </w:tcBorders>
            <w:shd w:val="clear" w:color="auto" w:fill="F2F2F2" w:themeFill="background1" w:themeFillShade="F2"/>
            <w:tcMar>
              <w:top w:w="0" w:type="dxa"/>
              <w:left w:w="67" w:type="dxa"/>
              <w:bottom w:w="0" w:type="dxa"/>
              <w:right w:w="67" w:type="dxa"/>
            </w:tcMar>
          </w:tcPr>
          <w:p w14:paraId="4AAB965D" w14:textId="77777777" w:rsidR="006B095C" w:rsidRPr="00563AD3" w:rsidRDefault="006B095C" w:rsidP="00CC68C0">
            <w:pPr>
              <w:spacing w:line="240" w:lineRule="auto"/>
              <w:jc w:val="right"/>
              <w:rPr>
                <w:color w:val="000000"/>
                <w:sz w:val="20"/>
                <w:szCs w:val="20"/>
              </w:rPr>
            </w:pPr>
            <w:r w:rsidRPr="00563AD3">
              <w:rPr>
                <w:color w:val="000000"/>
                <w:sz w:val="20"/>
                <w:szCs w:val="20"/>
              </w:rPr>
              <w:t>1140 (72.9%)</w:t>
            </w:r>
          </w:p>
        </w:tc>
        <w:tc>
          <w:tcPr>
            <w:tcW w:w="437" w:type="pct"/>
            <w:tcBorders>
              <w:top w:val="single" w:sz="4" w:space="0" w:color="auto"/>
              <w:left w:val="nil"/>
              <w:bottom w:val="single" w:sz="4" w:space="0" w:color="auto"/>
              <w:right w:val="nil"/>
            </w:tcBorders>
            <w:shd w:val="clear" w:color="auto" w:fill="FFFFFF"/>
          </w:tcPr>
          <w:p w14:paraId="33B44767" w14:textId="77777777" w:rsidR="006B095C" w:rsidRPr="00563AD3" w:rsidRDefault="006B095C" w:rsidP="00CC68C0">
            <w:pPr>
              <w:spacing w:line="240" w:lineRule="auto"/>
              <w:jc w:val="right"/>
              <w:rPr>
                <w:color w:val="000000"/>
                <w:sz w:val="20"/>
                <w:szCs w:val="20"/>
              </w:rPr>
            </w:pPr>
            <w:r w:rsidRPr="00563AD3">
              <w:rPr>
                <w:color w:val="000000"/>
                <w:sz w:val="20"/>
                <w:szCs w:val="20"/>
              </w:rPr>
              <w:t>244 (79.2%)</w:t>
            </w:r>
          </w:p>
        </w:tc>
        <w:tc>
          <w:tcPr>
            <w:tcW w:w="436" w:type="pct"/>
            <w:tcBorders>
              <w:top w:val="single" w:sz="4" w:space="0" w:color="auto"/>
              <w:left w:val="nil"/>
              <w:bottom w:val="single" w:sz="4" w:space="0" w:color="auto"/>
              <w:right w:val="nil"/>
            </w:tcBorders>
            <w:shd w:val="clear" w:color="auto" w:fill="FFFFFF"/>
          </w:tcPr>
          <w:p w14:paraId="2623F730" w14:textId="77777777" w:rsidR="006B095C" w:rsidRPr="00563AD3" w:rsidRDefault="006B095C" w:rsidP="00CC68C0">
            <w:pPr>
              <w:spacing w:line="240" w:lineRule="auto"/>
              <w:jc w:val="right"/>
              <w:rPr>
                <w:color w:val="000000"/>
                <w:sz w:val="20"/>
                <w:szCs w:val="20"/>
              </w:rPr>
            </w:pPr>
            <w:r w:rsidRPr="00563AD3">
              <w:rPr>
                <w:color w:val="000000"/>
                <w:sz w:val="20"/>
                <w:szCs w:val="20"/>
              </w:rPr>
              <w:t>292 (69.9%)</w:t>
            </w:r>
          </w:p>
        </w:tc>
        <w:tc>
          <w:tcPr>
            <w:tcW w:w="437" w:type="pct"/>
            <w:tcBorders>
              <w:top w:val="single" w:sz="4" w:space="0" w:color="auto"/>
              <w:left w:val="nil"/>
              <w:bottom w:val="single" w:sz="4" w:space="0" w:color="auto"/>
              <w:right w:val="nil"/>
            </w:tcBorders>
            <w:shd w:val="clear" w:color="auto" w:fill="D9D9D9" w:themeFill="background1" w:themeFillShade="D9"/>
          </w:tcPr>
          <w:p w14:paraId="4CCEABD4" w14:textId="77777777" w:rsidR="006B095C" w:rsidRPr="00563AD3" w:rsidRDefault="006B095C" w:rsidP="00CC68C0">
            <w:pPr>
              <w:spacing w:line="240" w:lineRule="auto"/>
              <w:jc w:val="right"/>
              <w:rPr>
                <w:color w:val="000000"/>
                <w:sz w:val="20"/>
                <w:szCs w:val="20"/>
              </w:rPr>
            </w:pPr>
            <w:r w:rsidRPr="00563AD3">
              <w:rPr>
                <w:color w:val="000000"/>
                <w:sz w:val="20"/>
                <w:szCs w:val="20"/>
              </w:rPr>
              <w:t>536 (73.8%)</w:t>
            </w:r>
          </w:p>
        </w:tc>
        <w:tc>
          <w:tcPr>
            <w:tcW w:w="437" w:type="pct"/>
            <w:tcBorders>
              <w:top w:val="single" w:sz="4" w:space="0" w:color="auto"/>
              <w:left w:val="nil"/>
              <w:bottom w:val="single" w:sz="4" w:space="0" w:color="auto"/>
              <w:right w:val="nil"/>
            </w:tcBorders>
            <w:shd w:val="clear" w:color="auto" w:fill="FFFFFF"/>
          </w:tcPr>
          <w:p w14:paraId="2FA2B11E" w14:textId="77777777" w:rsidR="006B095C" w:rsidRPr="00563AD3" w:rsidRDefault="006B095C" w:rsidP="00CC68C0">
            <w:pPr>
              <w:spacing w:line="240" w:lineRule="auto"/>
              <w:jc w:val="right"/>
              <w:rPr>
                <w:color w:val="000000"/>
                <w:sz w:val="20"/>
                <w:szCs w:val="20"/>
              </w:rPr>
            </w:pPr>
            <w:r w:rsidRPr="00563AD3">
              <w:rPr>
                <w:color w:val="000000"/>
                <w:sz w:val="20"/>
                <w:szCs w:val="20"/>
              </w:rPr>
              <w:t>202 (73.5%)</w:t>
            </w:r>
          </w:p>
        </w:tc>
        <w:tc>
          <w:tcPr>
            <w:tcW w:w="436" w:type="pct"/>
            <w:tcBorders>
              <w:top w:val="single" w:sz="4" w:space="0" w:color="auto"/>
              <w:left w:val="nil"/>
              <w:bottom w:val="single" w:sz="4" w:space="0" w:color="auto"/>
              <w:right w:val="nil"/>
            </w:tcBorders>
            <w:shd w:val="clear" w:color="auto" w:fill="FFFFFF"/>
          </w:tcPr>
          <w:p w14:paraId="0F71A238" w14:textId="77777777" w:rsidR="006B095C" w:rsidRPr="00563AD3" w:rsidRDefault="006B095C" w:rsidP="00CC68C0">
            <w:pPr>
              <w:spacing w:line="240" w:lineRule="auto"/>
              <w:jc w:val="right"/>
              <w:rPr>
                <w:color w:val="000000"/>
                <w:sz w:val="20"/>
                <w:szCs w:val="20"/>
              </w:rPr>
            </w:pPr>
            <w:r w:rsidRPr="00563AD3">
              <w:rPr>
                <w:color w:val="000000"/>
                <w:sz w:val="20"/>
                <w:szCs w:val="20"/>
              </w:rPr>
              <w:t>423 (70.3%)</w:t>
            </w:r>
          </w:p>
        </w:tc>
        <w:tc>
          <w:tcPr>
            <w:tcW w:w="437" w:type="pct"/>
            <w:tcBorders>
              <w:top w:val="single" w:sz="4" w:space="0" w:color="auto"/>
              <w:left w:val="nil"/>
              <w:bottom w:val="single" w:sz="4" w:space="0" w:color="auto"/>
              <w:right w:val="nil"/>
            </w:tcBorders>
            <w:shd w:val="clear" w:color="auto" w:fill="F2F2F2" w:themeFill="background1" w:themeFillShade="F2"/>
          </w:tcPr>
          <w:p w14:paraId="1568FB6A" w14:textId="77777777" w:rsidR="006B095C" w:rsidRPr="00563AD3" w:rsidRDefault="006B095C" w:rsidP="00CC68C0">
            <w:pPr>
              <w:spacing w:line="240" w:lineRule="auto"/>
              <w:jc w:val="right"/>
              <w:rPr>
                <w:color w:val="000000"/>
                <w:sz w:val="20"/>
                <w:szCs w:val="20"/>
              </w:rPr>
            </w:pPr>
            <w:r w:rsidRPr="00563AD3">
              <w:rPr>
                <w:color w:val="000000"/>
                <w:sz w:val="20"/>
                <w:szCs w:val="20"/>
              </w:rPr>
              <w:t>625 (71.3%)</w:t>
            </w:r>
          </w:p>
        </w:tc>
        <w:tc>
          <w:tcPr>
            <w:tcW w:w="436" w:type="pct"/>
            <w:tcBorders>
              <w:top w:val="single" w:sz="4" w:space="0" w:color="auto"/>
              <w:left w:val="nil"/>
              <w:bottom w:val="single" w:sz="4" w:space="0" w:color="auto"/>
              <w:right w:val="nil"/>
            </w:tcBorders>
            <w:shd w:val="clear" w:color="auto" w:fill="FFFFFF"/>
          </w:tcPr>
          <w:p w14:paraId="7781C667" w14:textId="77777777" w:rsidR="006B095C" w:rsidRPr="00563AD3" w:rsidRDefault="006B095C" w:rsidP="00CC68C0">
            <w:pPr>
              <w:spacing w:line="240" w:lineRule="auto"/>
              <w:jc w:val="right"/>
              <w:rPr>
                <w:color w:val="000000"/>
                <w:sz w:val="20"/>
                <w:szCs w:val="20"/>
              </w:rPr>
            </w:pPr>
            <w:r w:rsidRPr="00563AD3">
              <w:rPr>
                <w:color w:val="000000"/>
                <w:sz w:val="20"/>
                <w:szCs w:val="20"/>
              </w:rPr>
              <w:t>68 (68.7%)</w:t>
            </w:r>
          </w:p>
        </w:tc>
        <w:tc>
          <w:tcPr>
            <w:tcW w:w="437" w:type="pct"/>
            <w:tcBorders>
              <w:top w:val="single" w:sz="4" w:space="0" w:color="auto"/>
              <w:left w:val="nil"/>
              <w:bottom w:val="single" w:sz="4" w:space="0" w:color="auto"/>
              <w:right w:val="nil"/>
            </w:tcBorders>
            <w:shd w:val="clear" w:color="auto" w:fill="FFFFFF"/>
          </w:tcPr>
          <w:p w14:paraId="48A566C3" w14:textId="77777777" w:rsidR="006B095C" w:rsidRPr="00563AD3" w:rsidRDefault="006B095C" w:rsidP="00CC68C0">
            <w:pPr>
              <w:spacing w:line="240" w:lineRule="auto"/>
              <w:jc w:val="right"/>
              <w:rPr>
                <w:color w:val="000000"/>
                <w:sz w:val="20"/>
                <w:szCs w:val="20"/>
              </w:rPr>
            </w:pPr>
            <w:r w:rsidRPr="00563AD3">
              <w:rPr>
                <w:color w:val="000000"/>
                <w:sz w:val="20"/>
                <w:szCs w:val="20"/>
              </w:rPr>
              <w:t>118 (72.8%)</w:t>
            </w:r>
          </w:p>
        </w:tc>
        <w:tc>
          <w:tcPr>
            <w:tcW w:w="437" w:type="pct"/>
            <w:tcBorders>
              <w:top w:val="single" w:sz="4" w:space="0" w:color="auto"/>
              <w:left w:val="nil"/>
              <w:bottom w:val="single" w:sz="4" w:space="0" w:color="auto"/>
              <w:right w:val="nil"/>
            </w:tcBorders>
            <w:shd w:val="clear" w:color="auto" w:fill="D9D9D9" w:themeFill="background1" w:themeFillShade="D9"/>
          </w:tcPr>
          <w:p w14:paraId="0C641EBC" w14:textId="77777777" w:rsidR="006B095C" w:rsidRPr="00563AD3" w:rsidRDefault="006B095C" w:rsidP="00CC68C0">
            <w:pPr>
              <w:spacing w:line="240" w:lineRule="auto"/>
              <w:jc w:val="right"/>
              <w:rPr>
                <w:color w:val="000000"/>
                <w:sz w:val="20"/>
                <w:szCs w:val="20"/>
              </w:rPr>
            </w:pPr>
            <w:r w:rsidRPr="00563AD3">
              <w:rPr>
                <w:color w:val="000000"/>
                <w:sz w:val="20"/>
                <w:szCs w:val="20"/>
              </w:rPr>
              <w:t>186 (71.3%)</w:t>
            </w:r>
          </w:p>
        </w:tc>
      </w:tr>
      <w:tr w:rsidR="006B095C" w:rsidRPr="00563AD3" w14:paraId="0F53A9CE" w14:textId="77777777" w:rsidTr="00233B0D">
        <w:trPr>
          <w:cantSplit/>
          <w:jc w:val="center"/>
        </w:trPr>
        <w:tc>
          <w:tcPr>
            <w:tcW w:w="5000" w:type="pct"/>
            <w:gridSpan w:val="11"/>
            <w:tcBorders>
              <w:top w:val="single" w:sz="4" w:space="0" w:color="auto"/>
              <w:left w:val="nil"/>
              <w:bottom w:val="nil"/>
              <w:right w:val="nil"/>
            </w:tcBorders>
            <w:shd w:val="clear" w:color="auto" w:fill="FFFFFF"/>
          </w:tcPr>
          <w:p w14:paraId="113DEA56" w14:textId="77777777" w:rsidR="006B095C" w:rsidRPr="00563AD3" w:rsidRDefault="006B095C" w:rsidP="00CC68C0">
            <w:pPr>
              <w:spacing w:line="240" w:lineRule="auto"/>
              <w:rPr>
                <w:b/>
                <w:bCs/>
                <w:color w:val="000000"/>
                <w:sz w:val="20"/>
                <w:szCs w:val="20"/>
              </w:rPr>
            </w:pPr>
            <w:r w:rsidRPr="00563AD3">
              <w:rPr>
                <w:b/>
                <w:bCs/>
                <w:color w:val="000000"/>
                <w:sz w:val="20"/>
                <w:szCs w:val="20"/>
              </w:rPr>
              <w:t xml:space="preserve">Ethnicity </w:t>
            </w:r>
            <w:r w:rsidRPr="00563AD3">
              <w:rPr>
                <w:bCs/>
                <w:color w:val="000000"/>
                <w:sz w:val="20"/>
                <w:szCs w:val="20"/>
              </w:rPr>
              <w:t>N (%) Missing</w:t>
            </w:r>
          </w:p>
        </w:tc>
      </w:tr>
      <w:tr w:rsidR="006B095C" w:rsidRPr="00563AD3" w14:paraId="57893C7F" w14:textId="77777777" w:rsidTr="00233B0D">
        <w:trPr>
          <w:cantSplit/>
          <w:jc w:val="center"/>
        </w:trPr>
        <w:tc>
          <w:tcPr>
            <w:tcW w:w="629" w:type="pct"/>
            <w:tcBorders>
              <w:top w:val="nil"/>
              <w:left w:val="nil"/>
              <w:bottom w:val="nil"/>
              <w:right w:val="nil"/>
            </w:tcBorders>
            <w:shd w:val="clear" w:color="auto" w:fill="FFFFFF"/>
            <w:tcMar>
              <w:top w:w="0" w:type="dxa"/>
              <w:left w:w="67" w:type="dxa"/>
              <w:bottom w:w="0" w:type="dxa"/>
              <w:right w:w="67" w:type="dxa"/>
            </w:tcMar>
            <w:hideMark/>
          </w:tcPr>
          <w:p w14:paraId="17A5FF08" w14:textId="77777777" w:rsidR="006B095C" w:rsidRPr="00563AD3" w:rsidRDefault="006B095C" w:rsidP="00CC68C0">
            <w:pPr>
              <w:spacing w:line="240" w:lineRule="auto"/>
              <w:rPr>
                <w:color w:val="000000"/>
                <w:sz w:val="20"/>
                <w:szCs w:val="20"/>
              </w:rPr>
            </w:pPr>
            <w:r w:rsidRPr="00563AD3">
              <w:rPr>
                <w:color w:val="000000"/>
                <w:sz w:val="20"/>
                <w:szCs w:val="20"/>
              </w:rPr>
              <w:t>White</w:t>
            </w:r>
          </w:p>
        </w:tc>
        <w:tc>
          <w:tcPr>
            <w:tcW w:w="437" w:type="pct"/>
            <w:tcBorders>
              <w:top w:val="nil"/>
              <w:left w:val="nil"/>
              <w:bottom w:val="nil"/>
              <w:right w:val="nil"/>
            </w:tcBorders>
            <w:shd w:val="clear" w:color="auto" w:fill="F2F2F2" w:themeFill="background1" w:themeFillShade="F2"/>
            <w:tcMar>
              <w:top w:w="0" w:type="dxa"/>
              <w:left w:w="67" w:type="dxa"/>
              <w:bottom w:w="0" w:type="dxa"/>
              <w:right w:w="67" w:type="dxa"/>
            </w:tcMar>
          </w:tcPr>
          <w:p w14:paraId="56359C6A" w14:textId="77777777" w:rsidR="006B095C" w:rsidRPr="00563AD3" w:rsidRDefault="006B095C" w:rsidP="00CC68C0">
            <w:pPr>
              <w:spacing w:line="240" w:lineRule="auto"/>
              <w:jc w:val="right"/>
              <w:rPr>
                <w:color w:val="000000"/>
                <w:sz w:val="20"/>
                <w:szCs w:val="20"/>
              </w:rPr>
            </w:pPr>
            <w:r w:rsidRPr="00563AD3">
              <w:rPr>
                <w:color w:val="000000"/>
                <w:sz w:val="20"/>
                <w:szCs w:val="20"/>
              </w:rPr>
              <w:t>1483 (94.8%) 26</w:t>
            </w:r>
          </w:p>
        </w:tc>
        <w:tc>
          <w:tcPr>
            <w:tcW w:w="437" w:type="pct"/>
            <w:tcBorders>
              <w:top w:val="nil"/>
              <w:left w:val="nil"/>
              <w:bottom w:val="nil"/>
              <w:right w:val="nil"/>
            </w:tcBorders>
            <w:shd w:val="clear" w:color="auto" w:fill="FFFFFF"/>
          </w:tcPr>
          <w:p w14:paraId="61BE656C" w14:textId="77777777" w:rsidR="006B095C" w:rsidRPr="00563AD3" w:rsidRDefault="006B095C" w:rsidP="00CC68C0">
            <w:pPr>
              <w:spacing w:line="240" w:lineRule="auto"/>
              <w:jc w:val="right"/>
              <w:rPr>
                <w:color w:val="000000"/>
                <w:sz w:val="20"/>
                <w:szCs w:val="20"/>
              </w:rPr>
            </w:pPr>
            <w:r w:rsidRPr="00563AD3">
              <w:rPr>
                <w:color w:val="000000"/>
                <w:sz w:val="20"/>
                <w:szCs w:val="20"/>
              </w:rPr>
              <w:t>302 (98.1%)</w:t>
            </w:r>
          </w:p>
        </w:tc>
        <w:tc>
          <w:tcPr>
            <w:tcW w:w="436" w:type="pct"/>
            <w:tcBorders>
              <w:top w:val="nil"/>
              <w:left w:val="nil"/>
              <w:bottom w:val="nil"/>
              <w:right w:val="nil"/>
            </w:tcBorders>
            <w:shd w:val="clear" w:color="auto" w:fill="FFFFFF"/>
          </w:tcPr>
          <w:p w14:paraId="6045D50C" w14:textId="77777777" w:rsidR="006B095C" w:rsidRPr="00563AD3" w:rsidRDefault="006B095C" w:rsidP="00CC68C0">
            <w:pPr>
              <w:spacing w:line="240" w:lineRule="auto"/>
              <w:jc w:val="right"/>
              <w:rPr>
                <w:color w:val="000000"/>
                <w:sz w:val="20"/>
                <w:szCs w:val="20"/>
              </w:rPr>
            </w:pPr>
            <w:r w:rsidRPr="00563AD3">
              <w:rPr>
                <w:color w:val="000000"/>
                <w:sz w:val="20"/>
                <w:szCs w:val="20"/>
              </w:rPr>
              <w:t>400 (95.7%)</w:t>
            </w:r>
          </w:p>
        </w:tc>
        <w:tc>
          <w:tcPr>
            <w:tcW w:w="437" w:type="pct"/>
            <w:tcBorders>
              <w:top w:val="nil"/>
              <w:left w:val="nil"/>
              <w:bottom w:val="nil"/>
              <w:right w:val="nil"/>
            </w:tcBorders>
            <w:shd w:val="clear" w:color="auto" w:fill="D9D9D9" w:themeFill="background1" w:themeFillShade="D9"/>
          </w:tcPr>
          <w:p w14:paraId="720B0E04" w14:textId="77777777" w:rsidR="006B095C" w:rsidRPr="00563AD3" w:rsidRDefault="006B095C" w:rsidP="00CC68C0">
            <w:pPr>
              <w:spacing w:line="240" w:lineRule="auto"/>
              <w:jc w:val="right"/>
              <w:rPr>
                <w:color w:val="000000"/>
                <w:sz w:val="20"/>
                <w:szCs w:val="20"/>
              </w:rPr>
            </w:pPr>
            <w:r w:rsidRPr="00563AD3">
              <w:rPr>
                <w:color w:val="000000"/>
                <w:sz w:val="20"/>
                <w:szCs w:val="20"/>
              </w:rPr>
              <w:t>702 (96.7%)</w:t>
            </w:r>
          </w:p>
        </w:tc>
        <w:tc>
          <w:tcPr>
            <w:tcW w:w="437" w:type="pct"/>
            <w:tcBorders>
              <w:top w:val="nil"/>
              <w:left w:val="nil"/>
              <w:bottom w:val="nil"/>
              <w:right w:val="nil"/>
            </w:tcBorders>
            <w:shd w:val="clear" w:color="auto" w:fill="FFFFFF"/>
          </w:tcPr>
          <w:p w14:paraId="2D25956F" w14:textId="77777777" w:rsidR="006B095C" w:rsidRPr="00563AD3" w:rsidRDefault="006B095C" w:rsidP="00CC68C0">
            <w:pPr>
              <w:spacing w:line="240" w:lineRule="auto"/>
              <w:jc w:val="right"/>
              <w:rPr>
                <w:color w:val="000000"/>
                <w:sz w:val="20"/>
                <w:szCs w:val="20"/>
              </w:rPr>
            </w:pPr>
            <w:r w:rsidRPr="00563AD3">
              <w:rPr>
                <w:color w:val="000000"/>
                <w:sz w:val="20"/>
                <w:szCs w:val="20"/>
              </w:rPr>
              <w:t>271 (98.5%) 2</w:t>
            </w:r>
          </w:p>
        </w:tc>
        <w:tc>
          <w:tcPr>
            <w:tcW w:w="436" w:type="pct"/>
            <w:tcBorders>
              <w:top w:val="nil"/>
              <w:left w:val="nil"/>
              <w:bottom w:val="nil"/>
              <w:right w:val="nil"/>
            </w:tcBorders>
            <w:shd w:val="clear" w:color="auto" w:fill="FFFFFF"/>
          </w:tcPr>
          <w:p w14:paraId="15E27F0C" w14:textId="77777777" w:rsidR="006B095C" w:rsidRPr="00563AD3" w:rsidRDefault="006B095C" w:rsidP="00CC68C0">
            <w:pPr>
              <w:spacing w:line="240" w:lineRule="auto"/>
              <w:jc w:val="right"/>
              <w:rPr>
                <w:color w:val="000000"/>
                <w:sz w:val="20"/>
                <w:szCs w:val="20"/>
              </w:rPr>
            </w:pPr>
            <w:r w:rsidRPr="00563AD3">
              <w:rPr>
                <w:color w:val="000000"/>
                <w:sz w:val="20"/>
                <w:szCs w:val="20"/>
              </w:rPr>
              <w:t>575 (95.5%) 4</w:t>
            </w:r>
          </w:p>
        </w:tc>
        <w:tc>
          <w:tcPr>
            <w:tcW w:w="437" w:type="pct"/>
            <w:tcBorders>
              <w:top w:val="nil"/>
              <w:left w:val="nil"/>
              <w:bottom w:val="nil"/>
              <w:right w:val="nil"/>
            </w:tcBorders>
            <w:shd w:val="clear" w:color="auto" w:fill="F2F2F2" w:themeFill="background1" w:themeFillShade="F2"/>
          </w:tcPr>
          <w:p w14:paraId="2D3099EC" w14:textId="77777777" w:rsidR="006B095C" w:rsidRPr="00563AD3" w:rsidRDefault="006B095C" w:rsidP="00CC68C0">
            <w:pPr>
              <w:spacing w:line="240" w:lineRule="auto"/>
              <w:jc w:val="right"/>
              <w:rPr>
                <w:color w:val="000000"/>
                <w:sz w:val="20"/>
                <w:szCs w:val="20"/>
              </w:rPr>
            </w:pPr>
            <w:r w:rsidRPr="00563AD3">
              <w:rPr>
                <w:color w:val="000000"/>
                <w:sz w:val="20"/>
                <w:szCs w:val="20"/>
              </w:rPr>
              <w:t>846 (96.5%) 6</w:t>
            </w:r>
          </w:p>
        </w:tc>
        <w:tc>
          <w:tcPr>
            <w:tcW w:w="436" w:type="pct"/>
            <w:tcBorders>
              <w:top w:val="nil"/>
              <w:left w:val="nil"/>
              <w:bottom w:val="nil"/>
              <w:right w:val="nil"/>
            </w:tcBorders>
            <w:shd w:val="clear" w:color="auto" w:fill="FFFFFF"/>
          </w:tcPr>
          <w:p w14:paraId="3C8DACCE" w14:textId="77777777" w:rsidR="006B095C" w:rsidRPr="00563AD3" w:rsidRDefault="006B095C" w:rsidP="00CC68C0">
            <w:pPr>
              <w:spacing w:line="240" w:lineRule="auto"/>
              <w:jc w:val="right"/>
              <w:rPr>
                <w:color w:val="000000"/>
                <w:sz w:val="20"/>
                <w:szCs w:val="20"/>
              </w:rPr>
            </w:pPr>
            <w:r w:rsidRPr="00563AD3">
              <w:rPr>
                <w:color w:val="000000"/>
                <w:sz w:val="20"/>
                <w:szCs w:val="20"/>
              </w:rPr>
              <w:t>99 (100.0%)</w:t>
            </w:r>
          </w:p>
        </w:tc>
        <w:tc>
          <w:tcPr>
            <w:tcW w:w="437" w:type="pct"/>
            <w:tcBorders>
              <w:top w:val="nil"/>
              <w:left w:val="nil"/>
              <w:bottom w:val="nil"/>
              <w:right w:val="nil"/>
            </w:tcBorders>
            <w:shd w:val="clear" w:color="auto" w:fill="FFFFFF"/>
          </w:tcPr>
          <w:p w14:paraId="222B2BE9" w14:textId="77777777" w:rsidR="006B095C" w:rsidRPr="00563AD3" w:rsidRDefault="006B095C" w:rsidP="00CC68C0">
            <w:pPr>
              <w:spacing w:line="240" w:lineRule="auto"/>
              <w:jc w:val="right"/>
              <w:rPr>
                <w:color w:val="000000"/>
                <w:sz w:val="20"/>
                <w:szCs w:val="20"/>
              </w:rPr>
            </w:pPr>
            <w:r w:rsidRPr="00563AD3">
              <w:rPr>
                <w:color w:val="000000"/>
                <w:sz w:val="20"/>
                <w:szCs w:val="20"/>
              </w:rPr>
              <w:t>158 (97.5%)</w:t>
            </w:r>
          </w:p>
        </w:tc>
        <w:tc>
          <w:tcPr>
            <w:tcW w:w="437" w:type="pct"/>
            <w:tcBorders>
              <w:top w:val="nil"/>
              <w:left w:val="nil"/>
              <w:bottom w:val="nil"/>
              <w:right w:val="nil"/>
            </w:tcBorders>
            <w:shd w:val="clear" w:color="auto" w:fill="D9D9D9" w:themeFill="background1" w:themeFillShade="D9"/>
          </w:tcPr>
          <w:p w14:paraId="6D4051A6" w14:textId="77777777" w:rsidR="006B095C" w:rsidRPr="00563AD3" w:rsidRDefault="006B095C" w:rsidP="00CC68C0">
            <w:pPr>
              <w:spacing w:line="240" w:lineRule="auto"/>
              <w:jc w:val="right"/>
              <w:rPr>
                <w:color w:val="000000"/>
                <w:sz w:val="20"/>
                <w:szCs w:val="20"/>
              </w:rPr>
            </w:pPr>
            <w:r w:rsidRPr="00563AD3">
              <w:rPr>
                <w:color w:val="000000"/>
                <w:sz w:val="20"/>
                <w:szCs w:val="20"/>
              </w:rPr>
              <w:t>257 (98.5%)</w:t>
            </w:r>
          </w:p>
        </w:tc>
      </w:tr>
      <w:tr w:rsidR="006B095C" w:rsidRPr="00563AD3" w14:paraId="79254384" w14:textId="77777777" w:rsidTr="00233B0D">
        <w:trPr>
          <w:cantSplit/>
          <w:jc w:val="center"/>
        </w:trPr>
        <w:tc>
          <w:tcPr>
            <w:tcW w:w="629" w:type="pct"/>
            <w:tcBorders>
              <w:top w:val="nil"/>
              <w:left w:val="nil"/>
              <w:bottom w:val="single" w:sz="4" w:space="0" w:color="auto"/>
              <w:right w:val="nil"/>
            </w:tcBorders>
            <w:shd w:val="clear" w:color="auto" w:fill="FFFFFF"/>
            <w:tcMar>
              <w:top w:w="0" w:type="dxa"/>
              <w:left w:w="67" w:type="dxa"/>
              <w:bottom w:w="0" w:type="dxa"/>
              <w:right w:w="67" w:type="dxa"/>
            </w:tcMar>
            <w:hideMark/>
          </w:tcPr>
          <w:p w14:paraId="46E2C341" w14:textId="77777777" w:rsidR="006B095C" w:rsidRPr="00563AD3" w:rsidRDefault="006B095C" w:rsidP="00CC68C0">
            <w:pPr>
              <w:spacing w:line="240" w:lineRule="auto"/>
              <w:rPr>
                <w:color w:val="000000"/>
                <w:sz w:val="20"/>
                <w:szCs w:val="20"/>
              </w:rPr>
            </w:pPr>
            <w:r w:rsidRPr="00563AD3">
              <w:rPr>
                <w:color w:val="000000"/>
                <w:sz w:val="20"/>
                <w:szCs w:val="20"/>
              </w:rPr>
              <w:t>Other</w:t>
            </w:r>
          </w:p>
        </w:tc>
        <w:tc>
          <w:tcPr>
            <w:tcW w:w="437" w:type="pct"/>
            <w:tcBorders>
              <w:top w:val="nil"/>
              <w:left w:val="nil"/>
              <w:bottom w:val="single" w:sz="4" w:space="0" w:color="auto"/>
              <w:right w:val="nil"/>
            </w:tcBorders>
            <w:shd w:val="clear" w:color="auto" w:fill="F2F2F2" w:themeFill="background1" w:themeFillShade="F2"/>
            <w:tcMar>
              <w:top w:w="0" w:type="dxa"/>
              <w:left w:w="67" w:type="dxa"/>
              <w:bottom w:w="0" w:type="dxa"/>
              <w:right w:w="67" w:type="dxa"/>
            </w:tcMar>
          </w:tcPr>
          <w:p w14:paraId="04697CC4" w14:textId="77777777" w:rsidR="006B095C" w:rsidRPr="00563AD3" w:rsidRDefault="006B095C" w:rsidP="00CC68C0">
            <w:pPr>
              <w:spacing w:line="240" w:lineRule="auto"/>
              <w:jc w:val="right"/>
              <w:rPr>
                <w:color w:val="000000"/>
                <w:sz w:val="20"/>
                <w:szCs w:val="20"/>
              </w:rPr>
            </w:pPr>
            <w:r w:rsidRPr="00563AD3">
              <w:rPr>
                <w:color w:val="000000"/>
                <w:sz w:val="20"/>
                <w:szCs w:val="20"/>
              </w:rPr>
              <w:t>55 (3.5%)</w:t>
            </w:r>
          </w:p>
        </w:tc>
        <w:tc>
          <w:tcPr>
            <w:tcW w:w="437" w:type="pct"/>
            <w:tcBorders>
              <w:top w:val="nil"/>
              <w:left w:val="nil"/>
              <w:bottom w:val="single" w:sz="4" w:space="0" w:color="auto"/>
              <w:right w:val="nil"/>
            </w:tcBorders>
            <w:shd w:val="clear" w:color="auto" w:fill="FFFFFF"/>
          </w:tcPr>
          <w:p w14:paraId="5DE4311C" w14:textId="77777777" w:rsidR="006B095C" w:rsidRPr="00563AD3" w:rsidRDefault="006B095C" w:rsidP="00CC68C0">
            <w:pPr>
              <w:spacing w:line="240" w:lineRule="auto"/>
              <w:jc w:val="right"/>
              <w:rPr>
                <w:color w:val="000000"/>
                <w:sz w:val="20"/>
                <w:szCs w:val="20"/>
              </w:rPr>
            </w:pPr>
            <w:r w:rsidRPr="00563AD3">
              <w:rPr>
                <w:color w:val="000000"/>
                <w:sz w:val="20"/>
                <w:szCs w:val="20"/>
              </w:rPr>
              <w:t>6 (1.9%)</w:t>
            </w:r>
          </w:p>
        </w:tc>
        <w:tc>
          <w:tcPr>
            <w:tcW w:w="436" w:type="pct"/>
            <w:tcBorders>
              <w:top w:val="nil"/>
              <w:left w:val="nil"/>
              <w:bottom w:val="single" w:sz="4" w:space="0" w:color="auto"/>
              <w:right w:val="nil"/>
            </w:tcBorders>
            <w:shd w:val="clear" w:color="auto" w:fill="FFFFFF"/>
          </w:tcPr>
          <w:p w14:paraId="163CEB12" w14:textId="77777777" w:rsidR="006B095C" w:rsidRPr="00563AD3" w:rsidRDefault="006B095C" w:rsidP="00CC68C0">
            <w:pPr>
              <w:spacing w:line="240" w:lineRule="auto"/>
              <w:jc w:val="right"/>
              <w:rPr>
                <w:color w:val="000000"/>
                <w:sz w:val="20"/>
                <w:szCs w:val="20"/>
              </w:rPr>
            </w:pPr>
            <w:r w:rsidRPr="00563AD3">
              <w:rPr>
                <w:color w:val="000000"/>
                <w:sz w:val="20"/>
                <w:szCs w:val="20"/>
              </w:rPr>
              <w:t>18 (4.3%)</w:t>
            </w:r>
          </w:p>
        </w:tc>
        <w:tc>
          <w:tcPr>
            <w:tcW w:w="437" w:type="pct"/>
            <w:tcBorders>
              <w:top w:val="nil"/>
              <w:left w:val="nil"/>
              <w:bottom w:val="single" w:sz="4" w:space="0" w:color="auto"/>
              <w:right w:val="nil"/>
            </w:tcBorders>
            <w:shd w:val="clear" w:color="auto" w:fill="D9D9D9" w:themeFill="background1" w:themeFillShade="D9"/>
          </w:tcPr>
          <w:p w14:paraId="3A12DA98" w14:textId="77777777" w:rsidR="006B095C" w:rsidRPr="00563AD3" w:rsidRDefault="006B095C" w:rsidP="00CC68C0">
            <w:pPr>
              <w:spacing w:line="240" w:lineRule="auto"/>
              <w:jc w:val="right"/>
              <w:rPr>
                <w:color w:val="000000"/>
                <w:sz w:val="20"/>
                <w:szCs w:val="20"/>
              </w:rPr>
            </w:pPr>
            <w:r w:rsidRPr="00563AD3">
              <w:rPr>
                <w:color w:val="000000"/>
                <w:sz w:val="20"/>
                <w:szCs w:val="20"/>
              </w:rPr>
              <w:t>24 (3.3%)</w:t>
            </w:r>
          </w:p>
        </w:tc>
        <w:tc>
          <w:tcPr>
            <w:tcW w:w="437" w:type="pct"/>
            <w:tcBorders>
              <w:top w:val="nil"/>
              <w:left w:val="nil"/>
              <w:bottom w:val="single" w:sz="4" w:space="0" w:color="auto"/>
              <w:right w:val="nil"/>
            </w:tcBorders>
            <w:shd w:val="clear" w:color="auto" w:fill="FFFFFF"/>
          </w:tcPr>
          <w:p w14:paraId="0058D6E2" w14:textId="77777777" w:rsidR="006B095C" w:rsidRPr="00563AD3" w:rsidRDefault="006B095C" w:rsidP="00CC68C0">
            <w:pPr>
              <w:spacing w:line="240" w:lineRule="auto"/>
              <w:jc w:val="right"/>
              <w:rPr>
                <w:color w:val="000000"/>
                <w:sz w:val="20"/>
                <w:szCs w:val="20"/>
              </w:rPr>
            </w:pPr>
            <w:r w:rsidRPr="00563AD3">
              <w:rPr>
                <w:color w:val="000000"/>
                <w:sz w:val="20"/>
                <w:szCs w:val="20"/>
              </w:rPr>
              <w:t>2 (0.7%)</w:t>
            </w:r>
          </w:p>
        </w:tc>
        <w:tc>
          <w:tcPr>
            <w:tcW w:w="436" w:type="pct"/>
            <w:tcBorders>
              <w:top w:val="nil"/>
              <w:left w:val="nil"/>
              <w:bottom w:val="single" w:sz="4" w:space="0" w:color="auto"/>
              <w:right w:val="nil"/>
            </w:tcBorders>
            <w:shd w:val="clear" w:color="auto" w:fill="FFFFFF"/>
          </w:tcPr>
          <w:p w14:paraId="6B385186" w14:textId="77777777" w:rsidR="006B095C" w:rsidRPr="00563AD3" w:rsidRDefault="006B095C" w:rsidP="00CC68C0">
            <w:pPr>
              <w:spacing w:line="240" w:lineRule="auto"/>
              <w:jc w:val="right"/>
              <w:rPr>
                <w:color w:val="000000"/>
                <w:sz w:val="20"/>
                <w:szCs w:val="20"/>
              </w:rPr>
            </w:pPr>
            <w:r w:rsidRPr="00563AD3">
              <w:rPr>
                <w:color w:val="000000"/>
                <w:sz w:val="20"/>
                <w:szCs w:val="20"/>
              </w:rPr>
              <w:t>23 (3.8%)</w:t>
            </w:r>
          </w:p>
        </w:tc>
        <w:tc>
          <w:tcPr>
            <w:tcW w:w="437" w:type="pct"/>
            <w:tcBorders>
              <w:top w:val="nil"/>
              <w:left w:val="nil"/>
              <w:bottom w:val="single" w:sz="4" w:space="0" w:color="auto"/>
              <w:right w:val="nil"/>
            </w:tcBorders>
            <w:shd w:val="clear" w:color="auto" w:fill="F2F2F2" w:themeFill="background1" w:themeFillShade="F2"/>
          </w:tcPr>
          <w:p w14:paraId="6A9C6F13" w14:textId="77777777" w:rsidR="006B095C" w:rsidRPr="00563AD3" w:rsidRDefault="006B095C" w:rsidP="00CC68C0">
            <w:pPr>
              <w:spacing w:line="240" w:lineRule="auto"/>
              <w:jc w:val="right"/>
              <w:rPr>
                <w:color w:val="000000"/>
                <w:sz w:val="20"/>
                <w:szCs w:val="20"/>
              </w:rPr>
            </w:pPr>
            <w:r w:rsidRPr="00563AD3">
              <w:rPr>
                <w:color w:val="000000"/>
                <w:sz w:val="20"/>
                <w:szCs w:val="20"/>
              </w:rPr>
              <w:t>25 (2.9%)</w:t>
            </w:r>
          </w:p>
        </w:tc>
        <w:tc>
          <w:tcPr>
            <w:tcW w:w="436" w:type="pct"/>
            <w:tcBorders>
              <w:top w:val="nil"/>
              <w:left w:val="nil"/>
              <w:bottom w:val="single" w:sz="4" w:space="0" w:color="auto"/>
              <w:right w:val="nil"/>
            </w:tcBorders>
            <w:shd w:val="clear" w:color="auto" w:fill="FFFFFF"/>
          </w:tcPr>
          <w:p w14:paraId="0E5E1BA0" w14:textId="77777777" w:rsidR="006B095C" w:rsidRPr="00563AD3" w:rsidRDefault="006B095C" w:rsidP="00CC68C0">
            <w:pPr>
              <w:spacing w:line="240" w:lineRule="auto"/>
              <w:jc w:val="right"/>
              <w:rPr>
                <w:color w:val="000000"/>
                <w:sz w:val="20"/>
                <w:szCs w:val="20"/>
              </w:rPr>
            </w:pPr>
            <w:r w:rsidRPr="00563AD3">
              <w:rPr>
                <w:color w:val="000000"/>
                <w:sz w:val="20"/>
                <w:szCs w:val="20"/>
              </w:rPr>
              <w:t>0 (0.0%)</w:t>
            </w:r>
          </w:p>
        </w:tc>
        <w:tc>
          <w:tcPr>
            <w:tcW w:w="437" w:type="pct"/>
            <w:tcBorders>
              <w:top w:val="nil"/>
              <w:left w:val="nil"/>
              <w:bottom w:val="single" w:sz="4" w:space="0" w:color="auto"/>
              <w:right w:val="nil"/>
            </w:tcBorders>
            <w:shd w:val="clear" w:color="auto" w:fill="FFFFFF"/>
          </w:tcPr>
          <w:p w14:paraId="4B5675EF" w14:textId="77777777" w:rsidR="006B095C" w:rsidRPr="00563AD3" w:rsidRDefault="006B095C" w:rsidP="00CC68C0">
            <w:pPr>
              <w:spacing w:line="240" w:lineRule="auto"/>
              <w:jc w:val="right"/>
              <w:rPr>
                <w:color w:val="000000"/>
                <w:sz w:val="20"/>
                <w:szCs w:val="20"/>
              </w:rPr>
            </w:pPr>
            <w:r w:rsidRPr="00563AD3">
              <w:rPr>
                <w:color w:val="000000"/>
                <w:sz w:val="20"/>
                <w:szCs w:val="20"/>
              </w:rPr>
              <w:t>4 (2.5%)</w:t>
            </w:r>
          </w:p>
        </w:tc>
        <w:tc>
          <w:tcPr>
            <w:tcW w:w="437" w:type="pct"/>
            <w:tcBorders>
              <w:top w:val="nil"/>
              <w:left w:val="nil"/>
              <w:bottom w:val="single" w:sz="4" w:space="0" w:color="auto"/>
              <w:right w:val="nil"/>
            </w:tcBorders>
            <w:shd w:val="clear" w:color="auto" w:fill="D9D9D9" w:themeFill="background1" w:themeFillShade="D9"/>
          </w:tcPr>
          <w:p w14:paraId="4EF71D20" w14:textId="77777777" w:rsidR="006B095C" w:rsidRPr="00563AD3" w:rsidRDefault="006B095C" w:rsidP="00CC68C0">
            <w:pPr>
              <w:spacing w:line="240" w:lineRule="auto"/>
              <w:jc w:val="right"/>
              <w:rPr>
                <w:color w:val="000000"/>
                <w:sz w:val="20"/>
                <w:szCs w:val="20"/>
              </w:rPr>
            </w:pPr>
            <w:r w:rsidRPr="00563AD3">
              <w:rPr>
                <w:color w:val="000000"/>
                <w:sz w:val="20"/>
                <w:szCs w:val="20"/>
              </w:rPr>
              <w:t>4 (1.5%)</w:t>
            </w:r>
          </w:p>
        </w:tc>
      </w:tr>
      <w:tr w:rsidR="006B095C" w:rsidRPr="00563AD3" w14:paraId="70671EA8" w14:textId="77777777" w:rsidTr="00233B0D">
        <w:trPr>
          <w:cantSplit/>
          <w:jc w:val="center"/>
        </w:trPr>
        <w:tc>
          <w:tcPr>
            <w:tcW w:w="5000" w:type="pct"/>
            <w:gridSpan w:val="11"/>
            <w:tcBorders>
              <w:top w:val="single" w:sz="4" w:space="0" w:color="auto"/>
              <w:left w:val="nil"/>
              <w:bottom w:val="nil"/>
              <w:right w:val="nil"/>
            </w:tcBorders>
            <w:shd w:val="clear" w:color="auto" w:fill="FFFFFF"/>
          </w:tcPr>
          <w:p w14:paraId="259C1890" w14:textId="77777777" w:rsidR="006B095C" w:rsidRPr="00563AD3" w:rsidRDefault="006B095C" w:rsidP="00CC68C0">
            <w:pPr>
              <w:spacing w:line="240" w:lineRule="auto"/>
              <w:rPr>
                <w:b/>
                <w:bCs/>
                <w:color w:val="000000"/>
                <w:sz w:val="20"/>
                <w:szCs w:val="20"/>
              </w:rPr>
            </w:pPr>
            <w:r w:rsidRPr="00563AD3">
              <w:rPr>
                <w:b/>
                <w:bCs/>
                <w:color w:val="000000"/>
                <w:sz w:val="20"/>
                <w:szCs w:val="20"/>
              </w:rPr>
              <w:t xml:space="preserve">Funding type </w:t>
            </w:r>
            <w:r w:rsidRPr="00563AD3">
              <w:rPr>
                <w:bCs/>
                <w:color w:val="000000"/>
                <w:sz w:val="20"/>
                <w:szCs w:val="20"/>
              </w:rPr>
              <w:t xml:space="preserve">N (%) </w:t>
            </w:r>
          </w:p>
        </w:tc>
      </w:tr>
      <w:tr w:rsidR="006B095C" w:rsidRPr="00563AD3" w14:paraId="6367C301" w14:textId="77777777" w:rsidTr="00233B0D">
        <w:trPr>
          <w:cantSplit/>
          <w:jc w:val="center"/>
        </w:trPr>
        <w:tc>
          <w:tcPr>
            <w:tcW w:w="629" w:type="pct"/>
            <w:tcBorders>
              <w:top w:val="nil"/>
              <w:left w:val="nil"/>
              <w:bottom w:val="nil"/>
              <w:right w:val="nil"/>
            </w:tcBorders>
            <w:shd w:val="clear" w:color="auto" w:fill="FFFFFF"/>
            <w:tcMar>
              <w:top w:w="0" w:type="dxa"/>
              <w:left w:w="67" w:type="dxa"/>
              <w:bottom w:w="0" w:type="dxa"/>
              <w:right w:w="67" w:type="dxa"/>
            </w:tcMar>
            <w:hideMark/>
          </w:tcPr>
          <w:p w14:paraId="3F1004C6" w14:textId="77777777" w:rsidR="006B095C" w:rsidRPr="00563AD3" w:rsidRDefault="006B095C" w:rsidP="00CC68C0">
            <w:pPr>
              <w:spacing w:line="240" w:lineRule="auto"/>
              <w:rPr>
                <w:color w:val="000000"/>
                <w:sz w:val="20"/>
                <w:szCs w:val="20"/>
              </w:rPr>
            </w:pPr>
            <w:r w:rsidRPr="00563AD3">
              <w:rPr>
                <w:color w:val="000000"/>
                <w:sz w:val="20"/>
                <w:szCs w:val="20"/>
              </w:rPr>
              <w:t>Local Authority</w:t>
            </w:r>
          </w:p>
        </w:tc>
        <w:tc>
          <w:tcPr>
            <w:tcW w:w="437" w:type="pct"/>
            <w:tcBorders>
              <w:top w:val="nil"/>
              <w:left w:val="nil"/>
              <w:bottom w:val="nil"/>
              <w:right w:val="nil"/>
            </w:tcBorders>
            <w:shd w:val="clear" w:color="auto" w:fill="F2F2F2" w:themeFill="background1" w:themeFillShade="F2"/>
            <w:tcMar>
              <w:top w:w="0" w:type="dxa"/>
              <w:left w:w="67" w:type="dxa"/>
              <w:bottom w:w="0" w:type="dxa"/>
              <w:right w:w="67" w:type="dxa"/>
            </w:tcMar>
          </w:tcPr>
          <w:p w14:paraId="6493EF94" w14:textId="77777777" w:rsidR="006B095C" w:rsidRPr="00563AD3" w:rsidRDefault="006B095C" w:rsidP="00CC68C0">
            <w:pPr>
              <w:spacing w:line="240" w:lineRule="auto"/>
              <w:jc w:val="right"/>
              <w:rPr>
                <w:color w:val="000000"/>
                <w:sz w:val="20"/>
                <w:szCs w:val="20"/>
              </w:rPr>
            </w:pPr>
            <w:r w:rsidRPr="00563AD3">
              <w:rPr>
                <w:color w:val="000000"/>
                <w:sz w:val="20"/>
                <w:szCs w:val="20"/>
              </w:rPr>
              <w:t>741 (47.4%)</w:t>
            </w:r>
          </w:p>
        </w:tc>
        <w:tc>
          <w:tcPr>
            <w:tcW w:w="437" w:type="pct"/>
            <w:tcBorders>
              <w:top w:val="nil"/>
              <w:left w:val="nil"/>
              <w:bottom w:val="nil"/>
              <w:right w:val="nil"/>
            </w:tcBorders>
            <w:shd w:val="clear" w:color="auto" w:fill="FFFFFF"/>
          </w:tcPr>
          <w:p w14:paraId="1A5ADDD4" w14:textId="77777777" w:rsidR="006B095C" w:rsidRPr="00563AD3" w:rsidRDefault="006B095C" w:rsidP="00CC68C0">
            <w:pPr>
              <w:spacing w:line="240" w:lineRule="auto"/>
              <w:jc w:val="right"/>
              <w:rPr>
                <w:color w:val="000000"/>
                <w:sz w:val="20"/>
                <w:szCs w:val="20"/>
              </w:rPr>
            </w:pPr>
            <w:r w:rsidRPr="00563AD3">
              <w:rPr>
                <w:color w:val="000000"/>
                <w:sz w:val="20"/>
                <w:szCs w:val="20"/>
              </w:rPr>
              <w:t>128 (41.6%)</w:t>
            </w:r>
          </w:p>
        </w:tc>
        <w:tc>
          <w:tcPr>
            <w:tcW w:w="436" w:type="pct"/>
            <w:tcBorders>
              <w:top w:val="nil"/>
              <w:left w:val="nil"/>
              <w:bottom w:val="nil"/>
              <w:right w:val="nil"/>
            </w:tcBorders>
            <w:shd w:val="clear" w:color="auto" w:fill="FFFFFF"/>
          </w:tcPr>
          <w:p w14:paraId="2AFCD86C" w14:textId="77777777" w:rsidR="006B095C" w:rsidRPr="00563AD3" w:rsidRDefault="006B095C" w:rsidP="00CC68C0">
            <w:pPr>
              <w:spacing w:line="240" w:lineRule="auto"/>
              <w:jc w:val="right"/>
              <w:rPr>
                <w:color w:val="000000"/>
                <w:sz w:val="20"/>
                <w:szCs w:val="20"/>
              </w:rPr>
            </w:pPr>
            <w:r w:rsidRPr="00563AD3">
              <w:rPr>
                <w:color w:val="000000"/>
                <w:sz w:val="20"/>
                <w:szCs w:val="20"/>
              </w:rPr>
              <w:t>224 (53.6%)</w:t>
            </w:r>
          </w:p>
        </w:tc>
        <w:tc>
          <w:tcPr>
            <w:tcW w:w="437" w:type="pct"/>
            <w:tcBorders>
              <w:top w:val="nil"/>
              <w:left w:val="nil"/>
              <w:bottom w:val="nil"/>
              <w:right w:val="nil"/>
            </w:tcBorders>
            <w:shd w:val="clear" w:color="auto" w:fill="D9D9D9" w:themeFill="background1" w:themeFillShade="D9"/>
          </w:tcPr>
          <w:p w14:paraId="410768DF" w14:textId="77777777" w:rsidR="006B095C" w:rsidRPr="00563AD3" w:rsidRDefault="006B095C" w:rsidP="00CC68C0">
            <w:pPr>
              <w:spacing w:line="240" w:lineRule="auto"/>
              <w:jc w:val="right"/>
              <w:rPr>
                <w:color w:val="000000"/>
                <w:sz w:val="20"/>
                <w:szCs w:val="20"/>
              </w:rPr>
            </w:pPr>
            <w:r w:rsidRPr="00563AD3">
              <w:rPr>
                <w:color w:val="000000"/>
                <w:sz w:val="20"/>
                <w:szCs w:val="20"/>
              </w:rPr>
              <w:t>352 (48.5%)</w:t>
            </w:r>
          </w:p>
        </w:tc>
        <w:tc>
          <w:tcPr>
            <w:tcW w:w="437" w:type="pct"/>
            <w:tcBorders>
              <w:top w:val="nil"/>
              <w:left w:val="nil"/>
              <w:bottom w:val="nil"/>
              <w:right w:val="nil"/>
            </w:tcBorders>
            <w:shd w:val="clear" w:color="auto" w:fill="FFFFFF"/>
          </w:tcPr>
          <w:p w14:paraId="544F1158" w14:textId="77777777" w:rsidR="006B095C" w:rsidRPr="00563AD3" w:rsidRDefault="006B095C" w:rsidP="00CC68C0">
            <w:pPr>
              <w:spacing w:line="240" w:lineRule="auto"/>
              <w:jc w:val="right"/>
              <w:rPr>
                <w:color w:val="000000"/>
                <w:sz w:val="20"/>
                <w:szCs w:val="20"/>
              </w:rPr>
            </w:pPr>
            <w:r w:rsidRPr="00563AD3">
              <w:rPr>
                <w:color w:val="000000"/>
                <w:sz w:val="20"/>
                <w:szCs w:val="20"/>
              </w:rPr>
              <w:t>113 (41.1%)</w:t>
            </w:r>
          </w:p>
        </w:tc>
        <w:tc>
          <w:tcPr>
            <w:tcW w:w="436" w:type="pct"/>
            <w:tcBorders>
              <w:top w:val="nil"/>
              <w:left w:val="nil"/>
              <w:bottom w:val="nil"/>
              <w:right w:val="nil"/>
            </w:tcBorders>
            <w:shd w:val="clear" w:color="auto" w:fill="FFFFFF"/>
          </w:tcPr>
          <w:p w14:paraId="7859511B" w14:textId="77777777" w:rsidR="006B095C" w:rsidRPr="00563AD3" w:rsidRDefault="006B095C" w:rsidP="00CC68C0">
            <w:pPr>
              <w:spacing w:line="240" w:lineRule="auto"/>
              <w:jc w:val="right"/>
              <w:rPr>
                <w:color w:val="000000"/>
                <w:sz w:val="20"/>
                <w:szCs w:val="20"/>
              </w:rPr>
            </w:pPr>
            <w:r w:rsidRPr="00563AD3">
              <w:rPr>
                <w:color w:val="000000"/>
                <w:sz w:val="20"/>
                <w:szCs w:val="20"/>
              </w:rPr>
              <w:t>291 (48.3%)</w:t>
            </w:r>
          </w:p>
        </w:tc>
        <w:tc>
          <w:tcPr>
            <w:tcW w:w="437" w:type="pct"/>
            <w:tcBorders>
              <w:top w:val="nil"/>
              <w:left w:val="nil"/>
              <w:bottom w:val="nil"/>
              <w:right w:val="nil"/>
            </w:tcBorders>
            <w:shd w:val="clear" w:color="auto" w:fill="F2F2F2" w:themeFill="background1" w:themeFillShade="F2"/>
          </w:tcPr>
          <w:p w14:paraId="1589677B" w14:textId="77777777" w:rsidR="006B095C" w:rsidRPr="00563AD3" w:rsidRDefault="006B095C" w:rsidP="00CC68C0">
            <w:pPr>
              <w:spacing w:line="240" w:lineRule="auto"/>
              <w:jc w:val="right"/>
              <w:rPr>
                <w:color w:val="000000"/>
                <w:sz w:val="20"/>
                <w:szCs w:val="20"/>
              </w:rPr>
            </w:pPr>
            <w:r w:rsidRPr="00563AD3">
              <w:rPr>
                <w:color w:val="000000"/>
                <w:sz w:val="20"/>
                <w:szCs w:val="20"/>
              </w:rPr>
              <w:t>404 (46.1%)</w:t>
            </w:r>
          </w:p>
        </w:tc>
        <w:tc>
          <w:tcPr>
            <w:tcW w:w="436" w:type="pct"/>
            <w:tcBorders>
              <w:top w:val="nil"/>
              <w:left w:val="nil"/>
              <w:bottom w:val="nil"/>
              <w:right w:val="nil"/>
            </w:tcBorders>
            <w:shd w:val="clear" w:color="auto" w:fill="FFFFFF"/>
          </w:tcPr>
          <w:p w14:paraId="53539819" w14:textId="77777777" w:rsidR="006B095C" w:rsidRPr="00563AD3" w:rsidRDefault="006B095C" w:rsidP="00CC68C0">
            <w:pPr>
              <w:spacing w:line="240" w:lineRule="auto"/>
              <w:jc w:val="right"/>
              <w:rPr>
                <w:color w:val="000000"/>
                <w:sz w:val="20"/>
                <w:szCs w:val="20"/>
              </w:rPr>
            </w:pPr>
            <w:r w:rsidRPr="00563AD3">
              <w:rPr>
                <w:color w:val="000000"/>
                <w:sz w:val="20"/>
                <w:szCs w:val="20"/>
              </w:rPr>
              <w:t>52 (52.5%)</w:t>
            </w:r>
          </w:p>
        </w:tc>
        <w:tc>
          <w:tcPr>
            <w:tcW w:w="437" w:type="pct"/>
            <w:tcBorders>
              <w:top w:val="nil"/>
              <w:left w:val="nil"/>
              <w:bottom w:val="nil"/>
              <w:right w:val="nil"/>
            </w:tcBorders>
            <w:shd w:val="clear" w:color="auto" w:fill="FFFFFF"/>
          </w:tcPr>
          <w:p w14:paraId="48FEDCAF" w14:textId="77777777" w:rsidR="006B095C" w:rsidRPr="00563AD3" w:rsidRDefault="006B095C" w:rsidP="00CC68C0">
            <w:pPr>
              <w:spacing w:line="240" w:lineRule="auto"/>
              <w:jc w:val="right"/>
              <w:rPr>
                <w:color w:val="000000"/>
                <w:sz w:val="20"/>
                <w:szCs w:val="20"/>
              </w:rPr>
            </w:pPr>
            <w:r w:rsidRPr="00563AD3">
              <w:rPr>
                <w:color w:val="000000"/>
                <w:sz w:val="20"/>
                <w:szCs w:val="20"/>
              </w:rPr>
              <w:t>74 (45.7%)</w:t>
            </w:r>
          </w:p>
        </w:tc>
        <w:tc>
          <w:tcPr>
            <w:tcW w:w="437" w:type="pct"/>
            <w:tcBorders>
              <w:top w:val="nil"/>
              <w:left w:val="nil"/>
              <w:bottom w:val="nil"/>
              <w:right w:val="nil"/>
            </w:tcBorders>
            <w:shd w:val="clear" w:color="auto" w:fill="D9D9D9" w:themeFill="background1" w:themeFillShade="D9"/>
          </w:tcPr>
          <w:p w14:paraId="74650B19" w14:textId="77777777" w:rsidR="006B095C" w:rsidRPr="00563AD3" w:rsidRDefault="006B095C" w:rsidP="00CC68C0">
            <w:pPr>
              <w:spacing w:line="240" w:lineRule="auto"/>
              <w:jc w:val="right"/>
              <w:rPr>
                <w:color w:val="000000"/>
                <w:sz w:val="20"/>
                <w:szCs w:val="20"/>
              </w:rPr>
            </w:pPr>
            <w:r w:rsidRPr="00563AD3">
              <w:rPr>
                <w:color w:val="000000"/>
                <w:sz w:val="20"/>
                <w:szCs w:val="20"/>
              </w:rPr>
              <w:t>126 (48.3%)</w:t>
            </w:r>
          </w:p>
        </w:tc>
      </w:tr>
      <w:tr w:rsidR="006B095C" w:rsidRPr="00563AD3" w14:paraId="5D8C6782" w14:textId="77777777" w:rsidTr="00233B0D">
        <w:trPr>
          <w:cantSplit/>
          <w:jc w:val="center"/>
        </w:trPr>
        <w:tc>
          <w:tcPr>
            <w:tcW w:w="629" w:type="pct"/>
            <w:tcBorders>
              <w:top w:val="nil"/>
              <w:left w:val="nil"/>
              <w:bottom w:val="nil"/>
              <w:right w:val="nil"/>
            </w:tcBorders>
            <w:shd w:val="clear" w:color="auto" w:fill="FFFFFF"/>
            <w:tcMar>
              <w:top w:w="0" w:type="dxa"/>
              <w:left w:w="67" w:type="dxa"/>
              <w:bottom w:w="0" w:type="dxa"/>
              <w:right w:w="67" w:type="dxa"/>
            </w:tcMar>
            <w:hideMark/>
          </w:tcPr>
          <w:p w14:paraId="1EB0E032" w14:textId="77777777" w:rsidR="006B095C" w:rsidRPr="00563AD3" w:rsidRDefault="006B095C" w:rsidP="00CC68C0">
            <w:pPr>
              <w:spacing w:line="240" w:lineRule="auto"/>
              <w:rPr>
                <w:color w:val="000000"/>
                <w:sz w:val="20"/>
                <w:szCs w:val="20"/>
              </w:rPr>
            </w:pPr>
            <w:r w:rsidRPr="00563AD3">
              <w:rPr>
                <w:color w:val="000000"/>
                <w:sz w:val="20"/>
                <w:szCs w:val="20"/>
              </w:rPr>
              <w:t>Continuing Healthcare</w:t>
            </w:r>
          </w:p>
        </w:tc>
        <w:tc>
          <w:tcPr>
            <w:tcW w:w="437" w:type="pct"/>
            <w:tcBorders>
              <w:top w:val="nil"/>
              <w:left w:val="nil"/>
              <w:bottom w:val="nil"/>
              <w:right w:val="nil"/>
            </w:tcBorders>
            <w:shd w:val="clear" w:color="auto" w:fill="F2F2F2" w:themeFill="background1" w:themeFillShade="F2"/>
            <w:tcMar>
              <w:top w:w="0" w:type="dxa"/>
              <w:left w:w="67" w:type="dxa"/>
              <w:bottom w:w="0" w:type="dxa"/>
              <w:right w:w="67" w:type="dxa"/>
            </w:tcMar>
          </w:tcPr>
          <w:p w14:paraId="0295A80C" w14:textId="77777777" w:rsidR="006B095C" w:rsidRPr="00563AD3" w:rsidRDefault="006B095C" w:rsidP="00CC68C0">
            <w:pPr>
              <w:spacing w:line="240" w:lineRule="auto"/>
              <w:jc w:val="right"/>
              <w:rPr>
                <w:color w:val="000000"/>
                <w:sz w:val="20"/>
                <w:szCs w:val="20"/>
              </w:rPr>
            </w:pPr>
            <w:r w:rsidRPr="00563AD3">
              <w:rPr>
                <w:color w:val="000000"/>
                <w:sz w:val="20"/>
                <w:szCs w:val="20"/>
              </w:rPr>
              <w:t>115 (7.4%)</w:t>
            </w:r>
          </w:p>
        </w:tc>
        <w:tc>
          <w:tcPr>
            <w:tcW w:w="437" w:type="pct"/>
            <w:tcBorders>
              <w:top w:val="nil"/>
              <w:left w:val="nil"/>
              <w:bottom w:val="nil"/>
              <w:right w:val="nil"/>
            </w:tcBorders>
            <w:shd w:val="clear" w:color="auto" w:fill="FFFFFF"/>
          </w:tcPr>
          <w:p w14:paraId="425C8B95" w14:textId="77777777" w:rsidR="006B095C" w:rsidRPr="00563AD3" w:rsidRDefault="006B095C" w:rsidP="00CC68C0">
            <w:pPr>
              <w:spacing w:line="240" w:lineRule="auto"/>
              <w:jc w:val="right"/>
              <w:rPr>
                <w:color w:val="000000"/>
                <w:sz w:val="20"/>
                <w:szCs w:val="20"/>
              </w:rPr>
            </w:pPr>
            <w:r w:rsidRPr="00563AD3">
              <w:rPr>
                <w:color w:val="000000"/>
                <w:sz w:val="20"/>
                <w:szCs w:val="20"/>
              </w:rPr>
              <w:t>28 (9.1%)</w:t>
            </w:r>
          </w:p>
        </w:tc>
        <w:tc>
          <w:tcPr>
            <w:tcW w:w="436" w:type="pct"/>
            <w:tcBorders>
              <w:top w:val="nil"/>
              <w:left w:val="nil"/>
              <w:bottom w:val="nil"/>
              <w:right w:val="nil"/>
            </w:tcBorders>
            <w:shd w:val="clear" w:color="auto" w:fill="FFFFFF"/>
          </w:tcPr>
          <w:p w14:paraId="7363A7F2" w14:textId="77777777" w:rsidR="006B095C" w:rsidRPr="00563AD3" w:rsidRDefault="006B095C" w:rsidP="00CC68C0">
            <w:pPr>
              <w:spacing w:line="240" w:lineRule="auto"/>
              <w:jc w:val="right"/>
              <w:rPr>
                <w:color w:val="000000"/>
                <w:sz w:val="20"/>
                <w:szCs w:val="20"/>
              </w:rPr>
            </w:pPr>
            <w:r w:rsidRPr="00563AD3">
              <w:rPr>
                <w:color w:val="000000"/>
                <w:sz w:val="20"/>
                <w:szCs w:val="20"/>
              </w:rPr>
              <w:t>20 (4.8%)</w:t>
            </w:r>
          </w:p>
        </w:tc>
        <w:tc>
          <w:tcPr>
            <w:tcW w:w="437" w:type="pct"/>
            <w:tcBorders>
              <w:top w:val="nil"/>
              <w:left w:val="nil"/>
              <w:bottom w:val="nil"/>
              <w:right w:val="nil"/>
            </w:tcBorders>
            <w:shd w:val="clear" w:color="auto" w:fill="D9D9D9" w:themeFill="background1" w:themeFillShade="D9"/>
          </w:tcPr>
          <w:p w14:paraId="512EF76F" w14:textId="77777777" w:rsidR="006B095C" w:rsidRPr="00563AD3" w:rsidRDefault="006B095C" w:rsidP="00CC68C0">
            <w:pPr>
              <w:spacing w:line="240" w:lineRule="auto"/>
              <w:jc w:val="right"/>
              <w:rPr>
                <w:color w:val="000000"/>
                <w:sz w:val="20"/>
                <w:szCs w:val="20"/>
              </w:rPr>
            </w:pPr>
            <w:r w:rsidRPr="00563AD3">
              <w:rPr>
                <w:color w:val="000000"/>
                <w:sz w:val="20"/>
                <w:szCs w:val="20"/>
              </w:rPr>
              <w:t>48 (6.6%)</w:t>
            </w:r>
          </w:p>
        </w:tc>
        <w:tc>
          <w:tcPr>
            <w:tcW w:w="437" w:type="pct"/>
            <w:tcBorders>
              <w:top w:val="nil"/>
              <w:left w:val="nil"/>
              <w:bottom w:val="nil"/>
              <w:right w:val="nil"/>
            </w:tcBorders>
            <w:shd w:val="clear" w:color="auto" w:fill="FFFFFF"/>
          </w:tcPr>
          <w:p w14:paraId="11D7355E" w14:textId="77777777" w:rsidR="006B095C" w:rsidRPr="00563AD3" w:rsidRDefault="006B095C" w:rsidP="00CC68C0">
            <w:pPr>
              <w:spacing w:line="240" w:lineRule="auto"/>
              <w:jc w:val="right"/>
              <w:rPr>
                <w:color w:val="000000"/>
                <w:sz w:val="20"/>
                <w:szCs w:val="20"/>
              </w:rPr>
            </w:pPr>
            <w:r w:rsidRPr="00563AD3">
              <w:rPr>
                <w:color w:val="000000"/>
                <w:sz w:val="20"/>
                <w:szCs w:val="20"/>
              </w:rPr>
              <w:t>5 (1.8%)</w:t>
            </w:r>
          </w:p>
        </w:tc>
        <w:tc>
          <w:tcPr>
            <w:tcW w:w="436" w:type="pct"/>
            <w:tcBorders>
              <w:top w:val="nil"/>
              <w:left w:val="nil"/>
              <w:bottom w:val="nil"/>
              <w:right w:val="nil"/>
            </w:tcBorders>
            <w:shd w:val="clear" w:color="auto" w:fill="FFFFFF"/>
          </w:tcPr>
          <w:p w14:paraId="08271B0A" w14:textId="77777777" w:rsidR="006B095C" w:rsidRPr="00563AD3" w:rsidRDefault="006B095C" w:rsidP="00CC68C0">
            <w:pPr>
              <w:spacing w:line="240" w:lineRule="auto"/>
              <w:jc w:val="right"/>
              <w:rPr>
                <w:color w:val="000000"/>
                <w:sz w:val="20"/>
                <w:szCs w:val="20"/>
              </w:rPr>
            </w:pPr>
            <w:r w:rsidRPr="00563AD3">
              <w:rPr>
                <w:color w:val="000000"/>
                <w:sz w:val="20"/>
                <w:szCs w:val="20"/>
              </w:rPr>
              <w:t>16 (2.7%)</w:t>
            </w:r>
          </w:p>
        </w:tc>
        <w:tc>
          <w:tcPr>
            <w:tcW w:w="437" w:type="pct"/>
            <w:tcBorders>
              <w:top w:val="nil"/>
              <w:left w:val="nil"/>
              <w:bottom w:val="nil"/>
              <w:right w:val="nil"/>
            </w:tcBorders>
            <w:shd w:val="clear" w:color="auto" w:fill="F2F2F2" w:themeFill="background1" w:themeFillShade="F2"/>
          </w:tcPr>
          <w:p w14:paraId="5F44F179" w14:textId="77777777" w:rsidR="006B095C" w:rsidRPr="00563AD3" w:rsidRDefault="006B095C" w:rsidP="00CC68C0">
            <w:pPr>
              <w:spacing w:line="240" w:lineRule="auto"/>
              <w:jc w:val="right"/>
              <w:rPr>
                <w:color w:val="000000"/>
                <w:sz w:val="20"/>
                <w:szCs w:val="20"/>
              </w:rPr>
            </w:pPr>
            <w:r w:rsidRPr="00563AD3">
              <w:rPr>
                <w:color w:val="000000"/>
                <w:sz w:val="20"/>
                <w:szCs w:val="20"/>
              </w:rPr>
              <w:t>21 (2.4%)</w:t>
            </w:r>
          </w:p>
        </w:tc>
        <w:tc>
          <w:tcPr>
            <w:tcW w:w="436" w:type="pct"/>
            <w:tcBorders>
              <w:top w:val="nil"/>
              <w:left w:val="nil"/>
              <w:bottom w:val="nil"/>
              <w:right w:val="nil"/>
            </w:tcBorders>
            <w:shd w:val="clear" w:color="auto" w:fill="FFFFFF"/>
          </w:tcPr>
          <w:p w14:paraId="72F09A8D" w14:textId="77777777" w:rsidR="006B095C" w:rsidRPr="00563AD3" w:rsidRDefault="006B095C" w:rsidP="00CC68C0">
            <w:pPr>
              <w:spacing w:line="240" w:lineRule="auto"/>
              <w:jc w:val="right"/>
              <w:rPr>
                <w:color w:val="000000"/>
                <w:sz w:val="20"/>
                <w:szCs w:val="20"/>
              </w:rPr>
            </w:pPr>
            <w:r w:rsidRPr="00563AD3">
              <w:rPr>
                <w:color w:val="000000"/>
                <w:sz w:val="20"/>
                <w:szCs w:val="20"/>
              </w:rPr>
              <w:t>1 (1.0%)</w:t>
            </w:r>
          </w:p>
        </w:tc>
        <w:tc>
          <w:tcPr>
            <w:tcW w:w="437" w:type="pct"/>
            <w:tcBorders>
              <w:top w:val="nil"/>
              <w:left w:val="nil"/>
              <w:bottom w:val="nil"/>
              <w:right w:val="nil"/>
            </w:tcBorders>
            <w:shd w:val="clear" w:color="auto" w:fill="FFFFFF"/>
          </w:tcPr>
          <w:p w14:paraId="13660D22" w14:textId="77777777" w:rsidR="006B095C" w:rsidRPr="00563AD3" w:rsidRDefault="006B095C" w:rsidP="00CC68C0">
            <w:pPr>
              <w:spacing w:line="240" w:lineRule="auto"/>
              <w:jc w:val="right"/>
              <w:rPr>
                <w:color w:val="000000"/>
                <w:sz w:val="20"/>
                <w:szCs w:val="20"/>
              </w:rPr>
            </w:pPr>
            <w:r w:rsidRPr="00563AD3">
              <w:rPr>
                <w:color w:val="000000"/>
                <w:sz w:val="20"/>
                <w:szCs w:val="20"/>
              </w:rPr>
              <w:t>1 (0.6%)</w:t>
            </w:r>
          </w:p>
        </w:tc>
        <w:tc>
          <w:tcPr>
            <w:tcW w:w="437" w:type="pct"/>
            <w:tcBorders>
              <w:top w:val="nil"/>
              <w:left w:val="nil"/>
              <w:bottom w:val="nil"/>
              <w:right w:val="nil"/>
            </w:tcBorders>
            <w:shd w:val="clear" w:color="auto" w:fill="D9D9D9" w:themeFill="background1" w:themeFillShade="D9"/>
          </w:tcPr>
          <w:p w14:paraId="4D129935" w14:textId="77777777" w:rsidR="006B095C" w:rsidRPr="00563AD3" w:rsidRDefault="006B095C" w:rsidP="00CC68C0">
            <w:pPr>
              <w:spacing w:line="240" w:lineRule="auto"/>
              <w:jc w:val="right"/>
              <w:rPr>
                <w:color w:val="000000"/>
                <w:sz w:val="20"/>
                <w:szCs w:val="20"/>
              </w:rPr>
            </w:pPr>
            <w:r w:rsidRPr="00563AD3">
              <w:rPr>
                <w:color w:val="000000"/>
                <w:sz w:val="20"/>
                <w:szCs w:val="20"/>
              </w:rPr>
              <w:t>2 (0.8%)</w:t>
            </w:r>
          </w:p>
        </w:tc>
      </w:tr>
      <w:tr w:rsidR="006B095C" w:rsidRPr="00563AD3" w14:paraId="12917DDF" w14:textId="77777777" w:rsidTr="00233B0D">
        <w:trPr>
          <w:cantSplit/>
          <w:jc w:val="center"/>
        </w:trPr>
        <w:tc>
          <w:tcPr>
            <w:tcW w:w="629" w:type="pct"/>
            <w:tcBorders>
              <w:top w:val="nil"/>
              <w:left w:val="nil"/>
              <w:bottom w:val="nil"/>
              <w:right w:val="nil"/>
            </w:tcBorders>
            <w:shd w:val="clear" w:color="auto" w:fill="FFFFFF"/>
            <w:tcMar>
              <w:top w:w="0" w:type="dxa"/>
              <w:left w:w="67" w:type="dxa"/>
              <w:bottom w:w="0" w:type="dxa"/>
              <w:right w:w="67" w:type="dxa"/>
            </w:tcMar>
            <w:hideMark/>
          </w:tcPr>
          <w:p w14:paraId="6E6BDD96" w14:textId="77777777" w:rsidR="006B095C" w:rsidRPr="00563AD3" w:rsidRDefault="006B095C" w:rsidP="00CC68C0">
            <w:pPr>
              <w:spacing w:line="240" w:lineRule="auto"/>
              <w:rPr>
                <w:color w:val="000000"/>
                <w:sz w:val="20"/>
                <w:szCs w:val="20"/>
              </w:rPr>
            </w:pPr>
            <w:r w:rsidRPr="00563AD3">
              <w:rPr>
                <w:color w:val="000000"/>
                <w:sz w:val="20"/>
                <w:szCs w:val="20"/>
              </w:rPr>
              <w:t>Self-funded</w:t>
            </w:r>
          </w:p>
        </w:tc>
        <w:tc>
          <w:tcPr>
            <w:tcW w:w="437" w:type="pct"/>
            <w:tcBorders>
              <w:top w:val="nil"/>
              <w:left w:val="nil"/>
              <w:bottom w:val="nil"/>
              <w:right w:val="nil"/>
            </w:tcBorders>
            <w:shd w:val="clear" w:color="auto" w:fill="F2F2F2" w:themeFill="background1" w:themeFillShade="F2"/>
            <w:tcMar>
              <w:top w:w="0" w:type="dxa"/>
              <w:left w:w="67" w:type="dxa"/>
              <w:bottom w:w="0" w:type="dxa"/>
              <w:right w:w="67" w:type="dxa"/>
            </w:tcMar>
          </w:tcPr>
          <w:p w14:paraId="3B20AAE5" w14:textId="77777777" w:rsidR="006B095C" w:rsidRPr="00563AD3" w:rsidRDefault="006B095C" w:rsidP="00CC68C0">
            <w:pPr>
              <w:spacing w:line="240" w:lineRule="auto"/>
              <w:jc w:val="right"/>
              <w:rPr>
                <w:color w:val="000000"/>
                <w:sz w:val="20"/>
                <w:szCs w:val="20"/>
              </w:rPr>
            </w:pPr>
            <w:r w:rsidRPr="00563AD3">
              <w:rPr>
                <w:color w:val="000000"/>
                <w:sz w:val="20"/>
                <w:szCs w:val="20"/>
              </w:rPr>
              <w:t>555 (35.5%)</w:t>
            </w:r>
          </w:p>
        </w:tc>
        <w:tc>
          <w:tcPr>
            <w:tcW w:w="437" w:type="pct"/>
            <w:tcBorders>
              <w:top w:val="nil"/>
              <w:left w:val="nil"/>
              <w:bottom w:val="nil"/>
              <w:right w:val="nil"/>
            </w:tcBorders>
            <w:shd w:val="clear" w:color="auto" w:fill="FFFFFF"/>
          </w:tcPr>
          <w:p w14:paraId="6F48E024"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133 (43.2%)</w:t>
            </w:r>
          </w:p>
        </w:tc>
        <w:tc>
          <w:tcPr>
            <w:tcW w:w="436" w:type="pct"/>
            <w:tcBorders>
              <w:top w:val="nil"/>
              <w:left w:val="nil"/>
              <w:bottom w:val="nil"/>
              <w:right w:val="nil"/>
            </w:tcBorders>
            <w:shd w:val="clear" w:color="auto" w:fill="FFFFFF"/>
          </w:tcPr>
          <w:p w14:paraId="59CBB3D2" w14:textId="77777777" w:rsidR="006B095C" w:rsidRPr="00563AD3" w:rsidRDefault="006B095C" w:rsidP="00CC68C0">
            <w:pPr>
              <w:spacing w:line="240" w:lineRule="auto"/>
              <w:jc w:val="right"/>
              <w:rPr>
                <w:color w:val="000000"/>
                <w:sz w:val="20"/>
                <w:szCs w:val="20"/>
              </w:rPr>
            </w:pPr>
            <w:r w:rsidRPr="00563AD3">
              <w:rPr>
                <w:color w:val="000000"/>
                <w:sz w:val="20"/>
                <w:szCs w:val="20"/>
              </w:rPr>
              <w:t>156 (37.3%)</w:t>
            </w:r>
          </w:p>
        </w:tc>
        <w:tc>
          <w:tcPr>
            <w:tcW w:w="437" w:type="pct"/>
            <w:tcBorders>
              <w:top w:val="nil"/>
              <w:left w:val="nil"/>
              <w:bottom w:val="nil"/>
              <w:right w:val="nil"/>
            </w:tcBorders>
            <w:shd w:val="clear" w:color="auto" w:fill="D9D9D9" w:themeFill="background1" w:themeFillShade="D9"/>
          </w:tcPr>
          <w:p w14:paraId="76BE6B1C" w14:textId="77777777" w:rsidR="006B095C" w:rsidRPr="00563AD3" w:rsidRDefault="006B095C" w:rsidP="00CC68C0">
            <w:pPr>
              <w:spacing w:line="240" w:lineRule="auto"/>
              <w:jc w:val="right"/>
              <w:rPr>
                <w:color w:val="000000"/>
                <w:sz w:val="20"/>
                <w:szCs w:val="20"/>
              </w:rPr>
            </w:pPr>
            <w:r w:rsidRPr="00563AD3">
              <w:rPr>
                <w:color w:val="000000"/>
                <w:sz w:val="20"/>
                <w:szCs w:val="20"/>
              </w:rPr>
              <w:t>289 (39.8%)</w:t>
            </w:r>
          </w:p>
        </w:tc>
        <w:tc>
          <w:tcPr>
            <w:tcW w:w="437" w:type="pct"/>
            <w:tcBorders>
              <w:top w:val="nil"/>
              <w:left w:val="nil"/>
              <w:bottom w:val="nil"/>
              <w:right w:val="nil"/>
            </w:tcBorders>
            <w:shd w:val="clear" w:color="auto" w:fill="FFFFFF"/>
          </w:tcPr>
          <w:p w14:paraId="021FF9A0" w14:textId="77777777" w:rsidR="006B095C" w:rsidRPr="00563AD3" w:rsidRDefault="006B095C" w:rsidP="00CC68C0">
            <w:pPr>
              <w:spacing w:line="240" w:lineRule="auto"/>
              <w:jc w:val="right"/>
              <w:rPr>
                <w:color w:val="000000"/>
                <w:sz w:val="20"/>
                <w:szCs w:val="20"/>
              </w:rPr>
            </w:pPr>
            <w:r w:rsidRPr="00563AD3">
              <w:rPr>
                <w:color w:val="000000"/>
                <w:sz w:val="20"/>
                <w:szCs w:val="20"/>
              </w:rPr>
              <w:t>94 (34.2%)</w:t>
            </w:r>
          </w:p>
        </w:tc>
        <w:tc>
          <w:tcPr>
            <w:tcW w:w="436" w:type="pct"/>
            <w:tcBorders>
              <w:top w:val="nil"/>
              <w:left w:val="nil"/>
              <w:bottom w:val="nil"/>
              <w:right w:val="nil"/>
            </w:tcBorders>
            <w:shd w:val="clear" w:color="auto" w:fill="FFFFFF"/>
          </w:tcPr>
          <w:p w14:paraId="1FB82AB2" w14:textId="77777777" w:rsidR="006B095C" w:rsidRPr="00563AD3" w:rsidRDefault="006B095C" w:rsidP="00CC68C0">
            <w:pPr>
              <w:spacing w:line="240" w:lineRule="auto"/>
              <w:jc w:val="right"/>
              <w:rPr>
                <w:color w:val="000000"/>
                <w:sz w:val="20"/>
                <w:szCs w:val="20"/>
              </w:rPr>
            </w:pPr>
            <w:r w:rsidRPr="00563AD3">
              <w:rPr>
                <w:color w:val="000000"/>
                <w:sz w:val="20"/>
                <w:szCs w:val="20"/>
              </w:rPr>
              <w:t>224 (37.2%)</w:t>
            </w:r>
          </w:p>
        </w:tc>
        <w:tc>
          <w:tcPr>
            <w:tcW w:w="437" w:type="pct"/>
            <w:tcBorders>
              <w:top w:val="nil"/>
              <w:left w:val="nil"/>
              <w:bottom w:val="nil"/>
              <w:right w:val="nil"/>
            </w:tcBorders>
            <w:shd w:val="clear" w:color="auto" w:fill="F2F2F2" w:themeFill="background1" w:themeFillShade="F2"/>
          </w:tcPr>
          <w:p w14:paraId="774AB1A6" w14:textId="77777777" w:rsidR="006B095C" w:rsidRPr="00563AD3" w:rsidRDefault="006B095C" w:rsidP="00CC68C0">
            <w:pPr>
              <w:spacing w:line="240" w:lineRule="auto"/>
              <w:jc w:val="right"/>
              <w:rPr>
                <w:color w:val="000000"/>
                <w:sz w:val="20"/>
                <w:szCs w:val="20"/>
              </w:rPr>
            </w:pPr>
            <w:r w:rsidRPr="00563AD3">
              <w:rPr>
                <w:color w:val="000000"/>
                <w:sz w:val="20"/>
                <w:szCs w:val="20"/>
              </w:rPr>
              <w:t>318 (36.3%)</w:t>
            </w:r>
          </w:p>
        </w:tc>
        <w:tc>
          <w:tcPr>
            <w:tcW w:w="436" w:type="pct"/>
            <w:tcBorders>
              <w:top w:val="nil"/>
              <w:left w:val="nil"/>
              <w:bottom w:val="nil"/>
              <w:right w:val="nil"/>
            </w:tcBorders>
            <w:shd w:val="clear" w:color="auto" w:fill="FFFFFF"/>
          </w:tcPr>
          <w:p w14:paraId="078E2CFC" w14:textId="77777777" w:rsidR="006B095C" w:rsidRPr="00563AD3" w:rsidRDefault="006B095C" w:rsidP="00CC68C0">
            <w:pPr>
              <w:spacing w:line="240" w:lineRule="auto"/>
              <w:jc w:val="right"/>
              <w:rPr>
                <w:color w:val="000000"/>
                <w:sz w:val="20"/>
                <w:szCs w:val="20"/>
              </w:rPr>
            </w:pPr>
            <w:r w:rsidRPr="00563AD3">
              <w:rPr>
                <w:color w:val="000000"/>
                <w:sz w:val="20"/>
                <w:szCs w:val="20"/>
              </w:rPr>
              <w:t>33 (33.3%)</w:t>
            </w:r>
          </w:p>
        </w:tc>
        <w:tc>
          <w:tcPr>
            <w:tcW w:w="437" w:type="pct"/>
            <w:tcBorders>
              <w:top w:val="nil"/>
              <w:left w:val="nil"/>
              <w:bottom w:val="nil"/>
              <w:right w:val="nil"/>
            </w:tcBorders>
            <w:shd w:val="clear" w:color="auto" w:fill="FFFFFF"/>
          </w:tcPr>
          <w:p w14:paraId="746086CD" w14:textId="77777777" w:rsidR="006B095C" w:rsidRPr="00563AD3" w:rsidRDefault="006B095C" w:rsidP="00CC68C0">
            <w:pPr>
              <w:spacing w:line="240" w:lineRule="auto"/>
              <w:jc w:val="right"/>
              <w:rPr>
                <w:color w:val="000000"/>
                <w:sz w:val="20"/>
                <w:szCs w:val="20"/>
              </w:rPr>
            </w:pPr>
            <w:r w:rsidRPr="00563AD3">
              <w:rPr>
                <w:color w:val="000000"/>
                <w:sz w:val="20"/>
                <w:szCs w:val="20"/>
              </w:rPr>
              <w:t>75 (46.3%)</w:t>
            </w:r>
          </w:p>
        </w:tc>
        <w:tc>
          <w:tcPr>
            <w:tcW w:w="437" w:type="pct"/>
            <w:tcBorders>
              <w:top w:val="nil"/>
              <w:left w:val="nil"/>
              <w:bottom w:val="nil"/>
              <w:right w:val="nil"/>
            </w:tcBorders>
            <w:shd w:val="clear" w:color="auto" w:fill="D9D9D9" w:themeFill="background1" w:themeFillShade="D9"/>
          </w:tcPr>
          <w:p w14:paraId="36205CB6" w14:textId="77777777" w:rsidR="006B095C" w:rsidRPr="00563AD3" w:rsidRDefault="006B095C" w:rsidP="00CC68C0">
            <w:pPr>
              <w:spacing w:line="240" w:lineRule="auto"/>
              <w:jc w:val="right"/>
              <w:rPr>
                <w:color w:val="000000"/>
                <w:sz w:val="20"/>
                <w:szCs w:val="20"/>
              </w:rPr>
            </w:pPr>
            <w:r w:rsidRPr="00563AD3">
              <w:rPr>
                <w:color w:val="000000"/>
                <w:sz w:val="20"/>
                <w:szCs w:val="20"/>
              </w:rPr>
              <w:t>108 (41.4%)</w:t>
            </w:r>
          </w:p>
        </w:tc>
      </w:tr>
      <w:tr w:rsidR="006B095C" w:rsidRPr="00563AD3" w14:paraId="13B20ACC" w14:textId="77777777" w:rsidTr="00233B0D">
        <w:trPr>
          <w:cantSplit/>
          <w:jc w:val="center"/>
        </w:trPr>
        <w:tc>
          <w:tcPr>
            <w:tcW w:w="629" w:type="pct"/>
            <w:tcBorders>
              <w:top w:val="nil"/>
              <w:left w:val="nil"/>
              <w:bottom w:val="nil"/>
              <w:right w:val="nil"/>
            </w:tcBorders>
            <w:shd w:val="clear" w:color="auto" w:fill="FFFFFF"/>
            <w:tcMar>
              <w:top w:w="0" w:type="dxa"/>
              <w:left w:w="67" w:type="dxa"/>
              <w:bottom w:w="0" w:type="dxa"/>
              <w:right w:w="67" w:type="dxa"/>
            </w:tcMar>
            <w:hideMark/>
          </w:tcPr>
          <w:p w14:paraId="72969FFC" w14:textId="77777777" w:rsidR="006B095C" w:rsidRPr="00563AD3" w:rsidRDefault="006B095C" w:rsidP="00CC68C0">
            <w:pPr>
              <w:keepNext/>
              <w:spacing w:line="240" w:lineRule="auto"/>
              <w:rPr>
                <w:color w:val="000000"/>
                <w:sz w:val="20"/>
                <w:szCs w:val="20"/>
              </w:rPr>
            </w:pPr>
            <w:r w:rsidRPr="00563AD3">
              <w:rPr>
                <w:color w:val="000000"/>
                <w:sz w:val="20"/>
                <w:szCs w:val="20"/>
              </w:rPr>
              <w:t>Local Authority and self-funded</w:t>
            </w:r>
          </w:p>
        </w:tc>
        <w:tc>
          <w:tcPr>
            <w:tcW w:w="437" w:type="pct"/>
            <w:tcBorders>
              <w:top w:val="nil"/>
              <w:left w:val="nil"/>
              <w:bottom w:val="nil"/>
              <w:right w:val="nil"/>
            </w:tcBorders>
            <w:shd w:val="clear" w:color="auto" w:fill="F2F2F2" w:themeFill="background1" w:themeFillShade="F2"/>
            <w:tcMar>
              <w:top w:w="0" w:type="dxa"/>
              <w:left w:w="67" w:type="dxa"/>
              <w:bottom w:w="0" w:type="dxa"/>
              <w:right w:w="67" w:type="dxa"/>
            </w:tcMar>
          </w:tcPr>
          <w:p w14:paraId="17848DCC"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69 (4.4%)</w:t>
            </w:r>
          </w:p>
        </w:tc>
        <w:tc>
          <w:tcPr>
            <w:tcW w:w="437" w:type="pct"/>
            <w:tcBorders>
              <w:top w:val="nil"/>
              <w:left w:val="nil"/>
              <w:bottom w:val="nil"/>
              <w:right w:val="nil"/>
            </w:tcBorders>
            <w:shd w:val="clear" w:color="auto" w:fill="FFFFFF"/>
          </w:tcPr>
          <w:p w14:paraId="53407957" w14:textId="77777777" w:rsidR="006B095C" w:rsidRPr="00563AD3" w:rsidRDefault="006B095C" w:rsidP="00CC68C0">
            <w:pPr>
              <w:spacing w:line="240" w:lineRule="auto"/>
              <w:jc w:val="right"/>
              <w:rPr>
                <w:color w:val="000000"/>
                <w:sz w:val="20"/>
                <w:szCs w:val="20"/>
              </w:rPr>
            </w:pPr>
            <w:r w:rsidRPr="00563AD3">
              <w:rPr>
                <w:color w:val="000000"/>
                <w:sz w:val="20"/>
                <w:szCs w:val="20"/>
              </w:rPr>
              <w:t>17 (5.5%)</w:t>
            </w:r>
          </w:p>
        </w:tc>
        <w:tc>
          <w:tcPr>
            <w:tcW w:w="436" w:type="pct"/>
            <w:tcBorders>
              <w:top w:val="nil"/>
              <w:left w:val="nil"/>
              <w:bottom w:val="nil"/>
              <w:right w:val="nil"/>
            </w:tcBorders>
            <w:shd w:val="clear" w:color="auto" w:fill="FFFFFF"/>
          </w:tcPr>
          <w:p w14:paraId="6B7BDB37"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17 (4.1%)</w:t>
            </w:r>
          </w:p>
        </w:tc>
        <w:tc>
          <w:tcPr>
            <w:tcW w:w="437" w:type="pct"/>
            <w:tcBorders>
              <w:top w:val="nil"/>
              <w:left w:val="nil"/>
              <w:bottom w:val="nil"/>
              <w:right w:val="nil"/>
            </w:tcBorders>
            <w:shd w:val="clear" w:color="auto" w:fill="D9D9D9" w:themeFill="background1" w:themeFillShade="D9"/>
          </w:tcPr>
          <w:p w14:paraId="0995BA4E"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34 (4.7%)</w:t>
            </w:r>
          </w:p>
        </w:tc>
        <w:tc>
          <w:tcPr>
            <w:tcW w:w="437" w:type="pct"/>
            <w:tcBorders>
              <w:top w:val="nil"/>
              <w:left w:val="nil"/>
              <w:bottom w:val="nil"/>
              <w:right w:val="nil"/>
            </w:tcBorders>
            <w:shd w:val="clear" w:color="auto" w:fill="FFFFFF"/>
          </w:tcPr>
          <w:p w14:paraId="5018F669"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26 (9.5%)</w:t>
            </w:r>
          </w:p>
        </w:tc>
        <w:tc>
          <w:tcPr>
            <w:tcW w:w="436" w:type="pct"/>
            <w:tcBorders>
              <w:top w:val="nil"/>
              <w:left w:val="nil"/>
              <w:bottom w:val="nil"/>
              <w:right w:val="nil"/>
            </w:tcBorders>
            <w:shd w:val="clear" w:color="auto" w:fill="FFFFFF"/>
          </w:tcPr>
          <w:p w14:paraId="68B1FD33"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42 (7.0%)</w:t>
            </w:r>
          </w:p>
        </w:tc>
        <w:tc>
          <w:tcPr>
            <w:tcW w:w="437" w:type="pct"/>
            <w:tcBorders>
              <w:top w:val="nil"/>
              <w:left w:val="nil"/>
              <w:bottom w:val="nil"/>
              <w:right w:val="nil"/>
            </w:tcBorders>
            <w:shd w:val="clear" w:color="auto" w:fill="F2F2F2" w:themeFill="background1" w:themeFillShade="F2"/>
          </w:tcPr>
          <w:p w14:paraId="0F4B6C51"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68 (7.8%)</w:t>
            </w:r>
          </w:p>
        </w:tc>
        <w:tc>
          <w:tcPr>
            <w:tcW w:w="436" w:type="pct"/>
            <w:tcBorders>
              <w:top w:val="nil"/>
              <w:left w:val="nil"/>
              <w:bottom w:val="nil"/>
              <w:right w:val="nil"/>
            </w:tcBorders>
            <w:shd w:val="clear" w:color="auto" w:fill="FFFFFF"/>
          </w:tcPr>
          <w:p w14:paraId="5B870A49"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13 (13.1%)</w:t>
            </w:r>
          </w:p>
        </w:tc>
        <w:tc>
          <w:tcPr>
            <w:tcW w:w="437" w:type="pct"/>
            <w:tcBorders>
              <w:top w:val="nil"/>
              <w:left w:val="nil"/>
              <w:bottom w:val="nil"/>
              <w:right w:val="nil"/>
            </w:tcBorders>
            <w:shd w:val="clear" w:color="auto" w:fill="FFFFFF"/>
          </w:tcPr>
          <w:p w14:paraId="66A26876"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12 (7.4%)</w:t>
            </w:r>
          </w:p>
        </w:tc>
        <w:tc>
          <w:tcPr>
            <w:tcW w:w="437" w:type="pct"/>
            <w:tcBorders>
              <w:top w:val="nil"/>
              <w:left w:val="nil"/>
              <w:bottom w:val="nil"/>
              <w:right w:val="nil"/>
            </w:tcBorders>
            <w:shd w:val="clear" w:color="auto" w:fill="D9D9D9" w:themeFill="background1" w:themeFillShade="D9"/>
          </w:tcPr>
          <w:p w14:paraId="7F8E5DD1"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25 (9.6%)</w:t>
            </w:r>
          </w:p>
        </w:tc>
      </w:tr>
      <w:tr w:rsidR="006B095C" w:rsidRPr="00563AD3" w14:paraId="5194AF32" w14:textId="77777777" w:rsidTr="00233B0D">
        <w:trPr>
          <w:cantSplit/>
          <w:jc w:val="center"/>
        </w:trPr>
        <w:tc>
          <w:tcPr>
            <w:tcW w:w="629" w:type="pct"/>
            <w:tcBorders>
              <w:top w:val="nil"/>
              <w:left w:val="nil"/>
              <w:bottom w:val="single" w:sz="4" w:space="0" w:color="auto"/>
              <w:right w:val="nil"/>
            </w:tcBorders>
            <w:shd w:val="clear" w:color="auto" w:fill="FFFFFF"/>
            <w:tcMar>
              <w:top w:w="0" w:type="dxa"/>
              <w:left w:w="67" w:type="dxa"/>
              <w:bottom w:w="0" w:type="dxa"/>
              <w:right w:w="67" w:type="dxa"/>
            </w:tcMar>
          </w:tcPr>
          <w:p w14:paraId="3054EEEE" w14:textId="77777777" w:rsidR="006B095C" w:rsidRPr="00563AD3" w:rsidRDefault="006B095C" w:rsidP="00CC68C0">
            <w:pPr>
              <w:keepNext/>
              <w:spacing w:line="240" w:lineRule="auto"/>
              <w:rPr>
                <w:color w:val="000000"/>
                <w:sz w:val="20"/>
                <w:szCs w:val="20"/>
              </w:rPr>
            </w:pPr>
            <w:r w:rsidRPr="00563AD3">
              <w:rPr>
                <w:color w:val="000000"/>
                <w:sz w:val="20"/>
                <w:szCs w:val="20"/>
              </w:rPr>
              <w:t>Missing</w:t>
            </w:r>
          </w:p>
        </w:tc>
        <w:tc>
          <w:tcPr>
            <w:tcW w:w="437" w:type="pct"/>
            <w:tcBorders>
              <w:top w:val="nil"/>
              <w:left w:val="nil"/>
              <w:bottom w:val="single" w:sz="4" w:space="0" w:color="auto"/>
              <w:right w:val="nil"/>
            </w:tcBorders>
            <w:shd w:val="clear" w:color="auto" w:fill="F2F2F2" w:themeFill="background1" w:themeFillShade="F2"/>
            <w:tcMar>
              <w:top w:w="0" w:type="dxa"/>
              <w:left w:w="67" w:type="dxa"/>
              <w:bottom w:w="0" w:type="dxa"/>
              <w:right w:w="67" w:type="dxa"/>
            </w:tcMar>
          </w:tcPr>
          <w:p w14:paraId="455EEA7D"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84 (5.4%)</w:t>
            </w:r>
          </w:p>
        </w:tc>
        <w:tc>
          <w:tcPr>
            <w:tcW w:w="437" w:type="pct"/>
            <w:tcBorders>
              <w:top w:val="nil"/>
              <w:left w:val="nil"/>
              <w:bottom w:val="single" w:sz="4" w:space="0" w:color="auto"/>
              <w:right w:val="nil"/>
            </w:tcBorders>
            <w:shd w:val="clear" w:color="auto" w:fill="FFFFFF"/>
          </w:tcPr>
          <w:p w14:paraId="6556A8EE" w14:textId="77777777" w:rsidR="006B095C" w:rsidRPr="00563AD3" w:rsidRDefault="006B095C" w:rsidP="00CC68C0">
            <w:pPr>
              <w:spacing w:line="240" w:lineRule="auto"/>
              <w:jc w:val="right"/>
              <w:rPr>
                <w:color w:val="000000"/>
                <w:sz w:val="20"/>
                <w:szCs w:val="20"/>
              </w:rPr>
            </w:pPr>
            <w:r w:rsidRPr="00563AD3">
              <w:rPr>
                <w:color w:val="000000"/>
                <w:sz w:val="20"/>
                <w:szCs w:val="20"/>
              </w:rPr>
              <w:t>2 (0.6%)</w:t>
            </w:r>
          </w:p>
        </w:tc>
        <w:tc>
          <w:tcPr>
            <w:tcW w:w="436" w:type="pct"/>
            <w:tcBorders>
              <w:top w:val="nil"/>
              <w:left w:val="nil"/>
              <w:bottom w:val="single" w:sz="4" w:space="0" w:color="auto"/>
              <w:right w:val="nil"/>
            </w:tcBorders>
            <w:shd w:val="clear" w:color="auto" w:fill="FFFFFF"/>
          </w:tcPr>
          <w:p w14:paraId="489BA567"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1 (0.2%)</w:t>
            </w:r>
          </w:p>
        </w:tc>
        <w:tc>
          <w:tcPr>
            <w:tcW w:w="437" w:type="pct"/>
            <w:tcBorders>
              <w:top w:val="nil"/>
              <w:left w:val="nil"/>
              <w:bottom w:val="single" w:sz="4" w:space="0" w:color="auto"/>
              <w:right w:val="nil"/>
            </w:tcBorders>
            <w:shd w:val="clear" w:color="auto" w:fill="D9D9D9" w:themeFill="background1" w:themeFillShade="D9"/>
          </w:tcPr>
          <w:p w14:paraId="16252C53"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3 (0.4%)</w:t>
            </w:r>
          </w:p>
        </w:tc>
        <w:tc>
          <w:tcPr>
            <w:tcW w:w="437" w:type="pct"/>
            <w:tcBorders>
              <w:top w:val="nil"/>
              <w:left w:val="nil"/>
              <w:bottom w:val="single" w:sz="4" w:space="0" w:color="auto"/>
              <w:right w:val="nil"/>
            </w:tcBorders>
            <w:shd w:val="clear" w:color="auto" w:fill="FFFFFF"/>
          </w:tcPr>
          <w:p w14:paraId="2B221FB4"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37 (13.5%)</w:t>
            </w:r>
          </w:p>
        </w:tc>
        <w:tc>
          <w:tcPr>
            <w:tcW w:w="436" w:type="pct"/>
            <w:tcBorders>
              <w:top w:val="nil"/>
              <w:left w:val="nil"/>
              <w:bottom w:val="single" w:sz="4" w:space="0" w:color="auto"/>
              <w:right w:val="nil"/>
            </w:tcBorders>
            <w:shd w:val="clear" w:color="auto" w:fill="FFFFFF"/>
          </w:tcPr>
          <w:p w14:paraId="57271508"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29 (4.8%)</w:t>
            </w:r>
          </w:p>
        </w:tc>
        <w:tc>
          <w:tcPr>
            <w:tcW w:w="437" w:type="pct"/>
            <w:tcBorders>
              <w:top w:val="nil"/>
              <w:left w:val="nil"/>
              <w:bottom w:val="single" w:sz="4" w:space="0" w:color="auto"/>
              <w:right w:val="nil"/>
            </w:tcBorders>
            <w:shd w:val="clear" w:color="auto" w:fill="F2F2F2" w:themeFill="background1" w:themeFillShade="F2"/>
          </w:tcPr>
          <w:p w14:paraId="115EA92E"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66 (7.5%)</w:t>
            </w:r>
          </w:p>
        </w:tc>
        <w:tc>
          <w:tcPr>
            <w:tcW w:w="436" w:type="pct"/>
            <w:tcBorders>
              <w:top w:val="nil"/>
              <w:left w:val="nil"/>
              <w:bottom w:val="single" w:sz="4" w:space="0" w:color="auto"/>
              <w:right w:val="nil"/>
            </w:tcBorders>
            <w:shd w:val="clear" w:color="auto" w:fill="FFFFFF"/>
          </w:tcPr>
          <w:p w14:paraId="778CF1F2"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0 (0.0%)</w:t>
            </w:r>
          </w:p>
        </w:tc>
        <w:tc>
          <w:tcPr>
            <w:tcW w:w="437" w:type="pct"/>
            <w:tcBorders>
              <w:top w:val="nil"/>
              <w:left w:val="nil"/>
              <w:bottom w:val="single" w:sz="4" w:space="0" w:color="auto"/>
              <w:right w:val="nil"/>
            </w:tcBorders>
            <w:shd w:val="clear" w:color="auto" w:fill="FFFFFF"/>
          </w:tcPr>
          <w:p w14:paraId="752ABF81"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0 (0.0%)</w:t>
            </w:r>
          </w:p>
        </w:tc>
        <w:tc>
          <w:tcPr>
            <w:tcW w:w="437" w:type="pct"/>
            <w:tcBorders>
              <w:top w:val="nil"/>
              <w:left w:val="nil"/>
              <w:bottom w:val="single" w:sz="4" w:space="0" w:color="auto"/>
              <w:right w:val="nil"/>
            </w:tcBorders>
            <w:shd w:val="clear" w:color="auto" w:fill="D9D9D9" w:themeFill="background1" w:themeFillShade="D9"/>
          </w:tcPr>
          <w:p w14:paraId="0401BBF7" w14:textId="77777777" w:rsidR="006B095C" w:rsidRPr="00563AD3" w:rsidRDefault="006B095C" w:rsidP="00CC68C0">
            <w:pPr>
              <w:keepNext/>
              <w:spacing w:line="240" w:lineRule="auto"/>
              <w:jc w:val="right"/>
              <w:rPr>
                <w:color w:val="000000"/>
                <w:sz w:val="20"/>
                <w:szCs w:val="20"/>
              </w:rPr>
            </w:pPr>
            <w:r w:rsidRPr="00563AD3">
              <w:rPr>
                <w:color w:val="000000"/>
                <w:sz w:val="20"/>
                <w:szCs w:val="20"/>
              </w:rPr>
              <w:t>0 (0.0%)</w:t>
            </w:r>
          </w:p>
        </w:tc>
      </w:tr>
    </w:tbl>
    <w:p w14:paraId="50120168" w14:textId="77777777" w:rsidR="006B095C" w:rsidRPr="00563AD3" w:rsidRDefault="006B095C" w:rsidP="009B13F3">
      <w:pPr>
        <w:rPr>
          <w:sz w:val="18"/>
          <w:szCs w:val="18"/>
        </w:rPr>
      </w:pPr>
      <w:r w:rsidRPr="00563AD3">
        <w:rPr>
          <w:sz w:val="18"/>
          <w:szCs w:val="18"/>
        </w:rPr>
        <w:t>*Excluding those already participating in EPIC or those that were screened at baseline but refused consent.</w:t>
      </w:r>
    </w:p>
    <w:p w14:paraId="5DCCD05D" w14:textId="77777777" w:rsidR="006B095C" w:rsidRPr="00563AD3" w:rsidRDefault="006B095C" w:rsidP="009B13F3">
      <w:pPr>
        <w:sectPr w:rsidR="006B095C" w:rsidRPr="00563AD3" w:rsidSect="00233B0D">
          <w:pgSz w:w="16838" w:h="11906" w:orient="landscape"/>
          <w:pgMar w:top="1440" w:right="1440" w:bottom="1440" w:left="1440" w:header="708" w:footer="708" w:gutter="0"/>
          <w:cols w:space="708"/>
          <w:docGrid w:linePitch="360"/>
        </w:sectPr>
      </w:pPr>
    </w:p>
    <w:p w14:paraId="2FB7A452" w14:textId="6F2374CE" w:rsidR="00361E4F" w:rsidRPr="00563AD3" w:rsidRDefault="00361E4F" w:rsidP="009B13F3">
      <w:pPr>
        <w:pStyle w:val="Heading3"/>
      </w:pPr>
      <w:bookmarkStart w:id="122" w:name="_Toc525544006"/>
      <w:r w:rsidRPr="00401735">
        <w:t>3.1.3 Staff recruitment</w:t>
      </w:r>
      <w:bookmarkEnd w:id="122"/>
    </w:p>
    <w:p w14:paraId="30B4E47C" w14:textId="32BF9734" w:rsidR="00D62469" w:rsidRPr="00563AD3" w:rsidRDefault="0040573B" w:rsidP="009B13F3">
      <w:r w:rsidRPr="00563AD3">
        <w:t xml:space="preserve">There was a very poor return rate of staff </w:t>
      </w:r>
      <w:r w:rsidR="00323892" w:rsidRPr="00563AD3">
        <w:t>questionnaire booklets</w:t>
      </w:r>
      <w:r w:rsidRPr="00563AD3">
        <w:t xml:space="preserve"> (see </w:t>
      </w:r>
      <w:r w:rsidR="00087868" w:rsidRPr="00A648BD">
        <w:rPr>
          <w:i/>
        </w:rPr>
        <w:t>Appendix 1</w:t>
      </w:r>
      <w:r w:rsidR="008A026E" w:rsidRPr="00A648BD">
        <w:rPr>
          <w:i/>
        </w:rPr>
        <w:t xml:space="preserve">, Table </w:t>
      </w:r>
      <w:r w:rsidR="00F9110A" w:rsidRPr="00A648BD">
        <w:rPr>
          <w:i/>
        </w:rPr>
        <w:t>31</w:t>
      </w:r>
      <w:r w:rsidRPr="00563AD3">
        <w:t>) despite the changes made to encourage return rates i.e. removal of the GHQ12 and personal data (</w:t>
      </w:r>
      <w:r w:rsidR="00576A74" w:rsidRPr="00563AD3">
        <w:t xml:space="preserve">see </w:t>
      </w:r>
      <w:r w:rsidR="00576A74" w:rsidRPr="00A648BD">
        <w:rPr>
          <w:i/>
        </w:rPr>
        <w:t>section 2.10</w:t>
      </w:r>
      <w:r w:rsidRPr="00563AD3">
        <w:t xml:space="preserve">). Following consultation with oversight committees, it was agreed that persistence with </w:t>
      </w:r>
      <w:r w:rsidR="00323892" w:rsidRPr="00563AD3">
        <w:t xml:space="preserve">obtaining </w:t>
      </w:r>
      <w:r w:rsidRPr="00563AD3">
        <w:t xml:space="preserve">staff data was important as the intervention </w:t>
      </w:r>
      <w:r w:rsidR="00323892" w:rsidRPr="00563AD3">
        <w:t>wa</w:t>
      </w:r>
      <w:r w:rsidRPr="00563AD3">
        <w:t>s designed to effect a ‘whole-home’ change.</w:t>
      </w:r>
      <w:r w:rsidR="00323892" w:rsidRPr="00563AD3">
        <w:t xml:space="preserve"> However, due to low return rates</w:t>
      </w:r>
      <w:r w:rsidR="00A840C4" w:rsidRPr="00563AD3">
        <w:t>,</w:t>
      </w:r>
      <w:r w:rsidR="00323892" w:rsidRPr="00563AD3">
        <w:t xml:space="preserve"> planned statistical analyses </w:t>
      </w:r>
      <w:r w:rsidR="009C5AB2" w:rsidRPr="00563AD3">
        <w:t>could not be conducted</w:t>
      </w:r>
      <w:r w:rsidR="00181C3A" w:rsidRPr="00563AD3">
        <w:t>.</w:t>
      </w:r>
      <w:r w:rsidR="00323892" w:rsidRPr="00563AD3">
        <w:t xml:space="preserve"> </w:t>
      </w:r>
    </w:p>
    <w:p w14:paraId="13E3D4A4" w14:textId="5C79EABD" w:rsidR="00361E4F" w:rsidRPr="00563AD3" w:rsidRDefault="00260B65" w:rsidP="009B13F3">
      <w:pPr>
        <w:pStyle w:val="Heading3"/>
      </w:pPr>
      <w:bookmarkStart w:id="123" w:name="_Toc525544007"/>
      <w:r w:rsidRPr="00563AD3">
        <w:t>3.1.4 Relative/friend recruitment</w:t>
      </w:r>
      <w:bookmarkEnd w:id="123"/>
    </w:p>
    <w:p w14:paraId="400FC479" w14:textId="7CA123D6" w:rsidR="00260B65" w:rsidRPr="00563AD3" w:rsidRDefault="00260B65" w:rsidP="009B13F3">
      <w:r w:rsidRPr="00563AD3">
        <w:t>At baseline, 197 relatives</w:t>
      </w:r>
      <w:r w:rsidR="00181C3A" w:rsidRPr="00563AD3">
        <w:t>/friends</w:t>
      </w:r>
      <w:r w:rsidRPr="00563AD3">
        <w:t xml:space="preserve"> were registered to the trial with 96 i</w:t>
      </w:r>
      <w:r w:rsidR="0040573B" w:rsidRPr="00563AD3">
        <w:t xml:space="preserve">n the </w:t>
      </w:r>
      <w:r w:rsidR="00063B85" w:rsidRPr="00563AD3">
        <w:t xml:space="preserve">control </w:t>
      </w:r>
      <w:r w:rsidR="00182DC5" w:rsidRPr="00563AD3">
        <w:t>arm</w:t>
      </w:r>
      <w:r w:rsidR="0040573B" w:rsidRPr="00563AD3">
        <w:t xml:space="preserve"> and 101 in </w:t>
      </w:r>
      <w:r w:rsidR="00063B85" w:rsidRPr="00563AD3">
        <w:t xml:space="preserve">the </w:t>
      </w:r>
      <w:r w:rsidR="00181C3A" w:rsidRPr="00563AD3">
        <w:t>intervention</w:t>
      </w:r>
      <w:r w:rsidR="0040573B" w:rsidRPr="00563AD3">
        <w:t xml:space="preserve"> </w:t>
      </w:r>
      <w:r w:rsidR="00182DC5" w:rsidRPr="00563AD3">
        <w:t>arm</w:t>
      </w:r>
      <w:r w:rsidRPr="00563AD3">
        <w:t xml:space="preserve">. This reflects a larger proportion in </w:t>
      </w:r>
      <w:r w:rsidR="00063B85" w:rsidRPr="00563AD3">
        <w:t>the control</w:t>
      </w:r>
      <w:r w:rsidRPr="00563AD3">
        <w:t xml:space="preserve"> </w:t>
      </w:r>
      <w:r w:rsidR="00182DC5" w:rsidRPr="00563AD3">
        <w:t>arm</w:t>
      </w:r>
      <w:r w:rsidR="00063B85" w:rsidRPr="00563AD3">
        <w:t xml:space="preserve"> </w:t>
      </w:r>
      <w:r w:rsidR="009C5AB2" w:rsidRPr="00563AD3">
        <w:t>given</w:t>
      </w:r>
      <w:r w:rsidRPr="00563AD3">
        <w:t xml:space="preserve"> the 2:3 randomisation</w:t>
      </w:r>
      <w:r w:rsidR="00063B85" w:rsidRPr="00563AD3">
        <w:t xml:space="preserve"> allocation</w:t>
      </w:r>
      <w:r w:rsidRPr="00563AD3">
        <w:t xml:space="preserve">. </w:t>
      </w:r>
      <w:r w:rsidR="00A12005" w:rsidRPr="00563AD3">
        <w:t>The total number of relatives</w:t>
      </w:r>
      <w:r w:rsidR="00063B85" w:rsidRPr="00563AD3">
        <w:t>/friends</w:t>
      </w:r>
      <w:r w:rsidR="00A12005" w:rsidRPr="00563AD3">
        <w:t xml:space="preserve"> registered to the trial reduced at </w:t>
      </w:r>
      <w:r w:rsidRPr="00563AD3">
        <w:t>6</w:t>
      </w:r>
      <w:r w:rsidR="00063B85" w:rsidRPr="00563AD3">
        <w:t>-</w:t>
      </w:r>
      <w:r w:rsidR="009C5AB2" w:rsidRPr="00563AD3">
        <w:t>months</w:t>
      </w:r>
      <w:r w:rsidRPr="00563AD3">
        <w:t xml:space="preserve"> </w:t>
      </w:r>
      <w:r w:rsidR="007E4BE7" w:rsidRPr="00563AD3">
        <w:t xml:space="preserve">(n=170, control=85, intervention=85) </w:t>
      </w:r>
      <w:r w:rsidR="00A12005" w:rsidRPr="00563AD3">
        <w:t>and 16-</w:t>
      </w:r>
      <w:r w:rsidRPr="00563AD3">
        <w:t>months</w:t>
      </w:r>
      <w:r w:rsidR="00A12005" w:rsidRPr="00563AD3">
        <w:t xml:space="preserve"> </w:t>
      </w:r>
      <w:r w:rsidR="007E4BE7" w:rsidRPr="00563AD3">
        <w:t xml:space="preserve">(n=118, control=63, intervention=55) (see </w:t>
      </w:r>
      <w:r w:rsidR="00087868" w:rsidRPr="00A648BD">
        <w:rPr>
          <w:i/>
        </w:rPr>
        <w:t>Appendix 1</w:t>
      </w:r>
      <w:r w:rsidR="008A026E" w:rsidRPr="00A648BD">
        <w:rPr>
          <w:i/>
        </w:rPr>
        <w:t xml:space="preserve">, Table </w:t>
      </w:r>
      <w:r w:rsidR="00072202" w:rsidRPr="00A648BD">
        <w:rPr>
          <w:i/>
        </w:rPr>
        <w:t>32</w:t>
      </w:r>
      <w:r w:rsidR="007E4BE7" w:rsidRPr="00563AD3">
        <w:t xml:space="preserve">) </w:t>
      </w:r>
      <w:r w:rsidR="00A12005" w:rsidRPr="00563AD3">
        <w:t xml:space="preserve">as might be expected with the </w:t>
      </w:r>
      <w:r w:rsidR="00063B85" w:rsidRPr="00563AD3">
        <w:t>high</w:t>
      </w:r>
      <w:r w:rsidR="00A12005" w:rsidRPr="00563AD3">
        <w:t xml:space="preserve"> loss to follow-up rates.</w:t>
      </w:r>
      <w:r w:rsidRPr="00563AD3">
        <w:t xml:space="preserve"> </w:t>
      </w:r>
      <w:r w:rsidR="00CF6A1F" w:rsidRPr="00563AD3">
        <w:t>It was agreed by the oversight committees that, given the low percentage of data received, th</w:t>
      </w:r>
      <w:r w:rsidR="00063B85" w:rsidRPr="00563AD3">
        <w:t xml:space="preserve">ese data </w:t>
      </w:r>
      <w:r w:rsidR="007E4BE7" w:rsidRPr="00563AD3">
        <w:t>would</w:t>
      </w:r>
      <w:r w:rsidR="00063B85" w:rsidRPr="00563AD3">
        <w:t xml:space="preserve"> not be useful when undertaking statistical</w:t>
      </w:r>
      <w:r w:rsidR="00CF6A1F" w:rsidRPr="00563AD3">
        <w:t xml:space="preserve"> analyses</w:t>
      </w:r>
      <w:r w:rsidR="007E4BE7" w:rsidRPr="00563AD3">
        <w:t>,</w:t>
      </w:r>
      <w:r w:rsidR="00CF6A1F" w:rsidRPr="00563AD3">
        <w:t xml:space="preserve"> with the exception of some of the health economic analyses (see </w:t>
      </w:r>
      <w:r w:rsidR="00CF6A1F" w:rsidRPr="00A648BD">
        <w:rPr>
          <w:i/>
        </w:rPr>
        <w:t>section 2.8.</w:t>
      </w:r>
      <w:r w:rsidR="0078769C" w:rsidRPr="00A648BD">
        <w:rPr>
          <w:i/>
        </w:rPr>
        <w:t>9</w:t>
      </w:r>
      <w:r w:rsidR="00CF6A1F" w:rsidRPr="00563AD3">
        <w:t>). New relative/friend informants were therefore not identified at follow-up. Where relatives/friends agreed to take part at baseline, we continued to request their follow-up data</w:t>
      </w:r>
      <w:r w:rsidR="00A12005" w:rsidRPr="00563AD3">
        <w:t xml:space="preserve">. </w:t>
      </w:r>
    </w:p>
    <w:p w14:paraId="7F0D8556" w14:textId="1C5DE30B" w:rsidR="00FD4D9E" w:rsidRPr="00563AD3" w:rsidRDefault="00FD4D9E" w:rsidP="009B13F3"/>
    <w:p w14:paraId="33441546" w14:textId="5A7A890B" w:rsidR="000B4E72" w:rsidRPr="00563AD3" w:rsidRDefault="00A97DE0" w:rsidP="009B13F3">
      <w:pPr>
        <w:pStyle w:val="Heading2"/>
      </w:pPr>
      <w:bookmarkStart w:id="124" w:name="_Toc525544008"/>
      <w:r w:rsidRPr="00563AD3">
        <w:t>3.2</w:t>
      </w:r>
      <w:r w:rsidR="008A60E2" w:rsidRPr="00563AD3">
        <w:t xml:space="preserve"> </w:t>
      </w:r>
      <w:r w:rsidR="000B4E72" w:rsidRPr="00563AD3">
        <w:t>Baseline data</w:t>
      </w:r>
      <w:bookmarkEnd w:id="124"/>
    </w:p>
    <w:p w14:paraId="466596E5" w14:textId="41322278" w:rsidR="0030041C" w:rsidRPr="00563AD3" w:rsidRDefault="00A97DE0" w:rsidP="009B13F3">
      <w:pPr>
        <w:pStyle w:val="Heading3"/>
      </w:pPr>
      <w:bookmarkStart w:id="125" w:name="_Toc525544009"/>
      <w:r w:rsidRPr="00563AD3">
        <w:t>3.2</w:t>
      </w:r>
      <w:r w:rsidR="0030041C" w:rsidRPr="00563AD3">
        <w:t>.1 Care Home characteristics</w:t>
      </w:r>
      <w:bookmarkEnd w:id="125"/>
    </w:p>
    <w:p w14:paraId="1492C8EE" w14:textId="4E5B109C" w:rsidR="00E94CD9" w:rsidRPr="00563AD3" w:rsidRDefault="002721BE" w:rsidP="00E94CD9">
      <w:r w:rsidRPr="00563AD3">
        <w:t xml:space="preserve">At baseline, </w:t>
      </w:r>
      <w:r w:rsidR="00DD4D62" w:rsidRPr="00563AD3">
        <w:t xml:space="preserve">on average the intervention </w:t>
      </w:r>
      <w:r w:rsidR="00182DC5" w:rsidRPr="00563AD3">
        <w:t>arm</w:t>
      </w:r>
      <w:r w:rsidR="00DD4D62" w:rsidRPr="00563AD3">
        <w:t xml:space="preserve"> homes were larger than</w:t>
      </w:r>
      <w:r w:rsidR="00ED28D6" w:rsidRPr="00563AD3">
        <w:t xml:space="preserve"> control</w:t>
      </w:r>
      <w:r w:rsidR="0078280A" w:rsidRPr="00563AD3">
        <w:t>. H</w:t>
      </w:r>
      <w:r w:rsidRPr="00563AD3">
        <w:t>owever</w:t>
      </w:r>
      <w:r w:rsidR="0078280A" w:rsidRPr="00563AD3">
        <w:t>,</w:t>
      </w:r>
      <w:r w:rsidRPr="00563AD3">
        <w:t xml:space="preserve"> </w:t>
      </w:r>
      <w:r w:rsidR="0078280A" w:rsidRPr="00563AD3">
        <w:t xml:space="preserve">the </w:t>
      </w:r>
      <w:r w:rsidR="007C3663" w:rsidRPr="00563AD3">
        <w:t xml:space="preserve">average </w:t>
      </w:r>
      <w:r w:rsidR="00DD4D62" w:rsidRPr="00563AD3">
        <w:t>proportion</w:t>
      </w:r>
      <w:r w:rsidRPr="00563AD3">
        <w:t xml:space="preserve"> of permanent residents with dementi</w:t>
      </w:r>
      <w:r w:rsidR="007C3663" w:rsidRPr="00563AD3">
        <w:t xml:space="preserve">a was </w:t>
      </w:r>
      <w:r w:rsidR="00DD4D62" w:rsidRPr="00563AD3">
        <w:t xml:space="preserve">higher in the control </w:t>
      </w:r>
      <w:r w:rsidR="00182DC5" w:rsidRPr="00563AD3">
        <w:t>arm</w:t>
      </w:r>
      <w:r w:rsidR="00DD4D62" w:rsidRPr="00563AD3">
        <w:t xml:space="preserve">. </w:t>
      </w:r>
      <w:r w:rsidR="007C3663" w:rsidRPr="00563AD3">
        <w:t xml:space="preserve"> </w:t>
      </w:r>
      <w:r w:rsidR="00DD4D62" w:rsidRPr="00563AD3">
        <w:t>C</w:t>
      </w:r>
      <w:r w:rsidR="00ED28D6" w:rsidRPr="00563AD3">
        <w:t>are home</w:t>
      </w:r>
      <w:r w:rsidRPr="00563AD3">
        <w:t xml:space="preserve"> managers had similar work experience and training across both </w:t>
      </w:r>
      <w:r w:rsidR="00182DC5" w:rsidRPr="00563AD3">
        <w:t>arms</w:t>
      </w:r>
      <w:r w:rsidR="007C3663" w:rsidRPr="00563AD3">
        <w:t xml:space="preserve"> (</w:t>
      </w:r>
      <w:r w:rsidR="00E94CD9">
        <w:t>Table 5)</w:t>
      </w:r>
    </w:p>
    <w:p w14:paraId="5B1C9D25" w14:textId="414D1368" w:rsidR="00233B0D" w:rsidRPr="00A17B52" w:rsidRDefault="002B6E25" w:rsidP="009B13F3">
      <w:pPr>
        <w:sectPr w:rsidR="00233B0D" w:rsidRPr="00A17B52" w:rsidSect="00233B0D">
          <w:type w:val="continuous"/>
          <w:pgSz w:w="11906" w:h="16838"/>
          <w:pgMar w:top="1440" w:right="1440" w:bottom="1440" w:left="1440" w:header="708" w:footer="708" w:gutter="0"/>
          <w:cols w:space="708"/>
          <w:docGrid w:linePitch="360"/>
        </w:sectPr>
      </w:pPr>
      <w:r w:rsidRPr="00563AD3">
        <w:t xml:space="preserve">A slightly higher </w:t>
      </w:r>
      <w:r w:rsidR="00F407F9" w:rsidRPr="00563AD3">
        <w:t xml:space="preserve">than anticipated </w:t>
      </w:r>
      <w:r w:rsidRPr="00563AD3">
        <w:t xml:space="preserve">number of care homes (n=13, 26%) </w:t>
      </w:r>
      <w:r w:rsidRPr="00563AD3">
        <w:fldChar w:fldCharType="begin"/>
      </w:r>
      <w:r w:rsidR="008C7FD1">
        <w:instrText xml:space="preserve"> ADDIN EN.CITE &lt;EndNote&gt;&lt;Cite&gt;&lt;Author&gt;Griffiths&lt;/Author&gt;&lt;Year&gt;2018&lt;/Year&gt;&lt;RecNum&gt;1852&lt;/RecNum&gt;&lt;DisplayText&gt;&lt;style face="superscript"&gt;99&lt;/style&gt;&lt;/DisplayText&gt;&lt;record&gt;&lt;rec-number&gt;1852&lt;/rec-number&gt;&lt;foreign-keys&gt;&lt;key app="EN" db-id="wprxwptv75dtdree0t5x2ptmvadptw5fr2ww" timestamp="1519403369"&gt;1852&lt;/key&gt;&lt;/foreign-keys&gt;&lt;ref-type name="Journal Article"&gt;17&lt;/ref-type&gt;&lt;contributors&gt;&lt;authors&gt;&lt;author&gt;Griffiths, A.W.&lt;/author&gt;&lt;author&gt;Creese, B.&lt;/author&gt;&lt;author&gt;Garrod, L.&lt;/author&gt;&lt;author&gt;Chenoweth, L.&lt;/author&gt;&lt;author&gt;Surr, C.&lt;/author&gt;&lt;/authors&gt;&lt;/contributors&gt;&lt;titles&gt;&lt;title&gt;The development and use of the Assessment of Dementia Awareness and Person-centred Care Training (ADAPT) tool in long-term care &lt;/title&gt;&lt;secondary-title&gt;Dementia: The international journal of social research and practice&lt;/secondary-title&gt;&lt;/titles&gt;&lt;dates&gt;&lt;year&gt;2018&lt;/year&gt;&lt;/dates&gt;&lt;urls&gt;&lt;/urls&gt;&lt;electronic-resource-num&gt;10.1177/1471301218768165&lt;/electronic-resource-num&gt;&lt;/record&gt;&lt;/Cite&gt;&lt;/EndNote&gt;</w:instrText>
      </w:r>
      <w:r w:rsidRPr="00563AD3">
        <w:fldChar w:fldCharType="separate"/>
      </w:r>
      <w:r w:rsidR="00EC2AA2" w:rsidRPr="00EC2AA2">
        <w:rPr>
          <w:noProof/>
          <w:vertAlign w:val="superscript"/>
        </w:rPr>
        <w:t>99</w:t>
      </w:r>
      <w:r w:rsidRPr="00563AD3">
        <w:fldChar w:fldCharType="end"/>
      </w:r>
      <w:r w:rsidRPr="00563AD3">
        <w:t xml:space="preserve"> needed PCCT training ahead of baseline data collection due to not meeting minimum c</w:t>
      </w:r>
      <w:r w:rsidR="00F407F9" w:rsidRPr="00563AD3">
        <w:t>riteria on the ADAPT audit tool</w:t>
      </w:r>
      <w:r w:rsidRPr="00563AD3">
        <w:t xml:space="preserve">.  </w:t>
      </w:r>
      <w:bookmarkStart w:id="126" w:name="_Ref500445957"/>
      <w:bookmarkStart w:id="127" w:name="_Toc500512436"/>
      <w:r w:rsidR="002429D7" w:rsidRPr="00563AD3">
        <w:t xml:space="preserve"> </w:t>
      </w:r>
    </w:p>
    <w:p w14:paraId="73C5880E" w14:textId="498040E4" w:rsidR="00233B0D" w:rsidRPr="00563AD3" w:rsidRDefault="00233B0D" w:rsidP="009B13F3">
      <w:pPr>
        <w:pStyle w:val="Tableheading"/>
        <w:rPr>
          <w:rFonts w:eastAsia="Calibri"/>
          <w:lang w:eastAsia="en-US"/>
        </w:rPr>
      </w:pPr>
      <w:bookmarkStart w:id="128" w:name="_Toc501009772"/>
      <w:bookmarkStart w:id="129" w:name="_Toc948202"/>
      <w:r w:rsidRPr="00563AD3">
        <w:rPr>
          <w:rFonts w:eastAsia="Calibri"/>
          <w:lang w:eastAsia="en-US"/>
        </w:rPr>
        <w:t xml:space="preserve">Table </w:t>
      </w:r>
      <w:r w:rsidR="005B2ABB" w:rsidRPr="00563AD3">
        <w:rPr>
          <w:rFonts w:eastAsia="Calibri"/>
          <w:lang w:eastAsia="en-US"/>
        </w:rPr>
        <w:t>5</w:t>
      </w:r>
      <w:r w:rsidRPr="00563AD3">
        <w:rPr>
          <w:rFonts w:eastAsia="Calibri"/>
          <w:lang w:eastAsia="en-US"/>
        </w:rPr>
        <w:t xml:space="preserve"> Baseline care home and care home manager characteristics</w:t>
      </w:r>
      <w:bookmarkEnd w:id="128"/>
      <w:bookmarkEnd w:id="129"/>
    </w:p>
    <w:tbl>
      <w:tblPr>
        <w:tblW w:w="13892" w:type="dxa"/>
        <w:jc w:val="center"/>
        <w:tblLayout w:type="fixed"/>
        <w:tblCellMar>
          <w:left w:w="0" w:type="dxa"/>
          <w:right w:w="0" w:type="dxa"/>
        </w:tblCellMar>
        <w:tblLook w:val="0000" w:firstRow="0" w:lastRow="0" w:firstColumn="0" w:lastColumn="0" w:noHBand="0" w:noVBand="0"/>
      </w:tblPr>
      <w:tblGrid>
        <w:gridCol w:w="7655"/>
        <w:gridCol w:w="2126"/>
        <w:gridCol w:w="2268"/>
        <w:gridCol w:w="1843"/>
      </w:tblGrid>
      <w:tr w:rsidR="00233B0D" w:rsidRPr="00563AD3" w14:paraId="0358DFC7" w14:textId="77777777" w:rsidTr="00233B0D">
        <w:trPr>
          <w:cantSplit/>
          <w:tblHeader/>
          <w:jc w:val="center"/>
        </w:trPr>
        <w:tc>
          <w:tcPr>
            <w:tcW w:w="7655" w:type="dxa"/>
            <w:tcBorders>
              <w:top w:val="single" w:sz="4" w:space="0" w:color="auto"/>
              <w:bottom w:val="single" w:sz="4" w:space="0" w:color="000000"/>
              <w:right w:val="nil"/>
            </w:tcBorders>
            <w:shd w:val="clear" w:color="auto" w:fill="FFFFFF"/>
            <w:tcMar>
              <w:left w:w="67" w:type="dxa"/>
              <w:right w:w="67" w:type="dxa"/>
            </w:tcMar>
            <w:vAlign w:val="bottom"/>
          </w:tcPr>
          <w:p w14:paraId="7C016556" w14:textId="77777777" w:rsidR="00233B0D" w:rsidRPr="00563AD3" w:rsidRDefault="00233B0D" w:rsidP="00A648BD">
            <w:pPr>
              <w:keepNext/>
              <w:spacing w:after="0" w:line="240" w:lineRule="auto"/>
              <w:jc w:val="center"/>
              <w:rPr>
                <w:rFonts w:eastAsia="Times New Roman"/>
                <w:b/>
                <w:bCs/>
                <w:color w:val="000000"/>
              </w:rPr>
            </w:pPr>
          </w:p>
        </w:tc>
        <w:tc>
          <w:tcPr>
            <w:tcW w:w="2126" w:type="dxa"/>
            <w:tcBorders>
              <w:top w:val="single" w:sz="4" w:space="0" w:color="auto"/>
              <w:left w:val="nil"/>
              <w:bottom w:val="single" w:sz="4" w:space="0" w:color="000000"/>
              <w:right w:val="nil"/>
            </w:tcBorders>
            <w:shd w:val="clear" w:color="auto" w:fill="FFFFFF"/>
            <w:tcMar>
              <w:left w:w="67" w:type="dxa"/>
              <w:right w:w="67" w:type="dxa"/>
            </w:tcMar>
            <w:vAlign w:val="bottom"/>
          </w:tcPr>
          <w:p w14:paraId="5C9995F1" w14:textId="77777777" w:rsidR="00233B0D" w:rsidRPr="00563AD3" w:rsidRDefault="00233B0D" w:rsidP="00A648BD">
            <w:pPr>
              <w:keepNext/>
              <w:spacing w:after="0" w:line="240" w:lineRule="auto"/>
              <w:jc w:val="right"/>
              <w:rPr>
                <w:rFonts w:eastAsia="Times New Roman"/>
                <w:b/>
                <w:bCs/>
                <w:color w:val="000000"/>
              </w:rPr>
            </w:pPr>
            <w:r w:rsidRPr="00563AD3">
              <w:rPr>
                <w:rFonts w:eastAsia="Times New Roman"/>
                <w:b/>
                <w:bCs/>
                <w:color w:val="000000"/>
              </w:rPr>
              <w:t>Control (n = 19)</w:t>
            </w:r>
          </w:p>
        </w:tc>
        <w:tc>
          <w:tcPr>
            <w:tcW w:w="2268" w:type="dxa"/>
            <w:tcBorders>
              <w:top w:val="single" w:sz="4" w:space="0" w:color="auto"/>
              <w:left w:val="nil"/>
              <w:bottom w:val="single" w:sz="4" w:space="0" w:color="000000"/>
              <w:right w:val="nil"/>
            </w:tcBorders>
            <w:shd w:val="clear" w:color="auto" w:fill="FFFFFF"/>
            <w:tcMar>
              <w:left w:w="67" w:type="dxa"/>
              <w:right w:w="67" w:type="dxa"/>
            </w:tcMar>
            <w:vAlign w:val="bottom"/>
          </w:tcPr>
          <w:p w14:paraId="0B1A2894" w14:textId="77777777" w:rsidR="00233B0D" w:rsidRPr="00563AD3" w:rsidRDefault="00233B0D" w:rsidP="00A648BD">
            <w:pPr>
              <w:keepNext/>
              <w:spacing w:after="0" w:line="240" w:lineRule="auto"/>
              <w:jc w:val="right"/>
              <w:rPr>
                <w:rFonts w:eastAsia="Times New Roman"/>
                <w:b/>
                <w:bCs/>
                <w:color w:val="000000"/>
              </w:rPr>
            </w:pPr>
            <w:r w:rsidRPr="00563AD3">
              <w:rPr>
                <w:rFonts w:eastAsia="Times New Roman"/>
                <w:b/>
                <w:bCs/>
                <w:color w:val="000000"/>
              </w:rPr>
              <w:t>Intervention (n = 31)</w:t>
            </w:r>
          </w:p>
        </w:tc>
        <w:tc>
          <w:tcPr>
            <w:tcW w:w="1843" w:type="dxa"/>
            <w:tcBorders>
              <w:top w:val="single" w:sz="4" w:space="0" w:color="auto"/>
              <w:left w:val="nil"/>
              <w:bottom w:val="single" w:sz="4" w:space="0" w:color="000000"/>
            </w:tcBorders>
            <w:shd w:val="clear" w:color="auto" w:fill="FFFFFF"/>
            <w:tcMar>
              <w:left w:w="67" w:type="dxa"/>
              <w:right w:w="67" w:type="dxa"/>
            </w:tcMar>
            <w:vAlign w:val="bottom"/>
          </w:tcPr>
          <w:p w14:paraId="05936A12" w14:textId="77777777" w:rsidR="00233B0D" w:rsidRPr="00563AD3" w:rsidRDefault="00233B0D" w:rsidP="00A648BD">
            <w:pPr>
              <w:keepNext/>
              <w:spacing w:after="0" w:line="240" w:lineRule="auto"/>
              <w:jc w:val="right"/>
              <w:rPr>
                <w:rFonts w:eastAsia="Times New Roman"/>
                <w:b/>
                <w:bCs/>
                <w:color w:val="000000"/>
              </w:rPr>
            </w:pPr>
            <w:r w:rsidRPr="00563AD3">
              <w:rPr>
                <w:rFonts w:eastAsia="Times New Roman"/>
                <w:b/>
                <w:bCs/>
                <w:color w:val="000000"/>
              </w:rPr>
              <w:t>Total (n = 50)</w:t>
            </w:r>
          </w:p>
        </w:tc>
      </w:tr>
      <w:tr w:rsidR="00233B0D" w:rsidRPr="00563AD3" w14:paraId="5BD4F0FF"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038D815B" w14:textId="77777777" w:rsidR="00233B0D" w:rsidRPr="00563AD3" w:rsidRDefault="00233B0D" w:rsidP="00A648BD">
            <w:pPr>
              <w:spacing w:after="0" w:line="240" w:lineRule="auto"/>
              <w:rPr>
                <w:rFonts w:eastAsia="Times New Roman"/>
                <w:color w:val="000000"/>
              </w:rPr>
            </w:pPr>
            <w:r w:rsidRPr="00563AD3">
              <w:rPr>
                <w:rFonts w:eastAsia="Times New Roman"/>
                <w:b/>
                <w:bCs/>
                <w:color w:val="000000"/>
              </w:rPr>
              <w:t>Unit type</w:t>
            </w:r>
            <w:r w:rsidRPr="00563AD3">
              <w:rPr>
                <w:rFonts w:eastAsia="Times New Roman"/>
                <w:color w:val="000000"/>
              </w:rPr>
              <w:t xml:space="preserve"> (N (%) missing)   - General residential/nursing home</w:t>
            </w:r>
          </w:p>
        </w:tc>
        <w:tc>
          <w:tcPr>
            <w:tcW w:w="2126" w:type="dxa"/>
            <w:tcBorders>
              <w:top w:val="nil"/>
              <w:left w:val="nil"/>
              <w:bottom w:val="nil"/>
              <w:right w:val="nil"/>
            </w:tcBorders>
            <w:shd w:val="clear" w:color="auto" w:fill="FFFFFF"/>
            <w:tcMar>
              <w:left w:w="67" w:type="dxa"/>
              <w:right w:w="67" w:type="dxa"/>
            </w:tcMar>
          </w:tcPr>
          <w:p w14:paraId="66A82C0A"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11 (57.9%) 0</w:t>
            </w:r>
          </w:p>
        </w:tc>
        <w:tc>
          <w:tcPr>
            <w:tcW w:w="2268" w:type="dxa"/>
            <w:tcBorders>
              <w:top w:val="nil"/>
              <w:left w:val="nil"/>
              <w:bottom w:val="nil"/>
              <w:right w:val="nil"/>
            </w:tcBorders>
            <w:shd w:val="clear" w:color="auto" w:fill="FFFFFF"/>
            <w:tcMar>
              <w:left w:w="67" w:type="dxa"/>
              <w:right w:w="67" w:type="dxa"/>
            </w:tcMar>
          </w:tcPr>
          <w:p w14:paraId="5CAE6D5F"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20 (64.5%) 0</w:t>
            </w:r>
          </w:p>
        </w:tc>
        <w:tc>
          <w:tcPr>
            <w:tcW w:w="1843" w:type="dxa"/>
            <w:tcBorders>
              <w:top w:val="nil"/>
              <w:left w:val="nil"/>
              <w:bottom w:val="nil"/>
            </w:tcBorders>
            <w:shd w:val="clear" w:color="auto" w:fill="FFFFFF"/>
            <w:tcMar>
              <w:left w:w="67" w:type="dxa"/>
              <w:right w:w="67" w:type="dxa"/>
            </w:tcMar>
          </w:tcPr>
          <w:p w14:paraId="2AA6CB60"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31 (62%) 0</w:t>
            </w:r>
          </w:p>
        </w:tc>
      </w:tr>
      <w:tr w:rsidR="00233B0D" w:rsidRPr="00563AD3" w14:paraId="66A8E1AC"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132E5FA6" w14:textId="77777777" w:rsidR="00233B0D" w:rsidRPr="00563AD3" w:rsidRDefault="00233B0D" w:rsidP="00A648BD">
            <w:pPr>
              <w:spacing w:after="0" w:line="240" w:lineRule="auto"/>
              <w:rPr>
                <w:rFonts w:eastAsia="Times New Roman"/>
                <w:color w:val="000000"/>
              </w:rPr>
            </w:pPr>
            <w:r w:rsidRPr="00563AD3">
              <w:rPr>
                <w:rFonts w:eastAsia="Times New Roman"/>
                <w:color w:val="000000"/>
              </w:rPr>
              <w:t xml:space="preserve">                                              - Specialist dementia care home/unit</w:t>
            </w:r>
          </w:p>
        </w:tc>
        <w:tc>
          <w:tcPr>
            <w:tcW w:w="2126" w:type="dxa"/>
            <w:tcBorders>
              <w:top w:val="nil"/>
              <w:left w:val="nil"/>
              <w:bottom w:val="nil"/>
              <w:right w:val="nil"/>
            </w:tcBorders>
            <w:shd w:val="clear" w:color="auto" w:fill="FFFFFF"/>
            <w:tcMar>
              <w:left w:w="67" w:type="dxa"/>
              <w:right w:w="67" w:type="dxa"/>
            </w:tcMar>
          </w:tcPr>
          <w:p w14:paraId="75182431"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8 (42.1%) 0</w:t>
            </w:r>
          </w:p>
        </w:tc>
        <w:tc>
          <w:tcPr>
            <w:tcW w:w="2268" w:type="dxa"/>
            <w:tcBorders>
              <w:top w:val="nil"/>
              <w:left w:val="nil"/>
              <w:bottom w:val="nil"/>
              <w:right w:val="nil"/>
            </w:tcBorders>
            <w:shd w:val="clear" w:color="auto" w:fill="FFFFFF"/>
            <w:tcMar>
              <w:left w:w="67" w:type="dxa"/>
              <w:right w:w="67" w:type="dxa"/>
            </w:tcMar>
          </w:tcPr>
          <w:p w14:paraId="3A31512E"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11 (35.5%) 0</w:t>
            </w:r>
          </w:p>
        </w:tc>
        <w:tc>
          <w:tcPr>
            <w:tcW w:w="1843" w:type="dxa"/>
            <w:tcBorders>
              <w:top w:val="nil"/>
              <w:left w:val="nil"/>
              <w:bottom w:val="nil"/>
            </w:tcBorders>
            <w:shd w:val="clear" w:color="auto" w:fill="FFFFFF"/>
            <w:tcMar>
              <w:left w:w="67" w:type="dxa"/>
              <w:right w:w="67" w:type="dxa"/>
            </w:tcMar>
          </w:tcPr>
          <w:p w14:paraId="11042269"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19 (38%) 0</w:t>
            </w:r>
          </w:p>
        </w:tc>
      </w:tr>
      <w:tr w:rsidR="00233B0D" w:rsidRPr="00563AD3" w14:paraId="69881A1A"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77E660EB" w14:textId="77777777" w:rsidR="00233B0D" w:rsidRPr="00563AD3" w:rsidRDefault="00233B0D" w:rsidP="00A648BD">
            <w:pPr>
              <w:spacing w:after="0" w:line="240" w:lineRule="auto"/>
              <w:rPr>
                <w:rFonts w:eastAsia="Times New Roman"/>
                <w:color w:val="000000"/>
              </w:rPr>
            </w:pPr>
            <w:r w:rsidRPr="00563AD3">
              <w:rPr>
                <w:rFonts w:eastAsia="Times New Roman"/>
                <w:b/>
                <w:bCs/>
                <w:color w:val="000000"/>
              </w:rPr>
              <w:t>More than one unit</w:t>
            </w:r>
            <w:r w:rsidRPr="00563AD3">
              <w:rPr>
                <w:rFonts w:eastAsia="Times New Roman"/>
                <w:color w:val="000000"/>
              </w:rPr>
              <w:t xml:space="preserve"> (N (%) missing)</w:t>
            </w:r>
          </w:p>
        </w:tc>
        <w:tc>
          <w:tcPr>
            <w:tcW w:w="2126" w:type="dxa"/>
            <w:tcBorders>
              <w:top w:val="nil"/>
              <w:left w:val="nil"/>
              <w:bottom w:val="nil"/>
              <w:right w:val="nil"/>
            </w:tcBorders>
            <w:shd w:val="clear" w:color="auto" w:fill="FFFFFF"/>
            <w:tcMar>
              <w:left w:w="67" w:type="dxa"/>
              <w:right w:w="67" w:type="dxa"/>
            </w:tcMar>
          </w:tcPr>
          <w:p w14:paraId="5C21049D"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3 (15.8%) 0</w:t>
            </w:r>
          </w:p>
        </w:tc>
        <w:tc>
          <w:tcPr>
            <w:tcW w:w="2268" w:type="dxa"/>
            <w:tcBorders>
              <w:top w:val="nil"/>
              <w:left w:val="nil"/>
              <w:bottom w:val="nil"/>
              <w:right w:val="nil"/>
            </w:tcBorders>
            <w:shd w:val="clear" w:color="auto" w:fill="FFFFFF"/>
            <w:tcMar>
              <w:left w:w="67" w:type="dxa"/>
              <w:right w:w="67" w:type="dxa"/>
            </w:tcMar>
          </w:tcPr>
          <w:p w14:paraId="79BAF4F1"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3 (9.7%) 0</w:t>
            </w:r>
          </w:p>
        </w:tc>
        <w:tc>
          <w:tcPr>
            <w:tcW w:w="1843" w:type="dxa"/>
            <w:tcBorders>
              <w:top w:val="nil"/>
              <w:left w:val="nil"/>
              <w:bottom w:val="nil"/>
            </w:tcBorders>
            <w:shd w:val="clear" w:color="auto" w:fill="FFFFFF"/>
            <w:tcMar>
              <w:left w:w="67" w:type="dxa"/>
              <w:right w:w="67" w:type="dxa"/>
            </w:tcMar>
          </w:tcPr>
          <w:p w14:paraId="1453AFB3"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6 (12%) 0</w:t>
            </w:r>
          </w:p>
        </w:tc>
      </w:tr>
      <w:tr w:rsidR="00233B0D" w:rsidRPr="00563AD3" w14:paraId="5CF664AE"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255E3A81" w14:textId="06D6C5A6" w:rsidR="00233B0D" w:rsidRPr="00563AD3" w:rsidRDefault="00BC06BA" w:rsidP="00A648BD">
            <w:pPr>
              <w:spacing w:after="0" w:line="240" w:lineRule="auto"/>
              <w:rPr>
                <w:rFonts w:eastAsia="Times New Roman"/>
                <w:color w:val="000000"/>
              </w:rPr>
            </w:pPr>
            <w:r w:rsidRPr="00563AD3">
              <w:rPr>
                <w:b/>
                <w:lang w:eastAsia="en-US"/>
              </w:rPr>
              <w:t>DCM</w:t>
            </w:r>
            <w:r w:rsidRPr="00563AD3">
              <w:rPr>
                <w:b/>
              </w:rPr>
              <w:t>™</w:t>
            </w:r>
            <w:r w:rsidR="00487E96" w:rsidRPr="00563AD3">
              <w:rPr>
                <w:rFonts w:eastAsia="Times New Roman"/>
                <w:b/>
                <w:bCs/>
                <w:color w:val="000000"/>
              </w:rPr>
              <w:t xml:space="preserve"> was used between 18-</w:t>
            </w:r>
            <w:r w:rsidR="00233B0D" w:rsidRPr="00563AD3">
              <w:rPr>
                <w:rFonts w:eastAsia="Times New Roman"/>
                <w:b/>
                <w:bCs/>
                <w:color w:val="000000"/>
              </w:rPr>
              <w:t>months to 5 years</w:t>
            </w:r>
            <w:r w:rsidR="00233B0D" w:rsidRPr="00563AD3">
              <w:rPr>
                <w:rFonts w:eastAsia="Times New Roman"/>
                <w:color w:val="000000"/>
              </w:rPr>
              <w:t xml:space="preserve"> (N (%) missing)</w:t>
            </w:r>
          </w:p>
        </w:tc>
        <w:tc>
          <w:tcPr>
            <w:tcW w:w="2126" w:type="dxa"/>
            <w:tcBorders>
              <w:top w:val="nil"/>
              <w:left w:val="nil"/>
              <w:bottom w:val="nil"/>
              <w:right w:val="nil"/>
            </w:tcBorders>
            <w:shd w:val="clear" w:color="auto" w:fill="FFFFFF"/>
            <w:tcMar>
              <w:left w:w="67" w:type="dxa"/>
              <w:right w:w="67" w:type="dxa"/>
            </w:tcMar>
          </w:tcPr>
          <w:p w14:paraId="2AF71F49"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11 (57.9%) 0</w:t>
            </w:r>
          </w:p>
        </w:tc>
        <w:tc>
          <w:tcPr>
            <w:tcW w:w="2268" w:type="dxa"/>
            <w:tcBorders>
              <w:top w:val="nil"/>
              <w:left w:val="nil"/>
              <w:bottom w:val="nil"/>
              <w:right w:val="nil"/>
            </w:tcBorders>
            <w:shd w:val="clear" w:color="auto" w:fill="FFFFFF"/>
            <w:tcMar>
              <w:left w:w="67" w:type="dxa"/>
              <w:right w:w="67" w:type="dxa"/>
            </w:tcMar>
          </w:tcPr>
          <w:p w14:paraId="657804BD"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20 (64.5%) 0</w:t>
            </w:r>
          </w:p>
        </w:tc>
        <w:tc>
          <w:tcPr>
            <w:tcW w:w="1843" w:type="dxa"/>
            <w:tcBorders>
              <w:top w:val="nil"/>
              <w:left w:val="nil"/>
              <w:bottom w:val="nil"/>
            </w:tcBorders>
            <w:shd w:val="clear" w:color="auto" w:fill="FFFFFF"/>
            <w:tcMar>
              <w:left w:w="67" w:type="dxa"/>
              <w:right w:w="67" w:type="dxa"/>
            </w:tcMar>
          </w:tcPr>
          <w:p w14:paraId="485AC2F7"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31 (62%) 0</w:t>
            </w:r>
          </w:p>
        </w:tc>
      </w:tr>
      <w:tr w:rsidR="00233B0D" w:rsidRPr="00563AD3" w14:paraId="6ADDFBCB"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73815713" w14:textId="496BFA1A" w:rsidR="00233B0D" w:rsidRPr="00563AD3" w:rsidRDefault="00233B0D" w:rsidP="00A648BD">
            <w:pPr>
              <w:spacing w:after="0" w:line="240" w:lineRule="auto"/>
              <w:rPr>
                <w:rFonts w:eastAsia="Times New Roman"/>
                <w:color w:val="000000"/>
              </w:rPr>
            </w:pPr>
            <w:r w:rsidRPr="00563AD3">
              <w:rPr>
                <w:rFonts w:eastAsia="Times New Roman"/>
                <w:b/>
                <w:bCs/>
                <w:color w:val="000000"/>
              </w:rPr>
              <w:t>Residents' meeting held within the last 6</w:t>
            </w:r>
            <w:r w:rsidR="00B80810">
              <w:rPr>
                <w:rFonts w:eastAsia="Times New Roman"/>
                <w:b/>
                <w:bCs/>
                <w:color w:val="000000"/>
              </w:rPr>
              <w:t>-months</w:t>
            </w:r>
            <w:r w:rsidRPr="00563AD3">
              <w:rPr>
                <w:rFonts w:eastAsia="Times New Roman"/>
                <w:color w:val="000000"/>
              </w:rPr>
              <w:t xml:space="preserve"> (N (%) missing)</w:t>
            </w:r>
          </w:p>
        </w:tc>
        <w:tc>
          <w:tcPr>
            <w:tcW w:w="2126" w:type="dxa"/>
            <w:tcBorders>
              <w:top w:val="nil"/>
              <w:left w:val="nil"/>
              <w:bottom w:val="nil"/>
              <w:right w:val="nil"/>
            </w:tcBorders>
            <w:shd w:val="clear" w:color="auto" w:fill="FFFFFF"/>
            <w:tcMar>
              <w:left w:w="67" w:type="dxa"/>
              <w:right w:w="67" w:type="dxa"/>
            </w:tcMar>
          </w:tcPr>
          <w:p w14:paraId="43F67B5F"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17 (89.5%) 0</w:t>
            </w:r>
          </w:p>
        </w:tc>
        <w:tc>
          <w:tcPr>
            <w:tcW w:w="2268" w:type="dxa"/>
            <w:tcBorders>
              <w:top w:val="nil"/>
              <w:left w:val="nil"/>
              <w:bottom w:val="nil"/>
              <w:right w:val="nil"/>
            </w:tcBorders>
            <w:shd w:val="clear" w:color="auto" w:fill="FFFFFF"/>
            <w:tcMar>
              <w:left w:w="67" w:type="dxa"/>
              <w:right w:w="67" w:type="dxa"/>
            </w:tcMar>
          </w:tcPr>
          <w:p w14:paraId="61E7D4EF"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30 (100%) 1</w:t>
            </w:r>
          </w:p>
        </w:tc>
        <w:tc>
          <w:tcPr>
            <w:tcW w:w="1843" w:type="dxa"/>
            <w:tcBorders>
              <w:top w:val="nil"/>
              <w:left w:val="nil"/>
              <w:bottom w:val="nil"/>
            </w:tcBorders>
            <w:shd w:val="clear" w:color="auto" w:fill="FFFFFF"/>
            <w:tcMar>
              <w:left w:w="67" w:type="dxa"/>
              <w:right w:w="67" w:type="dxa"/>
            </w:tcMar>
          </w:tcPr>
          <w:p w14:paraId="15E0C478"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47 (95.9%) 1</w:t>
            </w:r>
          </w:p>
        </w:tc>
      </w:tr>
      <w:tr w:rsidR="00233B0D" w:rsidRPr="00563AD3" w14:paraId="7B9C6388"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61119088" w14:textId="248BE374" w:rsidR="00233B0D" w:rsidRPr="00563AD3" w:rsidRDefault="00233B0D" w:rsidP="00A648BD">
            <w:pPr>
              <w:spacing w:after="0" w:line="240" w:lineRule="auto"/>
              <w:rPr>
                <w:rFonts w:eastAsia="Times New Roman"/>
                <w:color w:val="000000"/>
              </w:rPr>
            </w:pPr>
            <w:r w:rsidRPr="00563AD3">
              <w:rPr>
                <w:rFonts w:eastAsia="Times New Roman"/>
                <w:b/>
                <w:bCs/>
                <w:color w:val="000000"/>
              </w:rPr>
              <w:t>Relatives' meeting held within the last 6</w:t>
            </w:r>
            <w:r w:rsidR="00B80810">
              <w:rPr>
                <w:rFonts w:eastAsia="Times New Roman"/>
                <w:b/>
                <w:bCs/>
                <w:color w:val="000000"/>
              </w:rPr>
              <w:t>-months</w:t>
            </w:r>
            <w:r w:rsidRPr="00563AD3">
              <w:rPr>
                <w:rFonts w:eastAsia="Times New Roman"/>
                <w:color w:val="000000"/>
              </w:rPr>
              <w:t xml:space="preserve"> (N (%) missing)</w:t>
            </w:r>
          </w:p>
        </w:tc>
        <w:tc>
          <w:tcPr>
            <w:tcW w:w="2126" w:type="dxa"/>
            <w:tcBorders>
              <w:top w:val="nil"/>
              <w:left w:val="nil"/>
              <w:bottom w:val="nil"/>
              <w:right w:val="nil"/>
            </w:tcBorders>
            <w:shd w:val="clear" w:color="auto" w:fill="FFFFFF"/>
            <w:tcMar>
              <w:left w:w="67" w:type="dxa"/>
              <w:right w:w="67" w:type="dxa"/>
            </w:tcMar>
          </w:tcPr>
          <w:p w14:paraId="79E29FEC"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18 (94.7%) 0</w:t>
            </w:r>
          </w:p>
        </w:tc>
        <w:tc>
          <w:tcPr>
            <w:tcW w:w="2268" w:type="dxa"/>
            <w:tcBorders>
              <w:top w:val="nil"/>
              <w:left w:val="nil"/>
              <w:bottom w:val="nil"/>
              <w:right w:val="nil"/>
            </w:tcBorders>
            <w:shd w:val="clear" w:color="auto" w:fill="FFFFFF"/>
            <w:tcMar>
              <w:left w:w="67" w:type="dxa"/>
              <w:right w:w="67" w:type="dxa"/>
            </w:tcMar>
          </w:tcPr>
          <w:p w14:paraId="061E1DDE"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29 (96.7%) 1</w:t>
            </w:r>
          </w:p>
        </w:tc>
        <w:tc>
          <w:tcPr>
            <w:tcW w:w="1843" w:type="dxa"/>
            <w:tcBorders>
              <w:top w:val="nil"/>
              <w:left w:val="nil"/>
              <w:bottom w:val="nil"/>
            </w:tcBorders>
            <w:shd w:val="clear" w:color="auto" w:fill="FFFFFF"/>
            <w:tcMar>
              <w:left w:w="67" w:type="dxa"/>
              <w:right w:w="67" w:type="dxa"/>
            </w:tcMar>
          </w:tcPr>
          <w:p w14:paraId="4C6C8E50"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47 (95.9%) 1</w:t>
            </w:r>
          </w:p>
        </w:tc>
      </w:tr>
      <w:tr w:rsidR="00233B0D" w:rsidRPr="00563AD3" w14:paraId="02860FD6"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39A35BC2" w14:textId="77777777" w:rsidR="00233B0D" w:rsidRPr="00563AD3" w:rsidRDefault="00233B0D" w:rsidP="00A648BD">
            <w:pPr>
              <w:spacing w:after="0" w:line="240" w:lineRule="auto"/>
              <w:rPr>
                <w:rFonts w:eastAsia="Times New Roman"/>
                <w:color w:val="000000"/>
              </w:rPr>
            </w:pPr>
            <w:r w:rsidRPr="00563AD3">
              <w:rPr>
                <w:rFonts w:eastAsia="Times New Roman"/>
                <w:b/>
                <w:bCs/>
                <w:color w:val="000000"/>
              </w:rPr>
              <w:t>Number of beds in the care home</w:t>
            </w:r>
            <w:r w:rsidRPr="00563AD3">
              <w:rPr>
                <w:rFonts w:eastAsia="Times New Roman"/>
                <w:color w:val="000000"/>
              </w:rPr>
              <w:t xml:space="preserve"> (Mean (SD) missing)</w:t>
            </w:r>
          </w:p>
        </w:tc>
        <w:tc>
          <w:tcPr>
            <w:tcW w:w="2126" w:type="dxa"/>
            <w:tcBorders>
              <w:top w:val="nil"/>
              <w:left w:val="nil"/>
              <w:bottom w:val="nil"/>
              <w:right w:val="nil"/>
            </w:tcBorders>
            <w:shd w:val="clear" w:color="auto" w:fill="FFFFFF"/>
            <w:tcMar>
              <w:left w:w="67" w:type="dxa"/>
              <w:right w:w="67" w:type="dxa"/>
            </w:tcMar>
          </w:tcPr>
          <w:p w14:paraId="4B03E4FD"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28.8 (8.97) 2</w:t>
            </w:r>
          </w:p>
        </w:tc>
        <w:tc>
          <w:tcPr>
            <w:tcW w:w="2268" w:type="dxa"/>
            <w:tcBorders>
              <w:top w:val="nil"/>
              <w:left w:val="nil"/>
              <w:bottom w:val="nil"/>
              <w:right w:val="nil"/>
            </w:tcBorders>
            <w:shd w:val="clear" w:color="auto" w:fill="FFFFFF"/>
            <w:tcMar>
              <w:left w:w="67" w:type="dxa"/>
              <w:right w:w="67" w:type="dxa"/>
            </w:tcMar>
          </w:tcPr>
          <w:p w14:paraId="6F748AA2"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36.8 (14.28) 1</w:t>
            </w:r>
          </w:p>
        </w:tc>
        <w:tc>
          <w:tcPr>
            <w:tcW w:w="1843" w:type="dxa"/>
            <w:tcBorders>
              <w:top w:val="nil"/>
              <w:left w:val="nil"/>
              <w:bottom w:val="nil"/>
            </w:tcBorders>
            <w:shd w:val="clear" w:color="auto" w:fill="FFFFFF"/>
            <w:tcMar>
              <w:left w:w="67" w:type="dxa"/>
              <w:right w:w="67" w:type="dxa"/>
            </w:tcMar>
          </w:tcPr>
          <w:p w14:paraId="64F7690D"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33.9 (13.1) 3</w:t>
            </w:r>
          </w:p>
        </w:tc>
      </w:tr>
      <w:tr w:rsidR="00233B0D" w:rsidRPr="00563AD3" w14:paraId="5074E9F4"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6C1A3EBC" w14:textId="77777777" w:rsidR="00233B0D" w:rsidRPr="00563AD3" w:rsidRDefault="00233B0D" w:rsidP="00A648BD">
            <w:pPr>
              <w:spacing w:after="0" w:line="240" w:lineRule="auto"/>
              <w:rPr>
                <w:rFonts w:eastAsia="Times New Roman"/>
                <w:color w:val="000000"/>
              </w:rPr>
            </w:pPr>
            <w:r w:rsidRPr="00563AD3">
              <w:rPr>
                <w:rFonts w:eastAsia="Times New Roman"/>
                <w:b/>
                <w:bCs/>
                <w:color w:val="000000"/>
              </w:rPr>
              <w:t>Number of permanent residents</w:t>
            </w:r>
            <w:r w:rsidRPr="00563AD3">
              <w:rPr>
                <w:rFonts w:eastAsia="Times New Roman"/>
                <w:color w:val="000000"/>
              </w:rPr>
              <w:t xml:space="preserve"> (Mean (SD) missing)</w:t>
            </w:r>
          </w:p>
        </w:tc>
        <w:tc>
          <w:tcPr>
            <w:tcW w:w="2126" w:type="dxa"/>
            <w:tcBorders>
              <w:top w:val="nil"/>
              <w:left w:val="nil"/>
              <w:bottom w:val="nil"/>
              <w:right w:val="nil"/>
            </w:tcBorders>
            <w:shd w:val="clear" w:color="auto" w:fill="FFFFFF"/>
            <w:tcMar>
              <w:left w:w="67" w:type="dxa"/>
              <w:right w:w="67" w:type="dxa"/>
            </w:tcMar>
          </w:tcPr>
          <w:p w14:paraId="45E5A2C4"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30 (11.27) 0</w:t>
            </w:r>
          </w:p>
        </w:tc>
        <w:tc>
          <w:tcPr>
            <w:tcW w:w="2268" w:type="dxa"/>
            <w:tcBorders>
              <w:top w:val="nil"/>
              <w:left w:val="nil"/>
              <w:bottom w:val="nil"/>
              <w:right w:val="nil"/>
            </w:tcBorders>
            <w:shd w:val="clear" w:color="auto" w:fill="FFFFFF"/>
            <w:tcMar>
              <w:left w:w="67" w:type="dxa"/>
              <w:right w:w="67" w:type="dxa"/>
            </w:tcMar>
          </w:tcPr>
          <w:p w14:paraId="15A21C56"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32.9 (14.02) 1</w:t>
            </w:r>
          </w:p>
        </w:tc>
        <w:tc>
          <w:tcPr>
            <w:tcW w:w="1843" w:type="dxa"/>
            <w:tcBorders>
              <w:top w:val="nil"/>
              <w:left w:val="nil"/>
              <w:bottom w:val="nil"/>
            </w:tcBorders>
            <w:shd w:val="clear" w:color="auto" w:fill="FFFFFF"/>
            <w:tcMar>
              <w:left w:w="67" w:type="dxa"/>
              <w:right w:w="67" w:type="dxa"/>
            </w:tcMar>
          </w:tcPr>
          <w:p w14:paraId="0725CEA3"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31.8 (12.98) 1</w:t>
            </w:r>
          </w:p>
        </w:tc>
      </w:tr>
      <w:tr w:rsidR="009D2051" w:rsidRPr="00563AD3" w14:paraId="101C6399"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062A3234" w14:textId="0452F1F4" w:rsidR="009D2051" w:rsidRPr="00563AD3" w:rsidRDefault="009D2051" w:rsidP="00A648BD">
            <w:pPr>
              <w:spacing w:after="0" w:line="240" w:lineRule="auto"/>
              <w:rPr>
                <w:rFonts w:eastAsia="Times New Roman"/>
                <w:b/>
                <w:bCs/>
                <w:color w:val="000000"/>
              </w:rPr>
            </w:pPr>
            <w:r w:rsidRPr="00563AD3">
              <w:rPr>
                <w:rFonts w:eastAsia="Times New Roman"/>
                <w:b/>
                <w:bCs/>
                <w:color w:val="000000"/>
              </w:rPr>
              <w:t>Percentage of permanent residents with dementia (Mean (SD) missing)</w:t>
            </w:r>
          </w:p>
        </w:tc>
        <w:tc>
          <w:tcPr>
            <w:tcW w:w="2126" w:type="dxa"/>
            <w:tcBorders>
              <w:top w:val="nil"/>
              <w:left w:val="nil"/>
              <w:bottom w:val="nil"/>
              <w:right w:val="nil"/>
            </w:tcBorders>
            <w:shd w:val="clear" w:color="auto" w:fill="FFFFFF"/>
            <w:tcMar>
              <w:left w:w="67" w:type="dxa"/>
              <w:right w:w="67" w:type="dxa"/>
            </w:tcMar>
          </w:tcPr>
          <w:p w14:paraId="1BD4A1C6" w14:textId="7D18E186" w:rsidR="009D2051" w:rsidRPr="00563AD3" w:rsidRDefault="009D2051" w:rsidP="00A648BD">
            <w:pPr>
              <w:spacing w:after="0" w:line="240" w:lineRule="auto"/>
              <w:jc w:val="right"/>
              <w:rPr>
                <w:rFonts w:eastAsia="Times New Roman"/>
                <w:color w:val="000000"/>
              </w:rPr>
            </w:pPr>
            <w:r w:rsidRPr="00563AD3">
              <w:rPr>
                <w:color w:val="000000"/>
              </w:rPr>
              <w:t>83.1 (21.21) 0</w:t>
            </w:r>
          </w:p>
        </w:tc>
        <w:tc>
          <w:tcPr>
            <w:tcW w:w="2268" w:type="dxa"/>
            <w:tcBorders>
              <w:top w:val="nil"/>
              <w:left w:val="nil"/>
              <w:bottom w:val="nil"/>
              <w:right w:val="nil"/>
            </w:tcBorders>
            <w:shd w:val="clear" w:color="auto" w:fill="FFFFFF"/>
            <w:tcMar>
              <w:left w:w="67" w:type="dxa"/>
              <w:right w:w="67" w:type="dxa"/>
            </w:tcMar>
          </w:tcPr>
          <w:p w14:paraId="474EFB33" w14:textId="3E90C140" w:rsidR="009D2051" w:rsidRPr="00563AD3" w:rsidRDefault="009D2051" w:rsidP="00A648BD">
            <w:pPr>
              <w:spacing w:after="0" w:line="240" w:lineRule="auto"/>
              <w:jc w:val="right"/>
              <w:rPr>
                <w:rFonts w:eastAsia="Times New Roman"/>
                <w:color w:val="000000"/>
              </w:rPr>
            </w:pPr>
            <w:r w:rsidRPr="00563AD3">
              <w:rPr>
                <w:color w:val="000000"/>
              </w:rPr>
              <w:t>74.2 (22.48) 1</w:t>
            </w:r>
          </w:p>
        </w:tc>
        <w:tc>
          <w:tcPr>
            <w:tcW w:w="1843" w:type="dxa"/>
            <w:tcBorders>
              <w:top w:val="nil"/>
              <w:left w:val="nil"/>
              <w:bottom w:val="nil"/>
            </w:tcBorders>
            <w:shd w:val="clear" w:color="auto" w:fill="FFFFFF"/>
            <w:tcMar>
              <w:left w:w="67" w:type="dxa"/>
              <w:right w:w="67" w:type="dxa"/>
            </w:tcMar>
          </w:tcPr>
          <w:p w14:paraId="3C07BE4D" w14:textId="5252798F" w:rsidR="009D2051" w:rsidRPr="00563AD3" w:rsidRDefault="009D2051" w:rsidP="00A648BD">
            <w:pPr>
              <w:spacing w:after="0" w:line="240" w:lineRule="auto"/>
              <w:jc w:val="right"/>
              <w:rPr>
                <w:rFonts w:eastAsia="Times New Roman"/>
                <w:color w:val="000000"/>
              </w:rPr>
            </w:pPr>
            <w:r w:rsidRPr="00563AD3">
              <w:rPr>
                <w:color w:val="000000"/>
              </w:rPr>
              <w:t>77.7 (22.21) 1</w:t>
            </w:r>
          </w:p>
        </w:tc>
      </w:tr>
      <w:tr w:rsidR="009D2051" w:rsidRPr="00563AD3" w14:paraId="0E23A5B9"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027E33C9" w14:textId="410E3D76" w:rsidR="009D2051" w:rsidRPr="00563AD3" w:rsidRDefault="009D2051" w:rsidP="00A648BD">
            <w:pPr>
              <w:spacing w:after="0" w:line="240" w:lineRule="auto"/>
              <w:rPr>
                <w:rFonts w:eastAsia="Times New Roman"/>
                <w:b/>
                <w:bCs/>
                <w:color w:val="000000"/>
              </w:rPr>
            </w:pPr>
            <w:r w:rsidRPr="00563AD3">
              <w:rPr>
                <w:rFonts w:eastAsia="Times New Roman"/>
                <w:b/>
                <w:bCs/>
                <w:color w:val="000000"/>
              </w:rPr>
              <w:t>Percentage of self-funded residents (Mean (SD) missing)</w:t>
            </w:r>
          </w:p>
        </w:tc>
        <w:tc>
          <w:tcPr>
            <w:tcW w:w="2126" w:type="dxa"/>
            <w:tcBorders>
              <w:top w:val="nil"/>
              <w:left w:val="nil"/>
              <w:bottom w:val="nil"/>
              <w:right w:val="nil"/>
            </w:tcBorders>
            <w:shd w:val="clear" w:color="auto" w:fill="FFFFFF"/>
            <w:tcMar>
              <w:left w:w="67" w:type="dxa"/>
              <w:right w:w="67" w:type="dxa"/>
            </w:tcMar>
          </w:tcPr>
          <w:p w14:paraId="3E9545A4" w14:textId="5A58C1E4" w:rsidR="009D2051" w:rsidRPr="00563AD3" w:rsidRDefault="009D2051" w:rsidP="00A648BD">
            <w:pPr>
              <w:spacing w:after="0" w:line="240" w:lineRule="auto"/>
              <w:jc w:val="right"/>
              <w:rPr>
                <w:rFonts w:eastAsia="Times New Roman"/>
                <w:color w:val="000000"/>
              </w:rPr>
            </w:pPr>
            <w:r w:rsidRPr="00563AD3">
              <w:rPr>
                <w:color w:val="000000"/>
              </w:rPr>
              <w:t>52.8 (28.12) 0</w:t>
            </w:r>
          </w:p>
        </w:tc>
        <w:tc>
          <w:tcPr>
            <w:tcW w:w="2268" w:type="dxa"/>
            <w:tcBorders>
              <w:top w:val="nil"/>
              <w:left w:val="nil"/>
              <w:bottom w:val="nil"/>
              <w:right w:val="nil"/>
            </w:tcBorders>
            <w:shd w:val="clear" w:color="auto" w:fill="FFFFFF"/>
            <w:tcMar>
              <w:left w:w="67" w:type="dxa"/>
              <w:right w:w="67" w:type="dxa"/>
            </w:tcMar>
          </w:tcPr>
          <w:p w14:paraId="7F9D7114" w14:textId="1A13227E" w:rsidR="009D2051" w:rsidRPr="00563AD3" w:rsidRDefault="009D2051" w:rsidP="00A648BD">
            <w:pPr>
              <w:spacing w:after="0" w:line="240" w:lineRule="auto"/>
              <w:jc w:val="right"/>
              <w:rPr>
                <w:rFonts w:eastAsia="Times New Roman"/>
                <w:color w:val="000000"/>
              </w:rPr>
            </w:pPr>
            <w:r w:rsidRPr="00563AD3">
              <w:rPr>
                <w:color w:val="000000"/>
              </w:rPr>
              <w:t>37.9 (21.12) 1</w:t>
            </w:r>
          </w:p>
        </w:tc>
        <w:tc>
          <w:tcPr>
            <w:tcW w:w="1843" w:type="dxa"/>
            <w:tcBorders>
              <w:top w:val="nil"/>
              <w:left w:val="nil"/>
              <w:bottom w:val="nil"/>
            </w:tcBorders>
            <w:shd w:val="clear" w:color="auto" w:fill="FFFFFF"/>
            <w:tcMar>
              <w:left w:w="67" w:type="dxa"/>
              <w:right w:w="67" w:type="dxa"/>
            </w:tcMar>
          </w:tcPr>
          <w:p w14:paraId="56080E91" w14:textId="6B1F0D5E" w:rsidR="009D2051" w:rsidRPr="00563AD3" w:rsidRDefault="009D2051" w:rsidP="00A648BD">
            <w:pPr>
              <w:spacing w:after="0" w:line="240" w:lineRule="auto"/>
              <w:jc w:val="right"/>
              <w:rPr>
                <w:rFonts w:eastAsia="Times New Roman"/>
                <w:color w:val="000000"/>
              </w:rPr>
            </w:pPr>
            <w:r w:rsidRPr="00563AD3">
              <w:rPr>
                <w:color w:val="000000"/>
              </w:rPr>
              <w:t>43.7 (24.89) 1</w:t>
            </w:r>
          </w:p>
        </w:tc>
      </w:tr>
      <w:tr w:rsidR="009D2051" w:rsidRPr="00563AD3" w14:paraId="78B63557"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61360DFF" w14:textId="34040C79" w:rsidR="009D2051" w:rsidRPr="00563AD3" w:rsidRDefault="009D2051" w:rsidP="00A648BD">
            <w:pPr>
              <w:spacing w:after="0" w:line="240" w:lineRule="auto"/>
              <w:rPr>
                <w:rFonts w:eastAsia="Times New Roman"/>
                <w:color w:val="000000"/>
              </w:rPr>
            </w:pPr>
            <w:r w:rsidRPr="00563AD3">
              <w:rPr>
                <w:rFonts w:eastAsia="Times New Roman"/>
                <w:b/>
                <w:bCs/>
                <w:color w:val="000000"/>
              </w:rPr>
              <w:t>Cost of a self-funded place</w:t>
            </w:r>
            <w:r w:rsidR="008D7B9B" w:rsidRPr="00563AD3">
              <w:rPr>
                <w:rFonts w:eastAsia="Times New Roman"/>
                <w:b/>
                <w:bCs/>
                <w:color w:val="000000"/>
              </w:rPr>
              <w:t xml:space="preserve"> per year</w:t>
            </w:r>
            <w:r w:rsidRPr="00563AD3">
              <w:rPr>
                <w:rFonts w:eastAsia="Times New Roman"/>
                <w:b/>
                <w:bCs/>
                <w:color w:val="000000"/>
              </w:rPr>
              <w:t xml:space="preserve"> (£)</w:t>
            </w:r>
            <w:r w:rsidRPr="00563AD3">
              <w:rPr>
                <w:rFonts w:eastAsia="Times New Roman"/>
                <w:color w:val="000000"/>
              </w:rPr>
              <w:t xml:space="preserve"> (Mean (SD) missing)</w:t>
            </w:r>
          </w:p>
        </w:tc>
        <w:tc>
          <w:tcPr>
            <w:tcW w:w="2126" w:type="dxa"/>
            <w:tcBorders>
              <w:top w:val="nil"/>
              <w:left w:val="nil"/>
              <w:bottom w:val="nil"/>
              <w:right w:val="nil"/>
            </w:tcBorders>
            <w:shd w:val="clear" w:color="auto" w:fill="FFFFFF"/>
            <w:tcMar>
              <w:left w:w="67" w:type="dxa"/>
              <w:right w:w="67" w:type="dxa"/>
            </w:tcMar>
          </w:tcPr>
          <w:p w14:paraId="71C3D337" w14:textId="77777777" w:rsidR="009D2051" w:rsidRPr="00563AD3" w:rsidRDefault="009D2051" w:rsidP="00A648BD">
            <w:pPr>
              <w:spacing w:after="0" w:line="240" w:lineRule="auto"/>
              <w:jc w:val="right"/>
              <w:rPr>
                <w:rFonts w:eastAsia="Times New Roman"/>
                <w:color w:val="000000"/>
              </w:rPr>
            </w:pPr>
            <w:r w:rsidRPr="00563AD3">
              <w:rPr>
                <w:rFonts w:eastAsia="Times New Roman"/>
                <w:color w:val="000000"/>
              </w:rPr>
              <w:t>44553 (13291) 0</w:t>
            </w:r>
          </w:p>
        </w:tc>
        <w:tc>
          <w:tcPr>
            <w:tcW w:w="2268" w:type="dxa"/>
            <w:tcBorders>
              <w:top w:val="nil"/>
              <w:left w:val="nil"/>
              <w:bottom w:val="nil"/>
              <w:right w:val="nil"/>
            </w:tcBorders>
            <w:shd w:val="clear" w:color="auto" w:fill="FFFFFF"/>
            <w:tcMar>
              <w:left w:w="67" w:type="dxa"/>
              <w:right w:w="67" w:type="dxa"/>
            </w:tcMar>
          </w:tcPr>
          <w:p w14:paraId="008ACE2F" w14:textId="77777777" w:rsidR="009D2051" w:rsidRPr="00563AD3" w:rsidRDefault="009D2051" w:rsidP="00A648BD">
            <w:pPr>
              <w:spacing w:after="0" w:line="240" w:lineRule="auto"/>
              <w:jc w:val="right"/>
              <w:rPr>
                <w:rFonts w:eastAsia="Times New Roman"/>
                <w:color w:val="000000"/>
              </w:rPr>
            </w:pPr>
            <w:r w:rsidRPr="00563AD3">
              <w:rPr>
                <w:rFonts w:eastAsia="Times New Roman"/>
                <w:color w:val="000000"/>
              </w:rPr>
              <w:t>41638 (13003) 1</w:t>
            </w:r>
          </w:p>
        </w:tc>
        <w:tc>
          <w:tcPr>
            <w:tcW w:w="1843" w:type="dxa"/>
            <w:tcBorders>
              <w:top w:val="nil"/>
              <w:left w:val="nil"/>
              <w:bottom w:val="nil"/>
            </w:tcBorders>
            <w:shd w:val="clear" w:color="auto" w:fill="FFFFFF"/>
            <w:tcMar>
              <w:left w:w="67" w:type="dxa"/>
              <w:right w:w="67" w:type="dxa"/>
            </w:tcMar>
          </w:tcPr>
          <w:p w14:paraId="68149572" w14:textId="77777777" w:rsidR="009D2051" w:rsidRPr="00563AD3" w:rsidRDefault="009D2051" w:rsidP="00A648BD">
            <w:pPr>
              <w:spacing w:after="0" w:line="240" w:lineRule="auto"/>
              <w:jc w:val="right"/>
              <w:rPr>
                <w:rFonts w:eastAsia="Times New Roman"/>
                <w:color w:val="000000"/>
              </w:rPr>
            </w:pPr>
            <w:r w:rsidRPr="00563AD3">
              <w:rPr>
                <w:rFonts w:eastAsia="Times New Roman"/>
                <w:color w:val="000000"/>
              </w:rPr>
              <w:t>42768 (13056) 1</w:t>
            </w:r>
          </w:p>
        </w:tc>
      </w:tr>
      <w:tr w:rsidR="008D7B9B" w:rsidRPr="00563AD3" w14:paraId="5B34AFE1"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01294ABD" w14:textId="0CEA6EA7" w:rsidR="008D7B9B" w:rsidRPr="00563AD3" w:rsidRDefault="008D7B9B" w:rsidP="00A648BD">
            <w:pPr>
              <w:spacing w:after="0" w:line="240" w:lineRule="auto"/>
              <w:rPr>
                <w:rFonts w:eastAsia="Times New Roman"/>
                <w:color w:val="000000"/>
              </w:rPr>
            </w:pPr>
            <w:r w:rsidRPr="00563AD3">
              <w:rPr>
                <w:rFonts w:eastAsia="Times New Roman"/>
                <w:b/>
                <w:color w:val="000000"/>
              </w:rPr>
              <w:t>Average resident:staff ratio daytime</w:t>
            </w:r>
            <w:r w:rsidRPr="00563AD3">
              <w:rPr>
                <w:rFonts w:eastAsia="Times New Roman"/>
                <w:color w:val="000000"/>
              </w:rPr>
              <w:t xml:space="preserve"> (Median (Range) Missing)</w:t>
            </w:r>
          </w:p>
        </w:tc>
        <w:tc>
          <w:tcPr>
            <w:tcW w:w="2126" w:type="dxa"/>
            <w:tcBorders>
              <w:top w:val="nil"/>
              <w:left w:val="nil"/>
              <w:bottom w:val="nil"/>
              <w:right w:val="nil"/>
            </w:tcBorders>
            <w:shd w:val="clear" w:color="auto" w:fill="FFFFFF"/>
            <w:tcMar>
              <w:left w:w="67" w:type="dxa"/>
              <w:right w:w="67" w:type="dxa"/>
            </w:tcMar>
          </w:tcPr>
          <w:p w14:paraId="2824D927" w14:textId="44BF9A51" w:rsidR="008D7B9B" w:rsidRPr="00563AD3" w:rsidRDefault="008D7B9B" w:rsidP="00A648BD">
            <w:pPr>
              <w:spacing w:after="0" w:line="240" w:lineRule="auto"/>
              <w:jc w:val="right"/>
              <w:rPr>
                <w:rFonts w:eastAsia="Times New Roman"/>
                <w:color w:val="000000"/>
              </w:rPr>
            </w:pPr>
            <w:r w:rsidRPr="00563AD3">
              <w:rPr>
                <w:color w:val="000000"/>
              </w:rPr>
              <w:t>5.2 (3.0, 8.8) 0</w:t>
            </w:r>
          </w:p>
        </w:tc>
        <w:tc>
          <w:tcPr>
            <w:tcW w:w="2268" w:type="dxa"/>
            <w:tcBorders>
              <w:top w:val="nil"/>
              <w:left w:val="nil"/>
              <w:bottom w:val="nil"/>
              <w:right w:val="nil"/>
            </w:tcBorders>
            <w:shd w:val="clear" w:color="auto" w:fill="FFFFFF"/>
            <w:tcMar>
              <w:left w:w="67" w:type="dxa"/>
              <w:right w:w="67" w:type="dxa"/>
            </w:tcMar>
          </w:tcPr>
          <w:p w14:paraId="28AB7241" w14:textId="058FFE7B" w:rsidR="008D7B9B" w:rsidRPr="00563AD3" w:rsidRDefault="008D7B9B" w:rsidP="00A648BD">
            <w:pPr>
              <w:spacing w:after="0" w:line="240" w:lineRule="auto"/>
              <w:jc w:val="right"/>
              <w:rPr>
                <w:rFonts w:eastAsia="Times New Roman"/>
                <w:color w:val="000000"/>
              </w:rPr>
            </w:pPr>
            <w:r w:rsidRPr="00563AD3">
              <w:rPr>
                <w:color w:val="000000"/>
              </w:rPr>
              <w:t>4.7 (2.5, 10.5) 1</w:t>
            </w:r>
          </w:p>
        </w:tc>
        <w:tc>
          <w:tcPr>
            <w:tcW w:w="1843" w:type="dxa"/>
            <w:tcBorders>
              <w:top w:val="nil"/>
              <w:left w:val="nil"/>
              <w:bottom w:val="nil"/>
            </w:tcBorders>
            <w:shd w:val="clear" w:color="auto" w:fill="FFFFFF"/>
            <w:tcMar>
              <w:left w:w="67" w:type="dxa"/>
              <w:right w:w="67" w:type="dxa"/>
            </w:tcMar>
          </w:tcPr>
          <w:p w14:paraId="544AF8B9" w14:textId="00225B20" w:rsidR="008D7B9B" w:rsidRPr="00563AD3" w:rsidRDefault="008D7B9B" w:rsidP="00A648BD">
            <w:pPr>
              <w:spacing w:after="0" w:line="240" w:lineRule="auto"/>
              <w:jc w:val="right"/>
              <w:rPr>
                <w:rFonts w:eastAsia="Times New Roman"/>
                <w:color w:val="000000"/>
              </w:rPr>
            </w:pPr>
            <w:r w:rsidRPr="00563AD3">
              <w:rPr>
                <w:color w:val="000000"/>
              </w:rPr>
              <w:t>4.8 (2.5, 10.5) 1</w:t>
            </w:r>
          </w:p>
        </w:tc>
      </w:tr>
      <w:tr w:rsidR="008D7B9B" w:rsidRPr="00563AD3" w14:paraId="035C4EA4"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0F4C24A8" w14:textId="2085CF15" w:rsidR="008D7B9B" w:rsidRPr="00563AD3" w:rsidRDefault="008D7B9B" w:rsidP="00A648BD">
            <w:pPr>
              <w:spacing w:after="0" w:line="240" w:lineRule="auto"/>
              <w:rPr>
                <w:rFonts w:eastAsia="Times New Roman"/>
                <w:color w:val="000000"/>
              </w:rPr>
            </w:pPr>
            <w:r w:rsidRPr="00563AD3">
              <w:rPr>
                <w:rFonts w:eastAsia="Times New Roman"/>
                <w:b/>
                <w:color w:val="000000"/>
              </w:rPr>
              <w:t>Average resident:staff ratio night time</w:t>
            </w:r>
            <w:r w:rsidRPr="00563AD3">
              <w:rPr>
                <w:rFonts w:eastAsia="Times New Roman"/>
                <w:color w:val="000000"/>
              </w:rPr>
              <w:t xml:space="preserve"> (Median (Range) Missing)</w:t>
            </w:r>
          </w:p>
        </w:tc>
        <w:tc>
          <w:tcPr>
            <w:tcW w:w="2126" w:type="dxa"/>
            <w:tcBorders>
              <w:top w:val="nil"/>
              <w:left w:val="nil"/>
              <w:bottom w:val="nil"/>
              <w:right w:val="nil"/>
            </w:tcBorders>
            <w:shd w:val="clear" w:color="auto" w:fill="FFFFFF"/>
            <w:tcMar>
              <w:left w:w="67" w:type="dxa"/>
              <w:right w:w="67" w:type="dxa"/>
            </w:tcMar>
          </w:tcPr>
          <w:p w14:paraId="7726F34E" w14:textId="6779A117" w:rsidR="008D7B9B" w:rsidRPr="00563AD3" w:rsidRDefault="008D7B9B" w:rsidP="00A648BD">
            <w:pPr>
              <w:spacing w:after="0" w:line="240" w:lineRule="auto"/>
              <w:jc w:val="right"/>
              <w:rPr>
                <w:rFonts w:eastAsia="Times New Roman"/>
                <w:color w:val="000000"/>
              </w:rPr>
            </w:pPr>
            <w:r w:rsidRPr="00563AD3">
              <w:rPr>
                <w:color w:val="000000"/>
              </w:rPr>
              <w:t>9.5 (3.3, 17.5) 0</w:t>
            </w:r>
          </w:p>
        </w:tc>
        <w:tc>
          <w:tcPr>
            <w:tcW w:w="2268" w:type="dxa"/>
            <w:tcBorders>
              <w:top w:val="nil"/>
              <w:left w:val="nil"/>
              <w:bottom w:val="nil"/>
              <w:right w:val="nil"/>
            </w:tcBorders>
            <w:shd w:val="clear" w:color="auto" w:fill="FFFFFF"/>
            <w:tcMar>
              <w:left w:w="67" w:type="dxa"/>
              <w:right w:w="67" w:type="dxa"/>
            </w:tcMar>
          </w:tcPr>
          <w:p w14:paraId="2C50F2F8" w14:textId="4025D782" w:rsidR="008D7B9B" w:rsidRPr="00563AD3" w:rsidRDefault="008D7B9B" w:rsidP="00A648BD">
            <w:pPr>
              <w:spacing w:after="0" w:line="240" w:lineRule="auto"/>
              <w:jc w:val="right"/>
              <w:rPr>
                <w:rFonts w:eastAsia="Times New Roman"/>
                <w:color w:val="000000"/>
              </w:rPr>
            </w:pPr>
            <w:r w:rsidRPr="00563AD3">
              <w:rPr>
                <w:color w:val="000000"/>
              </w:rPr>
              <w:t>9.7 (2.9, 15.3) 1</w:t>
            </w:r>
          </w:p>
        </w:tc>
        <w:tc>
          <w:tcPr>
            <w:tcW w:w="1843" w:type="dxa"/>
            <w:tcBorders>
              <w:top w:val="nil"/>
              <w:left w:val="nil"/>
              <w:bottom w:val="nil"/>
            </w:tcBorders>
            <w:shd w:val="clear" w:color="auto" w:fill="FFFFFF"/>
            <w:tcMar>
              <w:left w:w="67" w:type="dxa"/>
              <w:right w:w="67" w:type="dxa"/>
            </w:tcMar>
          </w:tcPr>
          <w:p w14:paraId="3885E2D8" w14:textId="06C95C23" w:rsidR="008D7B9B" w:rsidRPr="00563AD3" w:rsidRDefault="008D7B9B" w:rsidP="00A648BD">
            <w:pPr>
              <w:spacing w:after="0" w:line="240" w:lineRule="auto"/>
              <w:jc w:val="right"/>
              <w:rPr>
                <w:rFonts w:eastAsia="Times New Roman"/>
                <w:color w:val="000000"/>
              </w:rPr>
            </w:pPr>
            <w:r w:rsidRPr="00563AD3">
              <w:rPr>
                <w:color w:val="000000"/>
              </w:rPr>
              <w:t>9.7 (2.9, 17.5) 1</w:t>
            </w:r>
          </w:p>
        </w:tc>
      </w:tr>
      <w:tr w:rsidR="008D7B9B" w:rsidRPr="00563AD3" w14:paraId="0E08A891"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48220E8E" w14:textId="29403DA8" w:rsidR="008D7B9B" w:rsidRPr="00563AD3" w:rsidRDefault="008D7B9B" w:rsidP="00A648BD">
            <w:pPr>
              <w:keepNext/>
              <w:spacing w:after="0" w:line="240" w:lineRule="auto"/>
              <w:rPr>
                <w:rFonts w:eastAsia="Times New Roman"/>
                <w:b/>
                <w:bCs/>
                <w:color w:val="000000"/>
              </w:rPr>
            </w:pPr>
            <w:r w:rsidRPr="00563AD3">
              <w:rPr>
                <w:rFonts w:eastAsia="Times New Roman"/>
                <w:b/>
                <w:bCs/>
                <w:color w:val="000000"/>
              </w:rPr>
              <w:t>Care Home manager</w:t>
            </w:r>
          </w:p>
        </w:tc>
        <w:tc>
          <w:tcPr>
            <w:tcW w:w="2126" w:type="dxa"/>
            <w:tcBorders>
              <w:top w:val="nil"/>
              <w:left w:val="nil"/>
              <w:bottom w:val="nil"/>
              <w:right w:val="nil"/>
            </w:tcBorders>
            <w:shd w:val="clear" w:color="auto" w:fill="FFFFFF"/>
            <w:tcMar>
              <w:left w:w="67" w:type="dxa"/>
              <w:right w:w="67" w:type="dxa"/>
            </w:tcMar>
          </w:tcPr>
          <w:p w14:paraId="5D954330" w14:textId="77777777" w:rsidR="008D7B9B" w:rsidRPr="00563AD3" w:rsidRDefault="008D7B9B" w:rsidP="00A648BD">
            <w:pPr>
              <w:keepNext/>
              <w:spacing w:after="0" w:line="240" w:lineRule="auto"/>
              <w:jc w:val="right"/>
              <w:rPr>
                <w:rFonts w:eastAsia="Calibri"/>
                <w:color w:val="000000"/>
                <w:lang w:eastAsia="en-US"/>
              </w:rPr>
            </w:pPr>
          </w:p>
        </w:tc>
        <w:tc>
          <w:tcPr>
            <w:tcW w:w="2268" w:type="dxa"/>
            <w:tcBorders>
              <w:top w:val="nil"/>
              <w:left w:val="nil"/>
              <w:bottom w:val="nil"/>
              <w:right w:val="nil"/>
            </w:tcBorders>
            <w:shd w:val="clear" w:color="auto" w:fill="FFFFFF"/>
            <w:tcMar>
              <w:left w:w="67" w:type="dxa"/>
              <w:right w:w="67" w:type="dxa"/>
            </w:tcMar>
          </w:tcPr>
          <w:p w14:paraId="423F6DF7" w14:textId="77777777" w:rsidR="008D7B9B" w:rsidRPr="00563AD3" w:rsidRDefault="008D7B9B" w:rsidP="00A648BD">
            <w:pPr>
              <w:keepNext/>
              <w:spacing w:after="0" w:line="240" w:lineRule="auto"/>
              <w:jc w:val="right"/>
              <w:rPr>
                <w:rFonts w:eastAsia="Calibri"/>
                <w:color w:val="000000"/>
                <w:lang w:eastAsia="en-US"/>
              </w:rPr>
            </w:pPr>
          </w:p>
        </w:tc>
        <w:tc>
          <w:tcPr>
            <w:tcW w:w="1843" w:type="dxa"/>
            <w:tcBorders>
              <w:top w:val="nil"/>
              <w:left w:val="nil"/>
              <w:bottom w:val="nil"/>
            </w:tcBorders>
            <w:shd w:val="clear" w:color="auto" w:fill="FFFFFF"/>
            <w:tcMar>
              <w:left w:w="67" w:type="dxa"/>
              <w:right w:w="67" w:type="dxa"/>
            </w:tcMar>
          </w:tcPr>
          <w:p w14:paraId="166A7B4B" w14:textId="77777777" w:rsidR="008D7B9B" w:rsidRPr="00563AD3" w:rsidRDefault="008D7B9B" w:rsidP="00A648BD">
            <w:pPr>
              <w:keepNext/>
              <w:spacing w:after="0" w:line="240" w:lineRule="auto"/>
              <w:jc w:val="right"/>
              <w:rPr>
                <w:rFonts w:eastAsia="Calibri"/>
                <w:color w:val="000000"/>
                <w:lang w:eastAsia="en-US"/>
              </w:rPr>
            </w:pPr>
          </w:p>
        </w:tc>
      </w:tr>
      <w:tr w:rsidR="008D7B9B" w:rsidRPr="00563AD3" w14:paraId="3C93B9BB"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1236885A" w14:textId="18A3AE33" w:rsidR="008D7B9B" w:rsidRPr="00563AD3" w:rsidRDefault="008D7B9B" w:rsidP="00A648BD">
            <w:pPr>
              <w:keepNext/>
              <w:spacing w:after="0" w:line="240" w:lineRule="auto"/>
              <w:rPr>
                <w:rFonts w:eastAsia="Times New Roman"/>
                <w:color w:val="000000"/>
              </w:rPr>
            </w:pPr>
            <w:r w:rsidRPr="00563AD3">
              <w:rPr>
                <w:rFonts w:eastAsia="Times New Roman"/>
                <w:b/>
                <w:bCs/>
                <w:color w:val="000000"/>
              </w:rPr>
              <w:t xml:space="preserve">Time in current role </w:t>
            </w:r>
            <w:r w:rsidRPr="00563AD3">
              <w:rPr>
                <w:rFonts w:eastAsia="Calibri"/>
                <w:color w:val="000000"/>
                <w:lang w:eastAsia="en-US"/>
              </w:rPr>
              <w:t>(Median (Range))</w:t>
            </w:r>
          </w:p>
        </w:tc>
        <w:tc>
          <w:tcPr>
            <w:tcW w:w="2126" w:type="dxa"/>
            <w:tcBorders>
              <w:top w:val="nil"/>
              <w:left w:val="nil"/>
              <w:bottom w:val="nil"/>
              <w:right w:val="nil"/>
            </w:tcBorders>
            <w:shd w:val="clear" w:color="auto" w:fill="FFFFFF"/>
            <w:tcMar>
              <w:left w:w="67" w:type="dxa"/>
              <w:right w:w="67" w:type="dxa"/>
            </w:tcMar>
          </w:tcPr>
          <w:p w14:paraId="51199A1E" w14:textId="77777777" w:rsidR="008D7B9B" w:rsidRPr="00563AD3" w:rsidRDefault="008D7B9B" w:rsidP="00A648BD">
            <w:pPr>
              <w:keepNext/>
              <w:spacing w:after="0" w:line="240" w:lineRule="auto"/>
              <w:jc w:val="right"/>
              <w:rPr>
                <w:rFonts w:eastAsia="Times New Roman"/>
                <w:color w:val="000000"/>
              </w:rPr>
            </w:pPr>
            <w:r w:rsidRPr="00563AD3">
              <w:rPr>
                <w:rFonts w:eastAsia="Calibri"/>
                <w:color w:val="000000"/>
                <w:lang w:eastAsia="en-US"/>
              </w:rPr>
              <w:t>2.5 (0.3, 37.0)</w:t>
            </w:r>
          </w:p>
        </w:tc>
        <w:tc>
          <w:tcPr>
            <w:tcW w:w="2268" w:type="dxa"/>
            <w:tcBorders>
              <w:top w:val="nil"/>
              <w:left w:val="nil"/>
              <w:bottom w:val="nil"/>
              <w:right w:val="nil"/>
            </w:tcBorders>
            <w:shd w:val="clear" w:color="auto" w:fill="FFFFFF"/>
            <w:tcMar>
              <w:left w:w="67" w:type="dxa"/>
              <w:right w:w="67" w:type="dxa"/>
            </w:tcMar>
          </w:tcPr>
          <w:p w14:paraId="5E3A5E4B" w14:textId="77777777" w:rsidR="008D7B9B" w:rsidRPr="00563AD3" w:rsidRDefault="008D7B9B" w:rsidP="00A648BD">
            <w:pPr>
              <w:keepNext/>
              <w:spacing w:after="0" w:line="240" w:lineRule="auto"/>
              <w:jc w:val="right"/>
              <w:rPr>
                <w:rFonts w:eastAsia="Times New Roman"/>
                <w:color w:val="000000"/>
              </w:rPr>
            </w:pPr>
            <w:r w:rsidRPr="00563AD3">
              <w:rPr>
                <w:rFonts w:eastAsia="Calibri"/>
                <w:color w:val="000000"/>
                <w:lang w:eastAsia="en-US"/>
              </w:rPr>
              <w:t>2.9 (0.3, 25.0)</w:t>
            </w:r>
          </w:p>
        </w:tc>
        <w:tc>
          <w:tcPr>
            <w:tcW w:w="1843" w:type="dxa"/>
            <w:tcBorders>
              <w:top w:val="nil"/>
              <w:left w:val="nil"/>
              <w:bottom w:val="nil"/>
            </w:tcBorders>
            <w:shd w:val="clear" w:color="auto" w:fill="FFFFFF"/>
            <w:tcMar>
              <w:left w:w="67" w:type="dxa"/>
              <w:right w:w="67" w:type="dxa"/>
            </w:tcMar>
          </w:tcPr>
          <w:p w14:paraId="00404495" w14:textId="77777777" w:rsidR="008D7B9B" w:rsidRPr="00563AD3" w:rsidRDefault="008D7B9B" w:rsidP="00A648BD">
            <w:pPr>
              <w:keepNext/>
              <w:spacing w:after="0" w:line="240" w:lineRule="auto"/>
              <w:jc w:val="right"/>
              <w:rPr>
                <w:rFonts w:eastAsia="Times New Roman"/>
                <w:color w:val="000000"/>
              </w:rPr>
            </w:pPr>
            <w:r w:rsidRPr="00563AD3">
              <w:rPr>
                <w:rFonts w:eastAsia="Calibri"/>
                <w:color w:val="000000"/>
                <w:lang w:eastAsia="en-US"/>
              </w:rPr>
              <w:t>2.6 (0.3, 37.0)</w:t>
            </w:r>
          </w:p>
        </w:tc>
      </w:tr>
      <w:tr w:rsidR="008D7B9B" w:rsidRPr="00563AD3" w14:paraId="358015C6"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0A491E38" w14:textId="5A5E9079" w:rsidR="008D7B9B" w:rsidRPr="00563AD3" w:rsidRDefault="008D7B9B" w:rsidP="00A648BD">
            <w:pPr>
              <w:keepNext/>
              <w:spacing w:after="0" w:line="240" w:lineRule="auto"/>
              <w:rPr>
                <w:rFonts w:eastAsia="Times New Roman"/>
                <w:color w:val="000000"/>
              </w:rPr>
            </w:pPr>
            <w:r w:rsidRPr="00563AD3">
              <w:rPr>
                <w:rFonts w:eastAsia="Times New Roman"/>
                <w:b/>
                <w:bCs/>
                <w:color w:val="000000"/>
              </w:rPr>
              <w:t xml:space="preserve">Length of time worked in care homes </w:t>
            </w:r>
            <w:r w:rsidRPr="00563AD3">
              <w:rPr>
                <w:rFonts w:eastAsia="Times New Roman"/>
                <w:bCs/>
                <w:color w:val="000000"/>
              </w:rPr>
              <w:t>(N (%))</w:t>
            </w:r>
          </w:p>
        </w:tc>
        <w:tc>
          <w:tcPr>
            <w:tcW w:w="2126" w:type="dxa"/>
            <w:tcBorders>
              <w:top w:val="nil"/>
              <w:left w:val="nil"/>
              <w:bottom w:val="nil"/>
              <w:right w:val="nil"/>
            </w:tcBorders>
            <w:shd w:val="clear" w:color="auto" w:fill="FFFFFF"/>
            <w:tcMar>
              <w:left w:w="67" w:type="dxa"/>
              <w:right w:w="67" w:type="dxa"/>
            </w:tcMar>
          </w:tcPr>
          <w:p w14:paraId="3218FFB2" w14:textId="77777777" w:rsidR="008D7B9B" w:rsidRPr="00563AD3" w:rsidRDefault="008D7B9B" w:rsidP="00A648BD">
            <w:pPr>
              <w:keepNext/>
              <w:spacing w:after="0" w:line="240" w:lineRule="auto"/>
              <w:jc w:val="right"/>
              <w:rPr>
                <w:rFonts w:eastAsia="Times New Roman"/>
                <w:color w:val="000000"/>
              </w:rPr>
            </w:pPr>
          </w:p>
        </w:tc>
        <w:tc>
          <w:tcPr>
            <w:tcW w:w="2268" w:type="dxa"/>
            <w:tcBorders>
              <w:top w:val="nil"/>
              <w:left w:val="nil"/>
              <w:bottom w:val="nil"/>
              <w:right w:val="nil"/>
            </w:tcBorders>
            <w:shd w:val="clear" w:color="auto" w:fill="FFFFFF"/>
            <w:tcMar>
              <w:left w:w="67" w:type="dxa"/>
              <w:right w:w="67" w:type="dxa"/>
            </w:tcMar>
          </w:tcPr>
          <w:p w14:paraId="04160FBB" w14:textId="77777777" w:rsidR="008D7B9B" w:rsidRPr="00563AD3" w:rsidRDefault="008D7B9B" w:rsidP="00A648BD">
            <w:pPr>
              <w:keepNext/>
              <w:spacing w:after="0" w:line="240" w:lineRule="auto"/>
              <w:jc w:val="right"/>
              <w:rPr>
                <w:rFonts w:eastAsia="Times New Roman"/>
                <w:color w:val="000000"/>
              </w:rPr>
            </w:pPr>
          </w:p>
        </w:tc>
        <w:tc>
          <w:tcPr>
            <w:tcW w:w="1843" w:type="dxa"/>
            <w:tcBorders>
              <w:top w:val="nil"/>
              <w:left w:val="nil"/>
              <w:bottom w:val="nil"/>
            </w:tcBorders>
            <w:shd w:val="clear" w:color="auto" w:fill="FFFFFF"/>
            <w:tcMar>
              <w:left w:w="67" w:type="dxa"/>
              <w:right w:w="67" w:type="dxa"/>
            </w:tcMar>
          </w:tcPr>
          <w:p w14:paraId="5D663806" w14:textId="77777777" w:rsidR="008D7B9B" w:rsidRPr="00563AD3" w:rsidRDefault="008D7B9B" w:rsidP="00A648BD">
            <w:pPr>
              <w:keepNext/>
              <w:spacing w:after="0" w:line="240" w:lineRule="auto"/>
              <w:jc w:val="right"/>
              <w:rPr>
                <w:rFonts w:eastAsia="Times New Roman"/>
                <w:color w:val="000000"/>
              </w:rPr>
            </w:pPr>
          </w:p>
        </w:tc>
      </w:tr>
      <w:tr w:rsidR="008D7B9B" w:rsidRPr="00563AD3" w14:paraId="130011F2"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0DD00D5F" w14:textId="77777777" w:rsidR="008D7B9B" w:rsidRPr="00563AD3" w:rsidRDefault="008D7B9B" w:rsidP="00A648BD">
            <w:pPr>
              <w:keepNext/>
              <w:spacing w:after="0" w:line="240" w:lineRule="auto"/>
              <w:rPr>
                <w:rFonts w:eastAsia="Times New Roman"/>
                <w:color w:val="000000"/>
              </w:rPr>
            </w:pPr>
            <w:r w:rsidRPr="00563AD3">
              <w:rPr>
                <w:rFonts w:eastAsia="Times New Roman"/>
                <w:bCs/>
                <w:color w:val="000000"/>
              </w:rPr>
              <w:t>Up to 10 years</w:t>
            </w:r>
          </w:p>
        </w:tc>
        <w:tc>
          <w:tcPr>
            <w:tcW w:w="2126" w:type="dxa"/>
            <w:tcBorders>
              <w:top w:val="nil"/>
              <w:left w:val="nil"/>
              <w:bottom w:val="nil"/>
              <w:right w:val="nil"/>
            </w:tcBorders>
            <w:shd w:val="clear" w:color="auto" w:fill="FFFFFF"/>
            <w:tcMar>
              <w:left w:w="67" w:type="dxa"/>
              <w:right w:w="67" w:type="dxa"/>
            </w:tcMar>
          </w:tcPr>
          <w:p w14:paraId="019DB115"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3 (15.8%)</w:t>
            </w:r>
          </w:p>
        </w:tc>
        <w:tc>
          <w:tcPr>
            <w:tcW w:w="2268" w:type="dxa"/>
            <w:tcBorders>
              <w:top w:val="nil"/>
              <w:left w:val="nil"/>
              <w:bottom w:val="nil"/>
              <w:right w:val="nil"/>
            </w:tcBorders>
            <w:shd w:val="clear" w:color="auto" w:fill="FFFFFF"/>
            <w:tcMar>
              <w:left w:w="67" w:type="dxa"/>
              <w:right w:w="67" w:type="dxa"/>
            </w:tcMar>
          </w:tcPr>
          <w:p w14:paraId="199F359E"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7 (22.6%)</w:t>
            </w:r>
          </w:p>
        </w:tc>
        <w:tc>
          <w:tcPr>
            <w:tcW w:w="1843" w:type="dxa"/>
            <w:tcBorders>
              <w:top w:val="nil"/>
              <w:left w:val="nil"/>
              <w:bottom w:val="nil"/>
            </w:tcBorders>
            <w:shd w:val="clear" w:color="auto" w:fill="FFFFFF"/>
            <w:tcMar>
              <w:left w:w="67" w:type="dxa"/>
              <w:right w:w="67" w:type="dxa"/>
            </w:tcMar>
          </w:tcPr>
          <w:p w14:paraId="0BD8B0B7"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10 (20.0%)</w:t>
            </w:r>
          </w:p>
        </w:tc>
      </w:tr>
      <w:tr w:rsidR="008D7B9B" w:rsidRPr="00563AD3" w14:paraId="0C4003EE"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04BD2841" w14:textId="77777777" w:rsidR="008D7B9B" w:rsidRPr="00563AD3" w:rsidRDefault="008D7B9B" w:rsidP="00A648BD">
            <w:pPr>
              <w:keepNext/>
              <w:spacing w:after="0" w:line="240" w:lineRule="auto"/>
              <w:rPr>
                <w:rFonts w:eastAsia="Times New Roman"/>
                <w:color w:val="000000"/>
              </w:rPr>
            </w:pPr>
            <w:r w:rsidRPr="00563AD3">
              <w:rPr>
                <w:rFonts w:eastAsia="Times New Roman"/>
                <w:bCs/>
                <w:color w:val="000000"/>
              </w:rPr>
              <w:t>More than 10 years</w:t>
            </w:r>
          </w:p>
        </w:tc>
        <w:tc>
          <w:tcPr>
            <w:tcW w:w="2126" w:type="dxa"/>
            <w:tcBorders>
              <w:top w:val="nil"/>
              <w:left w:val="nil"/>
              <w:bottom w:val="nil"/>
              <w:right w:val="nil"/>
            </w:tcBorders>
            <w:shd w:val="clear" w:color="auto" w:fill="FFFFFF"/>
            <w:tcMar>
              <w:left w:w="67" w:type="dxa"/>
              <w:right w:w="67" w:type="dxa"/>
            </w:tcMar>
          </w:tcPr>
          <w:p w14:paraId="67BDEB56"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16 (84.2%)</w:t>
            </w:r>
          </w:p>
        </w:tc>
        <w:tc>
          <w:tcPr>
            <w:tcW w:w="2268" w:type="dxa"/>
            <w:tcBorders>
              <w:top w:val="nil"/>
              <w:left w:val="nil"/>
              <w:bottom w:val="nil"/>
              <w:right w:val="nil"/>
            </w:tcBorders>
            <w:shd w:val="clear" w:color="auto" w:fill="FFFFFF"/>
            <w:tcMar>
              <w:left w:w="67" w:type="dxa"/>
              <w:right w:w="67" w:type="dxa"/>
            </w:tcMar>
          </w:tcPr>
          <w:p w14:paraId="7BFA40C1"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24 (77.4%)</w:t>
            </w:r>
          </w:p>
        </w:tc>
        <w:tc>
          <w:tcPr>
            <w:tcW w:w="1843" w:type="dxa"/>
            <w:tcBorders>
              <w:top w:val="nil"/>
              <w:left w:val="nil"/>
              <w:bottom w:val="nil"/>
            </w:tcBorders>
            <w:shd w:val="clear" w:color="auto" w:fill="FFFFFF"/>
            <w:tcMar>
              <w:left w:w="67" w:type="dxa"/>
              <w:right w:w="67" w:type="dxa"/>
            </w:tcMar>
          </w:tcPr>
          <w:p w14:paraId="4A933408"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40 (80.0%)</w:t>
            </w:r>
          </w:p>
        </w:tc>
      </w:tr>
      <w:tr w:rsidR="008D7B9B" w:rsidRPr="00563AD3" w14:paraId="306F01E1"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0EE37FF4" w14:textId="78D969C4" w:rsidR="008D7B9B" w:rsidRPr="00563AD3" w:rsidRDefault="008D7B9B" w:rsidP="00A648BD">
            <w:pPr>
              <w:keepNext/>
              <w:spacing w:after="0" w:line="240" w:lineRule="auto"/>
              <w:rPr>
                <w:rFonts w:eastAsia="Times New Roman"/>
                <w:color w:val="000000"/>
              </w:rPr>
            </w:pPr>
            <w:r w:rsidRPr="00563AD3">
              <w:rPr>
                <w:rFonts w:eastAsia="Times New Roman"/>
                <w:b/>
                <w:bCs/>
                <w:color w:val="000000"/>
              </w:rPr>
              <w:t xml:space="preserve">Length of time in a manager role </w:t>
            </w:r>
            <w:r w:rsidRPr="00563AD3">
              <w:rPr>
                <w:rFonts w:eastAsia="Times New Roman"/>
                <w:bCs/>
                <w:color w:val="000000"/>
              </w:rPr>
              <w:t>(N (%))</w:t>
            </w:r>
          </w:p>
        </w:tc>
        <w:tc>
          <w:tcPr>
            <w:tcW w:w="2126" w:type="dxa"/>
            <w:tcBorders>
              <w:top w:val="nil"/>
              <w:left w:val="nil"/>
              <w:bottom w:val="nil"/>
              <w:right w:val="nil"/>
            </w:tcBorders>
            <w:shd w:val="clear" w:color="auto" w:fill="FFFFFF"/>
            <w:tcMar>
              <w:left w:w="67" w:type="dxa"/>
              <w:right w:w="67" w:type="dxa"/>
            </w:tcMar>
          </w:tcPr>
          <w:p w14:paraId="48B079D9" w14:textId="77777777" w:rsidR="008D7B9B" w:rsidRPr="00563AD3" w:rsidRDefault="008D7B9B" w:rsidP="00A648BD">
            <w:pPr>
              <w:keepNext/>
              <w:spacing w:after="0" w:line="240" w:lineRule="auto"/>
              <w:jc w:val="right"/>
              <w:rPr>
                <w:rFonts w:eastAsia="Times New Roman"/>
                <w:color w:val="000000"/>
              </w:rPr>
            </w:pPr>
          </w:p>
        </w:tc>
        <w:tc>
          <w:tcPr>
            <w:tcW w:w="2268" w:type="dxa"/>
            <w:tcBorders>
              <w:top w:val="nil"/>
              <w:left w:val="nil"/>
              <w:bottom w:val="nil"/>
              <w:right w:val="nil"/>
            </w:tcBorders>
            <w:shd w:val="clear" w:color="auto" w:fill="FFFFFF"/>
            <w:tcMar>
              <w:left w:w="67" w:type="dxa"/>
              <w:right w:w="67" w:type="dxa"/>
            </w:tcMar>
          </w:tcPr>
          <w:p w14:paraId="353F5B3D" w14:textId="77777777" w:rsidR="008D7B9B" w:rsidRPr="00563AD3" w:rsidRDefault="008D7B9B" w:rsidP="00A648BD">
            <w:pPr>
              <w:keepNext/>
              <w:spacing w:after="0" w:line="240" w:lineRule="auto"/>
              <w:jc w:val="right"/>
              <w:rPr>
                <w:rFonts w:eastAsia="Times New Roman"/>
                <w:color w:val="000000"/>
              </w:rPr>
            </w:pPr>
          </w:p>
        </w:tc>
        <w:tc>
          <w:tcPr>
            <w:tcW w:w="1843" w:type="dxa"/>
            <w:tcBorders>
              <w:top w:val="nil"/>
              <w:left w:val="nil"/>
              <w:bottom w:val="nil"/>
            </w:tcBorders>
            <w:shd w:val="clear" w:color="auto" w:fill="FFFFFF"/>
            <w:tcMar>
              <w:left w:w="67" w:type="dxa"/>
              <w:right w:w="67" w:type="dxa"/>
            </w:tcMar>
          </w:tcPr>
          <w:p w14:paraId="5A9C1218" w14:textId="77777777" w:rsidR="008D7B9B" w:rsidRPr="00563AD3" w:rsidRDefault="008D7B9B" w:rsidP="00A648BD">
            <w:pPr>
              <w:keepNext/>
              <w:spacing w:after="0" w:line="240" w:lineRule="auto"/>
              <w:jc w:val="right"/>
              <w:rPr>
                <w:rFonts w:eastAsia="Times New Roman"/>
                <w:color w:val="000000"/>
              </w:rPr>
            </w:pPr>
          </w:p>
        </w:tc>
      </w:tr>
      <w:tr w:rsidR="008D7B9B" w:rsidRPr="00563AD3" w14:paraId="422357C0"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2DA7E271" w14:textId="77777777" w:rsidR="008D7B9B" w:rsidRPr="00563AD3" w:rsidRDefault="008D7B9B" w:rsidP="00A648BD">
            <w:pPr>
              <w:keepNext/>
              <w:spacing w:after="0" w:line="240" w:lineRule="auto"/>
              <w:rPr>
                <w:rFonts w:eastAsia="Times New Roman"/>
                <w:color w:val="000000"/>
              </w:rPr>
            </w:pPr>
            <w:r w:rsidRPr="00563AD3">
              <w:rPr>
                <w:rFonts w:eastAsia="Times New Roman"/>
                <w:color w:val="000000"/>
              </w:rPr>
              <w:t>- Up to 2 years</w:t>
            </w:r>
          </w:p>
        </w:tc>
        <w:tc>
          <w:tcPr>
            <w:tcW w:w="2126" w:type="dxa"/>
            <w:tcBorders>
              <w:top w:val="nil"/>
              <w:left w:val="nil"/>
              <w:bottom w:val="nil"/>
              <w:right w:val="nil"/>
            </w:tcBorders>
            <w:shd w:val="clear" w:color="auto" w:fill="FFFFFF"/>
            <w:tcMar>
              <w:left w:w="67" w:type="dxa"/>
              <w:right w:w="67" w:type="dxa"/>
            </w:tcMar>
          </w:tcPr>
          <w:p w14:paraId="1CA6CA64"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3 (15.8%)</w:t>
            </w:r>
          </w:p>
        </w:tc>
        <w:tc>
          <w:tcPr>
            <w:tcW w:w="2268" w:type="dxa"/>
            <w:tcBorders>
              <w:top w:val="nil"/>
              <w:left w:val="nil"/>
              <w:bottom w:val="nil"/>
              <w:right w:val="nil"/>
            </w:tcBorders>
            <w:shd w:val="clear" w:color="auto" w:fill="FFFFFF"/>
            <w:tcMar>
              <w:left w:w="67" w:type="dxa"/>
              <w:right w:w="67" w:type="dxa"/>
            </w:tcMar>
          </w:tcPr>
          <w:p w14:paraId="45AF20CA"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7 (22.6%)</w:t>
            </w:r>
          </w:p>
        </w:tc>
        <w:tc>
          <w:tcPr>
            <w:tcW w:w="1843" w:type="dxa"/>
            <w:tcBorders>
              <w:top w:val="nil"/>
              <w:left w:val="nil"/>
              <w:bottom w:val="nil"/>
            </w:tcBorders>
            <w:shd w:val="clear" w:color="auto" w:fill="FFFFFF"/>
            <w:tcMar>
              <w:left w:w="67" w:type="dxa"/>
              <w:right w:w="67" w:type="dxa"/>
            </w:tcMar>
          </w:tcPr>
          <w:p w14:paraId="6A89C3A4"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10 (20.0%)</w:t>
            </w:r>
          </w:p>
        </w:tc>
      </w:tr>
      <w:tr w:rsidR="008D7B9B" w:rsidRPr="00563AD3" w14:paraId="210A4DED"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60EA2D2D" w14:textId="77777777" w:rsidR="008D7B9B" w:rsidRPr="00563AD3" w:rsidRDefault="008D7B9B" w:rsidP="00A648BD">
            <w:pPr>
              <w:keepNext/>
              <w:spacing w:after="0" w:line="240" w:lineRule="auto"/>
              <w:rPr>
                <w:rFonts w:eastAsia="Times New Roman"/>
                <w:color w:val="000000"/>
              </w:rPr>
            </w:pPr>
            <w:r w:rsidRPr="00563AD3">
              <w:rPr>
                <w:rFonts w:eastAsia="Times New Roman"/>
                <w:color w:val="000000"/>
              </w:rPr>
              <w:t>- Up to 5 years</w:t>
            </w:r>
          </w:p>
        </w:tc>
        <w:tc>
          <w:tcPr>
            <w:tcW w:w="2126" w:type="dxa"/>
            <w:tcBorders>
              <w:top w:val="nil"/>
              <w:left w:val="nil"/>
              <w:bottom w:val="nil"/>
              <w:right w:val="nil"/>
            </w:tcBorders>
            <w:shd w:val="clear" w:color="auto" w:fill="FFFFFF"/>
            <w:tcMar>
              <w:left w:w="67" w:type="dxa"/>
              <w:right w:w="67" w:type="dxa"/>
            </w:tcMar>
          </w:tcPr>
          <w:p w14:paraId="12D3FBAE"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5 (26.3%)</w:t>
            </w:r>
          </w:p>
        </w:tc>
        <w:tc>
          <w:tcPr>
            <w:tcW w:w="2268" w:type="dxa"/>
            <w:tcBorders>
              <w:top w:val="nil"/>
              <w:left w:val="nil"/>
              <w:bottom w:val="nil"/>
              <w:right w:val="nil"/>
            </w:tcBorders>
            <w:shd w:val="clear" w:color="auto" w:fill="FFFFFF"/>
            <w:tcMar>
              <w:left w:w="67" w:type="dxa"/>
              <w:right w:w="67" w:type="dxa"/>
            </w:tcMar>
          </w:tcPr>
          <w:p w14:paraId="696AFE00"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4 (12.9%)</w:t>
            </w:r>
          </w:p>
        </w:tc>
        <w:tc>
          <w:tcPr>
            <w:tcW w:w="1843" w:type="dxa"/>
            <w:tcBorders>
              <w:top w:val="nil"/>
              <w:left w:val="nil"/>
              <w:bottom w:val="nil"/>
            </w:tcBorders>
            <w:shd w:val="clear" w:color="auto" w:fill="FFFFFF"/>
            <w:tcMar>
              <w:left w:w="67" w:type="dxa"/>
              <w:right w:w="67" w:type="dxa"/>
            </w:tcMar>
          </w:tcPr>
          <w:p w14:paraId="489F4441"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9 (18.0%)</w:t>
            </w:r>
          </w:p>
        </w:tc>
      </w:tr>
      <w:tr w:rsidR="008D7B9B" w:rsidRPr="00563AD3" w14:paraId="15539F50"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235C4E8C" w14:textId="77777777" w:rsidR="008D7B9B" w:rsidRPr="00563AD3" w:rsidRDefault="008D7B9B" w:rsidP="00A648BD">
            <w:pPr>
              <w:keepNext/>
              <w:spacing w:after="0" w:line="240" w:lineRule="auto"/>
              <w:rPr>
                <w:rFonts w:eastAsia="Times New Roman"/>
                <w:color w:val="000000"/>
              </w:rPr>
            </w:pPr>
            <w:r w:rsidRPr="00563AD3">
              <w:rPr>
                <w:rFonts w:eastAsia="Times New Roman"/>
                <w:color w:val="000000"/>
              </w:rPr>
              <w:t>- Up to 10 years</w:t>
            </w:r>
          </w:p>
        </w:tc>
        <w:tc>
          <w:tcPr>
            <w:tcW w:w="2126" w:type="dxa"/>
            <w:tcBorders>
              <w:top w:val="nil"/>
              <w:left w:val="nil"/>
              <w:bottom w:val="nil"/>
              <w:right w:val="nil"/>
            </w:tcBorders>
            <w:shd w:val="clear" w:color="auto" w:fill="FFFFFF"/>
            <w:tcMar>
              <w:left w:w="67" w:type="dxa"/>
              <w:right w:w="67" w:type="dxa"/>
            </w:tcMar>
          </w:tcPr>
          <w:p w14:paraId="273E1558"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2 (10.5%)</w:t>
            </w:r>
          </w:p>
        </w:tc>
        <w:tc>
          <w:tcPr>
            <w:tcW w:w="2268" w:type="dxa"/>
            <w:tcBorders>
              <w:top w:val="nil"/>
              <w:left w:val="nil"/>
              <w:bottom w:val="nil"/>
              <w:right w:val="nil"/>
            </w:tcBorders>
            <w:shd w:val="clear" w:color="auto" w:fill="FFFFFF"/>
            <w:tcMar>
              <w:left w:w="67" w:type="dxa"/>
              <w:right w:w="67" w:type="dxa"/>
            </w:tcMar>
          </w:tcPr>
          <w:p w14:paraId="13C5AB8F"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5 (16.1%)</w:t>
            </w:r>
          </w:p>
        </w:tc>
        <w:tc>
          <w:tcPr>
            <w:tcW w:w="1843" w:type="dxa"/>
            <w:tcBorders>
              <w:top w:val="nil"/>
              <w:left w:val="nil"/>
              <w:bottom w:val="nil"/>
            </w:tcBorders>
            <w:shd w:val="clear" w:color="auto" w:fill="FFFFFF"/>
            <w:tcMar>
              <w:left w:w="67" w:type="dxa"/>
              <w:right w:w="67" w:type="dxa"/>
            </w:tcMar>
          </w:tcPr>
          <w:p w14:paraId="21535794"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7 (14.0%)</w:t>
            </w:r>
          </w:p>
        </w:tc>
      </w:tr>
      <w:tr w:rsidR="008D7B9B" w:rsidRPr="00563AD3" w14:paraId="75F9D29D"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44136BAC" w14:textId="77777777" w:rsidR="008D7B9B" w:rsidRPr="00563AD3" w:rsidRDefault="008D7B9B" w:rsidP="00A648BD">
            <w:pPr>
              <w:keepNext/>
              <w:spacing w:after="0" w:line="240" w:lineRule="auto"/>
              <w:rPr>
                <w:rFonts w:eastAsia="Times New Roman"/>
                <w:color w:val="000000"/>
              </w:rPr>
            </w:pPr>
            <w:r w:rsidRPr="00563AD3">
              <w:rPr>
                <w:rFonts w:eastAsia="Times New Roman"/>
                <w:color w:val="000000"/>
              </w:rPr>
              <w:t>- More than 10 years</w:t>
            </w:r>
          </w:p>
        </w:tc>
        <w:tc>
          <w:tcPr>
            <w:tcW w:w="2126" w:type="dxa"/>
            <w:tcBorders>
              <w:top w:val="nil"/>
              <w:left w:val="nil"/>
              <w:bottom w:val="nil"/>
              <w:right w:val="nil"/>
            </w:tcBorders>
            <w:shd w:val="clear" w:color="auto" w:fill="FFFFFF"/>
            <w:tcMar>
              <w:left w:w="67" w:type="dxa"/>
              <w:right w:w="67" w:type="dxa"/>
            </w:tcMar>
          </w:tcPr>
          <w:p w14:paraId="38167462"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9 (47.4%)</w:t>
            </w:r>
          </w:p>
        </w:tc>
        <w:tc>
          <w:tcPr>
            <w:tcW w:w="2268" w:type="dxa"/>
            <w:tcBorders>
              <w:top w:val="nil"/>
              <w:left w:val="nil"/>
              <w:bottom w:val="nil"/>
              <w:right w:val="nil"/>
            </w:tcBorders>
            <w:shd w:val="clear" w:color="auto" w:fill="FFFFFF"/>
            <w:tcMar>
              <w:left w:w="67" w:type="dxa"/>
              <w:right w:w="67" w:type="dxa"/>
            </w:tcMar>
          </w:tcPr>
          <w:p w14:paraId="507BB7B5"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15 (48.4%)</w:t>
            </w:r>
          </w:p>
        </w:tc>
        <w:tc>
          <w:tcPr>
            <w:tcW w:w="1843" w:type="dxa"/>
            <w:tcBorders>
              <w:top w:val="nil"/>
              <w:left w:val="nil"/>
              <w:bottom w:val="nil"/>
            </w:tcBorders>
            <w:shd w:val="clear" w:color="auto" w:fill="FFFFFF"/>
            <w:tcMar>
              <w:left w:w="67" w:type="dxa"/>
              <w:right w:w="67" w:type="dxa"/>
            </w:tcMar>
          </w:tcPr>
          <w:p w14:paraId="35436802"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24 (48.0%)</w:t>
            </w:r>
          </w:p>
        </w:tc>
      </w:tr>
      <w:tr w:rsidR="008D7B9B" w:rsidRPr="00563AD3" w14:paraId="1ECB2158"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0C11D297" w14:textId="77777777" w:rsidR="008D7B9B" w:rsidRPr="00563AD3" w:rsidRDefault="008D7B9B" w:rsidP="00A648BD">
            <w:pPr>
              <w:keepNext/>
              <w:spacing w:after="0" w:line="240" w:lineRule="auto"/>
              <w:rPr>
                <w:rFonts w:eastAsia="Times New Roman"/>
                <w:color w:val="000000"/>
              </w:rPr>
            </w:pPr>
            <w:r w:rsidRPr="00563AD3">
              <w:rPr>
                <w:rFonts w:eastAsia="Times New Roman"/>
                <w:b/>
                <w:bCs/>
                <w:color w:val="000000"/>
              </w:rPr>
              <w:t>Manager dementia training/education</w:t>
            </w:r>
          </w:p>
        </w:tc>
        <w:tc>
          <w:tcPr>
            <w:tcW w:w="2126" w:type="dxa"/>
            <w:tcBorders>
              <w:top w:val="nil"/>
              <w:left w:val="nil"/>
              <w:bottom w:val="nil"/>
              <w:right w:val="nil"/>
            </w:tcBorders>
            <w:shd w:val="clear" w:color="auto" w:fill="FFFFFF"/>
            <w:tcMar>
              <w:left w:w="67" w:type="dxa"/>
              <w:right w:w="67" w:type="dxa"/>
            </w:tcMar>
          </w:tcPr>
          <w:p w14:paraId="22C8A095" w14:textId="77777777" w:rsidR="008D7B9B" w:rsidRPr="00563AD3" w:rsidRDefault="008D7B9B" w:rsidP="00A648BD">
            <w:pPr>
              <w:keepNext/>
              <w:spacing w:after="0" w:line="240" w:lineRule="auto"/>
              <w:jc w:val="right"/>
              <w:rPr>
                <w:rFonts w:eastAsia="Times New Roman"/>
                <w:color w:val="000000"/>
              </w:rPr>
            </w:pPr>
          </w:p>
        </w:tc>
        <w:tc>
          <w:tcPr>
            <w:tcW w:w="2268" w:type="dxa"/>
            <w:tcBorders>
              <w:top w:val="nil"/>
              <w:left w:val="nil"/>
              <w:bottom w:val="nil"/>
              <w:right w:val="nil"/>
            </w:tcBorders>
            <w:shd w:val="clear" w:color="auto" w:fill="FFFFFF"/>
            <w:tcMar>
              <w:left w:w="67" w:type="dxa"/>
              <w:right w:w="67" w:type="dxa"/>
            </w:tcMar>
          </w:tcPr>
          <w:p w14:paraId="05C530AD" w14:textId="77777777" w:rsidR="008D7B9B" w:rsidRPr="00563AD3" w:rsidRDefault="008D7B9B" w:rsidP="00A648BD">
            <w:pPr>
              <w:keepNext/>
              <w:spacing w:after="0" w:line="240" w:lineRule="auto"/>
              <w:jc w:val="right"/>
              <w:rPr>
                <w:rFonts w:eastAsia="Times New Roman"/>
                <w:color w:val="000000"/>
              </w:rPr>
            </w:pPr>
          </w:p>
        </w:tc>
        <w:tc>
          <w:tcPr>
            <w:tcW w:w="1843" w:type="dxa"/>
            <w:tcBorders>
              <w:top w:val="nil"/>
              <w:left w:val="nil"/>
              <w:bottom w:val="nil"/>
            </w:tcBorders>
            <w:shd w:val="clear" w:color="auto" w:fill="FFFFFF"/>
            <w:tcMar>
              <w:left w:w="67" w:type="dxa"/>
              <w:right w:w="67" w:type="dxa"/>
            </w:tcMar>
          </w:tcPr>
          <w:p w14:paraId="78E90754" w14:textId="77777777" w:rsidR="008D7B9B" w:rsidRPr="00563AD3" w:rsidRDefault="008D7B9B" w:rsidP="00A648BD">
            <w:pPr>
              <w:keepNext/>
              <w:spacing w:after="0" w:line="240" w:lineRule="auto"/>
              <w:jc w:val="right"/>
              <w:rPr>
                <w:rFonts w:eastAsia="Times New Roman"/>
                <w:color w:val="000000"/>
              </w:rPr>
            </w:pPr>
          </w:p>
        </w:tc>
      </w:tr>
      <w:tr w:rsidR="008D7B9B" w:rsidRPr="00563AD3" w14:paraId="2F0C8056"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71CB024F" w14:textId="77777777" w:rsidR="008D7B9B" w:rsidRPr="00563AD3" w:rsidRDefault="008D7B9B" w:rsidP="00A648BD">
            <w:pPr>
              <w:keepNext/>
              <w:spacing w:after="0" w:line="240" w:lineRule="auto"/>
              <w:rPr>
                <w:rFonts w:eastAsia="Times New Roman"/>
                <w:color w:val="000000"/>
              </w:rPr>
            </w:pPr>
            <w:r w:rsidRPr="00563AD3">
              <w:rPr>
                <w:rFonts w:eastAsia="Times New Roman"/>
                <w:color w:val="000000"/>
              </w:rPr>
              <w:t>Previously trained as a dementia care mapper by UoB</w:t>
            </w:r>
          </w:p>
        </w:tc>
        <w:tc>
          <w:tcPr>
            <w:tcW w:w="2126" w:type="dxa"/>
            <w:tcBorders>
              <w:top w:val="nil"/>
              <w:left w:val="nil"/>
              <w:bottom w:val="nil"/>
              <w:right w:val="nil"/>
            </w:tcBorders>
            <w:shd w:val="clear" w:color="auto" w:fill="FFFFFF"/>
            <w:tcMar>
              <w:left w:w="67" w:type="dxa"/>
              <w:right w:w="67" w:type="dxa"/>
            </w:tcMar>
          </w:tcPr>
          <w:p w14:paraId="14248CA2"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3 (15.8%)</w:t>
            </w:r>
          </w:p>
        </w:tc>
        <w:tc>
          <w:tcPr>
            <w:tcW w:w="2268" w:type="dxa"/>
            <w:tcBorders>
              <w:top w:val="nil"/>
              <w:left w:val="nil"/>
              <w:bottom w:val="nil"/>
              <w:right w:val="nil"/>
            </w:tcBorders>
            <w:shd w:val="clear" w:color="auto" w:fill="FFFFFF"/>
            <w:tcMar>
              <w:left w:w="67" w:type="dxa"/>
              <w:right w:w="67" w:type="dxa"/>
            </w:tcMar>
          </w:tcPr>
          <w:p w14:paraId="5933E71C"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4 (12.9%)</w:t>
            </w:r>
          </w:p>
        </w:tc>
        <w:tc>
          <w:tcPr>
            <w:tcW w:w="1843" w:type="dxa"/>
            <w:tcBorders>
              <w:top w:val="nil"/>
              <w:left w:val="nil"/>
              <w:bottom w:val="nil"/>
            </w:tcBorders>
            <w:shd w:val="clear" w:color="auto" w:fill="FFFFFF"/>
            <w:tcMar>
              <w:left w:w="67" w:type="dxa"/>
              <w:right w:w="67" w:type="dxa"/>
            </w:tcMar>
          </w:tcPr>
          <w:p w14:paraId="37360938"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7 (14.0%)</w:t>
            </w:r>
          </w:p>
        </w:tc>
      </w:tr>
      <w:tr w:rsidR="008D7B9B" w:rsidRPr="00563AD3" w14:paraId="7611BCCF"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0DA438AA" w14:textId="77777777" w:rsidR="008D7B9B" w:rsidRPr="00563AD3" w:rsidRDefault="008D7B9B" w:rsidP="00A648BD">
            <w:pPr>
              <w:keepNext/>
              <w:spacing w:after="0" w:line="240" w:lineRule="auto"/>
              <w:rPr>
                <w:rFonts w:eastAsia="Times New Roman"/>
                <w:color w:val="000000"/>
              </w:rPr>
            </w:pPr>
            <w:r w:rsidRPr="00563AD3">
              <w:rPr>
                <w:rFonts w:eastAsia="Times New Roman"/>
                <w:color w:val="000000"/>
              </w:rPr>
              <w:t>Dementia specific qualification</w:t>
            </w:r>
          </w:p>
        </w:tc>
        <w:tc>
          <w:tcPr>
            <w:tcW w:w="2126" w:type="dxa"/>
            <w:tcBorders>
              <w:top w:val="nil"/>
              <w:left w:val="nil"/>
              <w:bottom w:val="nil"/>
              <w:right w:val="nil"/>
            </w:tcBorders>
            <w:shd w:val="clear" w:color="auto" w:fill="FFFFFF"/>
            <w:tcMar>
              <w:left w:w="67" w:type="dxa"/>
              <w:right w:w="67" w:type="dxa"/>
            </w:tcMar>
          </w:tcPr>
          <w:p w14:paraId="701E87EE"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4 (21.1%)</w:t>
            </w:r>
          </w:p>
        </w:tc>
        <w:tc>
          <w:tcPr>
            <w:tcW w:w="2268" w:type="dxa"/>
            <w:tcBorders>
              <w:top w:val="nil"/>
              <w:left w:val="nil"/>
              <w:bottom w:val="nil"/>
              <w:right w:val="nil"/>
            </w:tcBorders>
            <w:shd w:val="clear" w:color="auto" w:fill="FFFFFF"/>
            <w:tcMar>
              <w:left w:w="67" w:type="dxa"/>
              <w:right w:w="67" w:type="dxa"/>
            </w:tcMar>
          </w:tcPr>
          <w:p w14:paraId="5E519BD0"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10 (32.3%)</w:t>
            </w:r>
          </w:p>
        </w:tc>
        <w:tc>
          <w:tcPr>
            <w:tcW w:w="1843" w:type="dxa"/>
            <w:tcBorders>
              <w:top w:val="nil"/>
              <w:left w:val="nil"/>
              <w:bottom w:val="nil"/>
            </w:tcBorders>
            <w:shd w:val="clear" w:color="auto" w:fill="FFFFFF"/>
            <w:tcMar>
              <w:left w:w="67" w:type="dxa"/>
              <w:right w:w="67" w:type="dxa"/>
            </w:tcMar>
          </w:tcPr>
          <w:p w14:paraId="7BD35932"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14 (28.0%)</w:t>
            </w:r>
          </w:p>
        </w:tc>
      </w:tr>
      <w:tr w:rsidR="008D7B9B" w:rsidRPr="00563AD3" w14:paraId="3B4AFF21" w14:textId="77777777" w:rsidTr="00233B0D">
        <w:trPr>
          <w:cantSplit/>
          <w:jc w:val="center"/>
        </w:trPr>
        <w:tc>
          <w:tcPr>
            <w:tcW w:w="7655" w:type="dxa"/>
            <w:tcBorders>
              <w:top w:val="nil"/>
              <w:bottom w:val="nil"/>
              <w:right w:val="nil"/>
            </w:tcBorders>
            <w:shd w:val="clear" w:color="auto" w:fill="FFFFFF"/>
            <w:tcMar>
              <w:left w:w="67" w:type="dxa"/>
              <w:right w:w="67" w:type="dxa"/>
            </w:tcMar>
          </w:tcPr>
          <w:p w14:paraId="218555E6" w14:textId="77777777" w:rsidR="008D7B9B" w:rsidRPr="00563AD3" w:rsidRDefault="008D7B9B" w:rsidP="00A648BD">
            <w:pPr>
              <w:keepNext/>
              <w:spacing w:after="0" w:line="240" w:lineRule="auto"/>
              <w:rPr>
                <w:rFonts w:eastAsia="Times New Roman"/>
                <w:color w:val="000000"/>
              </w:rPr>
            </w:pPr>
            <w:r w:rsidRPr="00563AD3">
              <w:rPr>
                <w:rFonts w:eastAsia="Times New Roman"/>
                <w:color w:val="000000"/>
              </w:rPr>
              <w:t>Dementia covered in one part of a qualification</w:t>
            </w:r>
          </w:p>
        </w:tc>
        <w:tc>
          <w:tcPr>
            <w:tcW w:w="2126" w:type="dxa"/>
            <w:tcBorders>
              <w:top w:val="nil"/>
              <w:left w:val="nil"/>
              <w:bottom w:val="nil"/>
              <w:right w:val="nil"/>
            </w:tcBorders>
            <w:shd w:val="clear" w:color="auto" w:fill="FFFFFF"/>
            <w:tcMar>
              <w:left w:w="67" w:type="dxa"/>
              <w:right w:w="67" w:type="dxa"/>
            </w:tcMar>
          </w:tcPr>
          <w:p w14:paraId="133D2669"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10 (52.6%)</w:t>
            </w:r>
          </w:p>
        </w:tc>
        <w:tc>
          <w:tcPr>
            <w:tcW w:w="2268" w:type="dxa"/>
            <w:tcBorders>
              <w:top w:val="nil"/>
              <w:left w:val="nil"/>
              <w:bottom w:val="nil"/>
              <w:right w:val="nil"/>
            </w:tcBorders>
            <w:shd w:val="clear" w:color="auto" w:fill="FFFFFF"/>
            <w:tcMar>
              <w:left w:w="67" w:type="dxa"/>
              <w:right w:w="67" w:type="dxa"/>
            </w:tcMar>
          </w:tcPr>
          <w:p w14:paraId="2BF7330F"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18 (58.1%)</w:t>
            </w:r>
          </w:p>
        </w:tc>
        <w:tc>
          <w:tcPr>
            <w:tcW w:w="1843" w:type="dxa"/>
            <w:tcBorders>
              <w:top w:val="nil"/>
              <w:left w:val="nil"/>
              <w:bottom w:val="nil"/>
            </w:tcBorders>
            <w:shd w:val="clear" w:color="auto" w:fill="FFFFFF"/>
            <w:tcMar>
              <w:left w:w="67" w:type="dxa"/>
              <w:right w:w="67" w:type="dxa"/>
            </w:tcMar>
          </w:tcPr>
          <w:p w14:paraId="456E80AB"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28 (56.0%)</w:t>
            </w:r>
          </w:p>
        </w:tc>
      </w:tr>
      <w:tr w:rsidR="008D7B9B" w:rsidRPr="00563AD3" w14:paraId="301A0E4B" w14:textId="77777777" w:rsidTr="00233B0D">
        <w:trPr>
          <w:cantSplit/>
          <w:jc w:val="center"/>
        </w:trPr>
        <w:tc>
          <w:tcPr>
            <w:tcW w:w="7655" w:type="dxa"/>
            <w:tcBorders>
              <w:top w:val="nil"/>
              <w:bottom w:val="single" w:sz="4" w:space="0" w:color="auto"/>
              <w:right w:val="nil"/>
            </w:tcBorders>
            <w:shd w:val="clear" w:color="auto" w:fill="FFFFFF"/>
            <w:tcMar>
              <w:left w:w="67" w:type="dxa"/>
              <w:right w:w="67" w:type="dxa"/>
            </w:tcMar>
          </w:tcPr>
          <w:p w14:paraId="472A7B1E" w14:textId="77777777" w:rsidR="008D7B9B" w:rsidRPr="00563AD3" w:rsidRDefault="008D7B9B" w:rsidP="00A648BD">
            <w:pPr>
              <w:keepNext/>
              <w:spacing w:after="0" w:line="240" w:lineRule="auto"/>
              <w:rPr>
                <w:rFonts w:eastAsia="Times New Roman"/>
                <w:color w:val="000000"/>
              </w:rPr>
            </w:pPr>
            <w:r w:rsidRPr="00563AD3">
              <w:rPr>
                <w:rFonts w:eastAsia="Times New Roman"/>
                <w:color w:val="000000"/>
              </w:rPr>
              <w:t>Attended a dementia specific training course</w:t>
            </w:r>
          </w:p>
        </w:tc>
        <w:tc>
          <w:tcPr>
            <w:tcW w:w="2126" w:type="dxa"/>
            <w:tcBorders>
              <w:top w:val="nil"/>
              <w:left w:val="nil"/>
              <w:bottom w:val="single" w:sz="4" w:space="0" w:color="auto"/>
              <w:right w:val="nil"/>
            </w:tcBorders>
            <w:shd w:val="clear" w:color="auto" w:fill="FFFFFF"/>
            <w:tcMar>
              <w:left w:w="67" w:type="dxa"/>
              <w:right w:w="67" w:type="dxa"/>
            </w:tcMar>
          </w:tcPr>
          <w:p w14:paraId="43C1F77A"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19 (100.0%)</w:t>
            </w:r>
          </w:p>
        </w:tc>
        <w:tc>
          <w:tcPr>
            <w:tcW w:w="2268" w:type="dxa"/>
            <w:tcBorders>
              <w:top w:val="nil"/>
              <w:left w:val="nil"/>
              <w:bottom w:val="single" w:sz="4" w:space="0" w:color="auto"/>
              <w:right w:val="nil"/>
            </w:tcBorders>
            <w:shd w:val="clear" w:color="auto" w:fill="FFFFFF"/>
            <w:tcMar>
              <w:left w:w="67" w:type="dxa"/>
              <w:right w:w="67" w:type="dxa"/>
            </w:tcMar>
          </w:tcPr>
          <w:p w14:paraId="033FEB66"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31 (100.0%)</w:t>
            </w:r>
          </w:p>
        </w:tc>
        <w:tc>
          <w:tcPr>
            <w:tcW w:w="1843" w:type="dxa"/>
            <w:tcBorders>
              <w:top w:val="nil"/>
              <w:left w:val="nil"/>
              <w:bottom w:val="single" w:sz="4" w:space="0" w:color="auto"/>
            </w:tcBorders>
            <w:shd w:val="clear" w:color="auto" w:fill="FFFFFF"/>
            <w:tcMar>
              <w:left w:w="67" w:type="dxa"/>
              <w:right w:w="67" w:type="dxa"/>
            </w:tcMar>
          </w:tcPr>
          <w:p w14:paraId="463666FF" w14:textId="77777777" w:rsidR="008D7B9B" w:rsidRPr="00563AD3" w:rsidRDefault="008D7B9B" w:rsidP="00A648BD">
            <w:pPr>
              <w:keepNext/>
              <w:spacing w:after="0" w:line="240" w:lineRule="auto"/>
              <w:jc w:val="right"/>
              <w:rPr>
                <w:rFonts w:eastAsia="Times New Roman"/>
                <w:color w:val="000000"/>
              </w:rPr>
            </w:pPr>
            <w:r w:rsidRPr="00563AD3">
              <w:rPr>
                <w:rFonts w:eastAsia="Times New Roman"/>
                <w:color w:val="000000"/>
              </w:rPr>
              <w:t>50 (100.0%)</w:t>
            </w:r>
          </w:p>
        </w:tc>
      </w:tr>
    </w:tbl>
    <w:p w14:paraId="72A332ED" w14:textId="77777777" w:rsidR="00233B0D" w:rsidRPr="00563AD3" w:rsidRDefault="00233B0D" w:rsidP="009B13F3">
      <w:pPr>
        <w:autoSpaceDE/>
        <w:autoSpaceDN/>
        <w:adjustRightInd/>
        <w:spacing w:before="120" w:after="0"/>
        <w:rPr>
          <w:rFonts w:eastAsia="Calibri"/>
          <w:sz w:val="24"/>
          <w:szCs w:val="24"/>
          <w:lang w:eastAsia="en-US"/>
        </w:rPr>
      </w:pPr>
    </w:p>
    <w:p w14:paraId="79E5AC93" w14:textId="77777777" w:rsidR="00233B0D" w:rsidRPr="00563AD3" w:rsidRDefault="00233B0D" w:rsidP="009B13F3">
      <w:pPr>
        <w:keepNext/>
        <w:keepLines/>
        <w:numPr>
          <w:ilvl w:val="1"/>
          <w:numId w:val="0"/>
        </w:numPr>
        <w:autoSpaceDE/>
        <w:autoSpaceDN/>
        <w:adjustRightInd/>
        <w:spacing w:before="120" w:after="120"/>
        <w:ind w:left="576" w:hanging="576"/>
        <w:outlineLvl w:val="1"/>
        <w:rPr>
          <w:rFonts w:eastAsia="Times New Roman"/>
          <w:b/>
          <w:bCs/>
          <w:sz w:val="28"/>
          <w:szCs w:val="26"/>
          <w:lang w:eastAsia="en-US"/>
        </w:rPr>
        <w:sectPr w:rsidR="00233B0D" w:rsidRPr="00563AD3" w:rsidSect="00233B0D">
          <w:pgSz w:w="16838" w:h="11906" w:orient="landscape"/>
          <w:pgMar w:top="1440" w:right="1440" w:bottom="1440" w:left="1440" w:header="708" w:footer="708" w:gutter="0"/>
          <w:cols w:space="708"/>
          <w:docGrid w:linePitch="360"/>
        </w:sectPr>
      </w:pPr>
    </w:p>
    <w:p w14:paraId="7B1A749E" w14:textId="462C2FEA" w:rsidR="00233B0D" w:rsidRPr="00563AD3" w:rsidRDefault="00233B0D" w:rsidP="009B13F3">
      <w:pPr>
        <w:pStyle w:val="Tableheading"/>
        <w:rPr>
          <w:rFonts w:eastAsia="Calibri"/>
          <w:lang w:eastAsia="en-US"/>
        </w:rPr>
      </w:pPr>
      <w:bookmarkStart w:id="130" w:name="_Ref500446805"/>
      <w:bookmarkStart w:id="131" w:name="_Ref500925682"/>
      <w:bookmarkStart w:id="132" w:name="_Ref501008970"/>
      <w:bookmarkStart w:id="133" w:name="_Toc501009773"/>
      <w:bookmarkStart w:id="134" w:name="_Toc948203"/>
      <w:r w:rsidRPr="00563AD3">
        <w:rPr>
          <w:rFonts w:eastAsia="Calibri"/>
          <w:lang w:eastAsia="en-US"/>
        </w:rPr>
        <w:t xml:space="preserve">Table </w:t>
      </w:r>
      <w:r w:rsidR="005B2ABB" w:rsidRPr="00563AD3">
        <w:rPr>
          <w:rFonts w:eastAsia="Calibri"/>
          <w:lang w:eastAsia="en-US"/>
        </w:rPr>
        <w:t>6</w:t>
      </w:r>
      <w:r w:rsidRPr="00563AD3">
        <w:rPr>
          <w:rFonts w:eastAsia="Calibri"/>
          <w:lang w:eastAsia="en-US"/>
        </w:rPr>
        <w:t xml:space="preserve"> </w:t>
      </w:r>
      <w:bookmarkEnd w:id="130"/>
      <w:bookmarkEnd w:id="131"/>
      <w:r w:rsidRPr="00563AD3">
        <w:rPr>
          <w:rFonts w:eastAsia="Calibri"/>
          <w:lang w:eastAsia="en-US"/>
        </w:rPr>
        <w:t>Resident characteristics</w:t>
      </w:r>
      <w:bookmarkEnd w:id="132"/>
      <w:bookmarkEnd w:id="133"/>
      <w:bookmarkEnd w:id="134"/>
    </w:p>
    <w:tbl>
      <w:tblPr>
        <w:tblW w:w="0" w:type="auto"/>
        <w:jc w:val="center"/>
        <w:tblCellMar>
          <w:left w:w="0" w:type="dxa"/>
          <w:right w:w="0" w:type="dxa"/>
        </w:tblCellMar>
        <w:tblLook w:val="0000" w:firstRow="0" w:lastRow="0" w:firstColumn="0" w:lastColumn="0" w:noHBand="0" w:noVBand="0"/>
      </w:tblPr>
      <w:tblGrid>
        <w:gridCol w:w="3964"/>
        <w:gridCol w:w="1494"/>
        <w:gridCol w:w="2047"/>
        <w:gridCol w:w="1511"/>
      </w:tblGrid>
      <w:tr w:rsidR="00233B0D" w:rsidRPr="00563AD3" w14:paraId="15F081CA" w14:textId="77777777" w:rsidTr="00233B0D">
        <w:trPr>
          <w:cantSplit/>
          <w:tblHeader/>
          <w:jc w:val="center"/>
        </w:trPr>
        <w:tc>
          <w:tcPr>
            <w:tcW w:w="3964" w:type="dxa"/>
            <w:tcBorders>
              <w:top w:val="single" w:sz="4" w:space="0" w:color="auto"/>
              <w:left w:val="single" w:sz="4" w:space="0" w:color="auto"/>
              <w:bottom w:val="single" w:sz="4" w:space="0" w:color="000000"/>
              <w:right w:val="nil"/>
            </w:tcBorders>
            <w:shd w:val="clear" w:color="auto" w:fill="FFFFFF"/>
            <w:tcMar>
              <w:left w:w="67" w:type="dxa"/>
              <w:right w:w="67" w:type="dxa"/>
            </w:tcMar>
            <w:vAlign w:val="bottom"/>
          </w:tcPr>
          <w:p w14:paraId="40F8BCEC" w14:textId="77777777" w:rsidR="00233B0D" w:rsidRPr="00563AD3" w:rsidRDefault="00233B0D" w:rsidP="00A648BD">
            <w:pPr>
              <w:keepNext/>
              <w:spacing w:after="0" w:line="240" w:lineRule="auto"/>
              <w:rPr>
                <w:rFonts w:eastAsia="Times New Roman"/>
                <w:b/>
                <w:bCs/>
                <w:color w:val="000000"/>
              </w:rPr>
            </w:pPr>
            <w:r w:rsidRPr="00563AD3">
              <w:rPr>
                <w:rFonts w:eastAsia="Times New Roman"/>
                <w:b/>
                <w:bCs/>
                <w:color w:val="000000"/>
              </w:rPr>
              <w:t>Original cohort at baseline</w:t>
            </w:r>
          </w:p>
        </w:tc>
        <w:tc>
          <w:tcPr>
            <w:tcW w:w="1494" w:type="dxa"/>
            <w:tcBorders>
              <w:top w:val="single" w:sz="4" w:space="0" w:color="auto"/>
              <w:left w:val="nil"/>
              <w:bottom w:val="single" w:sz="4" w:space="0" w:color="000000"/>
              <w:right w:val="nil"/>
            </w:tcBorders>
            <w:shd w:val="clear" w:color="auto" w:fill="FFFFFF"/>
            <w:tcMar>
              <w:left w:w="67" w:type="dxa"/>
              <w:right w:w="67" w:type="dxa"/>
            </w:tcMar>
            <w:vAlign w:val="bottom"/>
          </w:tcPr>
          <w:p w14:paraId="21747663" w14:textId="77777777" w:rsidR="00233B0D" w:rsidRPr="00563AD3" w:rsidRDefault="00233B0D" w:rsidP="00A648BD">
            <w:pPr>
              <w:keepNext/>
              <w:spacing w:after="0" w:line="240" w:lineRule="auto"/>
              <w:jc w:val="right"/>
              <w:rPr>
                <w:rFonts w:eastAsia="Times New Roman"/>
                <w:b/>
                <w:bCs/>
                <w:color w:val="000000"/>
              </w:rPr>
            </w:pPr>
            <w:r w:rsidRPr="00563AD3">
              <w:rPr>
                <w:rFonts w:eastAsia="Times New Roman"/>
                <w:b/>
                <w:bCs/>
                <w:color w:val="000000"/>
              </w:rPr>
              <w:t>Control              (n = 308)</w:t>
            </w:r>
          </w:p>
        </w:tc>
        <w:tc>
          <w:tcPr>
            <w:tcW w:w="0" w:type="auto"/>
            <w:tcBorders>
              <w:top w:val="single" w:sz="4" w:space="0" w:color="auto"/>
              <w:left w:val="nil"/>
              <w:bottom w:val="single" w:sz="4" w:space="0" w:color="000000"/>
              <w:right w:val="nil"/>
            </w:tcBorders>
            <w:shd w:val="clear" w:color="auto" w:fill="FFFFFF"/>
            <w:tcMar>
              <w:left w:w="67" w:type="dxa"/>
              <w:right w:w="67" w:type="dxa"/>
            </w:tcMar>
            <w:vAlign w:val="bottom"/>
          </w:tcPr>
          <w:p w14:paraId="0BEE86D7" w14:textId="77777777" w:rsidR="00233B0D" w:rsidRPr="00563AD3" w:rsidRDefault="00233B0D" w:rsidP="00A648BD">
            <w:pPr>
              <w:keepNext/>
              <w:spacing w:after="0" w:line="240" w:lineRule="auto"/>
              <w:jc w:val="right"/>
              <w:rPr>
                <w:rFonts w:eastAsia="Times New Roman"/>
                <w:b/>
                <w:bCs/>
                <w:color w:val="000000"/>
              </w:rPr>
            </w:pPr>
            <w:r w:rsidRPr="00563AD3">
              <w:rPr>
                <w:rFonts w:eastAsia="Times New Roman"/>
                <w:b/>
                <w:bCs/>
                <w:color w:val="000000"/>
              </w:rPr>
              <w:t>Intervention           (n = 418)</w:t>
            </w:r>
          </w:p>
        </w:tc>
        <w:tc>
          <w:tcPr>
            <w:tcW w:w="0" w:type="auto"/>
            <w:tcBorders>
              <w:top w:val="single" w:sz="4" w:space="0" w:color="auto"/>
              <w:left w:val="nil"/>
              <w:bottom w:val="single" w:sz="4" w:space="0" w:color="000000"/>
              <w:right w:val="single" w:sz="4" w:space="0" w:color="auto"/>
            </w:tcBorders>
            <w:shd w:val="clear" w:color="auto" w:fill="FFFFFF"/>
            <w:tcMar>
              <w:left w:w="67" w:type="dxa"/>
              <w:right w:w="67" w:type="dxa"/>
            </w:tcMar>
            <w:vAlign w:val="bottom"/>
          </w:tcPr>
          <w:p w14:paraId="58B79589" w14:textId="77777777" w:rsidR="00233B0D" w:rsidRPr="00563AD3" w:rsidRDefault="00233B0D" w:rsidP="00A648BD">
            <w:pPr>
              <w:keepNext/>
              <w:spacing w:after="0" w:line="240" w:lineRule="auto"/>
              <w:jc w:val="right"/>
              <w:rPr>
                <w:rFonts w:eastAsia="Times New Roman"/>
                <w:b/>
                <w:bCs/>
                <w:color w:val="000000"/>
              </w:rPr>
            </w:pPr>
            <w:r w:rsidRPr="00563AD3">
              <w:rPr>
                <w:rFonts w:eastAsia="Times New Roman"/>
                <w:b/>
                <w:bCs/>
                <w:color w:val="000000"/>
              </w:rPr>
              <w:t>Total             (n = 726)</w:t>
            </w:r>
          </w:p>
        </w:tc>
      </w:tr>
      <w:tr w:rsidR="00233B0D" w:rsidRPr="00563AD3" w14:paraId="12928F75"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46AFCDC4" w14:textId="6E979BC6" w:rsidR="00233B0D" w:rsidRPr="00563AD3" w:rsidRDefault="008D7B9B" w:rsidP="00A648BD">
            <w:pPr>
              <w:spacing w:after="0" w:line="240" w:lineRule="auto"/>
              <w:rPr>
                <w:rFonts w:eastAsia="Times New Roman"/>
                <w:color w:val="000000"/>
              </w:rPr>
            </w:pPr>
            <w:r w:rsidRPr="00563AD3">
              <w:rPr>
                <w:rFonts w:eastAsia="Times New Roman"/>
                <w:b/>
                <w:bCs/>
                <w:color w:val="000000"/>
              </w:rPr>
              <w:t xml:space="preserve">Age at </w:t>
            </w:r>
            <w:r w:rsidR="00233B0D" w:rsidRPr="00563AD3">
              <w:rPr>
                <w:rFonts w:eastAsia="Times New Roman"/>
                <w:b/>
                <w:bCs/>
                <w:color w:val="000000"/>
              </w:rPr>
              <w:t>randomisation</w:t>
            </w:r>
            <w:r w:rsidR="00233B0D" w:rsidRPr="00563AD3">
              <w:rPr>
                <w:rFonts w:eastAsia="Times New Roman"/>
                <w:color w:val="000000"/>
              </w:rPr>
              <w:t xml:space="preserve"> Years (Mean (SD) missing)</w:t>
            </w:r>
          </w:p>
        </w:tc>
        <w:tc>
          <w:tcPr>
            <w:tcW w:w="1494" w:type="dxa"/>
            <w:tcBorders>
              <w:top w:val="nil"/>
              <w:left w:val="nil"/>
              <w:bottom w:val="nil"/>
              <w:right w:val="nil"/>
            </w:tcBorders>
            <w:shd w:val="clear" w:color="auto" w:fill="FFFFFF"/>
            <w:tcMar>
              <w:left w:w="67" w:type="dxa"/>
              <w:right w:w="67" w:type="dxa"/>
            </w:tcMar>
          </w:tcPr>
          <w:p w14:paraId="6175B88F"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85.3 (7.38) 0</w:t>
            </w:r>
          </w:p>
        </w:tc>
        <w:tc>
          <w:tcPr>
            <w:tcW w:w="0" w:type="auto"/>
            <w:tcBorders>
              <w:top w:val="nil"/>
              <w:left w:val="nil"/>
              <w:bottom w:val="nil"/>
              <w:right w:val="nil"/>
            </w:tcBorders>
            <w:shd w:val="clear" w:color="auto" w:fill="FFFFFF"/>
            <w:tcMar>
              <w:left w:w="67" w:type="dxa"/>
              <w:right w:w="67" w:type="dxa"/>
            </w:tcMar>
          </w:tcPr>
          <w:p w14:paraId="7C36366A"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86 (7.83) 0</w:t>
            </w:r>
          </w:p>
        </w:tc>
        <w:tc>
          <w:tcPr>
            <w:tcW w:w="0" w:type="auto"/>
            <w:tcBorders>
              <w:top w:val="nil"/>
              <w:left w:val="nil"/>
              <w:bottom w:val="nil"/>
              <w:right w:val="single" w:sz="4" w:space="0" w:color="auto"/>
            </w:tcBorders>
            <w:shd w:val="clear" w:color="auto" w:fill="FFFFFF"/>
            <w:tcMar>
              <w:left w:w="67" w:type="dxa"/>
              <w:right w:w="67" w:type="dxa"/>
            </w:tcMar>
          </w:tcPr>
          <w:p w14:paraId="46D27300"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85.7 (7.64) 0</w:t>
            </w:r>
          </w:p>
        </w:tc>
      </w:tr>
      <w:tr w:rsidR="00233B0D" w:rsidRPr="00563AD3" w14:paraId="09AE1DC2"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1B9647C9" w14:textId="77777777" w:rsidR="00233B0D" w:rsidRPr="00563AD3" w:rsidRDefault="00233B0D" w:rsidP="00A648BD">
            <w:pPr>
              <w:spacing w:after="0" w:line="240" w:lineRule="auto"/>
              <w:rPr>
                <w:rFonts w:eastAsia="Times New Roman"/>
                <w:color w:val="000000"/>
              </w:rPr>
            </w:pPr>
            <w:r w:rsidRPr="00563AD3">
              <w:rPr>
                <w:rFonts w:eastAsia="Times New Roman"/>
                <w:b/>
                <w:bCs/>
                <w:color w:val="000000"/>
              </w:rPr>
              <w:t xml:space="preserve">Gender </w:t>
            </w:r>
            <w:r w:rsidRPr="00563AD3">
              <w:rPr>
                <w:rFonts w:eastAsia="Times New Roman"/>
                <w:color w:val="000000"/>
              </w:rPr>
              <w:t>Male (%)</w:t>
            </w:r>
          </w:p>
        </w:tc>
        <w:tc>
          <w:tcPr>
            <w:tcW w:w="1494" w:type="dxa"/>
            <w:tcBorders>
              <w:top w:val="nil"/>
              <w:left w:val="nil"/>
              <w:bottom w:val="nil"/>
              <w:right w:val="nil"/>
            </w:tcBorders>
            <w:shd w:val="clear" w:color="auto" w:fill="FFFFFF"/>
            <w:tcMar>
              <w:left w:w="67" w:type="dxa"/>
              <w:right w:w="67" w:type="dxa"/>
            </w:tcMar>
          </w:tcPr>
          <w:p w14:paraId="6F4C9A0C"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64 (20.8%)</w:t>
            </w:r>
          </w:p>
        </w:tc>
        <w:tc>
          <w:tcPr>
            <w:tcW w:w="0" w:type="auto"/>
            <w:tcBorders>
              <w:top w:val="nil"/>
              <w:left w:val="nil"/>
              <w:bottom w:val="nil"/>
              <w:right w:val="nil"/>
            </w:tcBorders>
            <w:shd w:val="clear" w:color="auto" w:fill="FFFFFF"/>
            <w:tcMar>
              <w:left w:w="67" w:type="dxa"/>
              <w:right w:w="67" w:type="dxa"/>
            </w:tcMar>
          </w:tcPr>
          <w:p w14:paraId="68BEA8C1"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126 (30.1%)</w:t>
            </w:r>
          </w:p>
        </w:tc>
        <w:tc>
          <w:tcPr>
            <w:tcW w:w="0" w:type="auto"/>
            <w:tcBorders>
              <w:top w:val="nil"/>
              <w:left w:val="nil"/>
              <w:bottom w:val="nil"/>
              <w:right w:val="single" w:sz="4" w:space="0" w:color="auto"/>
            </w:tcBorders>
            <w:shd w:val="clear" w:color="auto" w:fill="FFFFFF"/>
            <w:tcMar>
              <w:left w:w="67" w:type="dxa"/>
              <w:right w:w="67" w:type="dxa"/>
            </w:tcMar>
          </w:tcPr>
          <w:p w14:paraId="755CF19E"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190 (26.2%)</w:t>
            </w:r>
          </w:p>
        </w:tc>
      </w:tr>
      <w:tr w:rsidR="00233B0D" w:rsidRPr="00563AD3" w14:paraId="3D6410FC"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77B8498E" w14:textId="77777777" w:rsidR="00233B0D" w:rsidRPr="00563AD3" w:rsidRDefault="00233B0D" w:rsidP="00A648BD">
            <w:pPr>
              <w:spacing w:after="0" w:line="240" w:lineRule="auto"/>
              <w:rPr>
                <w:rFonts w:eastAsia="Times New Roman"/>
                <w:color w:val="000000"/>
              </w:rPr>
            </w:pPr>
            <w:r w:rsidRPr="00563AD3">
              <w:rPr>
                <w:rFonts w:eastAsia="Times New Roman"/>
                <w:b/>
                <w:bCs/>
                <w:color w:val="000000"/>
              </w:rPr>
              <w:t xml:space="preserve">Number of comorbidities per resident </w:t>
            </w:r>
            <w:r w:rsidRPr="00563AD3">
              <w:rPr>
                <w:rFonts w:eastAsia="Times New Roman"/>
                <w:bCs/>
                <w:color w:val="000000"/>
              </w:rPr>
              <w:t>(</w:t>
            </w:r>
            <w:r w:rsidRPr="00563AD3">
              <w:rPr>
                <w:rFonts w:eastAsia="Times New Roman"/>
                <w:color w:val="000000"/>
              </w:rPr>
              <w:t xml:space="preserve">Median (Range)) </w:t>
            </w:r>
          </w:p>
        </w:tc>
        <w:tc>
          <w:tcPr>
            <w:tcW w:w="1494" w:type="dxa"/>
            <w:tcBorders>
              <w:top w:val="nil"/>
              <w:left w:val="nil"/>
              <w:bottom w:val="nil"/>
              <w:right w:val="nil"/>
            </w:tcBorders>
            <w:shd w:val="clear" w:color="auto" w:fill="FFFFFF"/>
            <w:tcMar>
              <w:left w:w="67" w:type="dxa"/>
              <w:right w:w="67" w:type="dxa"/>
            </w:tcMar>
          </w:tcPr>
          <w:p w14:paraId="73EAC19F"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 (0, 10)</w:t>
            </w:r>
          </w:p>
        </w:tc>
        <w:tc>
          <w:tcPr>
            <w:tcW w:w="0" w:type="auto"/>
            <w:tcBorders>
              <w:top w:val="nil"/>
              <w:left w:val="nil"/>
              <w:bottom w:val="nil"/>
              <w:right w:val="nil"/>
            </w:tcBorders>
            <w:shd w:val="clear" w:color="auto" w:fill="FFFFFF"/>
            <w:tcMar>
              <w:left w:w="67" w:type="dxa"/>
              <w:right w:w="67" w:type="dxa"/>
            </w:tcMar>
          </w:tcPr>
          <w:p w14:paraId="1012E67A"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 (0, 14)</w:t>
            </w:r>
          </w:p>
        </w:tc>
        <w:tc>
          <w:tcPr>
            <w:tcW w:w="0" w:type="auto"/>
            <w:tcBorders>
              <w:top w:val="nil"/>
              <w:left w:val="nil"/>
              <w:bottom w:val="nil"/>
              <w:right w:val="single" w:sz="4" w:space="0" w:color="auto"/>
            </w:tcBorders>
            <w:shd w:val="clear" w:color="auto" w:fill="FFFFFF"/>
            <w:tcMar>
              <w:left w:w="67" w:type="dxa"/>
              <w:right w:w="67" w:type="dxa"/>
            </w:tcMar>
          </w:tcPr>
          <w:p w14:paraId="40209795"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 (0, 14)</w:t>
            </w:r>
          </w:p>
        </w:tc>
      </w:tr>
      <w:tr w:rsidR="00233B0D" w:rsidRPr="00563AD3" w14:paraId="7CDC5996"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42EC75EE" w14:textId="77777777" w:rsidR="00233B0D" w:rsidRPr="00563AD3" w:rsidRDefault="00233B0D" w:rsidP="00A648BD">
            <w:pPr>
              <w:spacing w:after="0" w:line="240" w:lineRule="auto"/>
              <w:rPr>
                <w:rFonts w:eastAsia="Times New Roman"/>
                <w:color w:val="000000"/>
              </w:rPr>
            </w:pPr>
            <w:r w:rsidRPr="00563AD3">
              <w:rPr>
                <w:rFonts w:eastAsia="Times New Roman"/>
                <w:b/>
                <w:color w:val="000000"/>
              </w:rPr>
              <w:t>Selected comorbidities</w:t>
            </w:r>
            <w:r w:rsidRPr="00563AD3">
              <w:rPr>
                <w:rFonts w:eastAsia="Times New Roman"/>
                <w:color w:val="000000"/>
              </w:rPr>
              <w:t>*Anxiety</w:t>
            </w:r>
          </w:p>
        </w:tc>
        <w:tc>
          <w:tcPr>
            <w:tcW w:w="1494" w:type="dxa"/>
            <w:tcBorders>
              <w:top w:val="nil"/>
              <w:left w:val="nil"/>
              <w:bottom w:val="nil"/>
              <w:right w:val="nil"/>
            </w:tcBorders>
            <w:shd w:val="clear" w:color="auto" w:fill="FFFFFF"/>
            <w:tcMar>
              <w:left w:w="67" w:type="dxa"/>
              <w:right w:w="67" w:type="dxa"/>
            </w:tcMar>
          </w:tcPr>
          <w:p w14:paraId="0474F1E6"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34 (11.0%)</w:t>
            </w:r>
          </w:p>
        </w:tc>
        <w:tc>
          <w:tcPr>
            <w:tcW w:w="0" w:type="auto"/>
            <w:tcBorders>
              <w:top w:val="nil"/>
              <w:left w:val="nil"/>
              <w:bottom w:val="nil"/>
              <w:right w:val="nil"/>
            </w:tcBorders>
            <w:shd w:val="clear" w:color="auto" w:fill="FFFFFF"/>
            <w:tcMar>
              <w:left w:w="67" w:type="dxa"/>
              <w:right w:w="67" w:type="dxa"/>
            </w:tcMar>
          </w:tcPr>
          <w:p w14:paraId="1570AE25"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23 (5.5%)</w:t>
            </w:r>
          </w:p>
        </w:tc>
        <w:tc>
          <w:tcPr>
            <w:tcW w:w="0" w:type="auto"/>
            <w:tcBorders>
              <w:top w:val="nil"/>
              <w:left w:val="nil"/>
              <w:bottom w:val="nil"/>
              <w:right w:val="single" w:sz="4" w:space="0" w:color="auto"/>
            </w:tcBorders>
            <w:shd w:val="clear" w:color="auto" w:fill="FFFFFF"/>
            <w:tcMar>
              <w:left w:w="67" w:type="dxa"/>
              <w:right w:w="67" w:type="dxa"/>
            </w:tcMar>
          </w:tcPr>
          <w:p w14:paraId="1ED56DA7"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57 (7.9%)</w:t>
            </w:r>
          </w:p>
        </w:tc>
      </w:tr>
      <w:tr w:rsidR="00233B0D" w:rsidRPr="00563AD3" w14:paraId="7CE49436"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2C65B8FE" w14:textId="77777777" w:rsidR="00233B0D" w:rsidRPr="00563AD3" w:rsidRDefault="00233B0D" w:rsidP="00A648BD">
            <w:pPr>
              <w:spacing w:after="0" w:line="240" w:lineRule="auto"/>
              <w:rPr>
                <w:rFonts w:eastAsia="Times New Roman"/>
                <w:color w:val="000000"/>
              </w:rPr>
            </w:pPr>
            <w:r w:rsidRPr="00563AD3">
              <w:rPr>
                <w:rFonts w:eastAsia="Times New Roman"/>
                <w:color w:val="000000"/>
              </w:rPr>
              <w:t xml:space="preserve">                                        Depression</w:t>
            </w:r>
          </w:p>
        </w:tc>
        <w:tc>
          <w:tcPr>
            <w:tcW w:w="1494" w:type="dxa"/>
            <w:tcBorders>
              <w:top w:val="nil"/>
              <w:left w:val="nil"/>
              <w:bottom w:val="nil"/>
              <w:right w:val="nil"/>
            </w:tcBorders>
            <w:shd w:val="clear" w:color="auto" w:fill="FFFFFF"/>
            <w:tcMar>
              <w:left w:w="67" w:type="dxa"/>
              <w:right w:w="67" w:type="dxa"/>
            </w:tcMar>
          </w:tcPr>
          <w:p w14:paraId="5576B885"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62 (20.1%)</w:t>
            </w:r>
          </w:p>
        </w:tc>
        <w:tc>
          <w:tcPr>
            <w:tcW w:w="0" w:type="auto"/>
            <w:tcBorders>
              <w:top w:val="nil"/>
              <w:left w:val="nil"/>
              <w:bottom w:val="nil"/>
              <w:right w:val="nil"/>
            </w:tcBorders>
            <w:shd w:val="clear" w:color="auto" w:fill="FFFFFF"/>
            <w:tcMar>
              <w:left w:w="67" w:type="dxa"/>
              <w:right w:w="67" w:type="dxa"/>
            </w:tcMar>
          </w:tcPr>
          <w:p w14:paraId="4691B4C3"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55 (13.2%)</w:t>
            </w:r>
          </w:p>
        </w:tc>
        <w:tc>
          <w:tcPr>
            <w:tcW w:w="0" w:type="auto"/>
            <w:tcBorders>
              <w:top w:val="nil"/>
              <w:left w:val="nil"/>
              <w:bottom w:val="nil"/>
              <w:right w:val="single" w:sz="4" w:space="0" w:color="auto"/>
            </w:tcBorders>
            <w:shd w:val="clear" w:color="auto" w:fill="FFFFFF"/>
            <w:tcMar>
              <w:left w:w="67" w:type="dxa"/>
              <w:right w:w="67" w:type="dxa"/>
            </w:tcMar>
          </w:tcPr>
          <w:p w14:paraId="5ED06CA3"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117 (16.1%)</w:t>
            </w:r>
          </w:p>
        </w:tc>
      </w:tr>
      <w:tr w:rsidR="00233B0D" w:rsidRPr="00563AD3" w14:paraId="3571BAD2"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6816C424" w14:textId="77777777" w:rsidR="00233B0D" w:rsidRPr="00563AD3" w:rsidRDefault="00233B0D" w:rsidP="00A648BD">
            <w:pPr>
              <w:spacing w:after="0" w:line="240" w:lineRule="auto"/>
              <w:rPr>
                <w:rFonts w:eastAsia="Times New Roman"/>
                <w:color w:val="000000"/>
              </w:rPr>
            </w:pPr>
            <w:r w:rsidRPr="00563AD3">
              <w:rPr>
                <w:rFonts w:eastAsia="Times New Roman"/>
                <w:color w:val="000000"/>
              </w:rPr>
              <w:t xml:space="preserve">                                        Psychosis</w:t>
            </w:r>
          </w:p>
        </w:tc>
        <w:tc>
          <w:tcPr>
            <w:tcW w:w="1494" w:type="dxa"/>
            <w:tcBorders>
              <w:top w:val="nil"/>
              <w:left w:val="nil"/>
              <w:bottom w:val="nil"/>
              <w:right w:val="nil"/>
            </w:tcBorders>
            <w:shd w:val="clear" w:color="auto" w:fill="FFFFFF"/>
            <w:tcMar>
              <w:left w:w="67" w:type="dxa"/>
              <w:right w:w="67" w:type="dxa"/>
            </w:tcMar>
          </w:tcPr>
          <w:p w14:paraId="4C6F81E7"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16 (5.2%)</w:t>
            </w:r>
          </w:p>
        </w:tc>
        <w:tc>
          <w:tcPr>
            <w:tcW w:w="0" w:type="auto"/>
            <w:tcBorders>
              <w:top w:val="nil"/>
              <w:left w:val="nil"/>
              <w:bottom w:val="nil"/>
              <w:right w:val="nil"/>
            </w:tcBorders>
            <w:shd w:val="clear" w:color="auto" w:fill="FFFFFF"/>
            <w:tcMar>
              <w:left w:w="67" w:type="dxa"/>
              <w:right w:w="67" w:type="dxa"/>
            </w:tcMar>
          </w:tcPr>
          <w:p w14:paraId="6CD7592D"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24 (5.7%)</w:t>
            </w:r>
          </w:p>
        </w:tc>
        <w:tc>
          <w:tcPr>
            <w:tcW w:w="0" w:type="auto"/>
            <w:tcBorders>
              <w:top w:val="nil"/>
              <w:left w:val="nil"/>
              <w:bottom w:val="nil"/>
              <w:right w:val="single" w:sz="4" w:space="0" w:color="auto"/>
            </w:tcBorders>
            <w:shd w:val="clear" w:color="auto" w:fill="FFFFFF"/>
            <w:tcMar>
              <w:left w:w="67" w:type="dxa"/>
              <w:right w:w="67" w:type="dxa"/>
            </w:tcMar>
          </w:tcPr>
          <w:p w14:paraId="1C850085"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40 (5.5%)</w:t>
            </w:r>
          </w:p>
        </w:tc>
      </w:tr>
      <w:tr w:rsidR="00233B0D" w:rsidRPr="00563AD3" w14:paraId="42C51CB1"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10CFE731" w14:textId="77777777" w:rsidR="00563AD3" w:rsidRPr="00563AD3" w:rsidRDefault="00233B0D" w:rsidP="00A648BD">
            <w:pPr>
              <w:spacing w:after="0" w:line="240" w:lineRule="auto"/>
              <w:rPr>
                <w:rFonts w:eastAsia="Times New Roman"/>
                <w:color w:val="000000"/>
              </w:rPr>
            </w:pPr>
            <w:r w:rsidRPr="00563AD3">
              <w:rPr>
                <w:rFonts w:eastAsia="Times New Roman"/>
                <w:color w:val="000000"/>
              </w:rPr>
              <w:t xml:space="preserve">        </w:t>
            </w:r>
            <w:r w:rsidR="0078769C" w:rsidRPr="00563AD3">
              <w:rPr>
                <w:rFonts w:eastAsia="Times New Roman"/>
                <w:color w:val="000000"/>
              </w:rPr>
              <w:t xml:space="preserve">                                </w:t>
            </w:r>
            <w:r w:rsidRPr="00563AD3">
              <w:rPr>
                <w:rFonts w:eastAsia="Times New Roman"/>
                <w:color w:val="000000"/>
              </w:rPr>
              <w:t xml:space="preserve">Sleep </w:t>
            </w:r>
            <w:r w:rsidR="0078769C" w:rsidRPr="00563AD3">
              <w:rPr>
                <w:rFonts w:eastAsia="Times New Roman"/>
                <w:color w:val="000000"/>
              </w:rPr>
              <w:t xml:space="preserve">  </w:t>
            </w:r>
            <w:r w:rsidR="00563AD3" w:rsidRPr="00563AD3">
              <w:rPr>
                <w:rFonts w:eastAsia="Times New Roman"/>
                <w:color w:val="000000"/>
              </w:rPr>
              <w:t xml:space="preserve">  </w:t>
            </w:r>
          </w:p>
          <w:p w14:paraId="6718CF39" w14:textId="57B5989C" w:rsidR="00233B0D" w:rsidRPr="00563AD3" w:rsidRDefault="00563AD3" w:rsidP="00A648BD">
            <w:pPr>
              <w:spacing w:after="0" w:line="240" w:lineRule="auto"/>
              <w:rPr>
                <w:rFonts w:eastAsia="Times New Roman"/>
                <w:color w:val="000000"/>
              </w:rPr>
            </w:pPr>
            <w:r w:rsidRPr="00563AD3">
              <w:rPr>
                <w:rFonts w:eastAsia="Times New Roman"/>
                <w:color w:val="000000"/>
              </w:rPr>
              <w:t xml:space="preserve">                                        </w:t>
            </w:r>
            <w:r w:rsidR="00233B0D" w:rsidRPr="00563AD3">
              <w:rPr>
                <w:rFonts w:eastAsia="Times New Roman"/>
                <w:color w:val="000000"/>
              </w:rPr>
              <w:t>disturbance</w:t>
            </w:r>
          </w:p>
        </w:tc>
        <w:tc>
          <w:tcPr>
            <w:tcW w:w="1494" w:type="dxa"/>
            <w:tcBorders>
              <w:top w:val="nil"/>
              <w:left w:val="nil"/>
              <w:bottom w:val="nil"/>
              <w:right w:val="nil"/>
            </w:tcBorders>
            <w:shd w:val="clear" w:color="auto" w:fill="FFFFFF"/>
            <w:tcMar>
              <w:left w:w="67" w:type="dxa"/>
              <w:right w:w="67" w:type="dxa"/>
            </w:tcMar>
          </w:tcPr>
          <w:p w14:paraId="3DD29BBE"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6 (1.9%)</w:t>
            </w:r>
          </w:p>
        </w:tc>
        <w:tc>
          <w:tcPr>
            <w:tcW w:w="0" w:type="auto"/>
            <w:tcBorders>
              <w:top w:val="nil"/>
              <w:left w:val="nil"/>
              <w:bottom w:val="nil"/>
              <w:right w:val="nil"/>
            </w:tcBorders>
            <w:shd w:val="clear" w:color="auto" w:fill="FFFFFF"/>
            <w:tcMar>
              <w:left w:w="67" w:type="dxa"/>
              <w:right w:w="67" w:type="dxa"/>
            </w:tcMar>
          </w:tcPr>
          <w:p w14:paraId="53ADA04A"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7 (1.7%)</w:t>
            </w:r>
          </w:p>
        </w:tc>
        <w:tc>
          <w:tcPr>
            <w:tcW w:w="0" w:type="auto"/>
            <w:tcBorders>
              <w:top w:val="nil"/>
              <w:left w:val="nil"/>
              <w:bottom w:val="nil"/>
              <w:right w:val="single" w:sz="4" w:space="0" w:color="auto"/>
            </w:tcBorders>
            <w:shd w:val="clear" w:color="auto" w:fill="FFFFFF"/>
            <w:tcMar>
              <w:left w:w="67" w:type="dxa"/>
              <w:right w:w="67" w:type="dxa"/>
            </w:tcMar>
          </w:tcPr>
          <w:p w14:paraId="46EB0FAC"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13 (1.8%)</w:t>
            </w:r>
          </w:p>
        </w:tc>
      </w:tr>
      <w:tr w:rsidR="00233B0D" w:rsidRPr="00563AD3" w14:paraId="77587826"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1EEA78A9" w14:textId="77777777" w:rsidR="00233B0D" w:rsidRPr="00563AD3" w:rsidRDefault="00233B0D" w:rsidP="00A648BD">
            <w:pPr>
              <w:spacing w:after="0" w:line="240" w:lineRule="auto"/>
              <w:rPr>
                <w:rFonts w:eastAsia="Times New Roman"/>
                <w:color w:val="000000"/>
              </w:rPr>
            </w:pPr>
            <w:r w:rsidRPr="00563AD3">
              <w:rPr>
                <w:rFonts w:eastAsia="Times New Roman"/>
                <w:color w:val="000000"/>
              </w:rPr>
              <w:t xml:space="preserve">                                        Delirium</w:t>
            </w:r>
          </w:p>
        </w:tc>
        <w:tc>
          <w:tcPr>
            <w:tcW w:w="1494" w:type="dxa"/>
            <w:tcBorders>
              <w:top w:val="nil"/>
              <w:left w:val="nil"/>
              <w:bottom w:val="nil"/>
              <w:right w:val="nil"/>
            </w:tcBorders>
            <w:shd w:val="clear" w:color="auto" w:fill="FFFFFF"/>
            <w:tcMar>
              <w:left w:w="67" w:type="dxa"/>
              <w:right w:w="67" w:type="dxa"/>
            </w:tcMar>
          </w:tcPr>
          <w:p w14:paraId="2423B460"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sz w:val="20"/>
                <w:szCs w:val="20"/>
              </w:rPr>
              <w:t>3 (1.0%)</w:t>
            </w:r>
          </w:p>
        </w:tc>
        <w:tc>
          <w:tcPr>
            <w:tcW w:w="0" w:type="auto"/>
            <w:tcBorders>
              <w:top w:val="nil"/>
              <w:left w:val="nil"/>
              <w:bottom w:val="nil"/>
              <w:right w:val="nil"/>
            </w:tcBorders>
            <w:shd w:val="clear" w:color="auto" w:fill="FFFFFF"/>
            <w:tcMar>
              <w:left w:w="67" w:type="dxa"/>
              <w:right w:w="67" w:type="dxa"/>
            </w:tcMar>
          </w:tcPr>
          <w:p w14:paraId="08CB9D92"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sz w:val="20"/>
                <w:szCs w:val="20"/>
              </w:rPr>
              <w:t>2 (0.5%)</w:t>
            </w:r>
          </w:p>
        </w:tc>
        <w:tc>
          <w:tcPr>
            <w:tcW w:w="0" w:type="auto"/>
            <w:tcBorders>
              <w:top w:val="nil"/>
              <w:left w:val="nil"/>
              <w:bottom w:val="nil"/>
              <w:right w:val="single" w:sz="4" w:space="0" w:color="auto"/>
            </w:tcBorders>
            <w:shd w:val="clear" w:color="auto" w:fill="FFFFFF"/>
            <w:tcMar>
              <w:left w:w="67" w:type="dxa"/>
              <w:right w:w="67" w:type="dxa"/>
            </w:tcMar>
          </w:tcPr>
          <w:p w14:paraId="0668A396"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sz w:val="20"/>
                <w:szCs w:val="20"/>
              </w:rPr>
              <w:t>5 (0.7%)</w:t>
            </w:r>
          </w:p>
        </w:tc>
      </w:tr>
      <w:tr w:rsidR="00233B0D" w:rsidRPr="00563AD3" w14:paraId="49C3170D"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18062EA9" w14:textId="77777777" w:rsidR="00233B0D" w:rsidRPr="00563AD3" w:rsidRDefault="00233B0D" w:rsidP="00A648BD">
            <w:pPr>
              <w:spacing w:after="0" w:line="240" w:lineRule="auto"/>
              <w:rPr>
                <w:rFonts w:eastAsia="Times New Roman"/>
                <w:color w:val="000000"/>
              </w:rPr>
            </w:pPr>
            <w:r w:rsidRPr="00563AD3">
              <w:rPr>
                <w:rFonts w:eastAsia="Times New Roman"/>
                <w:b/>
                <w:bCs/>
                <w:color w:val="000000"/>
              </w:rPr>
              <w:t>FAST stage (out of completed scores)</w:t>
            </w:r>
          </w:p>
        </w:tc>
        <w:tc>
          <w:tcPr>
            <w:tcW w:w="1494" w:type="dxa"/>
            <w:tcBorders>
              <w:top w:val="nil"/>
              <w:left w:val="nil"/>
              <w:bottom w:val="nil"/>
              <w:right w:val="nil"/>
            </w:tcBorders>
            <w:shd w:val="clear" w:color="auto" w:fill="FFFFFF"/>
            <w:tcMar>
              <w:left w:w="67" w:type="dxa"/>
              <w:right w:w="67" w:type="dxa"/>
            </w:tcMar>
          </w:tcPr>
          <w:p w14:paraId="4038CFC1" w14:textId="77777777" w:rsidR="00233B0D" w:rsidRPr="00563AD3" w:rsidRDefault="00233B0D" w:rsidP="00A648BD">
            <w:pPr>
              <w:spacing w:after="0" w:line="240" w:lineRule="auto"/>
              <w:jc w:val="right"/>
              <w:rPr>
                <w:rFonts w:eastAsia="Times New Roman"/>
                <w:b/>
                <w:color w:val="000000"/>
              </w:rPr>
            </w:pPr>
            <w:r w:rsidRPr="00563AD3">
              <w:rPr>
                <w:rFonts w:eastAsia="Times New Roman"/>
                <w:b/>
                <w:color w:val="000000"/>
              </w:rPr>
              <w:t>(n=306)</w:t>
            </w:r>
          </w:p>
        </w:tc>
        <w:tc>
          <w:tcPr>
            <w:tcW w:w="0" w:type="auto"/>
            <w:tcBorders>
              <w:top w:val="nil"/>
              <w:left w:val="nil"/>
              <w:bottom w:val="nil"/>
              <w:right w:val="nil"/>
            </w:tcBorders>
            <w:shd w:val="clear" w:color="auto" w:fill="FFFFFF"/>
            <w:tcMar>
              <w:left w:w="67" w:type="dxa"/>
              <w:right w:w="67" w:type="dxa"/>
            </w:tcMar>
          </w:tcPr>
          <w:p w14:paraId="5E86E818" w14:textId="77777777" w:rsidR="00233B0D" w:rsidRPr="00563AD3" w:rsidRDefault="00233B0D" w:rsidP="00A648BD">
            <w:pPr>
              <w:spacing w:after="0" w:line="240" w:lineRule="auto"/>
              <w:jc w:val="right"/>
              <w:rPr>
                <w:rFonts w:eastAsia="Times New Roman"/>
                <w:b/>
                <w:color w:val="000000"/>
              </w:rPr>
            </w:pPr>
            <w:r w:rsidRPr="00563AD3">
              <w:rPr>
                <w:rFonts w:eastAsia="Times New Roman"/>
                <w:b/>
                <w:color w:val="000000"/>
              </w:rPr>
              <w:t>(n=391)</w:t>
            </w:r>
          </w:p>
        </w:tc>
        <w:tc>
          <w:tcPr>
            <w:tcW w:w="0" w:type="auto"/>
            <w:tcBorders>
              <w:top w:val="nil"/>
              <w:left w:val="nil"/>
              <w:bottom w:val="nil"/>
              <w:right w:val="single" w:sz="4" w:space="0" w:color="auto"/>
            </w:tcBorders>
            <w:shd w:val="clear" w:color="auto" w:fill="FFFFFF"/>
            <w:tcMar>
              <w:left w:w="67" w:type="dxa"/>
              <w:right w:w="67" w:type="dxa"/>
            </w:tcMar>
          </w:tcPr>
          <w:p w14:paraId="7882B768" w14:textId="77777777" w:rsidR="00233B0D" w:rsidRPr="00563AD3" w:rsidRDefault="00233B0D" w:rsidP="00A648BD">
            <w:pPr>
              <w:spacing w:after="0" w:line="240" w:lineRule="auto"/>
              <w:jc w:val="right"/>
              <w:rPr>
                <w:rFonts w:eastAsia="Times New Roman"/>
                <w:b/>
                <w:color w:val="000000"/>
              </w:rPr>
            </w:pPr>
            <w:r w:rsidRPr="00563AD3">
              <w:rPr>
                <w:rFonts w:eastAsia="Times New Roman"/>
                <w:b/>
                <w:color w:val="000000"/>
              </w:rPr>
              <w:t>(n=697)</w:t>
            </w:r>
          </w:p>
        </w:tc>
      </w:tr>
      <w:tr w:rsidR="00233B0D" w:rsidRPr="00563AD3" w14:paraId="570EE9B9"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5C583ABE" w14:textId="77777777" w:rsidR="00233B0D" w:rsidRPr="00563AD3" w:rsidRDefault="00233B0D" w:rsidP="00A648BD">
            <w:pPr>
              <w:spacing w:after="0" w:line="240" w:lineRule="auto"/>
              <w:rPr>
                <w:rFonts w:eastAsia="Times New Roman"/>
                <w:color w:val="000000"/>
              </w:rPr>
            </w:pPr>
            <w:r w:rsidRPr="00563AD3">
              <w:rPr>
                <w:rFonts w:eastAsia="Times New Roman"/>
                <w:color w:val="000000"/>
              </w:rPr>
              <w:t>1</w:t>
            </w:r>
          </w:p>
        </w:tc>
        <w:tc>
          <w:tcPr>
            <w:tcW w:w="1494" w:type="dxa"/>
            <w:tcBorders>
              <w:top w:val="nil"/>
              <w:left w:val="nil"/>
              <w:bottom w:val="nil"/>
              <w:right w:val="nil"/>
            </w:tcBorders>
            <w:shd w:val="clear" w:color="auto" w:fill="FFFFFF"/>
            <w:tcMar>
              <w:left w:w="67" w:type="dxa"/>
              <w:right w:w="67" w:type="dxa"/>
            </w:tcMar>
          </w:tcPr>
          <w:p w14:paraId="3FD26FE1"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 (0.7%)</w:t>
            </w:r>
          </w:p>
        </w:tc>
        <w:tc>
          <w:tcPr>
            <w:tcW w:w="0" w:type="auto"/>
            <w:tcBorders>
              <w:top w:val="nil"/>
              <w:left w:val="nil"/>
              <w:bottom w:val="nil"/>
              <w:right w:val="nil"/>
            </w:tcBorders>
            <w:shd w:val="clear" w:color="auto" w:fill="FFFFFF"/>
            <w:tcMar>
              <w:left w:w="67" w:type="dxa"/>
              <w:right w:w="67" w:type="dxa"/>
            </w:tcMar>
          </w:tcPr>
          <w:p w14:paraId="071AD0F3"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0 (0.0%)</w:t>
            </w:r>
          </w:p>
        </w:tc>
        <w:tc>
          <w:tcPr>
            <w:tcW w:w="0" w:type="auto"/>
            <w:tcBorders>
              <w:top w:val="nil"/>
              <w:left w:val="nil"/>
              <w:bottom w:val="nil"/>
              <w:right w:val="single" w:sz="4" w:space="0" w:color="auto"/>
            </w:tcBorders>
            <w:shd w:val="clear" w:color="auto" w:fill="FFFFFF"/>
            <w:tcMar>
              <w:left w:w="67" w:type="dxa"/>
              <w:right w:w="67" w:type="dxa"/>
            </w:tcMar>
          </w:tcPr>
          <w:p w14:paraId="2ACEB553"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 (0.3%)</w:t>
            </w:r>
          </w:p>
        </w:tc>
      </w:tr>
      <w:tr w:rsidR="00233B0D" w:rsidRPr="00563AD3" w14:paraId="55EA0995"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72293D5D" w14:textId="77777777" w:rsidR="00233B0D" w:rsidRPr="00563AD3" w:rsidRDefault="00233B0D" w:rsidP="00A648BD">
            <w:pPr>
              <w:spacing w:after="0" w:line="240" w:lineRule="auto"/>
              <w:rPr>
                <w:rFonts w:eastAsia="Times New Roman"/>
                <w:color w:val="000000"/>
              </w:rPr>
            </w:pPr>
            <w:r w:rsidRPr="00563AD3">
              <w:rPr>
                <w:rFonts w:eastAsia="Times New Roman"/>
                <w:color w:val="000000"/>
              </w:rPr>
              <w:t>2</w:t>
            </w:r>
          </w:p>
        </w:tc>
        <w:tc>
          <w:tcPr>
            <w:tcW w:w="1494" w:type="dxa"/>
            <w:tcBorders>
              <w:top w:val="nil"/>
              <w:left w:val="nil"/>
              <w:bottom w:val="nil"/>
              <w:right w:val="nil"/>
            </w:tcBorders>
            <w:shd w:val="clear" w:color="auto" w:fill="FFFFFF"/>
            <w:tcMar>
              <w:left w:w="67" w:type="dxa"/>
              <w:right w:w="67" w:type="dxa"/>
            </w:tcMar>
          </w:tcPr>
          <w:p w14:paraId="33240CDA"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 (0.7%)</w:t>
            </w:r>
          </w:p>
        </w:tc>
        <w:tc>
          <w:tcPr>
            <w:tcW w:w="0" w:type="auto"/>
            <w:tcBorders>
              <w:top w:val="nil"/>
              <w:left w:val="nil"/>
              <w:bottom w:val="nil"/>
              <w:right w:val="nil"/>
            </w:tcBorders>
            <w:shd w:val="clear" w:color="auto" w:fill="FFFFFF"/>
            <w:tcMar>
              <w:left w:w="67" w:type="dxa"/>
              <w:right w:w="67" w:type="dxa"/>
            </w:tcMar>
          </w:tcPr>
          <w:p w14:paraId="090DC89D"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0 (0.0%)</w:t>
            </w:r>
          </w:p>
        </w:tc>
        <w:tc>
          <w:tcPr>
            <w:tcW w:w="0" w:type="auto"/>
            <w:tcBorders>
              <w:top w:val="nil"/>
              <w:left w:val="nil"/>
              <w:bottom w:val="nil"/>
              <w:right w:val="single" w:sz="4" w:space="0" w:color="auto"/>
            </w:tcBorders>
            <w:shd w:val="clear" w:color="auto" w:fill="FFFFFF"/>
            <w:tcMar>
              <w:left w:w="67" w:type="dxa"/>
              <w:right w:w="67" w:type="dxa"/>
            </w:tcMar>
          </w:tcPr>
          <w:p w14:paraId="70D5D219"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 (0.3%)</w:t>
            </w:r>
          </w:p>
        </w:tc>
      </w:tr>
      <w:tr w:rsidR="00233B0D" w:rsidRPr="00563AD3" w14:paraId="46B00C95"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0E7E86C1" w14:textId="77777777" w:rsidR="00233B0D" w:rsidRPr="00563AD3" w:rsidRDefault="00233B0D" w:rsidP="00A648BD">
            <w:pPr>
              <w:spacing w:after="0" w:line="240" w:lineRule="auto"/>
              <w:rPr>
                <w:rFonts w:eastAsia="Times New Roman"/>
                <w:color w:val="000000"/>
              </w:rPr>
            </w:pPr>
            <w:r w:rsidRPr="00563AD3">
              <w:rPr>
                <w:rFonts w:eastAsia="Times New Roman"/>
                <w:color w:val="000000"/>
              </w:rPr>
              <w:t>3</w:t>
            </w:r>
          </w:p>
        </w:tc>
        <w:tc>
          <w:tcPr>
            <w:tcW w:w="1494" w:type="dxa"/>
            <w:tcBorders>
              <w:top w:val="nil"/>
              <w:left w:val="nil"/>
              <w:bottom w:val="nil"/>
              <w:right w:val="nil"/>
            </w:tcBorders>
            <w:shd w:val="clear" w:color="auto" w:fill="FFFFFF"/>
            <w:tcMar>
              <w:left w:w="67" w:type="dxa"/>
              <w:right w:w="67" w:type="dxa"/>
            </w:tcMar>
          </w:tcPr>
          <w:p w14:paraId="270443A0"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1 (0.3%)</w:t>
            </w:r>
          </w:p>
        </w:tc>
        <w:tc>
          <w:tcPr>
            <w:tcW w:w="0" w:type="auto"/>
            <w:tcBorders>
              <w:top w:val="nil"/>
              <w:left w:val="nil"/>
              <w:bottom w:val="nil"/>
              <w:right w:val="nil"/>
            </w:tcBorders>
            <w:shd w:val="clear" w:color="auto" w:fill="FFFFFF"/>
            <w:tcMar>
              <w:left w:w="67" w:type="dxa"/>
              <w:right w:w="67" w:type="dxa"/>
            </w:tcMar>
          </w:tcPr>
          <w:p w14:paraId="69A31CBA"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1 (0.3%)</w:t>
            </w:r>
          </w:p>
        </w:tc>
        <w:tc>
          <w:tcPr>
            <w:tcW w:w="0" w:type="auto"/>
            <w:tcBorders>
              <w:top w:val="nil"/>
              <w:left w:val="nil"/>
              <w:bottom w:val="nil"/>
              <w:right w:val="single" w:sz="4" w:space="0" w:color="auto"/>
            </w:tcBorders>
            <w:shd w:val="clear" w:color="auto" w:fill="FFFFFF"/>
            <w:tcMar>
              <w:left w:w="67" w:type="dxa"/>
              <w:right w:w="67" w:type="dxa"/>
            </w:tcMar>
          </w:tcPr>
          <w:p w14:paraId="3191EFFA"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 (0.3%)</w:t>
            </w:r>
          </w:p>
        </w:tc>
      </w:tr>
      <w:tr w:rsidR="00233B0D" w:rsidRPr="00563AD3" w14:paraId="21B8FF2C"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6ADF83E5" w14:textId="77777777" w:rsidR="00233B0D" w:rsidRPr="00563AD3" w:rsidRDefault="00233B0D" w:rsidP="00A648BD">
            <w:pPr>
              <w:spacing w:after="0" w:line="240" w:lineRule="auto"/>
              <w:rPr>
                <w:rFonts w:eastAsia="Times New Roman"/>
                <w:color w:val="000000"/>
              </w:rPr>
            </w:pPr>
            <w:r w:rsidRPr="00563AD3">
              <w:rPr>
                <w:rFonts w:eastAsia="Times New Roman"/>
                <w:color w:val="000000"/>
              </w:rPr>
              <w:t>4</w:t>
            </w:r>
          </w:p>
        </w:tc>
        <w:tc>
          <w:tcPr>
            <w:tcW w:w="1494" w:type="dxa"/>
            <w:tcBorders>
              <w:top w:val="nil"/>
              <w:left w:val="nil"/>
              <w:bottom w:val="nil"/>
              <w:right w:val="nil"/>
            </w:tcBorders>
            <w:shd w:val="clear" w:color="auto" w:fill="FFFFFF"/>
            <w:tcMar>
              <w:left w:w="67" w:type="dxa"/>
              <w:right w:w="67" w:type="dxa"/>
            </w:tcMar>
          </w:tcPr>
          <w:p w14:paraId="1BD3EB3E"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39 (12.7%)</w:t>
            </w:r>
          </w:p>
        </w:tc>
        <w:tc>
          <w:tcPr>
            <w:tcW w:w="0" w:type="auto"/>
            <w:tcBorders>
              <w:top w:val="nil"/>
              <w:left w:val="nil"/>
              <w:bottom w:val="nil"/>
              <w:right w:val="nil"/>
            </w:tcBorders>
            <w:shd w:val="clear" w:color="auto" w:fill="FFFFFF"/>
            <w:tcMar>
              <w:left w:w="67" w:type="dxa"/>
              <w:right w:w="67" w:type="dxa"/>
            </w:tcMar>
          </w:tcPr>
          <w:p w14:paraId="2BF47786"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56 (14.3%)</w:t>
            </w:r>
          </w:p>
        </w:tc>
        <w:tc>
          <w:tcPr>
            <w:tcW w:w="0" w:type="auto"/>
            <w:tcBorders>
              <w:top w:val="nil"/>
              <w:left w:val="nil"/>
              <w:bottom w:val="nil"/>
              <w:right w:val="single" w:sz="4" w:space="0" w:color="auto"/>
            </w:tcBorders>
            <w:shd w:val="clear" w:color="auto" w:fill="FFFFFF"/>
            <w:tcMar>
              <w:left w:w="67" w:type="dxa"/>
              <w:right w:w="67" w:type="dxa"/>
            </w:tcMar>
          </w:tcPr>
          <w:p w14:paraId="5C9A2CE4"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95 (13.6%)</w:t>
            </w:r>
          </w:p>
        </w:tc>
      </w:tr>
      <w:tr w:rsidR="00233B0D" w:rsidRPr="00563AD3" w14:paraId="295BED30"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5121F461" w14:textId="77777777" w:rsidR="00233B0D" w:rsidRPr="00563AD3" w:rsidRDefault="00233B0D" w:rsidP="00A648BD">
            <w:pPr>
              <w:spacing w:after="0" w:line="240" w:lineRule="auto"/>
              <w:rPr>
                <w:rFonts w:eastAsia="Times New Roman"/>
                <w:color w:val="000000"/>
              </w:rPr>
            </w:pPr>
            <w:r w:rsidRPr="00563AD3">
              <w:rPr>
                <w:rFonts w:eastAsia="Times New Roman"/>
                <w:color w:val="000000"/>
              </w:rPr>
              <w:t>5</w:t>
            </w:r>
          </w:p>
        </w:tc>
        <w:tc>
          <w:tcPr>
            <w:tcW w:w="1494" w:type="dxa"/>
            <w:tcBorders>
              <w:top w:val="nil"/>
              <w:left w:val="nil"/>
              <w:bottom w:val="nil"/>
              <w:right w:val="nil"/>
            </w:tcBorders>
            <w:shd w:val="clear" w:color="auto" w:fill="FFFFFF"/>
            <w:tcMar>
              <w:left w:w="67" w:type="dxa"/>
              <w:right w:w="67" w:type="dxa"/>
            </w:tcMar>
          </w:tcPr>
          <w:p w14:paraId="1EA90C53"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26 (8.5%)</w:t>
            </w:r>
          </w:p>
        </w:tc>
        <w:tc>
          <w:tcPr>
            <w:tcW w:w="0" w:type="auto"/>
            <w:tcBorders>
              <w:top w:val="nil"/>
              <w:left w:val="nil"/>
              <w:bottom w:val="nil"/>
              <w:right w:val="nil"/>
            </w:tcBorders>
            <w:shd w:val="clear" w:color="auto" w:fill="FFFFFF"/>
            <w:tcMar>
              <w:left w:w="67" w:type="dxa"/>
              <w:right w:w="67" w:type="dxa"/>
            </w:tcMar>
          </w:tcPr>
          <w:p w14:paraId="564A92E2"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48 (12.3%)</w:t>
            </w:r>
          </w:p>
        </w:tc>
        <w:tc>
          <w:tcPr>
            <w:tcW w:w="0" w:type="auto"/>
            <w:tcBorders>
              <w:top w:val="nil"/>
              <w:left w:val="nil"/>
              <w:bottom w:val="nil"/>
              <w:right w:val="single" w:sz="4" w:space="0" w:color="auto"/>
            </w:tcBorders>
            <w:shd w:val="clear" w:color="auto" w:fill="FFFFFF"/>
            <w:tcMar>
              <w:left w:w="67" w:type="dxa"/>
              <w:right w:w="67" w:type="dxa"/>
            </w:tcMar>
          </w:tcPr>
          <w:p w14:paraId="05F1D3ED" w14:textId="77777777" w:rsidR="00233B0D" w:rsidRPr="00563AD3" w:rsidRDefault="00233B0D" w:rsidP="00A648BD">
            <w:pPr>
              <w:spacing w:after="0" w:line="240" w:lineRule="auto"/>
              <w:jc w:val="right"/>
              <w:rPr>
                <w:rFonts w:eastAsia="Times New Roman"/>
                <w:color w:val="000000"/>
              </w:rPr>
            </w:pPr>
            <w:r w:rsidRPr="00563AD3">
              <w:rPr>
                <w:rFonts w:eastAsia="Times New Roman"/>
                <w:color w:val="000000"/>
              </w:rPr>
              <w:t>74 (10.6%)</w:t>
            </w:r>
          </w:p>
        </w:tc>
      </w:tr>
      <w:tr w:rsidR="00233B0D" w:rsidRPr="00563AD3" w14:paraId="5FABEDD9"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46A705DB" w14:textId="77777777" w:rsidR="00233B0D" w:rsidRPr="00563AD3" w:rsidRDefault="00233B0D" w:rsidP="00A648BD">
            <w:pPr>
              <w:keepNext/>
              <w:spacing w:after="0" w:line="240" w:lineRule="auto"/>
              <w:rPr>
                <w:rFonts w:eastAsia="Times New Roman"/>
                <w:color w:val="000000"/>
              </w:rPr>
            </w:pPr>
            <w:r w:rsidRPr="00563AD3">
              <w:rPr>
                <w:rFonts w:eastAsia="Times New Roman"/>
                <w:color w:val="000000"/>
              </w:rPr>
              <w:t>6</w:t>
            </w:r>
          </w:p>
        </w:tc>
        <w:tc>
          <w:tcPr>
            <w:tcW w:w="1494" w:type="dxa"/>
            <w:tcBorders>
              <w:top w:val="nil"/>
              <w:left w:val="nil"/>
              <w:bottom w:val="nil"/>
              <w:right w:val="nil"/>
            </w:tcBorders>
            <w:shd w:val="clear" w:color="auto" w:fill="FFFFFF"/>
            <w:tcMar>
              <w:left w:w="67" w:type="dxa"/>
              <w:right w:w="67" w:type="dxa"/>
            </w:tcMar>
          </w:tcPr>
          <w:p w14:paraId="10987DF9"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166 (54.2%)</w:t>
            </w:r>
          </w:p>
        </w:tc>
        <w:tc>
          <w:tcPr>
            <w:tcW w:w="0" w:type="auto"/>
            <w:tcBorders>
              <w:top w:val="nil"/>
              <w:left w:val="nil"/>
              <w:bottom w:val="nil"/>
              <w:right w:val="nil"/>
            </w:tcBorders>
            <w:shd w:val="clear" w:color="auto" w:fill="FFFFFF"/>
            <w:tcMar>
              <w:left w:w="67" w:type="dxa"/>
              <w:right w:w="67" w:type="dxa"/>
            </w:tcMar>
          </w:tcPr>
          <w:p w14:paraId="45258403"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214 (54.7%)</w:t>
            </w:r>
          </w:p>
        </w:tc>
        <w:tc>
          <w:tcPr>
            <w:tcW w:w="0" w:type="auto"/>
            <w:tcBorders>
              <w:top w:val="nil"/>
              <w:left w:val="nil"/>
              <w:bottom w:val="nil"/>
              <w:right w:val="single" w:sz="4" w:space="0" w:color="auto"/>
            </w:tcBorders>
            <w:shd w:val="clear" w:color="auto" w:fill="FFFFFF"/>
            <w:tcMar>
              <w:left w:w="67" w:type="dxa"/>
              <w:right w:w="67" w:type="dxa"/>
            </w:tcMar>
          </w:tcPr>
          <w:p w14:paraId="4B4636AA"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380 (54.5%)</w:t>
            </w:r>
          </w:p>
        </w:tc>
      </w:tr>
      <w:tr w:rsidR="00233B0D" w:rsidRPr="00563AD3" w14:paraId="1FFBEA54" w14:textId="77777777" w:rsidTr="00233B0D">
        <w:trPr>
          <w:cantSplit/>
          <w:jc w:val="center"/>
        </w:trPr>
        <w:tc>
          <w:tcPr>
            <w:tcW w:w="3964" w:type="dxa"/>
            <w:tcBorders>
              <w:top w:val="nil"/>
              <w:left w:val="single" w:sz="4" w:space="0" w:color="auto"/>
              <w:bottom w:val="single" w:sz="4" w:space="0" w:color="auto"/>
              <w:right w:val="nil"/>
            </w:tcBorders>
            <w:shd w:val="clear" w:color="auto" w:fill="FFFFFF"/>
            <w:tcMar>
              <w:left w:w="67" w:type="dxa"/>
              <w:right w:w="67" w:type="dxa"/>
            </w:tcMar>
          </w:tcPr>
          <w:p w14:paraId="61D092B8" w14:textId="77777777" w:rsidR="00233B0D" w:rsidRPr="00563AD3" w:rsidRDefault="00233B0D" w:rsidP="00A648BD">
            <w:pPr>
              <w:keepNext/>
              <w:spacing w:after="0" w:line="240" w:lineRule="auto"/>
              <w:rPr>
                <w:rFonts w:eastAsia="Times New Roman"/>
                <w:color w:val="000000"/>
              </w:rPr>
            </w:pPr>
            <w:r w:rsidRPr="00563AD3">
              <w:rPr>
                <w:rFonts w:eastAsia="Times New Roman"/>
                <w:color w:val="000000"/>
              </w:rPr>
              <w:t>7</w:t>
            </w:r>
          </w:p>
        </w:tc>
        <w:tc>
          <w:tcPr>
            <w:tcW w:w="1494" w:type="dxa"/>
            <w:tcBorders>
              <w:top w:val="nil"/>
              <w:left w:val="nil"/>
              <w:bottom w:val="single" w:sz="4" w:space="0" w:color="auto"/>
              <w:right w:val="nil"/>
            </w:tcBorders>
            <w:shd w:val="clear" w:color="auto" w:fill="FFFFFF"/>
            <w:tcMar>
              <w:left w:w="67" w:type="dxa"/>
              <w:right w:w="67" w:type="dxa"/>
            </w:tcMar>
          </w:tcPr>
          <w:p w14:paraId="19998479"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70 (22.9%)</w:t>
            </w:r>
          </w:p>
        </w:tc>
        <w:tc>
          <w:tcPr>
            <w:tcW w:w="0" w:type="auto"/>
            <w:tcBorders>
              <w:top w:val="nil"/>
              <w:left w:val="nil"/>
              <w:bottom w:val="single" w:sz="4" w:space="0" w:color="auto"/>
              <w:right w:val="nil"/>
            </w:tcBorders>
            <w:shd w:val="clear" w:color="auto" w:fill="FFFFFF"/>
            <w:tcMar>
              <w:left w:w="67" w:type="dxa"/>
              <w:right w:w="67" w:type="dxa"/>
            </w:tcMar>
          </w:tcPr>
          <w:p w14:paraId="317BD174"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72 (18.4%)</w:t>
            </w:r>
          </w:p>
        </w:tc>
        <w:tc>
          <w:tcPr>
            <w:tcW w:w="0" w:type="auto"/>
            <w:tcBorders>
              <w:top w:val="nil"/>
              <w:left w:val="nil"/>
              <w:bottom w:val="single" w:sz="4" w:space="0" w:color="auto"/>
              <w:right w:val="single" w:sz="4" w:space="0" w:color="auto"/>
            </w:tcBorders>
            <w:shd w:val="clear" w:color="auto" w:fill="FFFFFF"/>
            <w:tcMar>
              <w:left w:w="67" w:type="dxa"/>
              <w:right w:w="67" w:type="dxa"/>
            </w:tcMar>
          </w:tcPr>
          <w:p w14:paraId="761F0B28"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142 (20.4%)</w:t>
            </w:r>
          </w:p>
        </w:tc>
      </w:tr>
      <w:tr w:rsidR="00233B0D" w:rsidRPr="00563AD3" w14:paraId="7A4E3B48" w14:textId="77777777" w:rsidTr="00233B0D">
        <w:trPr>
          <w:cantSplit/>
          <w:jc w:val="center"/>
        </w:trPr>
        <w:tc>
          <w:tcPr>
            <w:tcW w:w="3964" w:type="dxa"/>
            <w:tcBorders>
              <w:top w:val="single" w:sz="4" w:space="0" w:color="auto"/>
              <w:left w:val="single" w:sz="4" w:space="0" w:color="auto"/>
              <w:bottom w:val="single" w:sz="4" w:space="0" w:color="auto"/>
              <w:right w:val="nil"/>
            </w:tcBorders>
            <w:shd w:val="clear" w:color="auto" w:fill="FFFFFF"/>
            <w:tcMar>
              <w:left w:w="67" w:type="dxa"/>
              <w:right w:w="67" w:type="dxa"/>
            </w:tcMar>
            <w:vAlign w:val="bottom"/>
          </w:tcPr>
          <w:p w14:paraId="1E596877" w14:textId="137B57DF" w:rsidR="00233B0D" w:rsidRPr="00563AD3" w:rsidRDefault="00233B0D" w:rsidP="00A648BD">
            <w:pPr>
              <w:keepNext/>
              <w:spacing w:after="0" w:line="240" w:lineRule="auto"/>
              <w:rPr>
                <w:rFonts w:eastAsia="Times New Roman"/>
                <w:b/>
                <w:color w:val="000000"/>
              </w:rPr>
            </w:pPr>
            <w:r w:rsidRPr="00563AD3">
              <w:rPr>
                <w:rFonts w:eastAsia="Times New Roman"/>
                <w:b/>
                <w:color w:val="000000"/>
              </w:rPr>
              <w:t>Cross-section at 16</w:t>
            </w:r>
            <w:r w:rsidR="00B80810">
              <w:rPr>
                <w:rFonts w:eastAsia="Times New Roman"/>
                <w:b/>
                <w:color w:val="000000"/>
              </w:rPr>
              <w:t>-months</w:t>
            </w:r>
          </w:p>
        </w:tc>
        <w:tc>
          <w:tcPr>
            <w:tcW w:w="1494" w:type="dxa"/>
            <w:tcBorders>
              <w:top w:val="single" w:sz="4" w:space="0" w:color="auto"/>
              <w:left w:val="nil"/>
              <w:bottom w:val="single" w:sz="4" w:space="0" w:color="auto"/>
              <w:right w:val="nil"/>
            </w:tcBorders>
            <w:shd w:val="clear" w:color="auto" w:fill="FFFFFF"/>
            <w:tcMar>
              <w:left w:w="67" w:type="dxa"/>
              <w:right w:w="67" w:type="dxa"/>
            </w:tcMar>
            <w:vAlign w:val="bottom"/>
          </w:tcPr>
          <w:p w14:paraId="67096FCD"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b/>
                <w:bCs/>
                <w:color w:val="000000"/>
              </w:rPr>
              <w:t>Control            (n = 287)</w:t>
            </w:r>
          </w:p>
        </w:tc>
        <w:tc>
          <w:tcPr>
            <w:tcW w:w="0" w:type="auto"/>
            <w:tcBorders>
              <w:top w:val="single" w:sz="4" w:space="0" w:color="auto"/>
              <w:left w:val="nil"/>
              <w:bottom w:val="single" w:sz="4" w:space="0" w:color="auto"/>
              <w:right w:val="nil"/>
            </w:tcBorders>
            <w:shd w:val="clear" w:color="auto" w:fill="FFFFFF"/>
            <w:tcMar>
              <w:left w:w="67" w:type="dxa"/>
              <w:right w:w="67" w:type="dxa"/>
            </w:tcMar>
            <w:vAlign w:val="bottom"/>
          </w:tcPr>
          <w:p w14:paraId="7012EBC1"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b/>
                <w:bCs/>
                <w:color w:val="000000"/>
              </w:rPr>
              <w:t>Intervention          (n = 388)</w:t>
            </w:r>
          </w:p>
        </w:tc>
        <w:tc>
          <w:tcPr>
            <w:tcW w:w="0" w:type="auto"/>
            <w:tcBorders>
              <w:top w:val="single" w:sz="4" w:space="0" w:color="auto"/>
              <w:left w:val="nil"/>
              <w:bottom w:val="single" w:sz="4" w:space="0" w:color="auto"/>
              <w:right w:val="single" w:sz="4" w:space="0" w:color="auto"/>
            </w:tcBorders>
            <w:shd w:val="clear" w:color="auto" w:fill="FFFFFF"/>
            <w:tcMar>
              <w:left w:w="67" w:type="dxa"/>
              <w:right w:w="67" w:type="dxa"/>
            </w:tcMar>
            <w:vAlign w:val="bottom"/>
          </w:tcPr>
          <w:p w14:paraId="20EB349D"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b/>
                <w:bCs/>
                <w:color w:val="000000"/>
              </w:rPr>
              <w:t>Total             (n = 675)</w:t>
            </w:r>
          </w:p>
        </w:tc>
      </w:tr>
      <w:tr w:rsidR="00233B0D" w:rsidRPr="00563AD3" w14:paraId="161D64D7" w14:textId="77777777" w:rsidTr="00233B0D">
        <w:trPr>
          <w:cantSplit/>
          <w:jc w:val="center"/>
        </w:trPr>
        <w:tc>
          <w:tcPr>
            <w:tcW w:w="3964" w:type="dxa"/>
            <w:tcBorders>
              <w:top w:val="single" w:sz="4" w:space="0" w:color="auto"/>
              <w:left w:val="single" w:sz="4" w:space="0" w:color="auto"/>
              <w:bottom w:val="nil"/>
              <w:right w:val="nil"/>
            </w:tcBorders>
            <w:shd w:val="clear" w:color="auto" w:fill="FFFFFF"/>
            <w:tcMar>
              <w:left w:w="67" w:type="dxa"/>
              <w:right w:w="67" w:type="dxa"/>
            </w:tcMar>
          </w:tcPr>
          <w:p w14:paraId="2645279A" w14:textId="77777777" w:rsidR="00233B0D" w:rsidRPr="00563AD3" w:rsidRDefault="00233B0D" w:rsidP="00A648BD">
            <w:pPr>
              <w:keepNext/>
              <w:spacing w:after="0" w:line="240" w:lineRule="auto"/>
              <w:rPr>
                <w:rFonts w:eastAsia="Times New Roman"/>
                <w:color w:val="000000"/>
              </w:rPr>
            </w:pPr>
            <w:r w:rsidRPr="00563AD3">
              <w:rPr>
                <w:rFonts w:eastAsia="Times New Roman"/>
                <w:b/>
                <w:bCs/>
                <w:color w:val="000000"/>
              </w:rPr>
              <w:t>Age at randomisation</w:t>
            </w:r>
            <w:r w:rsidRPr="00563AD3">
              <w:rPr>
                <w:rFonts w:eastAsia="Times New Roman"/>
                <w:color w:val="000000"/>
              </w:rPr>
              <w:t xml:space="preserve"> Years (Mean (SD) missing)</w:t>
            </w:r>
          </w:p>
        </w:tc>
        <w:tc>
          <w:tcPr>
            <w:tcW w:w="1494" w:type="dxa"/>
            <w:tcBorders>
              <w:top w:val="single" w:sz="4" w:space="0" w:color="auto"/>
              <w:left w:val="nil"/>
              <w:bottom w:val="nil"/>
              <w:right w:val="nil"/>
            </w:tcBorders>
            <w:shd w:val="clear" w:color="auto" w:fill="FFFFFF"/>
            <w:tcMar>
              <w:left w:w="67" w:type="dxa"/>
              <w:right w:w="67" w:type="dxa"/>
            </w:tcMar>
          </w:tcPr>
          <w:p w14:paraId="460D0EE5"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83.7 (7.77) 0</w:t>
            </w:r>
          </w:p>
        </w:tc>
        <w:tc>
          <w:tcPr>
            <w:tcW w:w="0" w:type="auto"/>
            <w:tcBorders>
              <w:top w:val="single" w:sz="4" w:space="0" w:color="auto"/>
              <w:left w:val="nil"/>
              <w:bottom w:val="nil"/>
              <w:right w:val="nil"/>
            </w:tcBorders>
            <w:shd w:val="clear" w:color="auto" w:fill="FFFFFF"/>
            <w:tcMar>
              <w:left w:w="67" w:type="dxa"/>
              <w:right w:w="67" w:type="dxa"/>
            </w:tcMar>
          </w:tcPr>
          <w:p w14:paraId="7E0139C2"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85.2 (7.79) 0</w:t>
            </w:r>
          </w:p>
        </w:tc>
        <w:tc>
          <w:tcPr>
            <w:tcW w:w="0" w:type="auto"/>
            <w:tcBorders>
              <w:top w:val="single" w:sz="4" w:space="0" w:color="auto"/>
              <w:left w:val="nil"/>
              <w:bottom w:val="nil"/>
              <w:right w:val="single" w:sz="4" w:space="0" w:color="auto"/>
            </w:tcBorders>
            <w:shd w:val="clear" w:color="auto" w:fill="FFFFFF"/>
            <w:tcMar>
              <w:left w:w="67" w:type="dxa"/>
              <w:right w:w="67" w:type="dxa"/>
            </w:tcMar>
          </w:tcPr>
          <w:p w14:paraId="1011CE20"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84.6 (7.81) 0</w:t>
            </w:r>
          </w:p>
        </w:tc>
      </w:tr>
      <w:tr w:rsidR="00233B0D" w:rsidRPr="00563AD3" w14:paraId="384984A4"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00B23CF7" w14:textId="77777777" w:rsidR="00233B0D" w:rsidRPr="00563AD3" w:rsidRDefault="00233B0D" w:rsidP="00A648BD">
            <w:pPr>
              <w:keepNext/>
              <w:spacing w:after="0" w:line="240" w:lineRule="auto"/>
              <w:rPr>
                <w:rFonts w:eastAsia="Times New Roman"/>
                <w:color w:val="000000"/>
              </w:rPr>
            </w:pPr>
            <w:r w:rsidRPr="00563AD3">
              <w:rPr>
                <w:rFonts w:eastAsia="Times New Roman"/>
                <w:b/>
                <w:bCs/>
                <w:color w:val="000000"/>
              </w:rPr>
              <w:t xml:space="preserve">Gender </w:t>
            </w:r>
            <w:r w:rsidRPr="00563AD3">
              <w:rPr>
                <w:rFonts w:eastAsia="Times New Roman"/>
                <w:color w:val="000000"/>
              </w:rPr>
              <w:t>Male (%)</w:t>
            </w:r>
          </w:p>
        </w:tc>
        <w:tc>
          <w:tcPr>
            <w:tcW w:w="1494" w:type="dxa"/>
            <w:tcBorders>
              <w:top w:val="nil"/>
              <w:left w:val="nil"/>
              <w:bottom w:val="nil"/>
              <w:right w:val="nil"/>
            </w:tcBorders>
            <w:shd w:val="clear" w:color="auto" w:fill="FFFFFF"/>
            <w:tcMar>
              <w:left w:w="67" w:type="dxa"/>
              <w:right w:w="67" w:type="dxa"/>
            </w:tcMar>
          </w:tcPr>
          <w:p w14:paraId="50D96D54"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71 (24.7%)</w:t>
            </w:r>
          </w:p>
        </w:tc>
        <w:tc>
          <w:tcPr>
            <w:tcW w:w="0" w:type="auto"/>
            <w:tcBorders>
              <w:top w:val="nil"/>
              <w:left w:val="nil"/>
              <w:bottom w:val="nil"/>
              <w:right w:val="nil"/>
            </w:tcBorders>
            <w:shd w:val="clear" w:color="auto" w:fill="FFFFFF"/>
            <w:tcMar>
              <w:left w:w="67" w:type="dxa"/>
              <w:right w:w="67" w:type="dxa"/>
            </w:tcMar>
          </w:tcPr>
          <w:p w14:paraId="4043FFB1"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110 (28.4%)</w:t>
            </w:r>
          </w:p>
        </w:tc>
        <w:tc>
          <w:tcPr>
            <w:tcW w:w="0" w:type="auto"/>
            <w:tcBorders>
              <w:top w:val="nil"/>
              <w:left w:val="nil"/>
              <w:bottom w:val="nil"/>
              <w:right w:val="single" w:sz="4" w:space="0" w:color="auto"/>
            </w:tcBorders>
            <w:shd w:val="clear" w:color="auto" w:fill="FFFFFF"/>
            <w:tcMar>
              <w:left w:w="67" w:type="dxa"/>
              <w:right w:w="67" w:type="dxa"/>
            </w:tcMar>
          </w:tcPr>
          <w:p w14:paraId="0BB4F5E2"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181 (26.8%)</w:t>
            </w:r>
          </w:p>
        </w:tc>
      </w:tr>
      <w:tr w:rsidR="00233B0D" w:rsidRPr="00563AD3" w14:paraId="09B20530"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7772617D" w14:textId="77777777" w:rsidR="00233B0D" w:rsidRPr="00563AD3" w:rsidRDefault="00233B0D" w:rsidP="00A648BD">
            <w:pPr>
              <w:keepNext/>
              <w:spacing w:after="0" w:line="240" w:lineRule="auto"/>
              <w:rPr>
                <w:rFonts w:eastAsia="Times New Roman"/>
                <w:color w:val="000000"/>
              </w:rPr>
            </w:pPr>
            <w:r w:rsidRPr="00563AD3">
              <w:rPr>
                <w:rFonts w:eastAsia="Times New Roman"/>
                <w:b/>
                <w:bCs/>
                <w:color w:val="000000"/>
              </w:rPr>
              <w:t xml:space="preserve">Number of comorbidities per resident </w:t>
            </w:r>
            <w:r w:rsidRPr="00563AD3">
              <w:rPr>
                <w:rFonts w:eastAsia="Times New Roman"/>
                <w:bCs/>
                <w:color w:val="000000"/>
              </w:rPr>
              <w:t>(</w:t>
            </w:r>
            <w:r w:rsidRPr="00563AD3">
              <w:rPr>
                <w:rFonts w:eastAsia="Times New Roman"/>
                <w:color w:val="000000"/>
              </w:rPr>
              <w:t>Median (Range))</w:t>
            </w:r>
          </w:p>
        </w:tc>
        <w:tc>
          <w:tcPr>
            <w:tcW w:w="1494" w:type="dxa"/>
            <w:tcBorders>
              <w:top w:val="nil"/>
              <w:left w:val="nil"/>
              <w:bottom w:val="nil"/>
              <w:right w:val="nil"/>
            </w:tcBorders>
            <w:shd w:val="clear" w:color="auto" w:fill="FFFFFF"/>
            <w:tcMar>
              <w:left w:w="67" w:type="dxa"/>
              <w:right w:w="67" w:type="dxa"/>
            </w:tcMar>
          </w:tcPr>
          <w:p w14:paraId="7A12F769"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2 (0, 7)</w:t>
            </w:r>
          </w:p>
        </w:tc>
        <w:tc>
          <w:tcPr>
            <w:tcW w:w="0" w:type="auto"/>
            <w:tcBorders>
              <w:top w:val="nil"/>
              <w:left w:val="nil"/>
              <w:bottom w:val="nil"/>
              <w:right w:val="nil"/>
            </w:tcBorders>
            <w:shd w:val="clear" w:color="auto" w:fill="FFFFFF"/>
            <w:tcMar>
              <w:left w:w="67" w:type="dxa"/>
              <w:right w:w="67" w:type="dxa"/>
            </w:tcMar>
          </w:tcPr>
          <w:p w14:paraId="44AA72DA"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3 (0, 12)</w:t>
            </w:r>
          </w:p>
        </w:tc>
        <w:tc>
          <w:tcPr>
            <w:tcW w:w="0" w:type="auto"/>
            <w:tcBorders>
              <w:top w:val="nil"/>
              <w:left w:val="nil"/>
              <w:bottom w:val="nil"/>
              <w:right w:val="single" w:sz="4" w:space="0" w:color="auto"/>
            </w:tcBorders>
            <w:shd w:val="clear" w:color="auto" w:fill="FFFFFF"/>
            <w:tcMar>
              <w:left w:w="67" w:type="dxa"/>
              <w:right w:w="67" w:type="dxa"/>
            </w:tcMar>
          </w:tcPr>
          <w:p w14:paraId="5A04EAD6"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2 (0, 12)</w:t>
            </w:r>
          </w:p>
        </w:tc>
      </w:tr>
      <w:tr w:rsidR="00233B0D" w:rsidRPr="00563AD3" w14:paraId="67A8A779"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0D7DB611" w14:textId="77777777" w:rsidR="00233B0D" w:rsidRPr="00563AD3" w:rsidRDefault="00233B0D" w:rsidP="00A648BD">
            <w:pPr>
              <w:keepNext/>
              <w:spacing w:after="0" w:line="240" w:lineRule="auto"/>
              <w:rPr>
                <w:rFonts w:eastAsia="Times New Roman"/>
                <w:color w:val="000000"/>
              </w:rPr>
            </w:pPr>
            <w:r w:rsidRPr="00563AD3">
              <w:rPr>
                <w:rFonts w:eastAsia="Times New Roman"/>
                <w:b/>
                <w:color w:val="000000"/>
              </w:rPr>
              <w:t>Selected comorbidities</w:t>
            </w:r>
            <w:r w:rsidRPr="00563AD3">
              <w:rPr>
                <w:rFonts w:eastAsia="Times New Roman"/>
                <w:color w:val="000000"/>
              </w:rPr>
              <w:t>*Anxiety</w:t>
            </w:r>
          </w:p>
        </w:tc>
        <w:tc>
          <w:tcPr>
            <w:tcW w:w="1494" w:type="dxa"/>
            <w:tcBorders>
              <w:top w:val="nil"/>
              <w:left w:val="nil"/>
              <w:bottom w:val="nil"/>
              <w:right w:val="nil"/>
            </w:tcBorders>
            <w:shd w:val="clear" w:color="auto" w:fill="FFFFFF"/>
            <w:tcMar>
              <w:left w:w="67" w:type="dxa"/>
              <w:right w:w="67" w:type="dxa"/>
            </w:tcMar>
          </w:tcPr>
          <w:p w14:paraId="2ABE636C"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26 (9.1%)</w:t>
            </w:r>
          </w:p>
        </w:tc>
        <w:tc>
          <w:tcPr>
            <w:tcW w:w="0" w:type="auto"/>
            <w:tcBorders>
              <w:top w:val="nil"/>
              <w:left w:val="nil"/>
              <w:bottom w:val="nil"/>
              <w:right w:val="nil"/>
            </w:tcBorders>
            <w:shd w:val="clear" w:color="auto" w:fill="FFFFFF"/>
            <w:tcMar>
              <w:left w:w="67" w:type="dxa"/>
              <w:right w:w="67" w:type="dxa"/>
            </w:tcMar>
          </w:tcPr>
          <w:p w14:paraId="64F8F761"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27 (7.0%)</w:t>
            </w:r>
          </w:p>
        </w:tc>
        <w:tc>
          <w:tcPr>
            <w:tcW w:w="0" w:type="auto"/>
            <w:tcBorders>
              <w:top w:val="nil"/>
              <w:left w:val="nil"/>
              <w:bottom w:val="nil"/>
              <w:right w:val="single" w:sz="4" w:space="0" w:color="auto"/>
            </w:tcBorders>
            <w:shd w:val="clear" w:color="auto" w:fill="FFFFFF"/>
            <w:tcMar>
              <w:left w:w="67" w:type="dxa"/>
              <w:right w:w="67" w:type="dxa"/>
            </w:tcMar>
          </w:tcPr>
          <w:p w14:paraId="3E373994"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53 (7.9%)</w:t>
            </w:r>
          </w:p>
        </w:tc>
      </w:tr>
      <w:tr w:rsidR="00233B0D" w:rsidRPr="00563AD3" w14:paraId="0AC8B0E3"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4C2DBC73" w14:textId="77777777" w:rsidR="00233B0D" w:rsidRPr="00563AD3" w:rsidRDefault="00233B0D" w:rsidP="00A648BD">
            <w:pPr>
              <w:keepNext/>
              <w:spacing w:after="0" w:line="240" w:lineRule="auto"/>
              <w:rPr>
                <w:rFonts w:eastAsia="Times New Roman"/>
                <w:color w:val="000000"/>
              </w:rPr>
            </w:pPr>
            <w:r w:rsidRPr="00563AD3">
              <w:rPr>
                <w:rFonts w:eastAsia="Times New Roman"/>
                <w:color w:val="000000"/>
              </w:rPr>
              <w:t xml:space="preserve">                                        Depression</w:t>
            </w:r>
          </w:p>
        </w:tc>
        <w:tc>
          <w:tcPr>
            <w:tcW w:w="1494" w:type="dxa"/>
            <w:tcBorders>
              <w:top w:val="nil"/>
              <w:left w:val="nil"/>
              <w:bottom w:val="nil"/>
              <w:right w:val="nil"/>
            </w:tcBorders>
            <w:shd w:val="clear" w:color="auto" w:fill="FFFFFF"/>
            <w:tcMar>
              <w:left w:w="67" w:type="dxa"/>
              <w:right w:w="67" w:type="dxa"/>
            </w:tcMar>
          </w:tcPr>
          <w:p w14:paraId="11A36C69"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64 (22.3%)</w:t>
            </w:r>
          </w:p>
        </w:tc>
        <w:tc>
          <w:tcPr>
            <w:tcW w:w="0" w:type="auto"/>
            <w:tcBorders>
              <w:top w:val="nil"/>
              <w:left w:val="nil"/>
              <w:bottom w:val="nil"/>
              <w:right w:val="nil"/>
            </w:tcBorders>
            <w:shd w:val="clear" w:color="auto" w:fill="FFFFFF"/>
            <w:tcMar>
              <w:left w:w="67" w:type="dxa"/>
              <w:right w:w="67" w:type="dxa"/>
            </w:tcMar>
          </w:tcPr>
          <w:p w14:paraId="4582A973"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66 (17.0%)</w:t>
            </w:r>
          </w:p>
        </w:tc>
        <w:tc>
          <w:tcPr>
            <w:tcW w:w="0" w:type="auto"/>
            <w:tcBorders>
              <w:top w:val="nil"/>
              <w:left w:val="nil"/>
              <w:bottom w:val="nil"/>
              <w:right w:val="single" w:sz="4" w:space="0" w:color="auto"/>
            </w:tcBorders>
            <w:shd w:val="clear" w:color="auto" w:fill="FFFFFF"/>
            <w:tcMar>
              <w:left w:w="67" w:type="dxa"/>
              <w:right w:w="67" w:type="dxa"/>
            </w:tcMar>
          </w:tcPr>
          <w:p w14:paraId="40AB682F"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130 (19.3%)</w:t>
            </w:r>
          </w:p>
        </w:tc>
      </w:tr>
      <w:tr w:rsidR="00233B0D" w:rsidRPr="00563AD3" w14:paraId="2657BBAE"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5036B7D3" w14:textId="77777777" w:rsidR="00233B0D" w:rsidRPr="00563AD3" w:rsidRDefault="00233B0D" w:rsidP="00A648BD">
            <w:pPr>
              <w:keepNext/>
              <w:spacing w:after="0" w:line="240" w:lineRule="auto"/>
              <w:rPr>
                <w:rFonts w:eastAsia="Times New Roman"/>
                <w:color w:val="000000"/>
              </w:rPr>
            </w:pPr>
            <w:r w:rsidRPr="00563AD3">
              <w:rPr>
                <w:rFonts w:eastAsia="Times New Roman"/>
                <w:color w:val="000000"/>
              </w:rPr>
              <w:t xml:space="preserve">                                        Psychosis</w:t>
            </w:r>
          </w:p>
        </w:tc>
        <w:tc>
          <w:tcPr>
            <w:tcW w:w="1494" w:type="dxa"/>
            <w:tcBorders>
              <w:top w:val="nil"/>
              <w:left w:val="nil"/>
              <w:bottom w:val="nil"/>
              <w:right w:val="nil"/>
            </w:tcBorders>
            <w:shd w:val="clear" w:color="auto" w:fill="FFFFFF"/>
            <w:tcMar>
              <w:left w:w="67" w:type="dxa"/>
              <w:right w:w="67" w:type="dxa"/>
            </w:tcMar>
          </w:tcPr>
          <w:p w14:paraId="5E36FECE"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11 (3.8%)</w:t>
            </w:r>
          </w:p>
        </w:tc>
        <w:tc>
          <w:tcPr>
            <w:tcW w:w="0" w:type="auto"/>
            <w:tcBorders>
              <w:top w:val="nil"/>
              <w:left w:val="nil"/>
              <w:bottom w:val="nil"/>
              <w:right w:val="nil"/>
            </w:tcBorders>
            <w:shd w:val="clear" w:color="auto" w:fill="FFFFFF"/>
            <w:tcMar>
              <w:left w:w="67" w:type="dxa"/>
              <w:right w:w="67" w:type="dxa"/>
            </w:tcMar>
          </w:tcPr>
          <w:p w14:paraId="7EDA06EA"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21 (5.4%)</w:t>
            </w:r>
          </w:p>
        </w:tc>
        <w:tc>
          <w:tcPr>
            <w:tcW w:w="0" w:type="auto"/>
            <w:tcBorders>
              <w:top w:val="nil"/>
              <w:left w:val="nil"/>
              <w:bottom w:val="nil"/>
              <w:right w:val="single" w:sz="4" w:space="0" w:color="auto"/>
            </w:tcBorders>
            <w:shd w:val="clear" w:color="auto" w:fill="FFFFFF"/>
            <w:tcMar>
              <w:left w:w="67" w:type="dxa"/>
              <w:right w:w="67" w:type="dxa"/>
            </w:tcMar>
          </w:tcPr>
          <w:p w14:paraId="0D48364C"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32 (4.7%)</w:t>
            </w:r>
          </w:p>
        </w:tc>
      </w:tr>
      <w:tr w:rsidR="00233B0D" w:rsidRPr="00563AD3" w14:paraId="53A5C223"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774B5810" w14:textId="77777777" w:rsidR="00563AD3" w:rsidRPr="00563AD3" w:rsidRDefault="00233B0D" w:rsidP="00A648BD">
            <w:pPr>
              <w:keepNext/>
              <w:spacing w:after="0" w:line="240" w:lineRule="auto"/>
              <w:rPr>
                <w:rFonts w:eastAsia="Times New Roman"/>
                <w:color w:val="000000"/>
              </w:rPr>
            </w:pPr>
            <w:r w:rsidRPr="00563AD3">
              <w:rPr>
                <w:rFonts w:eastAsia="Times New Roman"/>
                <w:color w:val="000000"/>
              </w:rPr>
              <w:t xml:space="preserve">                                        Sleep </w:t>
            </w:r>
          </w:p>
          <w:p w14:paraId="0EC7D349" w14:textId="474B290F" w:rsidR="00233B0D" w:rsidRPr="00563AD3" w:rsidRDefault="00563AD3" w:rsidP="00A648BD">
            <w:pPr>
              <w:keepNext/>
              <w:spacing w:after="0" w:line="240" w:lineRule="auto"/>
              <w:rPr>
                <w:rFonts w:eastAsia="Times New Roman"/>
                <w:color w:val="000000"/>
              </w:rPr>
            </w:pPr>
            <w:r w:rsidRPr="00563AD3">
              <w:rPr>
                <w:rFonts w:eastAsia="Times New Roman"/>
                <w:color w:val="000000"/>
              </w:rPr>
              <w:t xml:space="preserve">                                        </w:t>
            </w:r>
            <w:r w:rsidR="00233B0D" w:rsidRPr="00563AD3">
              <w:rPr>
                <w:rFonts w:eastAsia="Times New Roman"/>
                <w:color w:val="000000"/>
              </w:rPr>
              <w:t>disturbance</w:t>
            </w:r>
          </w:p>
        </w:tc>
        <w:tc>
          <w:tcPr>
            <w:tcW w:w="1494" w:type="dxa"/>
            <w:tcBorders>
              <w:top w:val="nil"/>
              <w:left w:val="nil"/>
              <w:bottom w:val="nil"/>
              <w:right w:val="nil"/>
            </w:tcBorders>
            <w:shd w:val="clear" w:color="auto" w:fill="FFFFFF"/>
            <w:tcMar>
              <w:left w:w="67" w:type="dxa"/>
              <w:right w:w="67" w:type="dxa"/>
            </w:tcMar>
          </w:tcPr>
          <w:p w14:paraId="23015F87"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2 (0.7%)</w:t>
            </w:r>
          </w:p>
        </w:tc>
        <w:tc>
          <w:tcPr>
            <w:tcW w:w="0" w:type="auto"/>
            <w:tcBorders>
              <w:top w:val="nil"/>
              <w:left w:val="nil"/>
              <w:bottom w:val="nil"/>
              <w:right w:val="nil"/>
            </w:tcBorders>
            <w:shd w:val="clear" w:color="auto" w:fill="FFFFFF"/>
            <w:tcMar>
              <w:left w:w="67" w:type="dxa"/>
              <w:right w:w="67" w:type="dxa"/>
            </w:tcMar>
          </w:tcPr>
          <w:p w14:paraId="06BA86E1"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5 (1.3%)</w:t>
            </w:r>
          </w:p>
        </w:tc>
        <w:tc>
          <w:tcPr>
            <w:tcW w:w="0" w:type="auto"/>
            <w:tcBorders>
              <w:top w:val="nil"/>
              <w:left w:val="nil"/>
              <w:bottom w:val="nil"/>
              <w:right w:val="single" w:sz="4" w:space="0" w:color="auto"/>
            </w:tcBorders>
            <w:shd w:val="clear" w:color="auto" w:fill="FFFFFF"/>
            <w:tcMar>
              <w:left w:w="67" w:type="dxa"/>
              <w:right w:w="67" w:type="dxa"/>
            </w:tcMar>
          </w:tcPr>
          <w:p w14:paraId="3CD50822"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7 (1.0%)</w:t>
            </w:r>
          </w:p>
        </w:tc>
      </w:tr>
      <w:tr w:rsidR="00233B0D" w:rsidRPr="00563AD3" w14:paraId="1039EB46"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1915A4FD" w14:textId="77777777" w:rsidR="00233B0D" w:rsidRPr="00563AD3" w:rsidRDefault="00233B0D" w:rsidP="00A648BD">
            <w:pPr>
              <w:keepNext/>
              <w:spacing w:after="0" w:line="240" w:lineRule="auto"/>
              <w:rPr>
                <w:rFonts w:eastAsia="Times New Roman"/>
                <w:color w:val="000000"/>
              </w:rPr>
            </w:pPr>
            <w:r w:rsidRPr="00563AD3">
              <w:rPr>
                <w:rFonts w:eastAsia="Times New Roman"/>
                <w:color w:val="000000"/>
              </w:rPr>
              <w:t xml:space="preserve">                                        Delirium</w:t>
            </w:r>
          </w:p>
        </w:tc>
        <w:tc>
          <w:tcPr>
            <w:tcW w:w="1494" w:type="dxa"/>
            <w:tcBorders>
              <w:top w:val="nil"/>
              <w:left w:val="nil"/>
              <w:bottom w:val="nil"/>
              <w:right w:val="nil"/>
            </w:tcBorders>
            <w:shd w:val="clear" w:color="auto" w:fill="FFFFFF"/>
            <w:tcMar>
              <w:left w:w="67" w:type="dxa"/>
              <w:right w:w="67" w:type="dxa"/>
            </w:tcMar>
          </w:tcPr>
          <w:p w14:paraId="6E674371"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2 (0.7%)</w:t>
            </w:r>
          </w:p>
        </w:tc>
        <w:tc>
          <w:tcPr>
            <w:tcW w:w="0" w:type="auto"/>
            <w:tcBorders>
              <w:top w:val="nil"/>
              <w:left w:val="nil"/>
              <w:bottom w:val="nil"/>
              <w:right w:val="nil"/>
            </w:tcBorders>
            <w:shd w:val="clear" w:color="auto" w:fill="FFFFFF"/>
            <w:tcMar>
              <w:left w:w="67" w:type="dxa"/>
              <w:right w:w="67" w:type="dxa"/>
            </w:tcMar>
          </w:tcPr>
          <w:p w14:paraId="0A933579"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2 (0.5%)</w:t>
            </w:r>
          </w:p>
        </w:tc>
        <w:tc>
          <w:tcPr>
            <w:tcW w:w="0" w:type="auto"/>
            <w:tcBorders>
              <w:top w:val="nil"/>
              <w:left w:val="nil"/>
              <w:bottom w:val="nil"/>
              <w:right w:val="single" w:sz="4" w:space="0" w:color="auto"/>
            </w:tcBorders>
            <w:shd w:val="clear" w:color="auto" w:fill="FFFFFF"/>
            <w:tcMar>
              <w:left w:w="67" w:type="dxa"/>
              <w:right w:w="67" w:type="dxa"/>
            </w:tcMar>
          </w:tcPr>
          <w:p w14:paraId="4C771A54" w14:textId="77777777" w:rsidR="00233B0D" w:rsidRPr="00563AD3" w:rsidRDefault="00233B0D" w:rsidP="00A648BD">
            <w:pPr>
              <w:keepNext/>
              <w:spacing w:after="0" w:line="240" w:lineRule="auto"/>
              <w:jc w:val="right"/>
              <w:rPr>
                <w:rFonts w:eastAsia="Times New Roman"/>
                <w:color w:val="000000"/>
              </w:rPr>
            </w:pPr>
            <w:r w:rsidRPr="00563AD3">
              <w:rPr>
                <w:rFonts w:eastAsia="Times New Roman"/>
                <w:color w:val="000000"/>
              </w:rPr>
              <w:t>4 (0.6%)</w:t>
            </w:r>
          </w:p>
        </w:tc>
      </w:tr>
      <w:tr w:rsidR="00233B0D" w:rsidRPr="00563AD3" w14:paraId="0190711F"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19039F58" w14:textId="77777777" w:rsidR="00233B0D" w:rsidRPr="00563AD3" w:rsidRDefault="00233B0D" w:rsidP="00A648BD">
            <w:pPr>
              <w:keepNext/>
              <w:spacing w:after="0" w:line="240" w:lineRule="auto"/>
              <w:rPr>
                <w:rFonts w:eastAsia="Times New Roman"/>
                <w:color w:val="000000"/>
              </w:rPr>
            </w:pPr>
            <w:r w:rsidRPr="00563AD3">
              <w:rPr>
                <w:rFonts w:eastAsia="Times New Roman"/>
                <w:b/>
                <w:bCs/>
                <w:color w:val="000000"/>
              </w:rPr>
              <w:t>FAST stage (out of completed scores)</w:t>
            </w:r>
          </w:p>
        </w:tc>
        <w:tc>
          <w:tcPr>
            <w:tcW w:w="1494" w:type="dxa"/>
            <w:tcBorders>
              <w:top w:val="nil"/>
              <w:left w:val="nil"/>
              <w:bottom w:val="nil"/>
              <w:right w:val="nil"/>
            </w:tcBorders>
            <w:shd w:val="clear" w:color="auto" w:fill="auto"/>
            <w:tcMar>
              <w:left w:w="67" w:type="dxa"/>
              <w:right w:w="67" w:type="dxa"/>
            </w:tcMar>
          </w:tcPr>
          <w:p w14:paraId="3B04AE50" w14:textId="77777777" w:rsidR="00233B0D" w:rsidRPr="00563AD3" w:rsidRDefault="00233B0D" w:rsidP="00A648BD">
            <w:pPr>
              <w:keepNext/>
              <w:spacing w:after="0" w:line="240" w:lineRule="auto"/>
              <w:jc w:val="right"/>
              <w:rPr>
                <w:rFonts w:eastAsia="Times New Roman"/>
                <w:b/>
                <w:color w:val="000000"/>
              </w:rPr>
            </w:pPr>
            <w:r w:rsidRPr="00563AD3">
              <w:rPr>
                <w:rFonts w:eastAsia="Times New Roman"/>
                <w:b/>
                <w:color w:val="000000"/>
              </w:rPr>
              <w:t>(n=284)</w:t>
            </w:r>
          </w:p>
        </w:tc>
        <w:tc>
          <w:tcPr>
            <w:tcW w:w="0" w:type="auto"/>
            <w:tcBorders>
              <w:top w:val="nil"/>
              <w:left w:val="nil"/>
              <w:bottom w:val="nil"/>
              <w:right w:val="nil"/>
            </w:tcBorders>
            <w:shd w:val="clear" w:color="auto" w:fill="auto"/>
            <w:tcMar>
              <w:left w:w="67" w:type="dxa"/>
              <w:right w:w="67" w:type="dxa"/>
            </w:tcMar>
          </w:tcPr>
          <w:p w14:paraId="3DA00782" w14:textId="77777777" w:rsidR="00233B0D" w:rsidRPr="00563AD3" w:rsidRDefault="00233B0D" w:rsidP="00A648BD">
            <w:pPr>
              <w:keepNext/>
              <w:spacing w:after="0" w:line="240" w:lineRule="auto"/>
              <w:jc w:val="right"/>
              <w:rPr>
                <w:rFonts w:eastAsia="Times New Roman"/>
                <w:b/>
                <w:color w:val="000000"/>
              </w:rPr>
            </w:pPr>
            <w:r w:rsidRPr="00563AD3">
              <w:rPr>
                <w:rFonts w:eastAsia="Times New Roman"/>
                <w:b/>
                <w:color w:val="000000"/>
              </w:rPr>
              <w:t>(n=384)</w:t>
            </w:r>
          </w:p>
        </w:tc>
        <w:tc>
          <w:tcPr>
            <w:tcW w:w="0" w:type="auto"/>
            <w:tcBorders>
              <w:top w:val="nil"/>
              <w:left w:val="nil"/>
              <w:bottom w:val="nil"/>
              <w:right w:val="single" w:sz="4" w:space="0" w:color="auto"/>
            </w:tcBorders>
            <w:shd w:val="clear" w:color="auto" w:fill="auto"/>
            <w:tcMar>
              <w:left w:w="67" w:type="dxa"/>
              <w:right w:w="67" w:type="dxa"/>
            </w:tcMar>
          </w:tcPr>
          <w:p w14:paraId="3F4CD4E7" w14:textId="77777777" w:rsidR="00233B0D" w:rsidRPr="00563AD3" w:rsidRDefault="00233B0D" w:rsidP="00A648BD">
            <w:pPr>
              <w:keepNext/>
              <w:spacing w:after="0" w:line="240" w:lineRule="auto"/>
              <w:jc w:val="right"/>
              <w:rPr>
                <w:rFonts w:eastAsia="Times New Roman"/>
                <w:b/>
                <w:color w:val="000000"/>
              </w:rPr>
            </w:pPr>
            <w:r w:rsidRPr="00563AD3">
              <w:rPr>
                <w:rFonts w:eastAsia="Times New Roman"/>
                <w:b/>
                <w:color w:val="000000"/>
              </w:rPr>
              <w:t>(n=668)</w:t>
            </w:r>
          </w:p>
        </w:tc>
      </w:tr>
      <w:tr w:rsidR="00233B0D" w:rsidRPr="00563AD3" w14:paraId="415C611C"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1D506584" w14:textId="77777777" w:rsidR="00233B0D" w:rsidRPr="00563AD3" w:rsidRDefault="00233B0D" w:rsidP="00A648BD">
            <w:pPr>
              <w:keepNext/>
              <w:spacing w:after="0" w:line="240" w:lineRule="auto"/>
              <w:rPr>
                <w:rFonts w:eastAsia="Times New Roman"/>
                <w:color w:val="000000"/>
              </w:rPr>
            </w:pPr>
            <w:r w:rsidRPr="00563AD3">
              <w:rPr>
                <w:rFonts w:eastAsia="Times New Roman"/>
                <w:color w:val="000000"/>
              </w:rPr>
              <w:t>4</w:t>
            </w:r>
          </w:p>
        </w:tc>
        <w:tc>
          <w:tcPr>
            <w:tcW w:w="1494" w:type="dxa"/>
            <w:tcBorders>
              <w:top w:val="nil"/>
              <w:left w:val="nil"/>
              <w:bottom w:val="nil"/>
              <w:right w:val="nil"/>
            </w:tcBorders>
            <w:shd w:val="clear" w:color="auto" w:fill="FFFFFF"/>
            <w:tcMar>
              <w:left w:w="67" w:type="dxa"/>
              <w:right w:w="67" w:type="dxa"/>
            </w:tcMar>
          </w:tcPr>
          <w:p w14:paraId="305335B9"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22 (7.7%)</w:t>
            </w:r>
          </w:p>
        </w:tc>
        <w:tc>
          <w:tcPr>
            <w:tcW w:w="0" w:type="auto"/>
            <w:tcBorders>
              <w:top w:val="nil"/>
              <w:left w:val="nil"/>
              <w:bottom w:val="nil"/>
              <w:right w:val="nil"/>
            </w:tcBorders>
            <w:shd w:val="clear" w:color="auto" w:fill="FFFFFF"/>
            <w:tcMar>
              <w:left w:w="67" w:type="dxa"/>
              <w:right w:w="67" w:type="dxa"/>
            </w:tcMar>
          </w:tcPr>
          <w:p w14:paraId="0340C51A"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35 (9.1%)</w:t>
            </w:r>
          </w:p>
        </w:tc>
        <w:tc>
          <w:tcPr>
            <w:tcW w:w="0" w:type="auto"/>
            <w:tcBorders>
              <w:top w:val="nil"/>
              <w:left w:val="nil"/>
              <w:bottom w:val="nil"/>
              <w:right w:val="single" w:sz="4" w:space="0" w:color="auto"/>
            </w:tcBorders>
            <w:shd w:val="clear" w:color="auto" w:fill="FFFFFF"/>
            <w:tcMar>
              <w:left w:w="67" w:type="dxa"/>
              <w:right w:w="67" w:type="dxa"/>
            </w:tcMar>
          </w:tcPr>
          <w:p w14:paraId="66D62BD4"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57 (8.5%)</w:t>
            </w:r>
          </w:p>
        </w:tc>
      </w:tr>
      <w:tr w:rsidR="00233B0D" w:rsidRPr="00563AD3" w14:paraId="428BDED4"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1006565A" w14:textId="77777777" w:rsidR="00233B0D" w:rsidRPr="00563AD3" w:rsidRDefault="00233B0D" w:rsidP="00A648BD">
            <w:pPr>
              <w:keepNext/>
              <w:spacing w:after="0" w:line="240" w:lineRule="auto"/>
              <w:rPr>
                <w:rFonts w:eastAsia="Times New Roman"/>
                <w:color w:val="000000"/>
              </w:rPr>
            </w:pPr>
            <w:r w:rsidRPr="00563AD3">
              <w:rPr>
                <w:rFonts w:eastAsia="Times New Roman"/>
                <w:color w:val="000000"/>
              </w:rPr>
              <w:t>5</w:t>
            </w:r>
          </w:p>
        </w:tc>
        <w:tc>
          <w:tcPr>
            <w:tcW w:w="1494" w:type="dxa"/>
            <w:tcBorders>
              <w:top w:val="nil"/>
              <w:left w:val="nil"/>
              <w:bottom w:val="nil"/>
              <w:right w:val="nil"/>
            </w:tcBorders>
            <w:shd w:val="clear" w:color="auto" w:fill="FFFFFF"/>
            <w:tcMar>
              <w:left w:w="67" w:type="dxa"/>
              <w:right w:w="67" w:type="dxa"/>
            </w:tcMar>
          </w:tcPr>
          <w:p w14:paraId="5E2B72BD"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20 (7.0%)</w:t>
            </w:r>
          </w:p>
        </w:tc>
        <w:tc>
          <w:tcPr>
            <w:tcW w:w="0" w:type="auto"/>
            <w:tcBorders>
              <w:top w:val="nil"/>
              <w:left w:val="nil"/>
              <w:bottom w:val="nil"/>
              <w:right w:val="nil"/>
            </w:tcBorders>
            <w:shd w:val="clear" w:color="auto" w:fill="FFFFFF"/>
            <w:tcMar>
              <w:left w:w="67" w:type="dxa"/>
              <w:right w:w="67" w:type="dxa"/>
            </w:tcMar>
          </w:tcPr>
          <w:p w14:paraId="43DDB7C4"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21 (5.5%)</w:t>
            </w:r>
          </w:p>
        </w:tc>
        <w:tc>
          <w:tcPr>
            <w:tcW w:w="0" w:type="auto"/>
            <w:tcBorders>
              <w:top w:val="nil"/>
              <w:left w:val="nil"/>
              <w:bottom w:val="nil"/>
              <w:right w:val="single" w:sz="4" w:space="0" w:color="auto"/>
            </w:tcBorders>
            <w:shd w:val="clear" w:color="auto" w:fill="FFFFFF"/>
            <w:tcMar>
              <w:left w:w="67" w:type="dxa"/>
              <w:right w:w="67" w:type="dxa"/>
            </w:tcMar>
          </w:tcPr>
          <w:p w14:paraId="2BDFC4C1"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41 (6.1%)</w:t>
            </w:r>
          </w:p>
        </w:tc>
      </w:tr>
      <w:tr w:rsidR="00233B0D" w:rsidRPr="00563AD3" w14:paraId="3BBEEFC4" w14:textId="77777777" w:rsidTr="00233B0D">
        <w:trPr>
          <w:cantSplit/>
          <w:jc w:val="center"/>
        </w:trPr>
        <w:tc>
          <w:tcPr>
            <w:tcW w:w="3964" w:type="dxa"/>
            <w:tcBorders>
              <w:top w:val="nil"/>
              <w:left w:val="single" w:sz="4" w:space="0" w:color="auto"/>
              <w:bottom w:val="nil"/>
              <w:right w:val="nil"/>
            </w:tcBorders>
            <w:shd w:val="clear" w:color="auto" w:fill="FFFFFF"/>
            <w:tcMar>
              <w:left w:w="67" w:type="dxa"/>
              <w:right w:w="67" w:type="dxa"/>
            </w:tcMar>
          </w:tcPr>
          <w:p w14:paraId="0AF04622" w14:textId="77777777" w:rsidR="00233B0D" w:rsidRPr="00563AD3" w:rsidRDefault="00233B0D" w:rsidP="00A648BD">
            <w:pPr>
              <w:keepNext/>
              <w:spacing w:after="0" w:line="240" w:lineRule="auto"/>
              <w:rPr>
                <w:rFonts w:eastAsia="Times New Roman"/>
                <w:color w:val="000000"/>
              </w:rPr>
            </w:pPr>
            <w:r w:rsidRPr="00563AD3">
              <w:rPr>
                <w:rFonts w:eastAsia="Times New Roman"/>
                <w:color w:val="000000"/>
              </w:rPr>
              <w:t>6</w:t>
            </w:r>
          </w:p>
        </w:tc>
        <w:tc>
          <w:tcPr>
            <w:tcW w:w="1494" w:type="dxa"/>
            <w:tcBorders>
              <w:top w:val="nil"/>
              <w:left w:val="nil"/>
              <w:bottom w:val="nil"/>
              <w:right w:val="nil"/>
            </w:tcBorders>
            <w:shd w:val="clear" w:color="auto" w:fill="FFFFFF"/>
            <w:tcMar>
              <w:left w:w="67" w:type="dxa"/>
              <w:right w:w="67" w:type="dxa"/>
            </w:tcMar>
          </w:tcPr>
          <w:p w14:paraId="3EBF3508"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168 (59.2%)</w:t>
            </w:r>
          </w:p>
        </w:tc>
        <w:tc>
          <w:tcPr>
            <w:tcW w:w="0" w:type="auto"/>
            <w:tcBorders>
              <w:top w:val="nil"/>
              <w:left w:val="nil"/>
              <w:bottom w:val="nil"/>
              <w:right w:val="nil"/>
            </w:tcBorders>
            <w:shd w:val="clear" w:color="auto" w:fill="FFFFFF"/>
            <w:tcMar>
              <w:left w:w="67" w:type="dxa"/>
              <w:right w:w="67" w:type="dxa"/>
            </w:tcMar>
          </w:tcPr>
          <w:p w14:paraId="486253F7"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238 (62.0%)</w:t>
            </w:r>
          </w:p>
        </w:tc>
        <w:tc>
          <w:tcPr>
            <w:tcW w:w="0" w:type="auto"/>
            <w:tcBorders>
              <w:top w:val="nil"/>
              <w:left w:val="nil"/>
              <w:bottom w:val="nil"/>
              <w:right w:val="single" w:sz="4" w:space="0" w:color="auto"/>
            </w:tcBorders>
            <w:shd w:val="clear" w:color="auto" w:fill="FFFFFF"/>
            <w:tcMar>
              <w:left w:w="67" w:type="dxa"/>
              <w:right w:w="67" w:type="dxa"/>
            </w:tcMar>
          </w:tcPr>
          <w:p w14:paraId="7F3BFF52"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406 (60.8%)</w:t>
            </w:r>
          </w:p>
        </w:tc>
      </w:tr>
      <w:tr w:rsidR="00233B0D" w:rsidRPr="00563AD3" w14:paraId="6C966F8F" w14:textId="77777777" w:rsidTr="00233B0D">
        <w:trPr>
          <w:cantSplit/>
          <w:jc w:val="center"/>
        </w:trPr>
        <w:tc>
          <w:tcPr>
            <w:tcW w:w="3964" w:type="dxa"/>
            <w:tcBorders>
              <w:top w:val="nil"/>
              <w:left w:val="single" w:sz="4" w:space="0" w:color="auto"/>
              <w:bottom w:val="single" w:sz="4" w:space="0" w:color="auto"/>
              <w:right w:val="nil"/>
            </w:tcBorders>
            <w:shd w:val="clear" w:color="auto" w:fill="FFFFFF"/>
            <w:tcMar>
              <w:left w:w="67" w:type="dxa"/>
              <w:right w:w="67" w:type="dxa"/>
            </w:tcMar>
          </w:tcPr>
          <w:p w14:paraId="2700F929" w14:textId="77777777" w:rsidR="00233B0D" w:rsidRPr="00563AD3" w:rsidRDefault="00233B0D" w:rsidP="00A648BD">
            <w:pPr>
              <w:keepNext/>
              <w:spacing w:after="0" w:line="240" w:lineRule="auto"/>
              <w:rPr>
                <w:rFonts w:eastAsia="Times New Roman"/>
                <w:color w:val="000000"/>
              </w:rPr>
            </w:pPr>
            <w:r w:rsidRPr="00563AD3">
              <w:rPr>
                <w:rFonts w:eastAsia="Times New Roman"/>
                <w:color w:val="000000"/>
              </w:rPr>
              <w:t>7</w:t>
            </w:r>
          </w:p>
        </w:tc>
        <w:tc>
          <w:tcPr>
            <w:tcW w:w="1494" w:type="dxa"/>
            <w:tcBorders>
              <w:top w:val="nil"/>
              <w:left w:val="nil"/>
              <w:bottom w:val="nil"/>
              <w:right w:val="nil"/>
            </w:tcBorders>
            <w:shd w:val="clear" w:color="auto" w:fill="FFFFFF"/>
            <w:tcMar>
              <w:left w:w="67" w:type="dxa"/>
              <w:right w:w="67" w:type="dxa"/>
            </w:tcMar>
          </w:tcPr>
          <w:p w14:paraId="6B637441"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74 (26.1%)</w:t>
            </w:r>
          </w:p>
        </w:tc>
        <w:tc>
          <w:tcPr>
            <w:tcW w:w="0" w:type="auto"/>
            <w:tcBorders>
              <w:top w:val="nil"/>
              <w:left w:val="nil"/>
              <w:bottom w:val="nil"/>
              <w:right w:val="nil"/>
            </w:tcBorders>
            <w:shd w:val="clear" w:color="auto" w:fill="FFFFFF"/>
            <w:tcMar>
              <w:left w:w="67" w:type="dxa"/>
              <w:right w:w="67" w:type="dxa"/>
            </w:tcMar>
          </w:tcPr>
          <w:p w14:paraId="616FE410"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90 (23.4%)</w:t>
            </w:r>
          </w:p>
        </w:tc>
        <w:tc>
          <w:tcPr>
            <w:tcW w:w="0" w:type="auto"/>
            <w:tcBorders>
              <w:top w:val="nil"/>
              <w:left w:val="nil"/>
              <w:bottom w:val="nil"/>
              <w:right w:val="single" w:sz="4" w:space="0" w:color="auto"/>
            </w:tcBorders>
            <w:shd w:val="clear" w:color="auto" w:fill="FFFFFF"/>
            <w:tcMar>
              <w:left w:w="67" w:type="dxa"/>
              <w:right w:w="67" w:type="dxa"/>
            </w:tcMar>
          </w:tcPr>
          <w:p w14:paraId="1C8D1CCC" w14:textId="77777777" w:rsidR="00233B0D" w:rsidRPr="00563AD3" w:rsidRDefault="00233B0D" w:rsidP="00A648BD">
            <w:pPr>
              <w:keepNext/>
              <w:spacing w:after="0" w:line="240" w:lineRule="auto"/>
              <w:jc w:val="right"/>
              <w:rPr>
                <w:rFonts w:eastAsia="Times New Roman"/>
                <w:color w:val="000000"/>
              </w:rPr>
            </w:pPr>
            <w:r w:rsidRPr="00563AD3">
              <w:rPr>
                <w:rFonts w:eastAsia="Calibri"/>
                <w:color w:val="000000"/>
                <w:lang w:eastAsia="en-US"/>
              </w:rPr>
              <w:t>164 (24.6%)</w:t>
            </w:r>
          </w:p>
        </w:tc>
      </w:tr>
      <w:tr w:rsidR="00233B0D" w:rsidRPr="00563AD3" w14:paraId="0A84869B" w14:textId="77777777" w:rsidTr="00233B0D">
        <w:trPr>
          <w:cantSplit/>
          <w:jc w:val="center"/>
        </w:trPr>
        <w:tc>
          <w:tcPr>
            <w:tcW w:w="3964" w:type="dxa"/>
            <w:tcBorders>
              <w:top w:val="single" w:sz="4" w:space="0" w:color="auto"/>
              <w:left w:val="single" w:sz="4" w:space="0" w:color="auto"/>
              <w:bottom w:val="single" w:sz="4" w:space="0" w:color="auto"/>
              <w:right w:val="nil"/>
            </w:tcBorders>
            <w:shd w:val="clear" w:color="auto" w:fill="FFFFFF"/>
            <w:tcMar>
              <w:left w:w="67" w:type="dxa"/>
              <w:right w:w="67" w:type="dxa"/>
            </w:tcMar>
          </w:tcPr>
          <w:p w14:paraId="6242BCA7" w14:textId="77777777" w:rsidR="00233B0D" w:rsidRPr="00563AD3" w:rsidRDefault="00233B0D" w:rsidP="00A648BD">
            <w:pPr>
              <w:autoSpaceDE/>
              <w:autoSpaceDN/>
              <w:adjustRightInd/>
              <w:spacing w:before="120" w:after="0" w:line="240" w:lineRule="auto"/>
              <w:rPr>
                <w:rFonts w:eastAsia="Calibri"/>
                <w:sz w:val="24"/>
                <w:szCs w:val="24"/>
                <w:lang w:eastAsia="en-US"/>
              </w:rPr>
            </w:pPr>
            <w:r w:rsidRPr="00563AD3">
              <w:rPr>
                <w:rFonts w:eastAsia="Times New Roman"/>
                <w:color w:val="000000"/>
              </w:rPr>
              <w:t>*not mutually exclusive</w:t>
            </w:r>
          </w:p>
        </w:tc>
        <w:tc>
          <w:tcPr>
            <w:tcW w:w="1494" w:type="dxa"/>
            <w:tcBorders>
              <w:top w:val="nil"/>
              <w:left w:val="nil"/>
              <w:bottom w:val="single" w:sz="4" w:space="0" w:color="auto"/>
              <w:right w:val="nil"/>
            </w:tcBorders>
            <w:shd w:val="clear" w:color="auto" w:fill="FFFFFF"/>
            <w:tcMar>
              <w:left w:w="67" w:type="dxa"/>
              <w:right w:w="67" w:type="dxa"/>
            </w:tcMar>
          </w:tcPr>
          <w:p w14:paraId="354C4EAD" w14:textId="77777777" w:rsidR="00233B0D" w:rsidRPr="00563AD3" w:rsidRDefault="00233B0D" w:rsidP="00A648BD">
            <w:pPr>
              <w:keepNext/>
              <w:spacing w:after="0" w:line="240" w:lineRule="auto"/>
              <w:jc w:val="right"/>
              <w:rPr>
                <w:rFonts w:eastAsia="Calibri"/>
                <w:color w:val="000000"/>
                <w:lang w:eastAsia="en-US"/>
              </w:rPr>
            </w:pPr>
          </w:p>
        </w:tc>
        <w:tc>
          <w:tcPr>
            <w:tcW w:w="0" w:type="auto"/>
            <w:tcBorders>
              <w:top w:val="nil"/>
              <w:left w:val="nil"/>
              <w:bottom w:val="single" w:sz="4" w:space="0" w:color="auto"/>
              <w:right w:val="nil"/>
            </w:tcBorders>
            <w:shd w:val="clear" w:color="auto" w:fill="FFFFFF"/>
            <w:tcMar>
              <w:left w:w="67" w:type="dxa"/>
              <w:right w:w="67" w:type="dxa"/>
            </w:tcMar>
          </w:tcPr>
          <w:p w14:paraId="4B730DED" w14:textId="77777777" w:rsidR="00233B0D" w:rsidRPr="00563AD3" w:rsidRDefault="00233B0D" w:rsidP="00A648BD">
            <w:pPr>
              <w:keepNext/>
              <w:spacing w:after="0" w:line="240" w:lineRule="auto"/>
              <w:jc w:val="right"/>
              <w:rPr>
                <w:rFonts w:eastAsia="Calibri"/>
                <w:color w:val="000000"/>
                <w:lang w:eastAsia="en-US"/>
              </w:rPr>
            </w:pPr>
          </w:p>
        </w:tc>
        <w:tc>
          <w:tcPr>
            <w:tcW w:w="0" w:type="auto"/>
            <w:tcBorders>
              <w:top w:val="nil"/>
              <w:left w:val="nil"/>
              <w:bottom w:val="single" w:sz="4" w:space="0" w:color="auto"/>
              <w:right w:val="single" w:sz="4" w:space="0" w:color="auto"/>
            </w:tcBorders>
            <w:shd w:val="clear" w:color="auto" w:fill="FFFFFF"/>
            <w:tcMar>
              <w:left w:w="67" w:type="dxa"/>
              <w:right w:w="67" w:type="dxa"/>
            </w:tcMar>
          </w:tcPr>
          <w:p w14:paraId="17EA1717" w14:textId="77777777" w:rsidR="00233B0D" w:rsidRPr="00563AD3" w:rsidRDefault="00233B0D" w:rsidP="00A648BD">
            <w:pPr>
              <w:keepNext/>
              <w:spacing w:after="0" w:line="240" w:lineRule="auto"/>
              <w:jc w:val="right"/>
              <w:rPr>
                <w:rFonts w:eastAsia="Calibri"/>
                <w:color w:val="000000"/>
                <w:lang w:eastAsia="en-US"/>
              </w:rPr>
            </w:pPr>
          </w:p>
        </w:tc>
      </w:tr>
    </w:tbl>
    <w:p w14:paraId="192C9318" w14:textId="77777777" w:rsidR="00233B0D" w:rsidRPr="00563AD3" w:rsidRDefault="00233B0D" w:rsidP="009B13F3">
      <w:pPr>
        <w:autoSpaceDE/>
        <w:autoSpaceDN/>
        <w:adjustRightInd/>
        <w:spacing w:before="120" w:after="0"/>
        <w:rPr>
          <w:rFonts w:eastAsia="Calibri"/>
          <w:sz w:val="24"/>
          <w:szCs w:val="24"/>
          <w:lang w:eastAsia="en-US"/>
        </w:rPr>
        <w:sectPr w:rsidR="00233B0D" w:rsidRPr="00563AD3" w:rsidSect="00233B0D">
          <w:pgSz w:w="11906" w:h="16838"/>
          <w:pgMar w:top="1440" w:right="1440" w:bottom="1440" w:left="1440" w:header="708" w:footer="708" w:gutter="0"/>
          <w:cols w:space="708"/>
          <w:docGrid w:linePitch="360"/>
        </w:sectPr>
      </w:pPr>
    </w:p>
    <w:p w14:paraId="4A18A53F" w14:textId="77777777" w:rsidR="00A17B52" w:rsidRPr="00563AD3" w:rsidRDefault="00A17B52" w:rsidP="00A17B52">
      <w:pPr>
        <w:pStyle w:val="Heading3"/>
        <w:rPr>
          <w:rFonts w:eastAsia="Calibri"/>
          <w:lang w:eastAsia="en-US"/>
        </w:rPr>
      </w:pPr>
      <w:bookmarkStart w:id="135" w:name="_Toc525544010"/>
      <w:bookmarkEnd w:id="126"/>
      <w:bookmarkEnd w:id="127"/>
      <w:r w:rsidRPr="00563AD3">
        <w:rPr>
          <w:rFonts w:eastAsia="Calibri"/>
          <w:lang w:eastAsia="en-US"/>
        </w:rPr>
        <w:t>3.2.2 Resident characteristics</w:t>
      </w:r>
      <w:bookmarkEnd w:id="135"/>
    </w:p>
    <w:p w14:paraId="54C988F3" w14:textId="77777777" w:rsidR="00A17B52" w:rsidRDefault="00A17B52" w:rsidP="00A17B52">
      <w:r w:rsidRPr="00563AD3">
        <w:rPr>
          <w:rFonts w:eastAsia="Calibri"/>
          <w:lang w:eastAsia="en-US"/>
        </w:rPr>
        <w:t xml:space="preserve">In the closed-cohort, the mean resident age at randomisation was similar between intervention and control arms (85.3 years in control, 86.0 years in intervention) (Table 6). A higher proportion of residents in the intervention were male (126, 30.1%) compared to control (64, 20.8%) </w:t>
      </w:r>
      <w:r w:rsidRPr="00563AD3">
        <w:t xml:space="preserve">and the median number of comorbidities was two in both arms, with the proportion of residents with no comorbidities similar across </w:t>
      </w:r>
      <w:r>
        <w:t xml:space="preserve">arms. </w:t>
      </w:r>
    </w:p>
    <w:p w14:paraId="4A1FA172" w14:textId="7E2E6444" w:rsidR="00A648BD" w:rsidRPr="00563AD3" w:rsidRDefault="00A648BD" w:rsidP="00A17B52">
      <w:pPr>
        <w:rPr>
          <w:rFonts w:eastAsia="Calibri"/>
          <w:lang w:eastAsia="en-US"/>
        </w:rPr>
      </w:pPr>
      <w:r>
        <w:t xml:space="preserve">In the cross-sectional </w:t>
      </w:r>
      <w:r w:rsidRPr="00563AD3">
        <w:t>sample, control residents were slightly younger compared to intervention residents (83.7 versus 85.2 years respectively). There was a higher proportion of residents with no reported comorbidities in control compared to intervention. Similar levels of dementia severity were observed in both arms, as measured by the FAST, although a lower proportion of residents had moderately severe to severe dementia (FAST stage 6-7) in the closed-cohort (74.9%) compared to the cross-sectional sample (85.4%) due to worsening of dementia of residents in the closed-cohort over time.</w:t>
      </w:r>
    </w:p>
    <w:p w14:paraId="669C29E8" w14:textId="77777777" w:rsidR="00A648BD" w:rsidRDefault="00A648BD" w:rsidP="002313C5"/>
    <w:p w14:paraId="727398D7" w14:textId="3E76976E" w:rsidR="001A743A" w:rsidRPr="00563AD3" w:rsidRDefault="00A97DE0" w:rsidP="009B13F3">
      <w:pPr>
        <w:pStyle w:val="Heading2"/>
      </w:pPr>
      <w:bookmarkStart w:id="136" w:name="_Toc525544011"/>
      <w:r w:rsidRPr="00563AD3">
        <w:t>3.3</w:t>
      </w:r>
      <w:r w:rsidR="001A743A" w:rsidRPr="00563AD3">
        <w:t xml:space="preserve"> Treatment summaries</w:t>
      </w:r>
      <w:bookmarkEnd w:id="136"/>
    </w:p>
    <w:p w14:paraId="57BB5495" w14:textId="2F750E35" w:rsidR="001A743A" w:rsidRPr="00563AD3" w:rsidRDefault="00A97DE0" w:rsidP="009B13F3">
      <w:pPr>
        <w:pStyle w:val="Heading3"/>
      </w:pPr>
      <w:bookmarkStart w:id="137" w:name="_Toc501009760"/>
      <w:bookmarkStart w:id="138" w:name="_Toc525544012"/>
      <w:r w:rsidRPr="00563AD3">
        <w:t>3.3</w:t>
      </w:r>
      <w:r w:rsidR="001A743A" w:rsidRPr="00563AD3">
        <w:t>.1 Control</w:t>
      </w:r>
      <w:bookmarkEnd w:id="137"/>
      <w:bookmarkEnd w:id="138"/>
      <w:r w:rsidR="001A743A" w:rsidRPr="00563AD3">
        <w:t xml:space="preserve"> </w:t>
      </w:r>
    </w:p>
    <w:p w14:paraId="48A8C84C" w14:textId="47D763F2" w:rsidR="001A743A" w:rsidRPr="00563AD3" w:rsidRDefault="001A743A" w:rsidP="00351A24">
      <w:r w:rsidRPr="00563AD3">
        <w:t xml:space="preserve">Organisational and staff changes reflecting usual care at a care home level are summarised in </w:t>
      </w:r>
      <w:r w:rsidR="00351A24">
        <w:t xml:space="preserve">Table 7 </w:t>
      </w:r>
      <w:r w:rsidRPr="00563AD3">
        <w:t xml:space="preserve">for both arms, each compared to the previous time point. A higher proportion of care homes had experienced management changes in the intervention </w:t>
      </w:r>
      <w:r w:rsidR="00182DC5" w:rsidRPr="00563AD3">
        <w:t>arm</w:t>
      </w:r>
      <w:r w:rsidRPr="00563AD3">
        <w:t xml:space="preserve"> at 6-months, and a higher proportion of care homes had new staff roles introduced in the unit in the intervention </w:t>
      </w:r>
      <w:r w:rsidR="00182DC5" w:rsidRPr="00563AD3">
        <w:t>arm</w:t>
      </w:r>
      <w:r w:rsidRPr="00563AD3">
        <w:t xml:space="preserve">. At both follow-up points, a higher proportion of intervention care homes achieved or completed standard quality assessments (e.g. ISA). </w:t>
      </w:r>
      <w:r w:rsidR="00E36DF6" w:rsidRPr="00563AD3">
        <w:t>C</w:t>
      </w:r>
      <w:r w:rsidRPr="00563AD3">
        <w:t xml:space="preserve">ompared with control homes a smaller proportion of intervention care homes reported having staff with higher-level dementia-specific qualifications at 6-months, </w:t>
      </w:r>
      <w:r w:rsidR="00E36DF6" w:rsidRPr="00563AD3">
        <w:t xml:space="preserve">but </w:t>
      </w:r>
      <w:r w:rsidRPr="00563AD3">
        <w:t>by 16-months a higher proportion of intervention homes reported staff with higher-level d</w:t>
      </w:r>
      <w:r w:rsidR="00E36DF6" w:rsidRPr="00563AD3">
        <w:t>ementia-specific qualifications</w:t>
      </w:r>
      <w:r w:rsidRPr="00563AD3">
        <w:t>.</w:t>
      </w:r>
    </w:p>
    <w:p w14:paraId="7513DEA9" w14:textId="77777777" w:rsidR="00A648BD" w:rsidRPr="00563AD3" w:rsidRDefault="00A648BD" w:rsidP="00A648BD">
      <w:pPr>
        <w:pStyle w:val="Heading3"/>
      </w:pPr>
      <w:bookmarkStart w:id="139" w:name="_Toc501009761"/>
      <w:bookmarkStart w:id="140" w:name="_Toc525544013"/>
      <w:bookmarkStart w:id="141" w:name="_Ref501009047"/>
      <w:bookmarkStart w:id="142" w:name="_Ref499124997"/>
      <w:bookmarkStart w:id="143" w:name="_Ref501008944"/>
      <w:bookmarkStart w:id="144" w:name="_Toc501009774"/>
      <w:r w:rsidRPr="00563AD3">
        <w:t>3.3.2 Intervention</w:t>
      </w:r>
      <w:bookmarkEnd w:id="139"/>
      <w:bookmarkEnd w:id="140"/>
    </w:p>
    <w:p w14:paraId="1651E778" w14:textId="6FEB4746" w:rsidR="00A648BD" w:rsidRDefault="00A648BD" w:rsidP="00A648BD">
      <w:r w:rsidRPr="00563AD3">
        <w:t xml:space="preserve">Adherence to the intervention is reported by cycle and number of components completed (i.e. briefing; observation; analysis, reporting and feedback; and action planning) in Figure 2 (see </w:t>
      </w:r>
      <w:r w:rsidRPr="00A648BD">
        <w:rPr>
          <w:i/>
        </w:rPr>
        <w:t>Appendix 1, Table 33</w:t>
      </w:r>
      <w:r w:rsidRPr="00563AD3">
        <w:t xml:space="preserve"> for further detail on adherence by care home), with the furthest reported component through the </w:t>
      </w:r>
      <w:r w:rsidRPr="00563AD3">
        <w:rPr>
          <w:lang w:eastAsia="en-US"/>
        </w:rPr>
        <w:t>DCM</w:t>
      </w:r>
      <w:r w:rsidRPr="00563AD3">
        <w:t xml:space="preserve">™ cycle presented. Based on documented evidence, 16 (51.6%) of care homes in the intervention arm completed only one cycle to an acceptable level, 4 (12.9%) completed two cycles to an acceptable level and 4 (12.9%) completed all three cycles to an acceptable level. Seven care homes (22.6%) did not complete a full intervention cycle, with three (9.7%) of these not completing any of the intervention components. Further intervention component summaries are in </w:t>
      </w:r>
      <w:r>
        <w:t>Appendix 1</w:t>
      </w:r>
      <w:r w:rsidRPr="00563AD3">
        <w:t xml:space="preserve"> (see </w:t>
      </w:r>
      <w:r w:rsidRPr="00A648BD">
        <w:rPr>
          <w:i/>
        </w:rPr>
        <w:t>Tables 34-40 and Figure 7</w:t>
      </w:r>
      <w:r w:rsidRPr="00563AD3">
        <w:t>).</w:t>
      </w:r>
      <w:r>
        <w:t xml:space="preserve"> Due to challenges in getting return full adherence data from care homes, it was not possible to ascertain how many care home staff had engaged with the DCM process during each cycle and thus to assess intervention ‘dose’ in terms of reach.</w:t>
      </w:r>
    </w:p>
    <w:p w14:paraId="4EC98F8C" w14:textId="6BDA22F6" w:rsidR="00A648BD" w:rsidRDefault="00A648BD">
      <w:pPr>
        <w:autoSpaceDE/>
        <w:autoSpaceDN/>
        <w:adjustRightInd/>
        <w:spacing w:line="259" w:lineRule="auto"/>
        <w:rPr>
          <w:b/>
        </w:rPr>
      </w:pPr>
    </w:p>
    <w:p w14:paraId="0E18E23B" w14:textId="2EE97F68" w:rsidR="001A743A" w:rsidRPr="00563AD3" w:rsidRDefault="001A743A" w:rsidP="009B13F3">
      <w:pPr>
        <w:pStyle w:val="Tableheading"/>
      </w:pPr>
      <w:bookmarkStart w:id="145" w:name="_Toc948204"/>
      <w:r w:rsidRPr="00563AD3">
        <w:t xml:space="preserve">Table </w:t>
      </w:r>
      <w:bookmarkEnd w:id="141"/>
      <w:bookmarkEnd w:id="142"/>
      <w:r w:rsidR="00C970BB" w:rsidRPr="00563AD3">
        <w:t xml:space="preserve">7 </w:t>
      </w:r>
      <w:r w:rsidRPr="00563AD3">
        <w:t>Summary of changes in usual care</w:t>
      </w:r>
      <w:bookmarkEnd w:id="143"/>
      <w:bookmarkEnd w:id="144"/>
      <w:bookmarkEnd w:id="145"/>
      <w:r w:rsidRPr="00563AD3">
        <w:t xml:space="preserve"> </w:t>
      </w:r>
    </w:p>
    <w:tbl>
      <w:tblPr>
        <w:tblW w:w="5497" w:type="pct"/>
        <w:jc w:val="center"/>
        <w:tblLayout w:type="fixed"/>
        <w:tblCellMar>
          <w:left w:w="0" w:type="dxa"/>
          <w:right w:w="0" w:type="dxa"/>
        </w:tblCellMar>
        <w:tblLook w:val="0000" w:firstRow="0" w:lastRow="0" w:firstColumn="0" w:lastColumn="0" w:noHBand="0" w:noVBand="0"/>
      </w:tblPr>
      <w:tblGrid>
        <w:gridCol w:w="2693"/>
        <w:gridCol w:w="1133"/>
        <w:gridCol w:w="1276"/>
        <w:gridCol w:w="1276"/>
        <w:gridCol w:w="1133"/>
        <w:gridCol w:w="1189"/>
        <w:gridCol w:w="1223"/>
      </w:tblGrid>
      <w:tr w:rsidR="001A743A" w:rsidRPr="00563AD3" w14:paraId="39DA7976" w14:textId="77777777" w:rsidTr="008B76E2">
        <w:trPr>
          <w:cantSplit/>
          <w:tblHeader/>
          <w:jc w:val="center"/>
        </w:trPr>
        <w:tc>
          <w:tcPr>
            <w:tcW w:w="1357" w:type="pct"/>
            <w:tcBorders>
              <w:top w:val="single" w:sz="4" w:space="0" w:color="auto"/>
            </w:tcBorders>
            <w:shd w:val="clear" w:color="auto" w:fill="FFFFFF"/>
            <w:tcMar>
              <w:left w:w="67" w:type="dxa"/>
              <w:right w:w="67" w:type="dxa"/>
            </w:tcMar>
            <w:vAlign w:val="bottom"/>
          </w:tcPr>
          <w:p w14:paraId="6BABA402" w14:textId="77777777" w:rsidR="001A743A" w:rsidRPr="00563AD3" w:rsidRDefault="001A743A" w:rsidP="00A648BD">
            <w:pPr>
              <w:keepNext/>
              <w:spacing w:line="240" w:lineRule="auto"/>
              <w:rPr>
                <w:rFonts w:eastAsia="Times New Roman"/>
                <w:b/>
                <w:bCs/>
                <w:color w:val="000000"/>
                <w:sz w:val="20"/>
                <w:szCs w:val="20"/>
              </w:rPr>
            </w:pPr>
          </w:p>
        </w:tc>
        <w:tc>
          <w:tcPr>
            <w:tcW w:w="1857" w:type="pct"/>
            <w:gridSpan w:val="3"/>
            <w:tcBorders>
              <w:top w:val="single" w:sz="4" w:space="0" w:color="auto"/>
              <w:bottom w:val="single" w:sz="4" w:space="0" w:color="auto"/>
            </w:tcBorders>
            <w:shd w:val="clear" w:color="auto" w:fill="FFFFFF"/>
            <w:tcMar>
              <w:left w:w="67" w:type="dxa"/>
              <w:right w:w="67" w:type="dxa"/>
            </w:tcMar>
            <w:vAlign w:val="bottom"/>
          </w:tcPr>
          <w:p w14:paraId="32BFD1DF" w14:textId="575291A1" w:rsidR="001A743A" w:rsidRPr="00563AD3" w:rsidRDefault="001A743A" w:rsidP="00A648BD">
            <w:pPr>
              <w:keepNext/>
              <w:spacing w:line="240" w:lineRule="auto"/>
              <w:jc w:val="center"/>
              <w:rPr>
                <w:rFonts w:eastAsia="Times New Roman"/>
                <w:b/>
                <w:bCs/>
                <w:color w:val="000000"/>
                <w:sz w:val="20"/>
                <w:szCs w:val="20"/>
              </w:rPr>
            </w:pPr>
            <w:r w:rsidRPr="00563AD3">
              <w:rPr>
                <w:rFonts w:eastAsia="Times New Roman"/>
                <w:b/>
                <w:bCs/>
                <w:color w:val="000000"/>
                <w:sz w:val="20"/>
                <w:szCs w:val="20"/>
              </w:rPr>
              <w:t>At 6</w:t>
            </w:r>
            <w:r w:rsidR="00B80810">
              <w:rPr>
                <w:rFonts w:eastAsia="Times New Roman"/>
                <w:b/>
                <w:bCs/>
                <w:color w:val="000000"/>
                <w:sz w:val="20"/>
                <w:szCs w:val="20"/>
              </w:rPr>
              <w:t>-months</w:t>
            </w:r>
            <w:r w:rsidRPr="00563AD3">
              <w:rPr>
                <w:rFonts w:eastAsia="Times New Roman"/>
                <w:b/>
                <w:bCs/>
                <w:color w:val="000000"/>
                <w:sz w:val="20"/>
                <w:szCs w:val="20"/>
              </w:rPr>
              <w:t xml:space="preserve"> (from baseline)</w:t>
            </w:r>
          </w:p>
        </w:tc>
        <w:tc>
          <w:tcPr>
            <w:tcW w:w="1786" w:type="pct"/>
            <w:gridSpan w:val="3"/>
            <w:tcBorders>
              <w:top w:val="single" w:sz="4" w:space="0" w:color="auto"/>
              <w:bottom w:val="single" w:sz="4" w:space="0" w:color="auto"/>
            </w:tcBorders>
            <w:shd w:val="clear" w:color="auto" w:fill="FFFFFF"/>
            <w:vAlign w:val="bottom"/>
          </w:tcPr>
          <w:p w14:paraId="03E31648" w14:textId="19CA8653" w:rsidR="001A743A" w:rsidRPr="00563AD3" w:rsidRDefault="001A743A" w:rsidP="00A648BD">
            <w:pPr>
              <w:keepNext/>
              <w:spacing w:line="240" w:lineRule="auto"/>
              <w:jc w:val="center"/>
              <w:rPr>
                <w:rFonts w:eastAsia="Times New Roman"/>
                <w:b/>
                <w:bCs/>
                <w:color w:val="000000"/>
                <w:sz w:val="20"/>
                <w:szCs w:val="20"/>
              </w:rPr>
            </w:pPr>
            <w:r w:rsidRPr="00563AD3">
              <w:rPr>
                <w:rFonts w:eastAsia="Times New Roman"/>
                <w:b/>
                <w:bCs/>
                <w:color w:val="000000"/>
                <w:sz w:val="20"/>
                <w:szCs w:val="20"/>
              </w:rPr>
              <w:t>At 16</w:t>
            </w:r>
            <w:r w:rsidR="00B80810">
              <w:rPr>
                <w:rFonts w:eastAsia="Times New Roman"/>
                <w:b/>
                <w:bCs/>
                <w:color w:val="000000"/>
                <w:sz w:val="20"/>
                <w:szCs w:val="20"/>
              </w:rPr>
              <w:t>-months</w:t>
            </w:r>
            <w:r w:rsidRPr="00563AD3">
              <w:rPr>
                <w:rFonts w:eastAsia="Times New Roman"/>
                <w:b/>
                <w:bCs/>
                <w:color w:val="000000"/>
                <w:sz w:val="20"/>
                <w:szCs w:val="20"/>
              </w:rPr>
              <w:t xml:space="preserve"> (from 6</w:t>
            </w:r>
            <w:r w:rsidR="00B80810">
              <w:rPr>
                <w:rFonts w:eastAsia="Times New Roman"/>
                <w:b/>
                <w:bCs/>
                <w:color w:val="000000"/>
                <w:sz w:val="20"/>
                <w:szCs w:val="20"/>
              </w:rPr>
              <w:t>-months</w:t>
            </w:r>
            <w:r w:rsidRPr="00563AD3">
              <w:rPr>
                <w:rFonts w:eastAsia="Times New Roman"/>
                <w:b/>
                <w:bCs/>
                <w:color w:val="000000"/>
                <w:sz w:val="20"/>
                <w:szCs w:val="20"/>
              </w:rPr>
              <w:t>)</w:t>
            </w:r>
          </w:p>
        </w:tc>
      </w:tr>
      <w:tr w:rsidR="001A743A" w:rsidRPr="00563AD3" w14:paraId="62BCD852" w14:textId="77777777" w:rsidTr="008B76E2">
        <w:trPr>
          <w:cantSplit/>
          <w:tblHeader/>
          <w:jc w:val="center"/>
        </w:trPr>
        <w:tc>
          <w:tcPr>
            <w:tcW w:w="1357" w:type="pct"/>
            <w:tcBorders>
              <w:top w:val="nil"/>
              <w:bottom w:val="single" w:sz="4" w:space="0" w:color="auto"/>
            </w:tcBorders>
            <w:shd w:val="clear" w:color="auto" w:fill="FFFFFF"/>
            <w:tcMar>
              <w:left w:w="67" w:type="dxa"/>
              <w:right w:w="67" w:type="dxa"/>
            </w:tcMar>
            <w:vAlign w:val="bottom"/>
          </w:tcPr>
          <w:p w14:paraId="0D726B47" w14:textId="77777777" w:rsidR="001A743A" w:rsidRPr="00563AD3" w:rsidRDefault="001A743A" w:rsidP="00A648BD">
            <w:pPr>
              <w:keepNext/>
              <w:spacing w:line="240" w:lineRule="auto"/>
              <w:rPr>
                <w:rFonts w:eastAsia="Times New Roman"/>
                <w:b/>
                <w:bCs/>
                <w:color w:val="000000"/>
                <w:sz w:val="20"/>
                <w:szCs w:val="20"/>
              </w:rPr>
            </w:pPr>
            <w:r w:rsidRPr="00563AD3">
              <w:rPr>
                <w:rFonts w:eastAsia="Times New Roman"/>
                <w:b/>
                <w:bCs/>
                <w:color w:val="000000"/>
                <w:sz w:val="20"/>
                <w:szCs w:val="20"/>
              </w:rPr>
              <w:t xml:space="preserve">N (%) </w:t>
            </w:r>
            <w:r w:rsidRPr="00563AD3">
              <w:rPr>
                <w:rFonts w:eastAsia="Times New Roman"/>
                <w:bCs/>
                <w:color w:val="000000"/>
                <w:sz w:val="20"/>
                <w:szCs w:val="20"/>
              </w:rPr>
              <w:t>Unknown</w:t>
            </w:r>
          </w:p>
        </w:tc>
        <w:tc>
          <w:tcPr>
            <w:tcW w:w="571" w:type="pct"/>
            <w:tcBorders>
              <w:top w:val="single" w:sz="4" w:space="0" w:color="auto"/>
              <w:bottom w:val="single" w:sz="4" w:space="0" w:color="auto"/>
            </w:tcBorders>
            <w:shd w:val="clear" w:color="auto" w:fill="FFFFFF"/>
            <w:tcMar>
              <w:left w:w="67" w:type="dxa"/>
              <w:right w:w="67" w:type="dxa"/>
            </w:tcMar>
            <w:vAlign w:val="bottom"/>
          </w:tcPr>
          <w:p w14:paraId="798A3A3D" w14:textId="77777777" w:rsidR="001A743A" w:rsidRPr="00563AD3" w:rsidRDefault="001A743A" w:rsidP="00A648BD">
            <w:pPr>
              <w:keepNext/>
              <w:spacing w:line="240" w:lineRule="auto"/>
              <w:jc w:val="right"/>
              <w:rPr>
                <w:rFonts w:eastAsia="Times New Roman"/>
                <w:b/>
                <w:bCs/>
                <w:color w:val="000000"/>
                <w:sz w:val="20"/>
                <w:szCs w:val="20"/>
              </w:rPr>
            </w:pPr>
            <w:r w:rsidRPr="00563AD3">
              <w:rPr>
                <w:rFonts w:eastAsia="Times New Roman"/>
                <w:b/>
                <w:bCs/>
                <w:color w:val="000000"/>
                <w:sz w:val="20"/>
                <w:szCs w:val="20"/>
              </w:rPr>
              <w:t>Control      (n=19)</w:t>
            </w:r>
          </w:p>
        </w:tc>
        <w:tc>
          <w:tcPr>
            <w:tcW w:w="643" w:type="pct"/>
            <w:tcBorders>
              <w:top w:val="single" w:sz="4" w:space="0" w:color="auto"/>
              <w:bottom w:val="single" w:sz="4" w:space="0" w:color="auto"/>
            </w:tcBorders>
            <w:shd w:val="clear" w:color="auto" w:fill="FFFFFF"/>
            <w:tcMar>
              <w:left w:w="67" w:type="dxa"/>
              <w:right w:w="67" w:type="dxa"/>
            </w:tcMar>
            <w:vAlign w:val="bottom"/>
          </w:tcPr>
          <w:p w14:paraId="46E91FE2" w14:textId="77777777" w:rsidR="001A743A" w:rsidRPr="00563AD3" w:rsidRDefault="001A743A" w:rsidP="00A648BD">
            <w:pPr>
              <w:keepNext/>
              <w:spacing w:line="240" w:lineRule="auto"/>
              <w:jc w:val="right"/>
              <w:rPr>
                <w:rFonts w:eastAsia="Times New Roman"/>
                <w:b/>
                <w:bCs/>
                <w:color w:val="000000"/>
                <w:sz w:val="20"/>
                <w:szCs w:val="20"/>
              </w:rPr>
            </w:pPr>
            <w:r w:rsidRPr="00563AD3">
              <w:rPr>
                <w:rFonts w:eastAsia="Times New Roman"/>
                <w:b/>
                <w:bCs/>
                <w:color w:val="000000"/>
                <w:sz w:val="20"/>
                <w:szCs w:val="20"/>
              </w:rPr>
              <w:t>Intervention (n=31)</w:t>
            </w:r>
          </w:p>
        </w:tc>
        <w:tc>
          <w:tcPr>
            <w:tcW w:w="643" w:type="pct"/>
            <w:tcBorders>
              <w:top w:val="single" w:sz="4" w:space="0" w:color="auto"/>
              <w:bottom w:val="single" w:sz="4" w:space="0" w:color="auto"/>
            </w:tcBorders>
            <w:shd w:val="clear" w:color="auto" w:fill="FFFFFF"/>
            <w:tcMar>
              <w:left w:w="67" w:type="dxa"/>
              <w:right w:w="67" w:type="dxa"/>
            </w:tcMar>
            <w:vAlign w:val="bottom"/>
          </w:tcPr>
          <w:p w14:paraId="78790654" w14:textId="77777777" w:rsidR="001A743A" w:rsidRPr="00563AD3" w:rsidRDefault="001A743A" w:rsidP="00A648BD">
            <w:pPr>
              <w:keepNext/>
              <w:spacing w:line="240" w:lineRule="auto"/>
              <w:jc w:val="right"/>
              <w:rPr>
                <w:rFonts w:eastAsia="Times New Roman"/>
                <w:b/>
                <w:bCs/>
                <w:color w:val="000000"/>
                <w:sz w:val="20"/>
                <w:szCs w:val="20"/>
              </w:rPr>
            </w:pPr>
            <w:r w:rsidRPr="00563AD3">
              <w:rPr>
                <w:rFonts w:eastAsia="Times New Roman"/>
                <w:b/>
                <w:bCs/>
                <w:color w:val="000000"/>
                <w:sz w:val="20"/>
                <w:szCs w:val="20"/>
              </w:rPr>
              <w:t>Total          (n=50)</w:t>
            </w:r>
          </w:p>
        </w:tc>
        <w:tc>
          <w:tcPr>
            <w:tcW w:w="571" w:type="pct"/>
            <w:tcBorders>
              <w:top w:val="single" w:sz="4" w:space="0" w:color="auto"/>
              <w:bottom w:val="single" w:sz="4" w:space="0" w:color="auto"/>
            </w:tcBorders>
            <w:shd w:val="clear" w:color="auto" w:fill="FFFFFF"/>
            <w:vAlign w:val="bottom"/>
          </w:tcPr>
          <w:p w14:paraId="55F4AD90" w14:textId="77777777" w:rsidR="001A743A" w:rsidRPr="00563AD3" w:rsidRDefault="001A743A" w:rsidP="00A648BD">
            <w:pPr>
              <w:keepNext/>
              <w:spacing w:line="240" w:lineRule="auto"/>
              <w:jc w:val="right"/>
              <w:rPr>
                <w:rFonts w:eastAsia="Times New Roman"/>
                <w:b/>
                <w:bCs/>
                <w:color w:val="000000"/>
                <w:sz w:val="20"/>
                <w:szCs w:val="20"/>
              </w:rPr>
            </w:pPr>
            <w:r w:rsidRPr="00563AD3">
              <w:rPr>
                <w:rFonts w:eastAsia="Times New Roman"/>
                <w:b/>
                <w:bCs/>
                <w:color w:val="000000"/>
                <w:sz w:val="20"/>
                <w:szCs w:val="20"/>
              </w:rPr>
              <w:t>Control      (n=19)</w:t>
            </w:r>
          </w:p>
        </w:tc>
        <w:tc>
          <w:tcPr>
            <w:tcW w:w="599" w:type="pct"/>
            <w:tcBorders>
              <w:top w:val="single" w:sz="4" w:space="0" w:color="auto"/>
              <w:bottom w:val="single" w:sz="4" w:space="0" w:color="auto"/>
            </w:tcBorders>
            <w:shd w:val="clear" w:color="auto" w:fill="FFFFFF"/>
            <w:vAlign w:val="bottom"/>
          </w:tcPr>
          <w:p w14:paraId="26B360A1" w14:textId="77777777" w:rsidR="001A743A" w:rsidRPr="00563AD3" w:rsidRDefault="001A743A" w:rsidP="00A648BD">
            <w:pPr>
              <w:keepNext/>
              <w:spacing w:line="240" w:lineRule="auto"/>
              <w:jc w:val="right"/>
              <w:rPr>
                <w:rFonts w:eastAsia="Times New Roman"/>
                <w:b/>
                <w:bCs/>
                <w:color w:val="000000"/>
                <w:sz w:val="20"/>
                <w:szCs w:val="20"/>
              </w:rPr>
            </w:pPr>
            <w:r w:rsidRPr="00563AD3">
              <w:rPr>
                <w:rFonts w:eastAsia="Times New Roman"/>
                <w:b/>
                <w:bCs/>
                <w:color w:val="000000"/>
                <w:sz w:val="20"/>
                <w:szCs w:val="20"/>
              </w:rPr>
              <w:t>Intervention (n=31)</w:t>
            </w:r>
          </w:p>
        </w:tc>
        <w:tc>
          <w:tcPr>
            <w:tcW w:w="616" w:type="pct"/>
            <w:tcBorders>
              <w:top w:val="single" w:sz="4" w:space="0" w:color="auto"/>
              <w:bottom w:val="single" w:sz="4" w:space="0" w:color="auto"/>
            </w:tcBorders>
            <w:shd w:val="clear" w:color="auto" w:fill="FFFFFF"/>
            <w:vAlign w:val="bottom"/>
          </w:tcPr>
          <w:p w14:paraId="4A8EC8DE" w14:textId="77777777" w:rsidR="001A743A" w:rsidRPr="00563AD3" w:rsidRDefault="001A743A" w:rsidP="00A648BD">
            <w:pPr>
              <w:keepNext/>
              <w:spacing w:line="240" w:lineRule="auto"/>
              <w:jc w:val="right"/>
              <w:rPr>
                <w:rFonts w:eastAsia="Times New Roman"/>
                <w:b/>
                <w:bCs/>
                <w:color w:val="000000"/>
                <w:sz w:val="20"/>
                <w:szCs w:val="20"/>
              </w:rPr>
            </w:pPr>
            <w:r w:rsidRPr="00563AD3">
              <w:rPr>
                <w:rFonts w:eastAsia="Times New Roman"/>
                <w:b/>
                <w:bCs/>
                <w:color w:val="000000"/>
                <w:sz w:val="20"/>
                <w:szCs w:val="20"/>
              </w:rPr>
              <w:t>Total          (n=50)</w:t>
            </w:r>
          </w:p>
        </w:tc>
      </w:tr>
      <w:tr w:rsidR="001A743A" w:rsidRPr="00563AD3" w14:paraId="0BF1FB35" w14:textId="77777777" w:rsidTr="008B76E2">
        <w:trPr>
          <w:cantSplit/>
          <w:jc w:val="center"/>
        </w:trPr>
        <w:tc>
          <w:tcPr>
            <w:tcW w:w="1357" w:type="pct"/>
            <w:tcBorders>
              <w:top w:val="single" w:sz="4" w:space="0" w:color="auto"/>
              <w:bottom w:val="nil"/>
            </w:tcBorders>
            <w:shd w:val="clear" w:color="auto" w:fill="FFFFFF"/>
            <w:tcMar>
              <w:left w:w="67" w:type="dxa"/>
              <w:right w:w="67" w:type="dxa"/>
            </w:tcMar>
          </w:tcPr>
          <w:p w14:paraId="01C39C4E" w14:textId="77777777" w:rsidR="001A743A" w:rsidRPr="00563AD3" w:rsidRDefault="001A743A" w:rsidP="00A648BD">
            <w:pPr>
              <w:spacing w:line="240" w:lineRule="auto"/>
              <w:rPr>
                <w:rFonts w:eastAsia="Times New Roman"/>
                <w:color w:val="000000"/>
                <w:sz w:val="20"/>
                <w:szCs w:val="20"/>
              </w:rPr>
            </w:pPr>
            <w:r w:rsidRPr="00563AD3">
              <w:rPr>
                <w:rFonts w:eastAsia="Times New Roman"/>
                <w:bCs/>
                <w:color w:val="000000"/>
                <w:sz w:val="20"/>
                <w:szCs w:val="20"/>
              </w:rPr>
              <w:t>Any organisational changes</w:t>
            </w:r>
          </w:p>
        </w:tc>
        <w:tc>
          <w:tcPr>
            <w:tcW w:w="571" w:type="pct"/>
            <w:tcBorders>
              <w:top w:val="single" w:sz="4" w:space="0" w:color="auto"/>
              <w:bottom w:val="nil"/>
            </w:tcBorders>
            <w:shd w:val="clear" w:color="auto" w:fill="FFFFFF"/>
            <w:tcMar>
              <w:left w:w="67" w:type="dxa"/>
              <w:right w:w="67" w:type="dxa"/>
            </w:tcMar>
          </w:tcPr>
          <w:p w14:paraId="48501FFF"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4 (21.1%)</w:t>
            </w:r>
          </w:p>
        </w:tc>
        <w:tc>
          <w:tcPr>
            <w:tcW w:w="643" w:type="pct"/>
            <w:tcBorders>
              <w:top w:val="single" w:sz="4" w:space="0" w:color="auto"/>
              <w:bottom w:val="nil"/>
            </w:tcBorders>
            <w:shd w:val="clear" w:color="auto" w:fill="FFFFFF"/>
            <w:tcMar>
              <w:left w:w="67" w:type="dxa"/>
              <w:right w:w="67" w:type="dxa"/>
            </w:tcMar>
          </w:tcPr>
          <w:p w14:paraId="44E8544D"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6 (19.4%)</w:t>
            </w:r>
          </w:p>
        </w:tc>
        <w:tc>
          <w:tcPr>
            <w:tcW w:w="643" w:type="pct"/>
            <w:tcBorders>
              <w:top w:val="single" w:sz="4" w:space="0" w:color="auto"/>
              <w:bottom w:val="nil"/>
            </w:tcBorders>
            <w:shd w:val="clear" w:color="auto" w:fill="FFFFFF"/>
            <w:tcMar>
              <w:left w:w="67" w:type="dxa"/>
              <w:right w:w="67" w:type="dxa"/>
            </w:tcMar>
          </w:tcPr>
          <w:p w14:paraId="1FF6F693"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10 (20.0%)</w:t>
            </w:r>
          </w:p>
        </w:tc>
        <w:tc>
          <w:tcPr>
            <w:tcW w:w="571" w:type="pct"/>
            <w:tcBorders>
              <w:top w:val="single" w:sz="4" w:space="0" w:color="auto"/>
              <w:bottom w:val="nil"/>
            </w:tcBorders>
            <w:shd w:val="clear" w:color="auto" w:fill="FFFFFF"/>
          </w:tcPr>
          <w:p w14:paraId="605E2EC1"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4 (21.1%)</w:t>
            </w:r>
          </w:p>
        </w:tc>
        <w:tc>
          <w:tcPr>
            <w:tcW w:w="599" w:type="pct"/>
            <w:tcBorders>
              <w:top w:val="single" w:sz="4" w:space="0" w:color="auto"/>
              <w:bottom w:val="nil"/>
            </w:tcBorders>
            <w:shd w:val="clear" w:color="auto" w:fill="FFFFFF"/>
          </w:tcPr>
          <w:p w14:paraId="18349BA6"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6 (19.4%)</w:t>
            </w:r>
          </w:p>
        </w:tc>
        <w:tc>
          <w:tcPr>
            <w:tcW w:w="616" w:type="pct"/>
            <w:tcBorders>
              <w:top w:val="single" w:sz="4" w:space="0" w:color="auto"/>
              <w:bottom w:val="nil"/>
            </w:tcBorders>
            <w:shd w:val="clear" w:color="auto" w:fill="FFFFFF"/>
          </w:tcPr>
          <w:p w14:paraId="3543FA9C"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10 (20.0%)</w:t>
            </w:r>
          </w:p>
        </w:tc>
      </w:tr>
      <w:tr w:rsidR="001A743A" w:rsidRPr="00563AD3" w14:paraId="668ACF83" w14:textId="77777777" w:rsidTr="008B76E2">
        <w:trPr>
          <w:cantSplit/>
          <w:jc w:val="center"/>
        </w:trPr>
        <w:tc>
          <w:tcPr>
            <w:tcW w:w="1357" w:type="pct"/>
            <w:tcBorders>
              <w:top w:val="nil"/>
              <w:bottom w:val="nil"/>
            </w:tcBorders>
            <w:shd w:val="clear" w:color="auto" w:fill="FFFFFF"/>
            <w:tcMar>
              <w:left w:w="67" w:type="dxa"/>
              <w:right w:w="67" w:type="dxa"/>
            </w:tcMar>
          </w:tcPr>
          <w:p w14:paraId="5D3ECD22" w14:textId="77777777" w:rsidR="001A743A" w:rsidRPr="00563AD3" w:rsidRDefault="001A743A" w:rsidP="00A648BD">
            <w:pPr>
              <w:spacing w:line="240" w:lineRule="auto"/>
              <w:rPr>
                <w:rFonts w:eastAsia="Times New Roman"/>
                <w:color w:val="000000"/>
                <w:sz w:val="20"/>
                <w:szCs w:val="20"/>
              </w:rPr>
            </w:pPr>
            <w:r w:rsidRPr="00563AD3">
              <w:rPr>
                <w:rFonts w:eastAsia="Times New Roman"/>
                <w:bCs/>
                <w:color w:val="000000"/>
                <w:sz w:val="20"/>
                <w:szCs w:val="20"/>
              </w:rPr>
              <w:t>Any care home management changes</w:t>
            </w:r>
          </w:p>
        </w:tc>
        <w:tc>
          <w:tcPr>
            <w:tcW w:w="571" w:type="pct"/>
            <w:tcBorders>
              <w:top w:val="nil"/>
              <w:bottom w:val="nil"/>
            </w:tcBorders>
            <w:shd w:val="clear" w:color="auto" w:fill="FFFFFF"/>
            <w:tcMar>
              <w:left w:w="67" w:type="dxa"/>
              <w:right w:w="67" w:type="dxa"/>
            </w:tcMar>
          </w:tcPr>
          <w:p w14:paraId="4D5089FC"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5 (26.3%)</w:t>
            </w:r>
          </w:p>
        </w:tc>
        <w:tc>
          <w:tcPr>
            <w:tcW w:w="643" w:type="pct"/>
            <w:tcBorders>
              <w:top w:val="nil"/>
              <w:bottom w:val="nil"/>
            </w:tcBorders>
            <w:shd w:val="clear" w:color="auto" w:fill="FFFFFF"/>
            <w:tcMar>
              <w:left w:w="67" w:type="dxa"/>
              <w:right w:w="67" w:type="dxa"/>
            </w:tcMar>
          </w:tcPr>
          <w:p w14:paraId="25CA7352"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12 (38.7%)</w:t>
            </w:r>
          </w:p>
        </w:tc>
        <w:tc>
          <w:tcPr>
            <w:tcW w:w="643" w:type="pct"/>
            <w:tcBorders>
              <w:top w:val="nil"/>
              <w:bottom w:val="nil"/>
            </w:tcBorders>
            <w:shd w:val="clear" w:color="auto" w:fill="FFFFFF"/>
            <w:tcMar>
              <w:left w:w="67" w:type="dxa"/>
              <w:right w:w="67" w:type="dxa"/>
            </w:tcMar>
          </w:tcPr>
          <w:p w14:paraId="62B6E468"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17 (34.0%)</w:t>
            </w:r>
          </w:p>
        </w:tc>
        <w:tc>
          <w:tcPr>
            <w:tcW w:w="571" w:type="pct"/>
            <w:tcBorders>
              <w:top w:val="nil"/>
              <w:bottom w:val="nil"/>
            </w:tcBorders>
            <w:shd w:val="clear" w:color="auto" w:fill="FFFFFF"/>
          </w:tcPr>
          <w:p w14:paraId="1D655EE6"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8 (42.1%)</w:t>
            </w:r>
          </w:p>
        </w:tc>
        <w:tc>
          <w:tcPr>
            <w:tcW w:w="599" w:type="pct"/>
            <w:tcBorders>
              <w:top w:val="nil"/>
              <w:bottom w:val="nil"/>
            </w:tcBorders>
            <w:shd w:val="clear" w:color="auto" w:fill="FFFFFF"/>
          </w:tcPr>
          <w:p w14:paraId="54F64D5C"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13 (41.9%)</w:t>
            </w:r>
          </w:p>
        </w:tc>
        <w:tc>
          <w:tcPr>
            <w:tcW w:w="616" w:type="pct"/>
            <w:tcBorders>
              <w:top w:val="nil"/>
              <w:bottom w:val="nil"/>
            </w:tcBorders>
            <w:shd w:val="clear" w:color="auto" w:fill="FFFFFF"/>
          </w:tcPr>
          <w:p w14:paraId="080297EB"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21 (42.0%)</w:t>
            </w:r>
          </w:p>
        </w:tc>
      </w:tr>
      <w:tr w:rsidR="001A743A" w:rsidRPr="00563AD3" w14:paraId="694D9BA1" w14:textId="77777777" w:rsidTr="008B76E2">
        <w:trPr>
          <w:cantSplit/>
          <w:jc w:val="center"/>
        </w:trPr>
        <w:tc>
          <w:tcPr>
            <w:tcW w:w="1357" w:type="pct"/>
            <w:tcBorders>
              <w:top w:val="nil"/>
              <w:bottom w:val="nil"/>
            </w:tcBorders>
            <w:shd w:val="clear" w:color="auto" w:fill="FFFFFF"/>
            <w:tcMar>
              <w:left w:w="67" w:type="dxa"/>
              <w:right w:w="67" w:type="dxa"/>
            </w:tcMar>
          </w:tcPr>
          <w:p w14:paraId="7647B6D1" w14:textId="77777777" w:rsidR="001A743A" w:rsidRPr="00563AD3" w:rsidRDefault="001A743A" w:rsidP="00A648BD">
            <w:pPr>
              <w:spacing w:line="240" w:lineRule="auto"/>
              <w:rPr>
                <w:rFonts w:eastAsia="Times New Roman"/>
                <w:color w:val="000000"/>
                <w:sz w:val="20"/>
                <w:szCs w:val="20"/>
              </w:rPr>
            </w:pPr>
            <w:r w:rsidRPr="00563AD3">
              <w:rPr>
                <w:rFonts w:eastAsia="Times New Roman"/>
                <w:bCs/>
                <w:color w:val="000000"/>
                <w:sz w:val="20"/>
                <w:szCs w:val="20"/>
              </w:rPr>
              <w:t>Any new staff roles</w:t>
            </w:r>
          </w:p>
        </w:tc>
        <w:tc>
          <w:tcPr>
            <w:tcW w:w="571" w:type="pct"/>
            <w:tcBorders>
              <w:top w:val="nil"/>
              <w:bottom w:val="nil"/>
            </w:tcBorders>
            <w:shd w:val="clear" w:color="auto" w:fill="FFFFFF"/>
            <w:tcMar>
              <w:left w:w="67" w:type="dxa"/>
              <w:right w:w="67" w:type="dxa"/>
            </w:tcMar>
          </w:tcPr>
          <w:p w14:paraId="383D7526"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 (5.3%)</w:t>
            </w:r>
          </w:p>
        </w:tc>
        <w:tc>
          <w:tcPr>
            <w:tcW w:w="643" w:type="pct"/>
            <w:tcBorders>
              <w:top w:val="nil"/>
              <w:bottom w:val="nil"/>
            </w:tcBorders>
            <w:shd w:val="clear" w:color="auto" w:fill="FFFFFF"/>
            <w:tcMar>
              <w:left w:w="67" w:type="dxa"/>
              <w:right w:w="67" w:type="dxa"/>
            </w:tcMar>
          </w:tcPr>
          <w:p w14:paraId="28C40B26"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6 (19.4%)</w:t>
            </w:r>
          </w:p>
        </w:tc>
        <w:tc>
          <w:tcPr>
            <w:tcW w:w="643" w:type="pct"/>
            <w:tcBorders>
              <w:top w:val="nil"/>
              <w:bottom w:val="nil"/>
            </w:tcBorders>
            <w:shd w:val="clear" w:color="auto" w:fill="FFFFFF"/>
            <w:tcMar>
              <w:left w:w="67" w:type="dxa"/>
              <w:right w:w="67" w:type="dxa"/>
            </w:tcMar>
          </w:tcPr>
          <w:p w14:paraId="03EC6A34"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7 (14.0%)</w:t>
            </w:r>
          </w:p>
        </w:tc>
        <w:tc>
          <w:tcPr>
            <w:tcW w:w="571" w:type="pct"/>
            <w:tcBorders>
              <w:top w:val="nil"/>
              <w:bottom w:val="nil"/>
            </w:tcBorders>
            <w:shd w:val="clear" w:color="auto" w:fill="FFFFFF"/>
          </w:tcPr>
          <w:p w14:paraId="1FB3059D"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3 (15.8%)</w:t>
            </w:r>
          </w:p>
        </w:tc>
        <w:tc>
          <w:tcPr>
            <w:tcW w:w="599" w:type="pct"/>
            <w:tcBorders>
              <w:top w:val="nil"/>
              <w:bottom w:val="nil"/>
            </w:tcBorders>
            <w:shd w:val="clear" w:color="auto" w:fill="FFFFFF"/>
          </w:tcPr>
          <w:p w14:paraId="31EB1EC5"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7 (22.6%)</w:t>
            </w:r>
          </w:p>
        </w:tc>
        <w:tc>
          <w:tcPr>
            <w:tcW w:w="616" w:type="pct"/>
            <w:tcBorders>
              <w:top w:val="nil"/>
              <w:bottom w:val="nil"/>
            </w:tcBorders>
            <w:shd w:val="clear" w:color="auto" w:fill="FFFFFF"/>
          </w:tcPr>
          <w:p w14:paraId="24083107"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10 (20.0%)</w:t>
            </w:r>
          </w:p>
        </w:tc>
      </w:tr>
      <w:tr w:rsidR="001A743A" w:rsidRPr="00563AD3" w14:paraId="3C2BC198" w14:textId="77777777" w:rsidTr="008B76E2">
        <w:trPr>
          <w:cantSplit/>
          <w:jc w:val="center"/>
        </w:trPr>
        <w:tc>
          <w:tcPr>
            <w:tcW w:w="1357" w:type="pct"/>
            <w:tcBorders>
              <w:top w:val="nil"/>
              <w:bottom w:val="nil"/>
            </w:tcBorders>
            <w:shd w:val="clear" w:color="auto" w:fill="FFFFFF"/>
            <w:tcMar>
              <w:left w:w="67" w:type="dxa"/>
              <w:right w:w="67" w:type="dxa"/>
            </w:tcMar>
          </w:tcPr>
          <w:p w14:paraId="61585145" w14:textId="77777777" w:rsidR="001A743A" w:rsidRPr="00563AD3" w:rsidRDefault="001A743A" w:rsidP="00A648BD">
            <w:pPr>
              <w:spacing w:line="240" w:lineRule="auto"/>
              <w:rPr>
                <w:rFonts w:eastAsia="Times New Roman"/>
                <w:color w:val="000000"/>
                <w:sz w:val="20"/>
                <w:szCs w:val="20"/>
              </w:rPr>
            </w:pPr>
            <w:r w:rsidRPr="00563AD3">
              <w:rPr>
                <w:rFonts w:eastAsia="Times New Roman"/>
                <w:bCs/>
                <w:color w:val="000000"/>
                <w:sz w:val="20"/>
                <w:szCs w:val="20"/>
              </w:rPr>
              <w:t>Any new projects or initiatives</w:t>
            </w:r>
          </w:p>
        </w:tc>
        <w:tc>
          <w:tcPr>
            <w:tcW w:w="571" w:type="pct"/>
            <w:tcBorders>
              <w:top w:val="nil"/>
              <w:bottom w:val="nil"/>
            </w:tcBorders>
            <w:shd w:val="clear" w:color="auto" w:fill="FFFFFF"/>
            <w:tcMar>
              <w:left w:w="67" w:type="dxa"/>
              <w:right w:w="67" w:type="dxa"/>
            </w:tcMar>
          </w:tcPr>
          <w:p w14:paraId="14329F7B"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5 (26.3%)</w:t>
            </w:r>
          </w:p>
        </w:tc>
        <w:tc>
          <w:tcPr>
            <w:tcW w:w="643" w:type="pct"/>
            <w:tcBorders>
              <w:top w:val="nil"/>
              <w:bottom w:val="nil"/>
            </w:tcBorders>
            <w:shd w:val="clear" w:color="auto" w:fill="FFFFFF"/>
            <w:tcMar>
              <w:left w:w="67" w:type="dxa"/>
              <w:right w:w="67" w:type="dxa"/>
            </w:tcMar>
          </w:tcPr>
          <w:p w14:paraId="751CFC3C"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9 (29.0%)</w:t>
            </w:r>
          </w:p>
        </w:tc>
        <w:tc>
          <w:tcPr>
            <w:tcW w:w="643" w:type="pct"/>
            <w:tcBorders>
              <w:top w:val="nil"/>
              <w:bottom w:val="nil"/>
            </w:tcBorders>
            <w:shd w:val="clear" w:color="auto" w:fill="FFFFFF"/>
            <w:tcMar>
              <w:left w:w="67" w:type="dxa"/>
              <w:right w:w="67" w:type="dxa"/>
            </w:tcMar>
          </w:tcPr>
          <w:p w14:paraId="74057FBB"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14 (28.0%)</w:t>
            </w:r>
          </w:p>
        </w:tc>
        <w:tc>
          <w:tcPr>
            <w:tcW w:w="571" w:type="pct"/>
            <w:tcBorders>
              <w:top w:val="nil"/>
              <w:bottom w:val="nil"/>
            </w:tcBorders>
            <w:shd w:val="clear" w:color="auto" w:fill="FFFFFF"/>
          </w:tcPr>
          <w:p w14:paraId="1202258B"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6 (31.6%)</w:t>
            </w:r>
          </w:p>
        </w:tc>
        <w:tc>
          <w:tcPr>
            <w:tcW w:w="599" w:type="pct"/>
            <w:tcBorders>
              <w:top w:val="nil"/>
              <w:bottom w:val="nil"/>
            </w:tcBorders>
            <w:shd w:val="clear" w:color="auto" w:fill="FFFFFF"/>
          </w:tcPr>
          <w:p w14:paraId="7766FBAB"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12 (38.7%)</w:t>
            </w:r>
          </w:p>
        </w:tc>
        <w:tc>
          <w:tcPr>
            <w:tcW w:w="616" w:type="pct"/>
            <w:tcBorders>
              <w:top w:val="nil"/>
              <w:bottom w:val="nil"/>
            </w:tcBorders>
            <w:shd w:val="clear" w:color="auto" w:fill="FFFFFF"/>
          </w:tcPr>
          <w:p w14:paraId="44D1B579"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18 (36.0%)</w:t>
            </w:r>
          </w:p>
        </w:tc>
      </w:tr>
      <w:tr w:rsidR="001A743A" w:rsidRPr="00563AD3" w14:paraId="636456B0" w14:textId="77777777" w:rsidTr="008B76E2">
        <w:trPr>
          <w:cantSplit/>
          <w:jc w:val="center"/>
        </w:trPr>
        <w:tc>
          <w:tcPr>
            <w:tcW w:w="1357" w:type="pct"/>
            <w:tcBorders>
              <w:top w:val="nil"/>
              <w:bottom w:val="nil"/>
            </w:tcBorders>
            <w:shd w:val="clear" w:color="auto" w:fill="FFFFFF"/>
            <w:tcMar>
              <w:left w:w="67" w:type="dxa"/>
              <w:right w:w="67" w:type="dxa"/>
            </w:tcMar>
          </w:tcPr>
          <w:p w14:paraId="75AEA780" w14:textId="77777777" w:rsidR="001A743A" w:rsidRPr="00563AD3" w:rsidRDefault="001A743A" w:rsidP="00A648BD">
            <w:pPr>
              <w:spacing w:line="240" w:lineRule="auto"/>
              <w:rPr>
                <w:rFonts w:eastAsia="Times New Roman"/>
                <w:color w:val="000000"/>
                <w:sz w:val="20"/>
                <w:szCs w:val="20"/>
              </w:rPr>
            </w:pPr>
            <w:r w:rsidRPr="00563AD3">
              <w:rPr>
                <w:rFonts w:eastAsia="Times New Roman"/>
                <w:bCs/>
                <w:color w:val="000000"/>
                <w:sz w:val="20"/>
                <w:szCs w:val="20"/>
              </w:rPr>
              <w:t>Any new voluntary measures to improve standards</w:t>
            </w:r>
          </w:p>
        </w:tc>
        <w:tc>
          <w:tcPr>
            <w:tcW w:w="571" w:type="pct"/>
            <w:tcBorders>
              <w:top w:val="nil"/>
              <w:bottom w:val="nil"/>
            </w:tcBorders>
            <w:shd w:val="clear" w:color="auto" w:fill="FFFFFF"/>
            <w:tcMar>
              <w:left w:w="67" w:type="dxa"/>
              <w:right w:w="67" w:type="dxa"/>
            </w:tcMar>
          </w:tcPr>
          <w:p w14:paraId="485CDE0C"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 (5.3%)</w:t>
            </w:r>
          </w:p>
        </w:tc>
        <w:tc>
          <w:tcPr>
            <w:tcW w:w="643" w:type="pct"/>
            <w:tcBorders>
              <w:top w:val="nil"/>
              <w:bottom w:val="nil"/>
            </w:tcBorders>
            <w:shd w:val="clear" w:color="auto" w:fill="FFFFFF"/>
            <w:tcMar>
              <w:left w:w="67" w:type="dxa"/>
              <w:right w:w="67" w:type="dxa"/>
            </w:tcMar>
          </w:tcPr>
          <w:p w14:paraId="2DBF58A3"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3 (9.7%)</w:t>
            </w:r>
          </w:p>
        </w:tc>
        <w:tc>
          <w:tcPr>
            <w:tcW w:w="643" w:type="pct"/>
            <w:tcBorders>
              <w:top w:val="nil"/>
              <w:bottom w:val="nil"/>
            </w:tcBorders>
            <w:shd w:val="clear" w:color="auto" w:fill="FFFFFF"/>
            <w:tcMar>
              <w:left w:w="67" w:type="dxa"/>
              <w:right w:w="67" w:type="dxa"/>
            </w:tcMar>
          </w:tcPr>
          <w:p w14:paraId="20B83CBC"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4 (8.0%)</w:t>
            </w:r>
          </w:p>
        </w:tc>
        <w:tc>
          <w:tcPr>
            <w:tcW w:w="571" w:type="pct"/>
            <w:tcBorders>
              <w:top w:val="nil"/>
              <w:bottom w:val="nil"/>
            </w:tcBorders>
            <w:shd w:val="clear" w:color="auto" w:fill="FFFFFF"/>
          </w:tcPr>
          <w:p w14:paraId="56FEB1C4"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0 (0.0%)</w:t>
            </w:r>
          </w:p>
        </w:tc>
        <w:tc>
          <w:tcPr>
            <w:tcW w:w="599" w:type="pct"/>
            <w:tcBorders>
              <w:top w:val="nil"/>
              <w:bottom w:val="nil"/>
            </w:tcBorders>
            <w:shd w:val="clear" w:color="auto" w:fill="FFFFFF"/>
          </w:tcPr>
          <w:p w14:paraId="03F69242"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3 (9.7%)</w:t>
            </w:r>
          </w:p>
        </w:tc>
        <w:tc>
          <w:tcPr>
            <w:tcW w:w="616" w:type="pct"/>
            <w:tcBorders>
              <w:top w:val="nil"/>
              <w:bottom w:val="nil"/>
            </w:tcBorders>
            <w:shd w:val="clear" w:color="auto" w:fill="FFFFFF"/>
          </w:tcPr>
          <w:p w14:paraId="2555B097"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3 (6.0%)</w:t>
            </w:r>
          </w:p>
        </w:tc>
      </w:tr>
      <w:tr w:rsidR="001A743A" w:rsidRPr="00563AD3" w14:paraId="67366259" w14:textId="77777777" w:rsidTr="008B76E2">
        <w:trPr>
          <w:cantSplit/>
          <w:jc w:val="center"/>
        </w:trPr>
        <w:tc>
          <w:tcPr>
            <w:tcW w:w="1357" w:type="pct"/>
            <w:tcBorders>
              <w:top w:val="nil"/>
              <w:bottom w:val="nil"/>
            </w:tcBorders>
            <w:shd w:val="clear" w:color="auto" w:fill="FFFFFF"/>
            <w:tcMar>
              <w:left w:w="67" w:type="dxa"/>
              <w:right w:w="67" w:type="dxa"/>
            </w:tcMar>
          </w:tcPr>
          <w:p w14:paraId="1B5E82DE" w14:textId="77777777" w:rsidR="001A743A" w:rsidRPr="00563AD3" w:rsidRDefault="001A743A" w:rsidP="00A648BD">
            <w:pPr>
              <w:spacing w:line="240" w:lineRule="auto"/>
              <w:rPr>
                <w:rFonts w:eastAsia="Times New Roman"/>
                <w:color w:val="000000"/>
                <w:sz w:val="20"/>
                <w:szCs w:val="20"/>
              </w:rPr>
            </w:pPr>
            <w:r w:rsidRPr="00563AD3">
              <w:rPr>
                <w:rFonts w:eastAsia="Times New Roman"/>
                <w:bCs/>
                <w:color w:val="000000"/>
                <w:sz w:val="20"/>
                <w:szCs w:val="20"/>
              </w:rPr>
              <w:t>Any standard quality assessments achieved</w:t>
            </w:r>
          </w:p>
        </w:tc>
        <w:tc>
          <w:tcPr>
            <w:tcW w:w="571" w:type="pct"/>
            <w:tcBorders>
              <w:top w:val="nil"/>
              <w:bottom w:val="nil"/>
            </w:tcBorders>
            <w:shd w:val="clear" w:color="auto" w:fill="FFFFFF"/>
            <w:tcMar>
              <w:left w:w="67" w:type="dxa"/>
              <w:right w:w="67" w:type="dxa"/>
            </w:tcMar>
          </w:tcPr>
          <w:p w14:paraId="13CF4BD4"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3 (15.8%)</w:t>
            </w:r>
          </w:p>
        </w:tc>
        <w:tc>
          <w:tcPr>
            <w:tcW w:w="643" w:type="pct"/>
            <w:tcBorders>
              <w:top w:val="nil"/>
              <w:bottom w:val="nil"/>
            </w:tcBorders>
            <w:shd w:val="clear" w:color="auto" w:fill="FFFFFF"/>
            <w:tcMar>
              <w:left w:w="67" w:type="dxa"/>
              <w:right w:w="67" w:type="dxa"/>
            </w:tcMar>
          </w:tcPr>
          <w:p w14:paraId="129CBAF1"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9 (29.0%)</w:t>
            </w:r>
          </w:p>
        </w:tc>
        <w:tc>
          <w:tcPr>
            <w:tcW w:w="643" w:type="pct"/>
            <w:tcBorders>
              <w:top w:val="nil"/>
              <w:bottom w:val="nil"/>
            </w:tcBorders>
            <w:shd w:val="clear" w:color="auto" w:fill="FFFFFF"/>
            <w:tcMar>
              <w:left w:w="67" w:type="dxa"/>
              <w:right w:w="67" w:type="dxa"/>
            </w:tcMar>
          </w:tcPr>
          <w:p w14:paraId="21BC6880"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12 (24.0%)</w:t>
            </w:r>
          </w:p>
        </w:tc>
        <w:tc>
          <w:tcPr>
            <w:tcW w:w="571" w:type="pct"/>
            <w:tcBorders>
              <w:top w:val="nil"/>
              <w:bottom w:val="nil"/>
            </w:tcBorders>
            <w:shd w:val="clear" w:color="auto" w:fill="FFFFFF"/>
          </w:tcPr>
          <w:p w14:paraId="5401ABC6"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2 (10.5%)</w:t>
            </w:r>
          </w:p>
        </w:tc>
        <w:tc>
          <w:tcPr>
            <w:tcW w:w="599" w:type="pct"/>
            <w:tcBorders>
              <w:top w:val="nil"/>
              <w:bottom w:val="nil"/>
            </w:tcBorders>
            <w:shd w:val="clear" w:color="auto" w:fill="FFFFFF"/>
          </w:tcPr>
          <w:p w14:paraId="5F27AA63"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6 (19.4%)</w:t>
            </w:r>
          </w:p>
        </w:tc>
        <w:tc>
          <w:tcPr>
            <w:tcW w:w="616" w:type="pct"/>
            <w:tcBorders>
              <w:top w:val="nil"/>
              <w:bottom w:val="nil"/>
            </w:tcBorders>
            <w:shd w:val="clear" w:color="auto" w:fill="FFFFFF"/>
          </w:tcPr>
          <w:p w14:paraId="0FC0818B"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8 (16.0%)</w:t>
            </w:r>
          </w:p>
        </w:tc>
      </w:tr>
      <w:tr w:rsidR="001A743A" w:rsidRPr="00563AD3" w14:paraId="294FF22D" w14:textId="77777777" w:rsidTr="008B76E2">
        <w:trPr>
          <w:cantSplit/>
          <w:jc w:val="center"/>
        </w:trPr>
        <w:tc>
          <w:tcPr>
            <w:tcW w:w="1357" w:type="pct"/>
            <w:tcBorders>
              <w:top w:val="nil"/>
              <w:bottom w:val="nil"/>
            </w:tcBorders>
            <w:shd w:val="clear" w:color="auto" w:fill="FFFFFF"/>
            <w:tcMar>
              <w:left w:w="67" w:type="dxa"/>
              <w:right w:w="67" w:type="dxa"/>
            </w:tcMar>
          </w:tcPr>
          <w:p w14:paraId="2C67DAA8" w14:textId="77777777" w:rsidR="001A743A" w:rsidRPr="00563AD3" w:rsidRDefault="001A743A" w:rsidP="00A648BD">
            <w:pPr>
              <w:spacing w:line="240" w:lineRule="auto"/>
              <w:rPr>
                <w:rFonts w:eastAsia="Times New Roman"/>
                <w:color w:val="000000"/>
                <w:sz w:val="20"/>
                <w:szCs w:val="20"/>
              </w:rPr>
            </w:pPr>
            <w:r w:rsidRPr="00563AD3">
              <w:rPr>
                <w:rFonts w:eastAsia="Times New Roman"/>
                <w:bCs/>
                <w:color w:val="000000"/>
                <w:sz w:val="20"/>
                <w:szCs w:val="20"/>
              </w:rPr>
              <w:t>Currently subject to any CQC notifications</w:t>
            </w:r>
          </w:p>
        </w:tc>
        <w:tc>
          <w:tcPr>
            <w:tcW w:w="571" w:type="pct"/>
            <w:tcBorders>
              <w:top w:val="nil"/>
              <w:bottom w:val="nil"/>
            </w:tcBorders>
            <w:shd w:val="clear" w:color="auto" w:fill="FFFFFF"/>
            <w:tcMar>
              <w:left w:w="67" w:type="dxa"/>
              <w:right w:w="67" w:type="dxa"/>
            </w:tcMar>
          </w:tcPr>
          <w:p w14:paraId="273C2F35"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2 (10.5%)</w:t>
            </w:r>
          </w:p>
        </w:tc>
        <w:tc>
          <w:tcPr>
            <w:tcW w:w="643" w:type="pct"/>
            <w:tcBorders>
              <w:top w:val="nil"/>
              <w:bottom w:val="nil"/>
            </w:tcBorders>
            <w:shd w:val="clear" w:color="auto" w:fill="FFFFFF"/>
            <w:tcMar>
              <w:left w:w="67" w:type="dxa"/>
              <w:right w:w="67" w:type="dxa"/>
            </w:tcMar>
          </w:tcPr>
          <w:p w14:paraId="4AEBC55E"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6 (19.4%)</w:t>
            </w:r>
          </w:p>
        </w:tc>
        <w:tc>
          <w:tcPr>
            <w:tcW w:w="643" w:type="pct"/>
            <w:tcBorders>
              <w:top w:val="nil"/>
              <w:bottom w:val="nil"/>
            </w:tcBorders>
            <w:shd w:val="clear" w:color="auto" w:fill="FFFFFF"/>
            <w:tcMar>
              <w:left w:w="67" w:type="dxa"/>
              <w:right w:w="67" w:type="dxa"/>
            </w:tcMar>
          </w:tcPr>
          <w:p w14:paraId="51FF7B11"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8 (16.0%)</w:t>
            </w:r>
          </w:p>
        </w:tc>
        <w:tc>
          <w:tcPr>
            <w:tcW w:w="571" w:type="pct"/>
            <w:tcBorders>
              <w:top w:val="nil"/>
              <w:bottom w:val="nil"/>
            </w:tcBorders>
            <w:shd w:val="clear" w:color="auto" w:fill="FFFFFF"/>
          </w:tcPr>
          <w:p w14:paraId="512125CC"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 (5.3%)</w:t>
            </w:r>
          </w:p>
        </w:tc>
        <w:tc>
          <w:tcPr>
            <w:tcW w:w="599" w:type="pct"/>
            <w:tcBorders>
              <w:top w:val="nil"/>
              <w:bottom w:val="nil"/>
            </w:tcBorders>
            <w:shd w:val="clear" w:color="auto" w:fill="FFFFFF"/>
          </w:tcPr>
          <w:p w14:paraId="7FB3EF27"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 (3.2%)</w:t>
            </w:r>
          </w:p>
        </w:tc>
        <w:tc>
          <w:tcPr>
            <w:tcW w:w="616" w:type="pct"/>
            <w:tcBorders>
              <w:top w:val="nil"/>
              <w:bottom w:val="nil"/>
            </w:tcBorders>
            <w:shd w:val="clear" w:color="auto" w:fill="FFFFFF"/>
          </w:tcPr>
          <w:p w14:paraId="34EAA886"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2 (4.0%)</w:t>
            </w:r>
          </w:p>
        </w:tc>
      </w:tr>
      <w:tr w:rsidR="001A743A" w:rsidRPr="00563AD3" w14:paraId="73EC38B3" w14:textId="77777777" w:rsidTr="008B76E2">
        <w:trPr>
          <w:cantSplit/>
          <w:jc w:val="center"/>
        </w:trPr>
        <w:tc>
          <w:tcPr>
            <w:tcW w:w="1357" w:type="pct"/>
            <w:tcBorders>
              <w:top w:val="nil"/>
              <w:bottom w:val="nil"/>
            </w:tcBorders>
            <w:shd w:val="clear" w:color="auto" w:fill="FFFFFF"/>
            <w:tcMar>
              <w:left w:w="67" w:type="dxa"/>
              <w:right w:w="67" w:type="dxa"/>
            </w:tcMar>
          </w:tcPr>
          <w:p w14:paraId="7B0A657C" w14:textId="77777777" w:rsidR="001A743A" w:rsidRPr="00563AD3" w:rsidRDefault="001A743A" w:rsidP="00A648BD">
            <w:pPr>
              <w:spacing w:line="240" w:lineRule="auto"/>
              <w:rPr>
                <w:rFonts w:eastAsia="Times New Roman"/>
                <w:bCs/>
                <w:color w:val="000000"/>
                <w:sz w:val="20"/>
                <w:szCs w:val="20"/>
              </w:rPr>
            </w:pPr>
            <w:r w:rsidRPr="00563AD3">
              <w:rPr>
                <w:rFonts w:eastAsia="Times New Roman"/>
                <w:bCs/>
                <w:color w:val="000000"/>
                <w:sz w:val="20"/>
                <w:szCs w:val="20"/>
              </w:rPr>
              <w:t>PCC training available in unit</w:t>
            </w:r>
          </w:p>
        </w:tc>
        <w:tc>
          <w:tcPr>
            <w:tcW w:w="571" w:type="pct"/>
            <w:tcBorders>
              <w:top w:val="nil"/>
              <w:bottom w:val="nil"/>
            </w:tcBorders>
            <w:shd w:val="clear" w:color="auto" w:fill="FFFFFF"/>
            <w:tcMar>
              <w:left w:w="67" w:type="dxa"/>
              <w:right w:w="67" w:type="dxa"/>
            </w:tcMar>
          </w:tcPr>
          <w:p w14:paraId="58E44EA4"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18 (94.7%)</w:t>
            </w:r>
          </w:p>
        </w:tc>
        <w:tc>
          <w:tcPr>
            <w:tcW w:w="643" w:type="pct"/>
            <w:tcBorders>
              <w:top w:val="nil"/>
              <w:bottom w:val="nil"/>
            </w:tcBorders>
            <w:shd w:val="clear" w:color="auto" w:fill="FFFFFF"/>
            <w:tcMar>
              <w:left w:w="67" w:type="dxa"/>
              <w:right w:w="67" w:type="dxa"/>
            </w:tcMar>
          </w:tcPr>
          <w:p w14:paraId="49A9C883"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29 (93.5%)</w:t>
            </w:r>
          </w:p>
        </w:tc>
        <w:tc>
          <w:tcPr>
            <w:tcW w:w="643" w:type="pct"/>
            <w:tcBorders>
              <w:top w:val="nil"/>
              <w:bottom w:val="nil"/>
            </w:tcBorders>
            <w:shd w:val="clear" w:color="auto" w:fill="FFFFFF"/>
            <w:tcMar>
              <w:left w:w="67" w:type="dxa"/>
              <w:right w:w="67" w:type="dxa"/>
            </w:tcMar>
          </w:tcPr>
          <w:p w14:paraId="117E28C0"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47 (94.0%)</w:t>
            </w:r>
          </w:p>
        </w:tc>
        <w:tc>
          <w:tcPr>
            <w:tcW w:w="571" w:type="pct"/>
            <w:tcBorders>
              <w:top w:val="nil"/>
              <w:bottom w:val="nil"/>
            </w:tcBorders>
            <w:shd w:val="clear" w:color="auto" w:fill="FFFFFF"/>
          </w:tcPr>
          <w:p w14:paraId="2FEE1B74"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16 (84.2%) 1</w:t>
            </w:r>
          </w:p>
        </w:tc>
        <w:tc>
          <w:tcPr>
            <w:tcW w:w="599" w:type="pct"/>
            <w:tcBorders>
              <w:top w:val="nil"/>
              <w:bottom w:val="nil"/>
            </w:tcBorders>
            <w:shd w:val="clear" w:color="auto" w:fill="FFFFFF"/>
          </w:tcPr>
          <w:p w14:paraId="5C9FF27A"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31 (100.0%)</w:t>
            </w:r>
          </w:p>
        </w:tc>
        <w:tc>
          <w:tcPr>
            <w:tcW w:w="616" w:type="pct"/>
            <w:tcBorders>
              <w:top w:val="nil"/>
              <w:bottom w:val="nil"/>
            </w:tcBorders>
            <w:shd w:val="clear" w:color="auto" w:fill="FFFFFF"/>
          </w:tcPr>
          <w:p w14:paraId="7F261B24" w14:textId="77777777" w:rsidR="001A743A" w:rsidRPr="00563AD3" w:rsidRDefault="001A743A" w:rsidP="00A648BD">
            <w:pPr>
              <w:spacing w:line="240" w:lineRule="auto"/>
              <w:jc w:val="right"/>
              <w:rPr>
                <w:rFonts w:eastAsia="Times New Roman"/>
                <w:color w:val="000000"/>
                <w:sz w:val="20"/>
                <w:szCs w:val="20"/>
              </w:rPr>
            </w:pPr>
            <w:r w:rsidRPr="00563AD3">
              <w:rPr>
                <w:rFonts w:eastAsia="Times New Roman"/>
                <w:color w:val="000000"/>
                <w:sz w:val="20"/>
                <w:szCs w:val="20"/>
              </w:rPr>
              <w:t>47 (94.0%)  1</w:t>
            </w:r>
          </w:p>
        </w:tc>
      </w:tr>
      <w:tr w:rsidR="001A743A" w:rsidRPr="00563AD3" w14:paraId="355975C7" w14:textId="77777777" w:rsidTr="008B76E2">
        <w:trPr>
          <w:cantSplit/>
          <w:jc w:val="center"/>
        </w:trPr>
        <w:tc>
          <w:tcPr>
            <w:tcW w:w="1357" w:type="pct"/>
            <w:tcBorders>
              <w:top w:val="nil"/>
              <w:bottom w:val="single" w:sz="4" w:space="0" w:color="auto"/>
            </w:tcBorders>
            <w:shd w:val="clear" w:color="auto" w:fill="FFFFFF"/>
            <w:tcMar>
              <w:left w:w="67" w:type="dxa"/>
              <w:right w:w="67" w:type="dxa"/>
            </w:tcMar>
          </w:tcPr>
          <w:p w14:paraId="48481859" w14:textId="77777777" w:rsidR="001A743A" w:rsidRPr="00563AD3" w:rsidRDefault="001A743A" w:rsidP="00A648BD">
            <w:pPr>
              <w:keepNext/>
              <w:spacing w:line="240" w:lineRule="auto"/>
              <w:rPr>
                <w:rFonts w:eastAsia="Times New Roman"/>
                <w:color w:val="000000"/>
                <w:sz w:val="20"/>
                <w:szCs w:val="20"/>
              </w:rPr>
            </w:pPr>
            <w:r w:rsidRPr="00563AD3">
              <w:rPr>
                <w:rFonts w:eastAsia="Times New Roman"/>
                <w:bCs/>
                <w:color w:val="000000"/>
                <w:sz w:val="20"/>
                <w:szCs w:val="20"/>
              </w:rPr>
              <w:t>Staff with higher level dementia-specific qualification</w:t>
            </w:r>
          </w:p>
        </w:tc>
        <w:tc>
          <w:tcPr>
            <w:tcW w:w="571" w:type="pct"/>
            <w:tcBorders>
              <w:top w:val="nil"/>
              <w:bottom w:val="single" w:sz="4" w:space="0" w:color="auto"/>
            </w:tcBorders>
            <w:shd w:val="clear" w:color="auto" w:fill="FFFFFF"/>
            <w:tcMar>
              <w:left w:w="67" w:type="dxa"/>
              <w:right w:w="67" w:type="dxa"/>
            </w:tcMar>
          </w:tcPr>
          <w:p w14:paraId="10DAE8C6" w14:textId="77777777" w:rsidR="001A743A" w:rsidRPr="00563AD3" w:rsidRDefault="001A743A" w:rsidP="00A648BD">
            <w:pPr>
              <w:keepNext/>
              <w:spacing w:line="240" w:lineRule="auto"/>
              <w:jc w:val="right"/>
              <w:rPr>
                <w:rFonts w:eastAsia="Times New Roman"/>
                <w:color w:val="000000"/>
                <w:sz w:val="20"/>
                <w:szCs w:val="20"/>
              </w:rPr>
            </w:pPr>
            <w:r w:rsidRPr="00563AD3">
              <w:rPr>
                <w:rFonts w:eastAsia="Times New Roman"/>
                <w:color w:val="000000"/>
                <w:sz w:val="20"/>
                <w:szCs w:val="20"/>
              </w:rPr>
              <w:t>10 (52.6%)</w:t>
            </w:r>
          </w:p>
        </w:tc>
        <w:tc>
          <w:tcPr>
            <w:tcW w:w="643" w:type="pct"/>
            <w:tcBorders>
              <w:top w:val="nil"/>
              <w:bottom w:val="single" w:sz="4" w:space="0" w:color="auto"/>
            </w:tcBorders>
            <w:shd w:val="clear" w:color="auto" w:fill="FFFFFF"/>
            <w:tcMar>
              <w:left w:w="67" w:type="dxa"/>
              <w:right w:w="67" w:type="dxa"/>
            </w:tcMar>
          </w:tcPr>
          <w:p w14:paraId="3920B09F" w14:textId="77777777" w:rsidR="001A743A" w:rsidRPr="00563AD3" w:rsidRDefault="001A743A" w:rsidP="00A648BD">
            <w:pPr>
              <w:keepNext/>
              <w:spacing w:line="240" w:lineRule="auto"/>
              <w:jc w:val="right"/>
              <w:rPr>
                <w:rFonts w:eastAsia="Times New Roman"/>
                <w:color w:val="000000"/>
                <w:sz w:val="20"/>
                <w:szCs w:val="20"/>
              </w:rPr>
            </w:pPr>
            <w:r w:rsidRPr="00563AD3">
              <w:rPr>
                <w:rFonts w:eastAsia="Times New Roman"/>
                <w:color w:val="000000"/>
                <w:sz w:val="20"/>
                <w:szCs w:val="20"/>
              </w:rPr>
              <w:t>12 (38.7%) 1</w:t>
            </w:r>
          </w:p>
        </w:tc>
        <w:tc>
          <w:tcPr>
            <w:tcW w:w="643" w:type="pct"/>
            <w:tcBorders>
              <w:top w:val="nil"/>
              <w:bottom w:val="single" w:sz="4" w:space="0" w:color="auto"/>
            </w:tcBorders>
            <w:shd w:val="clear" w:color="auto" w:fill="FFFFFF"/>
            <w:tcMar>
              <w:left w:w="67" w:type="dxa"/>
              <w:right w:w="67" w:type="dxa"/>
            </w:tcMar>
          </w:tcPr>
          <w:p w14:paraId="3624A28C" w14:textId="77777777" w:rsidR="001A743A" w:rsidRPr="00563AD3" w:rsidRDefault="001A743A" w:rsidP="00A648BD">
            <w:pPr>
              <w:keepNext/>
              <w:spacing w:line="240" w:lineRule="auto"/>
              <w:jc w:val="right"/>
              <w:rPr>
                <w:rFonts w:eastAsia="Times New Roman"/>
                <w:color w:val="000000"/>
                <w:sz w:val="20"/>
                <w:szCs w:val="20"/>
              </w:rPr>
            </w:pPr>
            <w:r w:rsidRPr="00563AD3">
              <w:rPr>
                <w:rFonts w:eastAsia="Times New Roman"/>
                <w:color w:val="000000"/>
                <w:sz w:val="20"/>
                <w:szCs w:val="20"/>
              </w:rPr>
              <w:t>22 (44.0%) 1</w:t>
            </w:r>
          </w:p>
        </w:tc>
        <w:tc>
          <w:tcPr>
            <w:tcW w:w="571" w:type="pct"/>
            <w:tcBorders>
              <w:top w:val="nil"/>
              <w:bottom w:val="single" w:sz="4" w:space="0" w:color="auto"/>
            </w:tcBorders>
            <w:shd w:val="clear" w:color="auto" w:fill="FFFFFF"/>
          </w:tcPr>
          <w:p w14:paraId="367CA615" w14:textId="77777777" w:rsidR="001A743A" w:rsidRPr="00563AD3" w:rsidRDefault="001A743A" w:rsidP="00A648BD">
            <w:pPr>
              <w:keepNext/>
              <w:spacing w:line="240" w:lineRule="auto"/>
              <w:jc w:val="right"/>
              <w:rPr>
                <w:rFonts w:eastAsia="Times New Roman"/>
                <w:color w:val="000000"/>
                <w:sz w:val="20"/>
                <w:szCs w:val="20"/>
              </w:rPr>
            </w:pPr>
            <w:r w:rsidRPr="00563AD3">
              <w:rPr>
                <w:rFonts w:eastAsia="Times New Roman"/>
                <w:color w:val="000000"/>
                <w:sz w:val="20"/>
                <w:szCs w:val="20"/>
              </w:rPr>
              <w:t>10 (52.6%)</w:t>
            </w:r>
          </w:p>
        </w:tc>
        <w:tc>
          <w:tcPr>
            <w:tcW w:w="599" w:type="pct"/>
            <w:tcBorders>
              <w:top w:val="nil"/>
              <w:bottom w:val="single" w:sz="4" w:space="0" w:color="auto"/>
            </w:tcBorders>
            <w:shd w:val="clear" w:color="auto" w:fill="FFFFFF"/>
          </w:tcPr>
          <w:p w14:paraId="66FC4992" w14:textId="77777777" w:rsidR="001A743A" w:rsidRPr="00563AD3" w:rsidRDefault="001A743A" w:rsidP="00A648BD">
            <w:pPr>
              <w:keepNext/>
              <w:spacing w:line="240" w:lineRule="auto"/>
              <w:jc w:val="right"/>
              <w:rPr>
                <w:rFonts w:eastAsia="Times New Roman"/>
                <w:color w:val="000000"/>
                <w:sz w:val="20"/>
                <w:szCs w:val="20"/>
              </w:rPr>
            </w:pPr>
            <w:r w:rsidRPr="00563AD3">
              <w:rPr>
                <w:rFonts w:eastAsia="Times New Roman"/>
                <w:color w:val="000000"/>
                <w:sz w:val="20"/>
                <w:szCs w:val="20"/>
              </w:rPr>
              <w:t>20 (64.5%)</w:t>
            </w:r>
          </w:p>
        </w:tc>
        <w:tc>
          <w:tcPr>
            <w:tcW w:w="616" w:type="pct"/>
            <w:tcBorders>
              <w:top w:val="nil"/>
              <w:bottom w:val="single" w:sz="4" w:space="0" w:color="auto"/>
            </w:tcBorders>
            <w:shd w:val="clear" w:color="auto" w:fill="FFFFFF"/>
          </w:tcPr>
          <w:p w14:paraId="779F4CFD" w14:textId="77777777" w:rsidR="001A743A" w:rsidRPr="00563AD3" w:rsidRDefault="001A743A" w:rsidP="00A648BD">
            <w:pPr>
              <w:keepNext/>
              <w:spacing w:line="240" w:lineRule="auto"/>
              <w:jc w:val="right"/>
              <w:rPr>
                <w:rFonts w:eastAsia="Times New Roman"/>
                <w:color w:val="000000"/>
                <w:sz w:val="20"/>
                <w:szCs w:val="20"/>
              </w:rPr>
            </w:pPr>
            <w:r w:rsidRPr="00563AD3">
              <w:rPr>
                <w:rFonts w:eastAsia="Times New Roman"/>
                <w:color w:val="000000"/>
                <w:sz w:val="20"/>
                <w:szCs w:val="20"/>
              </w:rPr>
              <w:t>30 (60.0%)</w:t>
            </w:r>
          </w:p>
        </w:tc>
      </w:tr>
    </w:tbl>
    <w:p w14:paraId="4408347A" w14:textId="77777777" w:rsidR="001A743A" w:rsidRPr="00563AD3" w:rsidRDefault="001A743A" w:rsidP="009B13F3"/>
    <w:p w14:paraId="7E4842E2" w14:textId="650E052F" w:rsidR="009B13F3" w:rsidRDefault="005A18FD" w:rsidP="00A648BD">
      <w:pPr>
        <w:jc w:val="center"/>
      </w:pPr>
      <w:r w:rsidRPr="00563AD3">
        <w:rPr>
          <w:noProof/>
        </w:rPr>
        <w:drawing>
          <wp:inline distT="0" distB="0" distL="0" distR="0" wp14:anchorId="3F3D3A8A" wp14:editId="202D583F">
            <wp:extent cx="4400550" cy="36957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B13F3" w:rsidRPr="009B13F3">
        <w:t xml:space="preserve"> </w:t>
      </w:r>
    </w:p>
    <w:p w14:paraId="4926B1D7" w14:textId="25EC88C9" w:rsidR="009B13F3" w:rsidRPr="00563AD3" w:rsidRDefault="009B13F3" w:rsidP="009B13F3">
      <w:pPr>
        <w:pStyle w:val="Figure"/>
      </w:pPr>
      <w:bookmarkStart w:id="146" w:name="_Toc525805238"/>
      <w:r w:rsidRPr="00563AD3">
        <w:t>Figure 2: Completion of intervention components by cycle</w:t>
      </w:r>
      <w:bookmarkEnd w:id="146"/>
    </w:p>
    <w:p w14:paraId="044AF331" w14:textId="56360F30" w:rsidR="00280E40" w:rsidRPr="00563AD3" w:rsidRDefault="008A60E2" w:rsidP="009B13F3">
      <w:pPr>
        <w:pStyle w:val="Heading2"/>
      </w:pPr>
      <w:bookmarkStart w:id="147" w:name="_Toc525544014"/>
      <w:r w:rsidRPr="00563AD3">
        <w:t xml:space="preserve">3.4 </w:t>
      </w:r>
      <w:bookmarkStart w:id="148" w:name="_Toc501009762"/>
      <w:r w:rsidR="00280E40" w:rsidRPr="00563AD3">
        <w:t>Losses and exclusions after randomisation</w:t>
      </w:r>
      <w:bookmarkEnd w:id="147"/>
      <w:bookmarkEnd w:id="148"/>
      <w:r w:rsidR="00280E40" w:rsidRPr="00563AD3">
        <w:t xml:space="preserve"> </w:t>
      </w:r>
    </w:p>
    <w:p w14:paraId="4A6044CA" w14:textId="4AA1BADC" w:rsidR="00280E40" w:rsidRPr="00563AD3" w:rsidRDefault="00280E40" w:rsidP="009B13F3">
      <w:pPr>
        <w:pStyle w:val="Heading3"/>
      </w:pPr>
      <w:bookmarkStart w:id="149" w:name="_Toc501009763"/>
      <w:bookmarkStart w:id="150" w:name="_Toc525544015"/>
      <w:r w:rsidRPr="00563AD3">
        <w:t>3.4.1 Withdrawals</w:t>
      </w:r>
      <w:bookmarkEnd w:id="149"/>
      <w:bookmarkEnd w:id="150"/>
    </w:p>
    <w:p w14:paraId="53110147" w14:textId="64FDACD5" w:rsidR="005E338D" w:rsidRPr="00563AD3" w:rsidRDefault="005E338D" w:rsidP="009B13F3">
      <w:bookmarkStart w:id="151" w:name="_Toc501009764"/>
      <w:r w:rsidRPr="00BC7A4C">
        <w:t xml:space="preserve">Two care homes in the intervention </w:t>
      </w:r>
      <w:r w:rsidR="00182DC5" w:rsidRPr="00BC7A4C">
        <w:t>arm</w:t>
      </w:r>
      <w:r w:rsidRPr="00BC7A4C">
        <w:t xml:space="preserve"> withdrew from further trial treatment but not from further data collection in months 11 and 12, respectively. One resident</w:t>
      </w:r>
      <w:r w:rsidRPr="00401735">
        <w:rPr>
          <w:color w:val="00B050"/>
        </w:rPr>
        <w:t xml:space="preserve"> </w:t>
      </w:r>
      <w:r w:rsidRPr="00563AD3">
        <w:t xml:space="preserve">from the closed-cohort withdrew consent for all data collection in the intervention </w:t>
      </w:r>
      <w:r w:rsidR="00182DC5" w:rsidRPr="00563AD3">
        <w:t>arm</w:t>
      </w:r>
      <w:r w:rsidRPr="00563AD3">
        <w:t xml:space="preserve"> (withdrawn by personal consultee in month 2). There were four staff-proxy withdrawals, one in each arm at 6- and 16-months follow-up. There were four relative/friend withdrawals, one in the control </w:t>
      </w:r>
      <w:r w:rsidR="00182DC5" w:rsidRPr="00563AD3">
        <w:t>arm</w:t>
      </w:r>
      <w:r w:rsidRPr="00563AD3">
        <w:t xml:space="preserve"> (at 16-months follow-up) and three in the intervention </w:t>
      </w:r>
      <w:r w:rsidR="00182DC5" w:rsidRPr="00563AD3">
        <w:t>arm</w:t>
      </w:r>
      <w:r w:rsidRPr="00563AD3">
        <w:t xml:space="preserve"> (one at 6-months and two following 16-months follow-up).</w:t>
      </w:r>
    </w:p>
    <w:p w14:paraId="14AA1D4E" w14:textId="732F59CB" w:rsidR="00280E40" w:rsidRPr="00563AD3" w:rsidRDefault="00280E40" w:rsidP="009B13F3">
      <w:pPr>
        <w:pStyle w:val="Heading3"/>
      </w:pPr>
      <w:bookmarkStart w:id="152" w:name="_Toc525544016"/>
      <w:r w:rsidRPr="00563AD3">
        <w:t>3.4.2 Protocol violat</w:t>
      </w:r>
      <w:bookmarkEnd w:id="151"/>
      <w:r w:rsidR="00577828" w:rsidRPr="00563AD3">
        <w:t>ions</w:t>
      </w:r>
      <w:bookmarkEnd w:id="152"/>
    </w:p>
    <w:p w14:paraId="5D32EA7D" w14:textId="3192D749" w:rsidR="00280E40" w:rsidRPr="00563AD3" w:rsidRDefault="00280E40" w:rsidP="009B13F3">
      <w:r w:rsidRPr="00563AD3">
        <w:t>There were two</w:t>
      </w:r>
      <w:r w:rsidR="00E36DF6" w:rsidRPr="00563AD3">
        <w:t xml:space="preserve"> care home eligibility violations</w:t>
      </w:r>
      <w:r w:rsidRPr="00563AD3">
        <w:t xml:space="preserve"> ident</w:t>
      </w:r>
      <w:r w:rsidR="005E338D" w:rsidRPr="00563AD3">
        <w:t>ified and reported in first two-</w:t>
      </w:r>
      <w:r w:rsidRPr="00563AD3">
        <w:t xml:space="preserve">months following randomisation (one in each arm). </w:t>
      </w:r>
      <w:r w:rsidR="006C1450" w:rsidRPr="00563AD3">
        <w:t xml:space="preserve">Both related to </w:t>
      </w:r>
      <w:r w:rsidR="005E338D" w:rsidRPr="00563AD3">
        <w:t xml:space="preserve">changed </w:t>
      </w:r>
      <w:r w:rsidR="006C1450" w:rsidRPr="00563AD3">
        <w:t xml:space="preserve">CQC status, between recruitment and randomisation. </w:t>
      </w:r>
      <w:r w:rsidRPr="00563AD3">
        <w:t>In both cases, the chief investigator agreed to the care homes continuing in the trial</w:t>
      </w:r>
      <w:r w:rsidR="008D7B9B" w:rsidRPr="00563AD3">
        <w:t xml:space="preserve"> and were included in the ITT analysis</w:t>
      </w:r>
      <w:r w:rsidRPr="00563AD3">
        <w:t>. Five staff eligibility violat</w:t>
      </w:r>
      <w:r w:rsidR="00577828" w:rsidRPr="00563AD3">
        <w:t>ions</w:t>
      </w:r>
      <w:r w:rsidRPr="00563AD3">
        <w:t xml:space="preserve"> were reported in the intervention </w:t>
      </w:r>
      <w:r w:rsidR="00182DC5" w:rsidRPr="00563AD3">
        <w:t>arm</w:t>
      </w:r>
      <w:r w:rsidRPr="00563AD3">
        <w:t xml:space="preserve">, </w:t>
      </w:r>
      <w:r w:rsidR="00577828" w:rsidRPr="00563AD3">
        <w:t>involving individuals who undertook</w:t>
      </w:r>
      <w:r w:rsidRPr="00563AD3">
        <w:t xml:space="preserve"> both </w:t>
      </w:r>
      <w:r w:rsidR="00577828" w:rsidRPr="00563AD3">
        <w:t xml:space="preserve">mapper and </w:t>
      </w:r>
      <w:r w:rsidRPr="00563AD3">
        <w:t>staff-proxy</w:t>
      </w:r>
      <w:r w:rsidR="00577828" w:rsidRPr="00563AD3">
        <w:t xml:space="preserve"> roles</w:t>
      </w:r>
      <w:r w:rsidRPr="00563AD3">
        <w:t xml:space="preserve">. </w:t>
      </w:r>
    </w:p>
    <w:p w14:paraId="055A9D3F" w14:textId="3486B246" w:rsidR="00280E40" w:rsidRPr="00563AD3" w:rsidRDefault="00280E40" w:rsidP="009B13F3">
      <w:pPr>
        <w:pStyle w:val="Heading3"/>
      </w:pPr>
      <w:bookmarkStart w:id="153" w:name="_Toc501009765"/>
      <w:bookmarkStart w:id="154" w:name="_Ref524514143"/>
      <w:bookmarkStart w:id="155" w:name="_Ref524514147"/>
      <w:bookmarkStart w:id="156" w:name="_Toc525544017"/>
      <w:r w:rsidRPr="00563AD3">
        <w:t xml:space="preserve">3.4.3 Resident deaths in </w:t>
      </w:r>
      <w:r w:rsidR="005E338D" w:rsidRPr="00563AD3">
        <w:t>closed</w:t>
      </w:r>
      <w:r w:rsidRPr="00563AD3">
        <w:t xml:space="preserve"> cohort</w:t>
      </w:r>
      <w:bookmarkEnd w:id="153"/>
      <w:bookmarkEnd w:id="154"/>
      <w:bookmarkEnd w:id="155"/>
      <w:bookmarkEnd w:id="156"/>
    </w:p>
    <w:p w14:paraId="004F3994" w14:textId="7DED3523" w:rsidR="00280E40" w:rsidRPr="00563AD3" w:rsidRDefault="00280E40" w:rsidP="009B13F3">
      <w:r w:rsidRPr="00563AD3">
        <w:t xml:space="preserve">Seventeen resident deaths occurred between </w:t>
      </w:r>
      <w:r w:rsidR="00577828" w:rsidRPr="00563AD3">
        <w:t xml:space="preserve">care home </w:t>
      </w:r>
      <w:r w:rsidRPr="00563AD3">
        <w:t>registration and randomisation</w:t>
      </w:r>
      <w:r w:rsidR="0029158C" w:rsidRPr="00563AD3">
        <w:t xml:space="preserve"> (See </w:t>
      </w:r>
      <w:r w:rsidR="00087868" w:rsidRPr="00A648BD">
        <w:rPr>
          <w:i/>
        </w:rPr>
        <w:t>Appendix 1</w:t>
      </w:r>
      <w:r w:rsidR="002F288D" w:rsidRPr="00A648BD">
        <w:rPr>
          <w:i/>
        </w:rPr>
        <w:t xml:space="preserve">, Table </w:t>
      </w:r>
      <w:r w:rsidR="00F02609" w:rsidRPr="00A648BD">
        <w:rPr>
          <w:i/>
        </w:rPr>
        <w:t>41</w:t>
      </w:r>
      <w:r w:rsidR="0029158C" w:rsidRPr="00563AD3">
        <w:t>)</w:t>
      </w:r>
      <w:r w:rsidR="00577828" w:rsidRPr="00563AD3">
        <w:t>;</w:t>
      </w:r>
      <w:r w:rsidRPr="00563AD3">
        <w:t xml:space="preserve"> the remaining </w:t>
      </w:r>
      <w:r w:rsidRPr="00C612A5">
        <w:t xml:space="preserve">726 residents constitute the original cohort. Overall, there were 272 (37.5%) deaths reported between randomisation and the end of 16-month follow-up in </w:t>
      </w:r>
      <w:r w:rsidR="00577828" w:rsidRPr="00C612A5">
        <w:t xml:space="preserve">the </w:t>
      </w:r>
      <w:r w:rsidRPr="00C612A5">
        <w:t>original cohort, 111 (36</w:t>
      </w:r>
      <w:r w:rsidR="0029158C" w:rsidRPr="00C612A5">
        <w:t>.0</w:t>
      </w:r>
      <w:r w:rsidRPr="00C612A5">
        <w:t xml:space="preserve">%) in the control </w:t>
      </w:r>
      <w:r w:rsidR="00182DC5" w:rsidRPr="00C612A5">
        <w:t>arm</w:t>
      </w:r>
      <w:r w:rsidR="00577828" w:rsidRPr="00C612A5">
        <w:t xml:space="preserve"> </w:t>
      </w:r>
      <w:r w:rsidR="0029158C" w:rsidRPr="00C612A5">
        <w:t>and 161 (38.5</w:t>
      </w:r>
      <w:r w:rsidRPr="00C612A5">
        <w:t xml:space="preserve">%) in the </w:t>
      </w:r>
      <w:r w:rsidRPr="00563AD3">
        <w:t xml:space="preserve">intervention </w:t>
      </w:r>
      <w:r w:rsidR="00182DC5" w:rsidRPr="00563AD3">
        <w:t>arm</w:t>
      </w:r>
      <w:r w:rsidR="00401735">
        <w:t xml:space="preserve"> </w:t>
      </w:r>
      <w:r w:rsidR="00C612A5" w:rsidRPr="000504C1">
        <w:rPr>
          <w:color w:val="FF0000"/>
        </w:rPr>
        <w:t>(however, of these, primary outcome data was available for 2 (1.8%) in the control arm and 4 (2.5%) in the intervention arm)</w:t>
      </w:r>
      <w:r w:rsidR="00C612A5" w:rsidRPr="00563AD3">
        <w:t xml:space="preserve">. </w:t>
      </w:r>
      <w:r w:rsidRPr="00563AD3">
        <w:t xml:space="preserve">The majority of residents died </w:t>
      </w:r>
      <w:r w:rsidR="0029158C" w:rsidRPr="00563AD3">
        <w:t xml:space="preserve">in the care home (224/272, 82%), 89/308 (80.2%) in the control and 135/418 (83.9%) in the intervention </w:t>
      </w:r>
      <w:r w:rsidR="00182DC5" w:rsidRPr="00563AD3">
        <w:t>arm</w:t>
      </w:r>
      <w:r w:rsidR="0029158C" w:rsidRPr="00563AD3">
        <w:t xml:space="preserve">. The mean proportion of deaths per care home in the control was 0.36 (SD=0.12) and 0.39 (SD=0.14) in the intervention </w:t>
      </w:r>
      <w:r w:rsidR="00182DC5" w:rsidRPr="00563AD3">
        <w:t>arm</w:t>
      </w:r>
      <w:r w:rsidR="0029158C" w:rsidRPr="00563AD3">
        <w:t>.</w:t>
      </w:r>
    </w:p>
    <w:p w14:paraId="31EAD716" w14:textId="77777777" w:rsidR="000B4E72" w:rsidRPr="00563AD3" w:rsidRDefault="000B4E72" w:rsidP="009B13F3"/>
    <w:p w14:paraId="194A257C" w14:textId="1819B13F" w:rsidR="000B4E72" w:rsidRPr="00563AD3" w:rsidRDefault="008A60E2" w:rsidP="009B13F3">
      <w:pPr>
        <w:pStyle w:val="Heading2"/>
      </w:pPr>
      <w:bookmarkStart w:id="157" w:name="_Toc525544018"/>
      <w:r w:rsidRPr="00563AD3">
        <w:t xml:space="preserve">3.5 </w:t>
      </w:r>
      <w:r w:rsidR="001E3D61" w:rsidRPr="00563AD3">
        <w:t>Clinical effectiveness</w:t>
      </w:r>
      <w:r w:rsidR="006C1450" w:rsidRPr="00563AD3">
        <w:t xml:space="preserve"> of the intervention</w:t>
      </w:r>
      <w:bookmarkEnd w:id="157"/>
    </w:p>
    <w:p w14:paraId="3B1ACE15" w14:textId="3A4CBEE8" w:rsidR="00E72C7F" w:rsidRPr="00563AD3" w:rsidRDefault="00E72C7F" w:rsidP="009B13F3">
      <w:pPr>
        <w:pStyle w:val="Heading3"/>
      </w:pPr>
      <w:bookmarkStart w:id="158" w:name="_Toc501009766"/>
      <w:bookmarkStart w:id="159" w:name="_Toc525544019"/>
      <w:r w:rsidRPr="00563AD3">
        <w:t>3.5.1 Analyses of the primary outcome</w:t>
      </w:r>
      <w:bookmarkEnd w:id="158"/>
      <w:bookmarkEnd w:id="159"/>
    </w:p>
    <w:p w14:paraId="4780184F" w14:textId="6315AF15" w:rsidR="0029158C" w:rsidRPr="00563AD3" w:rsidRDefault="0029158C" w:rsidP="009B13F3">
      <w:bookmarkStart w:id="160" w:name="_Ref501009633"/>
      <w:bookmarkStart w:id="161" w:name="_Ref500490591"/>
      <w:bookmarkStart w:id="162" w:name="_Toc501009777"/>
      <w:r w:rsidRPr="00563AD3">
        <w:t xml:space="preserve">Analyses were conducted on the cross-sectional sample (primary) and the closed-cohort. Unadjusted scores are presented in Table </w:t>
      </w:r>
      <w:r w:rsidR="002F288D" w:rsidRPr="00563AD3">
        <w:t xml:space="preserve">8 </w:t>
      </w:r>
      <w:r w:rsidRPr="00563AD3">
        <w:t>for the primary outcome (staff-proxy completed CMAI)</w:t>
      </w:r>
      <w:r w:rsidR="007852F4">
        <w:t xml:space="preserve"> and change in unadjusted scores from baseline is presented graphically in </w:t>
      </w:r>
      <w:r w:rsidR="00087868">
        <w:t>Appendix 1</w:t>
      </w:r>
      <w:r w:rsidR="007852F4">
        <w:t>, Figures 8 and 9</w:t>
      </w:r>
      <w:r w:rsidRPr="00563AD3">
        <w:t>. At baseline, the mean CMAI total score was higher in control (48.4 points) compared to intervention (45.4 points) homes. In the closed-cohort at 6</w:t>
      </w:r>
      <w:r w:rsidR="00B80810">
        <w:t>-months</w:t>
      </w:r>
      <w:r w:rsidRPr="00563AD3">
        <w:t xml:space="preserve">, the gap had closed, with means being 44.9 points and 43.6 points respectively in control and intervention homes </w:t>
      </w:r>
      <w:r w:rsidRPr="00C612A5">
        <w:t>(148/726 (20.4%) residents were lo</w:t>
      </w:r>
      <w:r w:rsidR="001940CF" w:rsidRPr="00C612A5">
        <w:t>st to follow-up however). By 16-</w:t>
      </w:r>
      <w:r w:rsidRPr="00C612A5">
        <w:t xml:space="preserve">months, the gap had widened again in the closed-cohort (although by this time 321/726 (44.2%) residents were lost to follow-up), with means of 46.4 points and 41.4 points respectively in control and intervention care homes. The gap was slightly narrower in the cross-sectional sample (9/675 (1.3% lost to follow-up), with </w:t>
      </w:r>
      <w:r w:rsidRPr="00563AD3">
        <w:t>means of 46.1 points and 42.8 points in the control and intervention homes respectively. Differences in</w:t>
      </w:r>
      <w:r w:rsidR="00B4308A" w:rsidRPr="00563AD3">
        <w:t xml:space="preserve"> </w:t>
      </w:r>
      <w:r w:rsidRPr="00563AD3">
        <w:t xml:space="preserve">means between the control and intervention homes are therefore small in both resident samples, largely arising from changes carried through from baseline. </w:t>
      </w:r>
    </w:p>
    <w:p w14:paraId="7FA3E299" w14:textId="58964EEA" w:rsidR="00A648BD" w:rsidRPr="00563AD3" w:rsidRDefault="00A648BD" w:rsidP="00A648BD">
      <w:r w:rsidRPr="00C612A5">
        <w:t xml:space="preserve">All 675 residents in the cross-sectional sample at 16-months were included in the primary analysis, 666 of which had complete data. There was no evidence of a difference in agitation levels between arms. The mean difference in total CMAI score from the two-level heteroscedastic linear regression model fitted to the multiply-imputed data (assuming data were MAR) was -2.11 points, lower in the intervention arm than in the control (adjusted means 45.47 points in control; 43.35 points in intervention, 95% CI -4.66 to 0.44, p=0.104). The unadjusted ICC was zero in the control and 0.058 in the intervention arm, but the adjusted ICC was zero in the control and 0.001 in the intervention arm, indicating that between-cluster heterogeneity in the intervention arm was explained by the covariates in the model. Using the complete cases, the mean difference was -2.19 points lower for intervention compared to control homes (95% CI -4.81 to 0.43), the adjusted ICC was zero in both treatment arms, indicating that the treatment effect was neither clinically meaningful or statistically significant at the 5% level (p=0.099) (see </w:t>
      </w:r>
      <w:r w:rsidRPr="00A648BD">
        <w:rPr>
          <w:i/>
        </w:rPr>
        <w:t>Appendix 1, Table 45</w:t>
      </w:r>
      <w:r>
        <w:t>)</w:t>
      </w:r>
      <w:r w:rsidRPr="00563AD3">
        <w:t>. The primary a</w:t>
      </w:r>
      <w:r>
        <w:t>nalysis is summarised in Table 10</w:t>
      </w:r>
      <w:r w:rsidRPr="00563AD3">
        <w:t xml:space="preserve">. </w:t>
      </w:r>
    </w:p>
    <w:p w14:paraId="5C42A6B0" w14:textId="77777777" w:rsidR="00A648BD" w:rsidRDefault="00A648BD" w:rsidP="004456A2"/>
    <w:p w14:paraId="39813584" w14:textId="117F5092" w:rsidR="00A648BD" w:rsidRPr="00563AD3" w:rsidRDefault="00A648BD" w:rsidP="00A648BD">
      <w:pPr>
        <w:pStyle w:val="Heading4"/>
      </w:pPr>
      <w:r w:rsidRPr="00563AD3">
        <w:t>3.5.1.1 Supportive and sensitivity analyses</w:t>
      </w:r>
    </w:p>
    <w:p w14:paraId="2CEEEDE2" w14:textId="522C5C82" w:rsidR="00A648BD" w:rsidRPr="00563AD3" w:rsidRDefault="00A648BD" w:rsidP="00A648BD">
      <w:r w:rsidRPr="00563AD3">
        <w:t>Unadjusted scores for the observational CMAI (CMAI-O) and PAS scores outcomes using in place of the CMAI by resident sample and time-point are presented in Table 9</w:t>
      </w:r>
      <w:r>
        <w:t xml:space="preserve"> (cross-section)</w:t>
      </w:r>
      <w:r w:rsidRPr="00563AD3">
        <w:t xml:space="preserve"> and </w:t>
      </w:r>
      <w:r>
        <w:t>Appendix 1</w:t>
      </w:r>
      <w:r w:rsidRPr="00563AD3">
        <w:t>, Table</w:t>
      </w:r>
      <w:r>
        <w:t>s</w:t>
      </w:r>
      <w:r w:rsidRPr="00563AD3">
        <w:t xml:space="preserve"> </w:t>
      </w:r>
      <w:r>
        <w:t>42 (closed cohort), 43 and 46-47 (complete cases)</w:t>
      </w:r>
      <w:r w:rsidRPr="00563AD3">
        <w:t>.</w:t>
      </w:r>
      <w:r w:rsidRPr="00563AD3">
        <w:rPr>
          <w:b/>
        </w:rPr>
        <w:t xml:space="preserve"> </w:t>
      </w:r>
      <w:r w:rsidRPr="00563AD3">
        <w:t>A similar pattern of differences was found for these supportive outcomes completed by the blinded independent researcher. The mean CMAI-O scores were consistently very slightly higher in the afternoon than in the morning. The same is the case for PAS scores. Loss to follow-up was higher for these supportive outcomes (about 276/726=38.0% at baseline, 358/726=49.3% at 6-months, and 495/726=68.2% and 310/675=45.9% at 16-months in the closed-cohort and cross-section respectively) than for the primary outcome.</w:t>
      </w:r>
    </w:p>
    <w:p w14:paraId="55FDB231" w14:textId="77777777" w:rsidR="003C2700" w:rsidRPr="00563AD3" w:rsidRDefault="003C2700" w:rsidP="003C2700">
      <w:r w:rsidRPr="00563AD3">
        <w:t xml:space="preserve">The sensitivity and supportive analyses </w:t>
      </w:r>
      <w:r>
        <w:t xml:space="preserve">are summarised in Table 10 </w:t>
      </w:r>
      <w:r w:rsidRPr="00FC3CE5">
        <w:t xml:space="preserve">and </w:t>
      </w:r>
      <w:r>
        <w:t>Appendix 1</w:t>
      </w:r>
      <w:r w:rsidRPr="00FC3CE5">
        <w:t>, Table 44,</w:t>
      </w:r>
      <w:r>
        <w:t xml:space="preserve"> respectively</w:t>
      </w:r>
      <w:r w:rsidRPr="00563AD3">
        <w:t xml:space="preserve">. The key sensitivity analysis simplified the model fitted to ensure complete convergence and was added post-hoc. Sensitivity analyses on the CMAI for the subset of residents included in the analyses of the CMAI-O and PAS were also added post-hoc. The equivalent analyses on the complete cases are provided in </w:t>
      </w:r>
      <w:r>
        <w:t>Appendix 1</w:t>
      </w:r>
      <w:r w:rsidRPr="00563AD3">
        <w:t xml:space="preserve">, Tables 18 to 20. The key sensitivity analysis and the first three planned sensitivity analyses supported the results found in the primary analysis. </w:t>
      </w:r>
    </w:p>
    <w:p w14:paraId="4EB6AA06" w14:textId="3D4E330A" w:rsidR="003C2700" w:rsidRPr="00563AD3" w:rsidRDefault="003C2700" w:rsidP="003C2700">
      <w:r w:rsidRPr="00563AD3">
        <w:t>Sensitivity analyses of the CMAI-O and the PAS indicated a potential over-estimation of the treatment effect from the primary analysis, as the mean differences are reduced when a blinded independent observation is made</w:t>
      </w:r>
      <w:r>
        <w:t xml:space="preserve"> (analyses in rows 4a and 4c Table 10)</w:t>
      </w:r>
      <w:r w:rsidRPr="00563AD3">
        <w:t xml:space="preserve">. However, we would expect the CMAI-O and PAS to potentially under-estimate agitation levels since they are conducted over only two observations periods in a single week, in public areas of the home during restricted daytime hours. The staff-proxy rating is made over two weeks and includes consideration of agitation during personal care, evening and the night-time. </w:t>
      </w:r>
      <w:r w:rsidRPr="00C612A5">
        <w:t>The sensitivity analysis conducted on the closed-cohort gave a mean difference of -3.25 (95% CI -6.13 to -0.37, p=0.027), apparently contradicting the conclusion of the primary analysis. However, the sensitivity analysis is not robust, as it relies on multiply imputing data for 45% of the sample.</w:t>
      </w:r>
      <w:r w:rsidRPr="00CB4EFE">
        <w:rPr>
          <w:color w:val="00B050"/>
        </w:rPr>
        <w:t xml:space="preserve"> </w:t>
      </w:r>
      <w:r w:rsidRPr="00563AD3">
        <w:rPr>
          <w:color w:val="000000"/>
        </w:rPr>
        <w:t>It has a different interpretation too, as this is the treatment effect estimated for residents who remain the in the care home from baseline to 16-months.</w:t>
      </w:r>
      <w:r w:rsidRPr="00563AD3">
        <w:t xml:space="preserve"> A sensitivity analysis </w:t>
      </w:r>
    </w:p>
    <w:p w14:paraId="53CF5AE2" w14:textId="33DE28F1" w:rsidR="00E72C7F" w:rsidRPr="00563AD3" w:rsidRDefault="00E72C7F" w:rsidP="009B13F3">
      <w:pPr>
        <w:pStyle w:val="Tableheading"/>
      </w:pPr>
      <w:bookmarkStart w:id="163" w:name="_Toc948205"/>
      <w:r w:rsidRPr="00C612A5">
        <w:t xml:space="preserve">Table </w:t>
      </w:r>
      <w:r w:rsidR="002F288D" w:rsidRPr="00C612A5">
        <w:t>8</w:t>
      </w:r>
      <w:bookmarkEnd w:id="160"/>
      <w:r w:rsidRPr="00CB4EFE">
        <w:rPr>
          <w:color w:val="00B050"/>
        </w:rPr>
        <w:t xml:space="preserve"> </w:t>
      </w:r>
      <w:bookmarkEnd w:id="161"/>
      <w:r w:rsidRPr="00563AD3">
        <w:t>Unadjusted CMAI scores by resident sample and time-point</w:t>
      </w:r>
      <w:bookmarkEnd w:id="162"/>
      <w:bookmarkEnd w:id="163"/>
    </w:p>
    <w:tbl>
      <w:tblPr>
        <w:tblW w:w="4241" w:type="pct"/>
        <w:jc w:val="center"/>
        <w:tblCellMar>
          <w:left w:w="0" w:type="dxa"/>
          <w:right w:w="0" w:type="dxa"/>
        </w:tblCellMar>
        <w:tblLook w:val="0000" w:firstRow="0" w:lastRow="0" w:firstColumn="0" w:lastColumn="0" w:noHBand="0" w:noVBand="0"/>
      </w:tblPr>
      <w:tblGrid>
        <w:gridCol w:w="2551"/>
        <w:gridCol w:w="1701"/>
        <w:gridCol w:w="1704"/>
        <w:gridCol w:w="1700"/>
      </w:tblGrid>
      <w:tr w:rsidR="0029158C" w:rsidRPr="00563AD3" w14:paraId="69681724" w14:textId="77777777" w:rsidTr="008B76E2">
        <w:trPr>
          <w:cantSplit/>
          <w:tblHeader/>
          <w:jc w:val="center"/>
        </w:trPr>
        <w:tc>
          <w:tcPr>
            <w:tcW w:w="5000" w:type="pct"/>
            <w:gridSpan w:val="4"/>
            <w:tcBorders>
              <w:top w:val="single" w:sz="4" w:space="0" w:color="auto"/>
              <w:bottom w:val="single" w:sz="4" w:space="0" w:color="000000"/>
            </w:tcBorders>
            <w:shd w:val="clear" w:color="auto" w:fill="FFFFFF"/>
            <w:tcMar>
              <w:left w:w="67" w:type="dxa"/>
              <w:right w:w="67" w:type="dxa"/>
            </w:tcMar>
            <w:vAlign w:val="bottom"/>
          </w:tcPr>
          <w:p w14:paraId="40251374" w14:textId="53C86C06" w:rsidR="0029158C" w:rsidRPr="00563AD3" w:rsidRDefault="0029158C" w:rsidP="00E94CD9">
            <w:pPr>
              <w:keepNext/>
              <w:spacing w:after="0" w:line="240" w:lineRule="auto"/>
              <w:jc w:val="center"/>
              <w:rPr>
                <w:rFonts w:eastAsia="Times New Roman"/>
                <w:b/>
                <w:bCs/>
                <w:color w:val="000000"/>
              </w:rPr>
            </w:pPr>
            <w:r w:rsidRPr="00563AD3">
              <w:rPr>
                <w:rFonts w:eastAsia="Times New Roman"/>
                <w:b/>
                <w:bCs/>
                <w:color w:val="000000"/>
              </w:rPr>
              <w:t>Unadjusted CMAI scores</w:t>
            </w:r>
            <w:r w:rsidR="00E94CD9">
              <w:rPr>
                <w:rFonts w:eastAsia="Times New Roman"/>
                <w:b/>
                <w:bCs/>
                <w:color w:val="000000"/>
                <w:vertAlign w:val="superscript"/>
              </w:rPr>
              <w:t>a</w:t>
            </w:r>
            <w:r w:rsidRPr="00563AD3">
              <w:rPr>
                <w:rFonts w:eastAsia="Times New Roman"/>
                <w:b/>
                <w:bCs/>
                <w:color w:val="000000"/>
              </w:rPr>
              <w:t xml:space="preserve"> by resident sample and time-point</w:t>
            </w:r>
          </w:p>
        </w:tc>
      </w:tr>
      <w:tr w:rsidR="0029158C" w:rsidRPr="00563AD3" w14:paraId="3EF71FE6" w14:textId="77777777" w:rsidTr="008B76E2">
        <w:trPr>
          <w:cantSplit/>
          <w:tblHeader/>
          <w:jc w:val="center"/>
        </w:trPr>
        <w:tc>
          <w:tcPr>
            <w:tcW w:w="1666" w:type="pct"/>
            <w:tcBorders>
              <w:top w:val="single" w:sz="4" w:space="0" w:color="auto"/>
              <w:bottom w:val="single" w:sz="4" w:space="0" w:color="000000"/>
              <w:right w:val="nil"/>
            </w:tcBorders>
            <w:shd w:val="clear" w:color="auto" w:fill="FFFFFF"/>
            <w:tcMar>
              <w:left w:w="67" w:type="dxa"/>
              <w:right w:w="67" w:type="dxa"/>
            </w:tcMar>
            <w:vAlign w:val="bottom"/>
          </w:tcPr>
          <w:p w14:paraId="594C9D4A" w14:textId="77777777" w:rsidR="0029158C" w:rsidRPr="00563AD3" w:rsidRDefault="0029158C" w:rsidP="00A648BD">
            <w:pPr>
              <w:keepNext/>
              <w:spacing w:after="0" w:line="240" w:lineRule="auto"/>
              <w:rPr>
                <w:rFonts w:eastAsia="Times New Roman"/>
                <w:bCs/>
                <w:color w:val="000000"/>
              </w:rPr>
            </w:pPr>
          </w:p>
        </w:tc>
        <w:tc>
          <w:tcPr>
            <w:tcW w:w="1111" w:type="pct"/>
            <w:tcBorders>
              <w:top w:val="single" w:sz="4" w:space="0" w:color="auto"/>
              <w:left w:val="nil"/>
              <w:bottom w:val="single" w:sz="4" w:space="0" w:color="000000"/>
              <w:right w:val="nil"/>
            </w:tcBorders>
            <w:shd w:val="clear" w:color="auto" w:fill="FFFFFF"/>
            <w:tcMar>
              <w:left w:w="67" w:type="dxa"/>
              <w:right w:w="67" w:type="dxa"/>
            </w:tcMar>
            <w:vAlign w:val="bottom"/>
          </w:tcPr>
          <w:p w14:paraId="6B3AF839" w14:textId="77777777" w:rsidR="0029158C" w:rsidRPr="00563AD3" w:rsidRDefault="0029158C" w:rsidP="00A648BD">
            <w:pPr>
              <w:keepNext/>
              <w:spacing w:after="0" w:line="240" w:lineRule="auto"/>
              <w:jc w:val="center"/>
              <w:rPr>
                <w:rFonts w:eastAsia="Times New Roman"/>
                <w:b/>
                <w:bCs/>
                <w:color w:val="000000"/>
              </w:rPr>
            </w:pPr>
          </w:p>
        </w:tc>
        <w:tc>
          <w:tcPr>
            <w:tcW w:w="1113" w:type="pct"/>
            <w:tcBorders>
              <w:top w:val="single" w:sz="4" w:space="0" w:color="auto"/>
              <w:left w:val="nil"/>
              <w:bottom w:val="single" w:sz="4" w:space="0" w:color="000000"/>
              <w:right w:val="nil"/>
            </w:tcBorders>
            <w:shd w:val="clear" w:color="auto" w:fill="FFFFFF"/>
            <w:tcMar>
              <w:left w:w="67" w:type="dxa"/>
              <w:right w:w="67" w:type="dxa"/>
            </w:tcMar>
            <w:vAlign w:val="bottom"/>
          </w:tcPr>
          <w:p w14:paraId="50518277" w14:textId="77777777" w:rsidR="0029158C" w:rsidRPr="00563AD3" w:rsidRDefault="0029158C" w:rsidP="00A648BD">
            <w:pPr>
              <w:keepNext/>
              <w:spacing w:after="0" w:line="240" w:lineRule="auto"/>
              <w:jc w:val="center"/>
              <w:rPr>
                <w:rFonts w:eastAsia="Times New Roman"/>
                <w:b/>
                <w:bCs/>
                <w:color w:val="000000"/>
              </w:rPr>
            </w:pPr>
            <w:r w:rsidRPr="00563AD3">
              <w:rPr>
                <w:rFonts w:eastAsia="Times New Roman"/>
                <w:b/>
                <w:bCs/>
                <w:color w:val="000000"/>
              </w:rPr>
              <w:t>Closed-cohort</w:t>
            </w:r>
          </w:p>
        </w:tc>
        <w:tc>
          <w:tcPr>
            <w:tcW w:w="1110" w:type="pct"/>
            <w:tcBorders>
              <w:top w:val="single" w:sz="4" w:space="0" w:color="auto"/>
              <w:left w:val="nil"/>
              <w:bottom w:val="single" w:sz="4" w:space="0" w:color="000000"/>
            </w:tcBorders>
            <w:shd w:val="clear" w:color="auto" w:fill="FFFFFF"/>
            <w:tcMar>
              <w:left w:w="67" w:type="dxa"/>
              <w:right w:w="67" w:type="dxa"/>
            </w:tcMar>
            <w:vAlign w:val="bottom"/>
          </w:tcPr>
          <w:p w14:paraId="6206EE76" w14:textId="77777777" w:rsidR="0029158C" w:rsidRPr="00563AD3" w:rsidRDefault="0029158C" w:rsidP="00A648BD">
            <w:pPr>
              <w:keepNext/>
              <w:spacing w:after="0" w:line="240" w:lineRule="auto"/>
              <w:jc w:val="center"/>
              <w:rPr>
                <w:rFonts w:eastAsia="Times New Roman"/>
                <w:b/>
                <w:bCs/>
                <w:color w:val="000000"/>
              </w:rPr>
            </w:pPr>
          </w:p>
        </w:tc>
      </w:tr>
      <w:tr w:rsidR="0029158C" w:rsidRPr="00563AD3" w14:paraId="680E761F" w14:textId="77777777" w:rsidTr="008B76E2">
        <w:trPr>
          <w:cantSplit/>
          <w:tblHeader/>
          <w:jc w:val="center"/>
        </w:trPr>
        <w:tc>
          <w:tcPr>
            <w:tcW w:w="1666" w:type="pct"/>
            <w:tcBorders>
              <w:top w:val="single" w:sz="4" w:space="0" w:color="auto"/>
              <w:bottom w:val="single" w:sz="4" w:space="0" w:color="000000"/>
              <w:right w:val="nil"/>
            </w:tcBorders>
            <w:shd w:val="clear" w:color="auto" w:fill="FFFFFF"/>
            <w:tcMar>
              <w:left w:w="67" w:type="dxa"/>
              <w:right w:w="67" w:type="dxa"/>
            </w:tcMar>
            <w:vAlign w:val="bottom"/>
          </w:tcPr>
          <w:p w14:paraId="298F9E23" w14:textId="77777777" w:rsidR="0029158C" w:rsidRPr="00563AD3" w:rsidRDefault="0029158C" w:rsidP="00A648BD">
            <w:pPr>
              <w:keepNext/>
              <w:spacing w:after="0" w:line="240" w:lineRule="auto"/>
              <w:rPr>
                <w:rFonts w:eastAsia="Times New Roman"/>
                <w:bCs/>
                <w:color w:val="000000"/>
              </w:rPr>
            </w:pPr>
            <w:r w:rsidRPr="00563AD3">
              <w:rPr>
                <w:rFonts w:eastAsia="Times New Roman"/>
                <w:bCs/>
                <w:color w:val="000000"/>
              </w:rPr>
              <w:t>Mean (SD) Missing</w:t>
            </w:r>
          </w:p>
        </w:tc>
        <w:tc>
          <w:tcPr>
            <w:tcW w:w="1111" w:type="pct"/>
            <w:tcBorders>
              <w:top w:val="single" w:sz="4" w:space="0" w:color="auto"/>
              <w:left w:val="nil"/>
              <w:bottom w:val="single" w:sz="4" w:space="0" w:color="000000"/>
              <w:right w:val="nil"/>
            </w:tcBorders>
            <w:shd w:val="clear" w:color="auto" w:fill="FFFFFF"/>
            <w:tcMar>
              <w:left w:w="67" w:type="dxa"/>
              <w:right w:w="67" w:type="dxa"/>
            </w:tcMar>
            <w:vAlign w:val="bottom"/>
          </w:tcPr>
          <w:p w14:paraId="05B2678E" w14:textId="77777777" w:rsidR="0029158C" w:rsidRPr="00563AD3" w:rsidRDefault="0029158C" w:rsidP="00A648BD">
            <w:pPr>
              <w:keepNext/>
              <w:spacing w:after="0" w:line="240" w:lineRule="auto"/>
              <w:jc w:val="center"/>
              <w:rPr>
                <w:rFonts w:eastAsia="Times New Roman"/>
                <w:b/>
                <w:bCs/>
                <w:color w:val="000000"/>
              </w:rPr>
            </w:pPr>
            <w:r w:rsidRPr="00563AD3">
              <w:rPr>
                <w:rFonts w:eastAsia="Times New Roman"/>
                <w:b/>
                <w:bCs/>
                <w:color w:val="000000"/>
              </w:rPr>
              <w:t>Control</w:t>
            </w:r>
            <w:r w:rsidRPr="00563AD3">
              <w:rPr>
                <w:rFonts w:eastAsia="Times New Roman"/>
                <w:b/>
                <w:bCs/>
                <w:color w:val="000000"/>
              </w:rPr>
              <w:br/>
              <w:t>(n = 308)</w:t>
            </w:r>
          </w:p>
        </w:tc>
        <w:tc>
          <w:tcPr>
            <w:tcW w:w="1113" w:type="pct"/>
            <w:tcBorders>
              <w:top w:val="single" w:sz="4" w:space="0" w:color="auto"/>
              <w:left w:val="nil"/>
              <w:bottom w:val="single" w:sz="4" w:space="0" w:color="000000"/>
              <w:right w:val="nil"/>
            </w:tcBorders>
            <w:shd w:val="clear" w:color="auto" w:fill="FFFFFF"/>
            <w:tcMar>
              <w:left w:w="67" w:type="dxa"/>
              <w:right w:w="67" w:type="dxa"/>
            </w:tcMar>
            <w:vAlign w:val="bottom"/>
          </w:tcPr>
          <w:p w14:paraId="283B66F6" w14:textId="77777777" w:rsidR="0029158C" w:rsidRPr="00563AD3" w:rsidRDefault="0029158C" w:rsidP="00A648BD">
            <w:pPr>
              <w:keepNext/>
              <w:spacing w:after="0" w:line="240" w:lineRule="auto"/>
              <w:jc w:val="center"/>
              <w:rPr>
                <w:rFonts w:eastAsia="Times New Roman"/>
                <w:b/>
                <w:bCs/>
                <w:color w:val="000000"/>
              </w:rPr>
            </w:pPr>
            <w:r w:rsidRPr="00563AD3">
              <w:rPr>
                <w:rFonts w:eastAsia="Times New Roman"/>
                <w:b/>
                <w:bCs/>
                <w:color w:val="000000"/>
              </w:rPr>
              <w:t>Intervention</w:t>
            </w:r>
            <w:r w:rsidRPr="00563AD3">
              <w:rPr>
                <w:rFonts w:eastAsia="Times New Roman"/>
                <w:b/>
                <w:bCs/>
                <w:color w:val="000000"/>
              </w:rPr>
              <w:br/>
              <w:t>(n = 418)</w:t>
            </w:r>
          </w:p>
        </w:tc>
        <w:tc>
          <w:tcPr>
            <w:tcW w:w="1110" w:type="pct"/>
            <w:tcBorders>
              <w:top w:val="single" w:sz="4" w:space="0" w:color="auto"/>
              <w:left w:val="nil"/>
              <w:bottom w:val="single" w:sz="4" w:space="0" w:color="000000"/>
            </w:tcBorders>
            <w:shd w:val="clear" w:color="auto" w:fill="FFFFFF"/>
            <w:tcMar>
              <w:left w:w="67" w:type="dxa"/>
              <w:right w:w="67" w:type="dxa"/>
            </w:tcMar>
            <w:vAlign w:val="bottom"/>
          </w:tcPr>
          <w:p w14:paraId="09E9C3F0" w14:textId="77777777" w:rsidR="0029158C" w:rsidRPr="00563AD3" w:rsidRDefault="0029158C" w:rsidP="00A648BD">
            <w:pPr>
              <w:keepNext/>
              <w:spacing w:after="0" w:line="240" w:lineRule="auto"/>
              <w:jc w:val="center"/>
              <w:rPr>
                <w:rFonts w:eastAsia="Times New Roman"/>
                <w:b/>
                <w:bCs/>
                <w:color w:val="000000"/>
              </w:rPr>
            </w:pPr>
            <w:r w:rsidRPr="00563AD3">
              <w:rPr>
                <w:rFonts w:eastAsia="Times New Roman"/>
                <w:b/>
                <w:bCs/>
                <w:color w:val="000000"/>
              </w:rPr>
              <w:t>Total</w:t>
            </w:r>
            <w:r w:rsidRPr="00563AD3">
              <w:rPr>
                <w:rFonts w:eastAsia="Times New Roman"/>
                <w:b/>
                <w:bCs/>
                <w:color w:val="000000"/>
              </w:rPr>
              <w:br/>
              <w:t>(n = 726)</w:t>
            </w:r>
          </w:p>
        </w:tc>
      </w:tr>
      <w:tr w:rsidR="0029158C" w:rsidRPr="00563AD3" w14:paraId="1810578A" w14:textId="77777777" w:rsidTr="008B76E2">
        <w:trPr>
          <w:cantSplit/>
          <w:jc w:val="center"/>
        </w:trPr>
        <w:tc>
          <w:tcPr>
            <w:tcW w:w="1666" w:type="pct"/>
            <w:tcBorders>
              <w:top w:val="nil"/>
              <w:right w:val="nil"/>
            </w:tcBorders>
            <w:shd w:val="clear" w:color="auto" w:fill="FFFFFF"/>
            <w:tcMar>
              <w:left w:w="67" w:type="dxa"/>
              <w:right w:w="67" w:type="dxa"/>
            </w:tcMar>
          </w:tcPr>
          <w:p w14:paraId="0DD67C59" w14:textId="77777777" w:rsidR="0029158C" w:rsidRPr="00563AD3" w:rsidRDefault="0029158C" w:rsidP="00A648BD">
            <w:pPr>
              <w:spacing w:after="0" w:line="240" w:lineRule="auto"/>
              <w:rPr>
                <w:rFonts w:eastAsia="Times New Roman"/>
                <w:bCs/>
                <w:color w:val="000000"/>
              </w:rPr>
            </w:pPr>
            <w:r w:rsidRPr="00563AD3">
              <w:rPr>
                <w:rFonts w:eastAsia="Times New Roman"/>
                <w:b/>
                <w:bCs/>
                <w:color w:val="000000"/>
              </w:rPr>
              <w:t>Baseline Total score</w:t>
            </w:r>
            <w:r w:rsidRPr="00563AD3">
              <w:rPr>
                <w:rFonts w:eastAsia="Times New Roman"/>
                <w:bCs/>
                <w:color w:val="000000"/>
              </w:rPr>
              <w:t xml:space="preserve">                          </w:t>
            </w:r>
          </w:p>
        </w:tc>
        <w:tc>
          <w:tcPr>
            <w:tcW w:w="1111" w:type="pct"/>
            <w:tcBorders>
              <w:top w:val="nil"/>
              <w:left w:val="nil"/>
              <w:bottom w:val="nil"/>
              <w:right w:val="nil"/>
            </w:tcBorders>
            <w:shd w:val="clear" w:color="auto" w:fill="FFFFFF"/>
            <w:tcMar>
              <w:left w:w="67" w:type="dxa"/>
              <w:right w:w="67" w:type="dxa"/>
            </w:tcMar>
          </w:tcPr>
          <w:p w14:paraId="786D2A2F" w14:textId="77777777" w:rsidR="0029158C" w:rsidRPr="00563AD3" w:rsidRDefault="0029158C" w:rsidP="00A648BD">
            <w:pPr>
              <w:spacing w:after="0" w:line="240" w:lineRule="auto"/>
              <w:jc w:val="right"/>
              <w:rPr>
                <w:rFonts w:eastAsia="Times New Roman"/>
                <w:b/>
                <w:color w:val="000000"/>
              </w:rPr>
            </w:pPr>
            <w:r w:rsidRPr="00563AD3">
              <w:rPr>
                <w:rFonts w:eastAsia="Times New Roman"/>
                <w:b/>
                <w:color w:val="000000"/>
              </w:rPr>
              <w:t>48.4 (19.53) 2</w:t>
            </w:r>
          </w:p>
        </w:tc>
        <w:tc>
          <w:tcPr>
            <w:tcW w:w="1113" w:type="pct"/>
            <w:tcBorders>
              <w:top w:val="nil"/>
              <w:left w:val="nil"/>
              <w:bottom w:val="nil"/>
              <w:right w:val="nil"/>
            </w:tcBorders>
            <w:shd w:val="clear" w:color="auto" w:fill="FFFFFF"/>
            <w:tcMar>
              <w:left w:w="67" w:type="dxa"/>
              <w:right w:w="67" w:type="dxa"/>
            </w:tcMar>
          </w:tcPr>
          <w:p w14:paraId="0EF854B3" w14:textId="77777777" w:rsidR="0029158C" w:rsidRPr="00563AD3" w:rsidRDefault="0029158C" w:rsidP="00A648BD">
            <w:pPr>
              <w:spacing w:after="0" w:line="240" w:lineRule="auto"/>
              <w:jc w:val="right"/>
              <w:rPr>
                <w:rFonts w:eastAsia="Times New Roman"/>
                <w:b/>
                <w:color w:val="000000"/>
              </w:rPr>
            </w:pPr>
            <w:r w:rsidRPr="00563AD3">
              <w:rPr>
                <w:rFonts w:eastAsia="Times New Roman"/>
                <w:b/>
                <w:color w:val="000000"/>
              </w:rPr>
              <w:t>45.4 (15.95) 2</w:t>
            </w:r>
          </w:p>
        </w:tc>
        <w:tc>
          <w:tcPr>
            <w:tcW w:w="1110" w:type="pct"/>
            <w:tcBorders>
              <w:top w:val="nil"/>
              <w:left w:val="nil"/>
              <w:bottom w:val="nil"/>
            </w:tcBorders>
            <w:shd w:val="clear" w:color="auto" w:fill="FFFFFF"/>
            <w:tcMar>
              <w:left w:w="67" w:type="dxa"/>
              <w:right w:w="67" w:type="dxa"/>
            </w:tcMar>
          </w:tcPr>
          <w:p w14:paraId="67D601CF" w14:textId="77777777" w:rsidR="0029158C" w:rsidRPr="00563AD3" w:rsidRDefault="0029158C" w:rsidP="00A648BD">
            <w:pPr>
              <w:spacing w:after="0" w:line="240" w:lineRule="auto"/>
              <w:jc w:val="right"/>
              <w:rPr>
                <w:rFonts w:eastAsia="Times New Roman"/>
                <w:b/>
                <w:color w:val="000000"/>
              </w:rPr>
            </w:pPr>
            <w:r w:rsidRPr="00563AD3">
              <w:rPr>
                <w:rFonts w:eastAsia="Times New Roman"/>
                <w:b/>
                <w:color w:val="000000"/>
              </w:rPr>
              <w:t>46.7 (17.6)   4</w:t>
            </w:r>
          </w:p>
        </w:tc>
      </w:tr>
      <w:tr w:rsidR="0029158C" w:rsidRPr="00563AD3" w14:paraId="33E0CCED"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45FB0DD8" w14:textId="77777777" w:rsidR="0029158C" w:rsidRPr="00563AD3" w:rsidRDefault="0029158C" w:rsidP="00A648BD">
            <w:pPr>
              <w:spacing w:after="0" w:line="240" w:lineRule="auto"/>
              <w:rPr>
                <w:rFonts w:eastAsia="Times New Roman"/>
                <w:b/>
                <w:bCs/>
                <w:color w:val="000000"/>
              </w:rPr>
            </w:pPr>
            <w:r w:rsidRPr="00563AD3">
              <w:rPr>
                <w:rFonts w:eastAsia="Times New Roman"/>
                <w:b/>
                <w:bCs/>
                <w:color w:val="000000"/>
              </w:rPr>
              <w:t>Subscales:</w:t>
            </w:r>
          </w:p>
        </w:tc>
        <w:tc>
          <w:tcPr>
            <w:tcW w:w="1111" w:type="pct"/>
            <w:tcBorders>
              <w:top w:val="nil"/>
              <w:left w:val="nil"/>
              <w:bottom w:val="nil"/>
              <w:right w:val="nil"/>
            </w:tcBorders>
            <w:shd w:val="clear" w:color="auto" w:fill="FFFFFF"/>
            <w:tcMar>
              <w:left w:w="67" w:type="dxa"/>
              <w:right w:w="67" w:type="dxa"/>
            </w:tcMar>
          </w:tcPr>
          <w:p w14:paraId="4B4EE099" w14:textId="77777777" w:rsidR="0029158C" w:rsidRPr="00563AD3" w:rsidRDefault="0029158C" w:rsidP="00A648BD">
            <w:pPr>
              <w:spacing w:after="0" w:line="240" w:lineRule="auto"/>
              <w:jc w:val="right"/>
              <w:rPr>
                <w:rFonts w:eastAsia="Times New Roman"/>
                <w:color w:val="000000"/>
              </w:rPr>
            </w:pPr>
          </w:p>
        </w:tc>
        <w:tc>
          <w:tcPr>
            <w:tcW w:w="1113" w:type="pct"/>
            <w:tcBorders>
              <w:top w:val="nil"/>
              <w:left w:val="nil"/>
              <w:bottom w:val="nil"/>
              <w:right w:val="nil"/>
            </w:tcBorders>
            <w:shd w:val="clear" w:color="auto" w:fill="FFFFFF"/>
            <w:tcMar>
              <w:left w:w="67" w:type="dxa"/>
              <w:right w:w="67" w:type="dxa"/>
            </w:tcMar>
          </w:tcPr>
          <w:p w14:paraId="2C0B3236" w14:textId="77777777" w:rsidR="0029158C" w:rsidRPr="00563AD3" w:rsidRDefault="0029158C" w:rsidP="00A648BD">
            <w:pPr>
              <w:spacing w:after="0" w:line="240" w:lineRule="auto"/>
              <w:jc w:val="right"/>
              <w:rPr>
                <w:rFonts w:eastAsia="Times New Roman"/>
                <w:color w:val="000000"/>
              </w:rPr>
            </w:pPr>
          </w:p>
        </w:tc>
        <w:tc>
          <w:tcPr>
            <w:tcW w:w="1110" w:type="pct"/>
            <w:tcBorders>
              <w:top w:val="nil"/>
              <w:left w:val="nil"/>
              <w:bottom w:val="nil"/>
            </w:tcBorders>
            <w:shd w:val="clear" w:color="auto" w:fill="FFFFFF"/>
            <w:tcMar>
              <w:left w:w="67" w:type="dxa"/>
              <w:right w:w="67" w:type="dxa"/>
            </w:tcMar>
          </w:tcPr>
          <w:p w14:paraId="44921949" w14:textId="77777777" w:rsidR="0029158C" w:rsidRPr="00563AD3" w:rsidRDefault="0029158C" w:rsidP="00A648BD">
            <w:pPr>
              <w:spacing w:after="0" w:line="240" w:lineRule="auto"/>
              <w:jc w:val="right"/>
              <w:rPr>
                <w:rFonts w:eastAsia="Times New Roman"/>
                <w:color w:val="000000"/>
              </w:rPr>
            </w:pPr>
          </w:p>
        </w:tc>
      </w:tr>
      <w:tr w:rsidR="0029158C" w:rsidRPr="00563AD3" w14:paraId="22D60232" w14:textId="77777777" w:rsidTr="008B76E2">
        <w:trPr>
          <w:cantSplit/>
          <w:jc w:val="center"/>
        </w:trPr>
        <w:tc>
          <w:tcPr>
            <w:tcW w:w="1666" w:type="pct"/>
            <w:tcBorders>
              <w:top w:val="nil"/>
              <w:right w:val="nil"/>
            </w:tcBorders>
            <w:shd w:val="clear" w:color="auto" w:fill="FFFFFF"/>
            <w:tcMar>
              <w:left w:w="67" w:type="dxa"/>
              <w:right w:w="67" w:type="dxa"/>
            </w:tcMar>
          </w:tcPr>
          <w:p w14:paraId="52227DE8" w14:textId="77777777" w:rsidR="0029158C" w:rsidRPr="00563AD3" w:rsidRDefault="0029158C" w:rsidP="00A648BD">
            <w:pPr>
              <w:spacing w:after="0" w:line="240" w:lineRule="auto"/>
              <w:rPr>
                <w:rFonts w:eastAsia="Times New Roman"/>
                <w:color w:val="000000"/>
              </w:rPr>
            </w:pPr>
            <w:r w:rsidRPr="00563AD3">
              <w:rPr>
                <w:rFonts w:eastAsia="Times New Roman"/>
                <w:color w:val="000000"/>
              </w:rPr>
              <w:t>Aggressive behaviour</w:t>
            </w:r>
          </w:p>
        </w:tc>
        <w:tc>
          <w:tcPr>
            <w:tcW w:w="1111" w:type="pct"/>
            <w:tcBorders>
              <w:top w:val="nil"/>
              <w:left w:val="nil"/>
              <w:bottom w:val="nil"/>
              <w:right w:val="nil"/>
            </w:tcBorders>
            <w:shd w:val="clear" w:color="auto" w:fill="FFFFFF"/>
            <w:tcMar>
              <w:left w:w="67" w:type="dxa"/>
              <w:right w:w="67" w:type="dxa"/>
            </w:tcMar>
          </w:tcPr>
          <w:p w14:paraId="10451702" w14:textId="77777777" w:rsidR="0029158C" w:rsidRPr="00563AD3" w:rsidRDefault="0029158C" w:rsidP="00A648BD">
            <w:pPr>
              <w:spacing w:after="0" w:line="240" w:lineRule="auto"/>
              <w:jc w:val="right"/>
              <w:rPr>
                <w:rFonts w:eastAsia="Times New Roman"/>
                <w:color w:val="000000"/>
              </w:rPr>
            </w:pPr>
            <w:r w:rsidRPr="00563AD3">
              <w:rPr>
                <w:rFonts w:eastAsia="Times New Roman"/>
                <w:color w:val="000000"/>
              </w:rPr>
              <w:t>14.3 (8.10) 2</w:t>
            </w:r>
          </w:p>
        </w:tc>
        <w:tc>
          <w:tcPr>
            <w:tcW w:w="1113" w:type="pct"/>
            <w:tcBorders>
              <w:top w:val="nil"/>
              <w:left w:val="nil"/>
              <w:bottom w:val="nil"/>
              <w:right w:val="nil"/>
            </w:tcBorders>
            <w:shd w:val="clear" w:color="auto" w:fill="FFFFFF"/>
            <w:tcMar>
              <w:left w:w="67" w:type="dxa"/>
              <w:right w:w="67" w:type="dxa"/>
            </w:tcMar>
          </w:tcPr>
          <w:p w14:paraId="45906684" w14:textId="77777777" w:rsidR="0029158C" w:rsidRPr="00563AD3" w:rsidRDefault="0029158C" w:rsidP="00A648BD">
            <w:pPr>
              <w:spacing w:after="0" w:line="240" w:lineRule="auto"/>
              <w:jc w:val="right"/>
              <w:rPr>
                <w:rFonts w:eastAsia="Times New Roman"/>
                <w:color w:val="000000"/>
              </w:rPr>
            </w:pPr>
            <w:r w:rsidRPr="00563AD3">
              <w:rPr>
                <w:rFonts w:eastAsia="Times New Roman"/>
                <w:color w:val="000000"/>
              </w:rPr>
              <w:t>12.6 (6.28)   2</w:t>
            </w:r>
          </w:p>
        </w:tc>
        <w:tc>
          <w:tcPr>
            <w:tcW w:w="1110" w:type="pct"/>
            <w:tcBorders>
              <w:top w:val="nil"/>
              <w:left w:val="nil"/>
              <w:bottom w:val="nil"/>
            </w:tcBorders>
            <w:shd w:val="clear" w:color="auto" w:fill="FFFFFF"/>
            <w:tcMar>
              <w:left w:w="67" w:type="dxa"/>
              <w:right w:w="67" w:type="dxa"/>
            </w:tcMar>
          </w:tcPr>
          <w:p w14:paraId="4FB9B809" w14:textId="77777777" w:rsidR="0029158C" w:rsidRPr="00563AD3" w:rsidRDefault="0029158C" w:rsidP="00A648BD">
            <w:pPr>
              <w:spacing w:after="0" w:line="240" w:lineRule="auto"/>
              <w:jc w:val="right"/>
              <w:rPr>
                <w:rFonts w:eastAsia="Times New Roman"/>
                <w:color w:val="000000"/>
              </w:rPr>
            </w:pPr>
            <w:r w:rsidRPr="00563AD3">
              <w:rPr>
                <w:rFonts w:eastAsia="Times New Roman"/>
                <w:color w:val="000000"/>
              </w:rPr>
              <w:t>13.3 (7.16)   4</w:t>
            </w:r>
          </w:p>
        </w:tc>
      </w:tr>
      <w:tr w:rsidR="0029158C" w:rsidRPr="00563AD3" w14:paraId="4F2BB40F" w14:textId="77777777" w:rsidTr="008B76E2">
        <w:trPr>
          <w:cantSplit/>
          <w:jc w:val="center"/>
        </w:trPr>
        <w:tc>
          <w:tcPr>
            <w:tcW w:w="1666" w:type="pct"/>
            <w:tcBorders>
              <w:top w:val="nil"/>
              <w:right w:val="nil"/>
            </w:tcBorders>
            <w:shd w:val="clear" w:color="auto" w:fill="FFFFFF"/>
            <w:tcMar>
              <w:left w:w="67" w:type="dxa"/>
              <w:right w:w="67" w:type="dxa"/>
            </w:tcMar>
          </w:tcPr>
          <w:p w14:paraId="071EF23D" w14:textId="77777777" w:rsidR="0029158C" w:rsidRPr="00563AD3" w:rsidRDefault="0029158C" w:rsidP="00A648BD">
            <w:pPr>
              <w:spacing w:after="0" w:line="240" w:lineRule="auto"/>
              <w:rPr>
                <w:rFonts w:eastAsia="Times New Roman"/>
                <w:color w:val="000000"/>
              </w:rPr>
            </w:pPr>
            <w:r w:rsidRPr="00563AD3">
              <w:rPr>
                <w:rFonts w:eastAsia="Times New Roman"/>
                <w:color w:val="000000"/>
              </w:rPr>
              <w:t>Physically non-aggressive</w:t>
            </w:r>
          </w:p>
        </w:tc>
        <w:tc>
          <w:tcPr>
            <w:tcW w:w="1111" w:type="pct"/>
            <w:tcBorders>
              <w:top w:val="nil"/>
              <w:left w:val="nil"/>
              <w:bottom w:val="nil"/>
              <w:right w:val="nil"/>
            </w:tcBorders>
            <w:shd w:val="clear" w:color="auto" w:fill="FFFFFF"/>
            <w:tcMar>
              <w:left w:w="67" w:type="dxa"/>
              <w:right w:w="67" w:type="dxa"/>
            </w:tcMar>
          </w:tcPr>
          <w:p w14:paraId="493FB8DE" w14:textId="77777777" w:rsidR="0029158C" w:rsidRPr="00563AD3" w:rsidRDefault="0029158C" w:rsidP="00A648BD">
            <w:pPr>
              <w:spacing w:after="0" w:line="240" w:lineRule="auto"/>
              <w:jc w:val="right"/>
              <w:rPr>
                <w:rFonts w:eastAsia="Times New Roman"/>
                <w:color w:val="000000"/>
              </w:rPr>
            </w:pPr>
            <w:r w:rsidRPr="00563AD3">
              <w:rPr>
                <w:rFonts w:eastAsia="Times New Roman"/>
                <w:color w:val="000000"/>
              </w:rPr>
              <w:t>11.6 (6.47) 8</w:t>
            </w:r>
          </w:p>
        </w:tc>
        <w:tc>
          <w:tcPr>
            <w:tcW w:w="1113" w:type="pct"/>
            <w:tcBorders>
              <w:top w:val="nil"/>
              <w:left w:val="nil"/>
              <w:bottom w:val="nil"/>
              <w:right w:val="nil"/>
            </w:tcBorders>
            <w:shd w:val="clear" w:color="auto" w:fill="FFFFFF"/>
            <w:tcMar>
              <w:left w:w="67" w:type="dxa"/>
              <w:right w:w="67" w:type="dxa"/>
            </w:tcMar>
          </w:tcPr>
          <w:p w14:paraId="2CA40B05" w14:textId="77777777" w:rsidR="0029158C" w:rsidRPr="00563AD3" w:rsidRDefault="0029158C" w:rsidP="00A648BD">
            <w:pPr>
              <w:spacing w:after="0" w:line="240" w:lineRule="auto"/>
              <w:jc w:val="right"/>
              <w:rPr>
                <w:rFonts w:eastAsia="Times New Roman"/>
                <w:color w:val="000000"/>
              </w:rPr>
            </w:pPr>
            <w:r w:rsidRPr="00563AD3">
              <w:rPr>
                <w:rFonts w:eastAsia="Times New Roman"/>
                <w:color w:val="000000"/>
              </w:rPr>
              <w:t>11.3 (6.08) 10</w:t>
            </w:r>
          </w:p>
        </w:tc>
        <w:tc>
          <w:tcPr>
            <w:tcW w:w="1110" w:type="pct"/>
            <w:tcBorders>
              <w:top w:val="nil"/>
              <w:left w:val="nil"/>
              <w:bottom w:val="nil"/>
            </w:tcBorders>
            <w:shd w:val="clear" w:color="auto" w:fill="FFFFFF"/>
            <w:tcMar>
              <w:left w:w="67" w:type="dxa"/>
              <w:right w:w="67" w:type="dxa"/>
            </w:tcMar>
          </w:tcPr>
          <w:p w14:paraId="2C4787A6" w14:textId="77777777" w:rsidR="0029158C" w:rsidRPr="00563AD3" w:rsidRDefault="0029158C" w:rsidP="00A648BD">
            <w:pPr>
              <w:spacing w:after="0" w:line="240" w:lineRule="auto"/>
              <w:jc w:val="right"/>
              <w:rPr>
                <w:rFonts w:eastAsia="Times New Roman"/>
                <w:color w:val="000000"/>
              </w:rPr>
            </w:pPr>
            <w:r w:rsidRPr="00563AD3">
              <w:rPr>
                <w:rFonts w:eastAsia="Times New Roman"/>
                <w:color w:val="000000"/>
              </w:rPr>
              <w:t>11.4 (6.25) 18</w:t>
            </w:r>
          </w:p>
        </w:tc>
      </w:tr>
      <w:tr w:rsidR="0029158C" w:rsidRPr="00563AD3" w14:paraId="36BB0D97" w14:textId="77777777" w:rsidTr="008B76E2">
        <w:trPr>
          <w:cantSplit/>
          <w:jc w:val="center"/>
        </w:trPr>
        <w:tc>
          <w:tcPr>
            <w:tcW w:w="1666" w:type="pct"/>
            <w:tcBorders>
              <w:top w:val="nil"/>
              <w:right w:val="nil"/>
            </w:tcBorders>
            <w:shd w:val="clear" w:color="auto" w:fill="FFFFFF"/>
            <w:tcMar>
              <w:left w:w="67" w:type="dxa"/>
              <w:right w:w="67" w:type="dxa"/>
            </w:tcMar>
          </w:tcPr>
          <w:p w14:paraId="5AA78B99" w14:textId="77777777" w:rsidR="0029158C" w:rsidRPr="00563AD3" w:rsidRDefault="0029158C" w:rsidP="00A648BD">
            <w:pPr>
              <w:spacing w:after="0" w:line="240" w:lineRule="auto"/>
              <w:rPr>
                <w:rFonts w:eastAsia="Times New Roman"/>
                <w:color w:val="000000"/>
              </w:rPr>
            </w:pPr>
            <w:r w:rsidRPr="00563AD3">
              <w:rPr>
                <w:rFonts w:eastAsia="Times New Roman"/>
                <w:color w:val="000000"/>
              </w:rPr>
              <w:t>Verbally agitated</w:t>
            </w:r>
          </w:p>
        </w:tc>
        <w:tc>
          <w:tcPr>
            <w:tcW w:w="1111" w:type="pct"/>
            <w:tcBorders>
              <w:top w:val="nil"/>
              <w:left w:val="nil"/>
              <w:bottom w:val="nil"/>
              <w:right w:val="nil"/>
            </w:tcBorders>
            <w:shd w:val="clear" w:color="auto" w:fill="FFFFFF"/>
            <w:tcMar>
              <w:left w:w="67" w:type="dxa"/>
              <w:right w:w="67" w:type="dxa"/>
            </w:tcMar>
          </w:tcPr>
          <w:p w14:paraId="68A358DA" w14:textId="77777777" w:rsidR="0029158C" w:rsidRPr="00563AD3" w:rsidRDefault="0029158C" w:rsidP="00A648BD">
            <w:pPr>
              <w:spacing w:after="0" w:line="240" w:lineRule="auto"/>
              <w:jc w:val="right"/>
              <w:rPr>
                <w:rFonts w:eastAsia="Times New Roman"/>
                <w:color w:val="000000"/>
              </w:rPr>
            </w:pPr>
            <w:r w:rsidRPr="00563AD3">
              <w:rPr>
                <w:rFonts w:eastAsia="Times New Roman"/>
                <w:color w:val="000000"/>
              </w:rPr>
              <w:t>10.4 (6.23) 5</w:t>
            </w:r>
          </w:p>
        </w:tc>
        <w:tc>
          <w:tcPr>
            <w:tcW w:w="1113" w:type="pct"/>
            <w:tcBorders>
              <w:top w:val="nil"/>
              <w:left w:val="nil"/>
              <w:bottom w:val="nil"/>
              <w:right w:val="nil"/>
            </w:tcBorders>
            <w:shd w:val="clear" w:color="auto" w:fill="FFFFFF"/>
            <w:tcMar>
              <w:left w:w="67" w:type="dxa"/>
              <w:right w:w="67" w:type="dxa"/>
            </w:tcMar>
          </w:tcPr>
          <w:p w14:paraId="5D948F17" w14:textId="77777777" w:rsidR="0029158C" w:rsidRPr="00563AD3" w:rsidRDefault="0029158C" w:rsidP="00A648BD">
            <w:pPr>
              <w:spacing w:after="0" w:line="240" w:lineRule="auto"/>
              <w:jc w:val="right"/>
              <w:rPr>
                <w:rFonts w:eastAsia="Times New Roman"/>
                <w:color w:val="000000"/>
              </w:rPr>
            </w:pPr>
            <w:r w:rsidRPr="00563AD3">
              <w:rPr>
                <w:rFonts w:eastAsia="Times New Roman"/>
                <w:color w:val="000000"/>
              </w:rPr>
              <w:t>9.9 (5.94)   2</w:t>
            </w:r>
          </w:p>
        </w:tc>
        <w:tc>
          <w:tcPr>
            <w:tcW w:w="1110" w:type="pct"/>
            <w:tcBorders>
              <w:top w:val="nil"/>
              <w:left w:val="nil"/>
            </w:tcBorders>
            <w:shd w:val="clear" w:color="auto" w:fill="FFFFFF"/>
            <w:tcMar>
              <w:left w:w="67" w:type="dxa"/>
              <w:right w:w="67" w:type="dxa"/>
            </w:tcMar>
          </w:tcPr>
          <w:p w14:paraId="274254C7" w14:textId="77777777" w:rsidR="0029158C" w:rsidRPr="00563AD3" w:rsidRDefault="0029158C" w:rsidP="00A648BD">
            <w:pPr>
              <w:spacing w:after="0" w:line="240" w:lineRule="auto"/>
              <w:jc w:val="right"/>
              <w:rPr>
                <w:rFonts w:eastAsia="Times New Roman"/>
                <w:color w:val="000000"/>
              </w:rPr>
            </w:pPr>
            <w:r w:rsidRPr="00563AD3">
              <w:rPr>
                <w:rFonts w:eastAsia="Times New Roman"/>
                <w:color w:val="000000"/>
              </w:rPr>
              <w:t>10.1 (6.06)   7</w:t>
            </w:r>
          </w:p>
        </w:tc>
      </w:tr>
      <w:tr w:rsidR="0029158C" w:rsidRPr="00563AD3" w14:paraId="78F8E08E" w14:textId="77777777" w:rsidTr="008B76E2">
        <w:trPr>
          <w:cantSplit/>
          <w:jc w:val="center"/>
        </w:trPr>
        <w:tc>
          <w:tcPr>
            <w:tcW w:w="1666" w:type="pct"/>
            <w:tcBorders>
              <w:top w:val="nil"/>
              <w:bottom w:val="single" w:sz="4" w:space="0" w:color="auto"/>
              <w:right w:val="nil"/>
            </w:tcBorders>
            <w:shd w:val="clear" w:color="auto" w:fill="FFFFFF"/>
            <w:tcMar>
              <w:left w:w="67" w:type="dxa"/>
              <w:right w:w="67" w:type="dxa"/>
            </w:tcMar>
          </w:tcPr>
          <w:p w14:paraId="410535A5" w14:textId="77777777" w:rsidR="0029158C" w:rsidRPr="00563AD3" w:rsidRDefault="0029158C" w:rsidP="00A648BD">
            <w:pPr>
              <w:keepNext/>
              <w:spacing w:after="0" w:line="240" w:lineRule="auto"/>
              <w:rPr>
                <w:rFonts w:eastAsia="Times New Roman"/>
                <w:color w:val="000000"/>
              </w:rPr>
            </w:pPr>
            <w:r w:rsidRPr="00563AD3">
              <w:rPr>
                <w:rFonts w:eastAsia="Times New Roman"/>
                <w:color w:val="000000"/>
              </w:rPr>
              <w:t>Other</w:t>
            </w:r>
          </w:p>
        </w:tc>
        <w:tc>
          <w:tcPr>
            <w:tcW w:w="1111" w:type="pct"/>
            <w:tcBorders>
              <w:top w:val="nil"/>
              <w:left w:val="nil"/>
              <w:bottom w:val="single" w:sz="4" w:space="0" w:color="auto"/>
              <w:right w:val="nil"/>
            </w:tcBorders>
            <w:shd w:val="clear" w:color="auto" w:fill="FFFFFF"/>
            <w:tcMar>
              <w:left w:w="67" w:type="dxa"/>
              <w:right w:w="67" w:type="dxa"/>
            </w:tcMar>
          </w:tcPr>
          <w:p w14:paraId="7FE7C1F8"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12 (4.58) 0</w:t>
            </w:r>
          </w:p>
        </w:tc>
        <w:tc>
          <w:tcPr>
            <w:tcW w:w="1113" w:type="pct"/>
            <w:tcBorders>
              <w:top w:val="nil"/>
              <w:left w:val="nil"/>
              <w:bottom w:val="single" w:sz="4" w:space="0" w:color="auto"/>
              <w:right w:val="nil"/>
            </w:tcBorders>
            <w:shd w:val="clear" w:color="auto" w:fill="FFFFFF"/>
            <w:tcMar>
              <w:left w:w="67" w:type="dxa"/>
              <w:right w:w="67" w:type="dxa"/>
            </w:tcMar>
          </w:tcPr>
          <w:p w14:paraId="79094EC9"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11.5 (3.73)   2</w:t>
            </w:r>
          </w:p>
        </w:tc>
        <w:tc>
          <w:tcPr>
            <w:tcW w:w="1110" w:type="pct"/>
            <w:tcBorders>
              <w:top w:val="nil"/>
              <w:left w:val="nil"/>
              <w:bottom w:val="single" w:sz="4" w:space="0" w:color="auto"/>
            </w:tcBorders>
            <w:shd w:val="clear" w:color="auto" w:fill="FFFFFF"/>
            <w:tcMar>
              <w:left w:w="67" w:type="dxa"/>
              <w:right w:w="67" w:type="dxa"/>
            </w:tcMar>
          </w:tcPr>
          <w:p w14:paraId="7520736C"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11.7 (4.12)   2</w:t>
            </w:r>
          </w:p>
        </w:tc>
      </w:tr>
      <w:tr w:rsidR="0029158C" w:rsidRPr="00563AD3" w14:paraId="04819B7A"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7ECB9E32" w14:textId="5FE184B5" w:rsidR="0029158C" w:rsidRPr="00563AD3" w:rsidRDefault="0029158C" w:rsidP="00A648BD">
            <w:pPr>
              <w:keepNext/>
              <w:spacing w:after="0" w:line="240" w:lineRule="auto"/>
              <w:rPr>
                <w:rFonts w:eastAsia="Times New Roman"/>
                <w:color w:val="000000"/>
              </w:rPr>
            </w:pPr>
            <w:r w:rsidRPr="00563AD3">
              <w:rPr>
                <w:rFonts w:eastAsia="Times New Roman"/>
                <w:b/>
                <w:bCs/>
                <w:color w:val="000000"/>
              </w:rPr>
              <w:t>6</w:t>
            </w:r>
            <w:r w:rsidR="00B80810">
              <w:rPr>
                <w:rFonts w:eastAsia="Times New Roman"/>
                <w:b/>
                <w:bCs/>
                <w:color w:val="000000"/>
              </w:rPr>
              <w:t>-months</w:t>
            </w:r>
            <w:r w:rsidRPr="00563AD3">
              <w:rPr>
                <w:rFonts w:eastAsia="Times New Roman"/>
                <w:b/>
                <w:bCs/>
                <w:color w:val="000000"/>
              </w:rPr>
              <w:t xml:space="preserve"> Total score</w:t>
            </w:r>
            <w:r w:rsidRPr="00563AD3">
              <w:rPr>
                <w:rFonts w:eastAsia="Times New Roman"/>
                <w:bCs/>
                <w:color w:val="000000"/>
              </w:rPr>
              <w:t xml:space="preserve">                          </w:t>
            </w:r>
          </w:p>
        </w:tc>
        <w:tc>
          <w:tcPr>
            <w:tcW w:w="1111" w:type="pct"/>
            <w:tcBorders>
              <w:top w:val="nil"/>
              <w:left w:val="nil"/>
              <w:bottom w:val="nil"/>
              <w:right w:val="nil"/>
            </w:tcBorders>
            <w:shd w:val="clear" w:color="auto" w:fill="FFFFFF"/>
            <w:tcMar>
              <w:left w:w="67" w:type="dxa"/>
              <w:right w:w="67" w:type="dxa"/>
            </w:tcMar>
          </w:tcPr>
          <w:p w14:paraId="6480D2AE"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b/>
                <w:color w:val="000000"/>
              </w:rPr>
              <w:t>44.9 (16.75) 64</w:t>
            </w:r>
          </w:p>
        </w:tc>
        <w:tc>
          <w:tcPr>
            <w:tcW w:w="1113" w:type="pct"/>
            <w:tcBorders>
              <w:top w:val="nil"/>
              <w:left w:val="nil"/>
              <w:bottom w:val="nil"/>
              <w:right w:val="nil"/>
            </w:tcBorders>
            <w:shd w:val="clear" w:color="auto" w:fill="FFFFFF"/>
            <w:tcMar>
              <w:left w:w="67" w:type="dxa"/>
              <w:right w:w="67" w:type="dxa"/>
            </w:tcMar>
          </w:tcPr>
          <w:p w14:paraId="3D1F5A6B"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b/>
                <w:color w:val="000000"/>
              </w:rPr>
              <w:t>43.6 (14.32) 84</w:t>
            </w:r>
          </w:p>
        </w:tc>
        <w:tc>
          <w:tcPr>
            <w:tcW w:w="1110" w:type="pct"/>
            <w:tcBorders>
              <w:top w:val="single" w:sz="4" w:space="0" w:color="auto"/>
              <w:left w:val="nil"/>
              <w:bottom w:val="nil"/>
            </w:tcBorders>
            <w:shd w:val="clear" w:color="auto" w:fill="FFFFFF"/>
            <w:tcMar>
              <w:left w:w="67" w:type="dxa"/>
              <w:right w:w="67" w:type="dxa"/>
            </w:tcMar>
          </w:tcPr>
          <w:p w14:paraId="76DC825A"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b/>
                <w:color w:val="000000"/>
              </w:rPr>
              <w:t>44.2 (15.39) 148</w:t>
            </w:r>
          </w:p>
        </w:tc>
      </w:tr>
      <w:tr w:rsidR="0029158C" w:rsidRPr="00563AD3" w14:paraId="06873F6C"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7B3656A2" w14:textId="77777777" w:rsidR="0029158C" w:rsidRPr="00563AD3" w:rsidRDefault="0029158C" w:rsidP="00A648BD">
            <w:pPr>
              <w:keepNext/>
              <w:spacing w:after="0" w:line="240" w:lineRule="auto"/>
              <w:rPr>
                <w:rFonts w:eastAsia="Times New Roman"/>
                <w:color w:val="000000"/>
              </w:rPr>
            </w:pPr>
            <w:r w:rsidRPr="00563AD3">
              <w:rPr>
                <w:rFonts w:eastAsia="Times New Roman"/>
                <w:b/>
                <w:bCs/>
                <w:color w:val="000000"/>
              </w:rPr>
              <w:t>Subscales:</w:t>
            </w:r>
          </w:p>
        </w:tc>
        <w:tc>
          <w:tcPr>
            <w:tcW w:w="1111" w:type="pct"/>
            <w:tcBorders>
              <w:top w:val="nil"/>
              <w:left w:val="nil"/>
              <w:bottom w:val="nil"/>
              <w:right w:val="nil"/>
            </w:tcBorders>
            <w:shd w:val="clear" w:color="auto" w:fill="FFFFFF"/>
            <w:tcMar>
              <w:left w:w="67" w:type="dxa"/>
              <w:right w:w="67" w:type="dxa"/>
            </w:tcMar>
          </w:tcPr>
          <w:p w14:paraId="6EA67158" w14:textId="77777777" w:rsidR="0029158C" w:rsidRPr="00563AD3" w:rsidRDefault="0029158C" w:rsidP="00A648BD">
            <w:pPr>
              <w:keepNext/>
              <w:spacing w:after="0" w:line="240" w:lineRule="auto"/>
              <w:jc w:val="right"/>
              <w:rPr>
                <w:rFonts w:eastAsia="Times New Roman"/>
                <w:color w:val="000000"/>
              </w:rPr>
            </w:pPr>
          </w:p>
        </w:tc>
        <w:tc>
          <w:tcPr>
            <w:tcW w:w="1113" w:type="pct"/>
            <w:tcBorders>
              <w:top w:val="nil"/>
              <w:left w:val="nil"/>
              <w:bottom w:val="nil"/>
              <w:right w:val="nil"/>
            </w:tcBorders>
            <w:shd w:val="clear" w:color="auto" w:fill="FFFFFF"/>
            <w:tcMar>
              <w:left w:w="67" w:type="dxa"/>
              <w:right w:w="67" w:type="dxa"/>
            </w:tcMar>
          </w:tcPr>
          <w:p w14:paraId="02573DC6" w14:textId="77777777" w:rsidR="0029158C" w:rsidRPr="00563AD3" w:rsidRDefault="0029158C" w:rsidP="00A648BD">
            <w:pPr>
              <w:keepNext/>
              <w:spacing w:after="0" w:line="240" w:lineRule="auto"/>
              <w:jc w:val="right"/>
              <w:rPr>
                <w:rFonts w:eastAsia="Times New Roman"/>
                <w:color w:val="000000"/>
              </w:rPr>
            </w:pPr>
          </w:p>
        </w:tc>
        <w:tc>
          <w:tcPr>
            <w:tcW w:w="1110" w:type="pct"/>
            <w:tcBorders>
              <w:top w:val="nil"/>
              <w:left w:val="nil"/>
              <w:bottom w:val="nil"/>
            </w:tcBorders>
            <w:shd w:val="clear" w:color="auto" w:fill="FFFFFF"/>
            <w:tcMar>
              <w:left w:w="67" w:type="dxa"/>
              <w:right w:w="67" w:type="dxa"/>
            </w:tcMar>
          </w:tcPr>
          <w:p w14:paraId="67E991B2" w14:textId="77777777" w:rsidR="0029158C" w:rsidRPr="00563AD3" w:rsidRDefault="0029158C" w:rsidP="00A648BD">
            <w:pPr>
              <w:keepNext/>
              <w:spacing w:after="0" w:line="240" w:lineRule="auto"/>
              <w:jc w:val="right"/>
              <w:rPr>
                <w:rFonts w:eastAsia="Times New Roman"/>
                <w:color w:val="000000"/>
              </w:rPr>
            </w:pPr>
          </w:p>
        </w:tc>
      </w:tr>
      <w:tr w:rsidR="0029158C" w:rsidRPr="00563AD3" w14:paraId="5F6D33D6"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0D98CFFB" w14:textId="77777777" w:rsidR="0029158C" w:rsidRPr="00563AD3" w:rsidRDefault="0029158C" w:rsidP="00A648BD">
            <w:pPr>
              <w:keepNext/>
              <w:spacing w:after="0" w:line="240" w:lineRule="auto"/>
              <w:rPr>
                <w:rFonts w:eastAsia="Times New Roman"/>
                <w:color w:val="000000"/>
              </w:rPr>
            </w:pPr>
            <w:r w:rsidRPr="00563AD3">
              <w:rPr>
                <w:rFonts w:eastAsia="Times New Roman"/>
                <w:color w:val="000000"/>
              </w:rPr>
              <w:t>Aggressive behaviour</w:t>
            </w:r>
          </w:p>
        </w:tc>
        <w:tc>
          <w:tcPr>
            <w:tcW w:w="1111" w:type="pct"/>
            <w:tcBorders>
              <w:top w:val="nil"/>
              <w:left w:val="nil"/>
              <w:bottom w:val="nil"/>
              <w:right w:val="nil"/>
            </w:tcBorders>
            <w:shd w:val="clear" w:color="auto" w:fill="FFFFFF"/>
            <w:tcMar>
              <w:left w:w="67" w:type="dxa"/>
              <w:right w:w="67" w:type="dxa"/>
            </w:tcMar>
          </w:tcPr>
          <w:p w14:paraId="3A6F7712"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13.3 (7.21) 64</w:t>
            </w:r>
          </w:p>
        </w:tc>
        <w:tc>
          <w:tcPr>
            <w:tcW w:w="1113" w:type="pct"/>
            <w:tcBorders>
              <w:top w:val="nil"/>
              <w:left w:val="nil"/>
              <w:bottom w:val="nil"/>
              <w:right w:val="nil"/>
            </w:tcBorders>
            <w:shd w:val="clear" w:color="auto" w:fill="FFFFFF"/>
            <w:tcMar>
              <w:left w:w="67" w:type="dxa"/>
              <w:right w:w="67" w:type="dxa"/>
            </w:tcMar>
          </w:tcPr>
          <w:p w14:paraId="6137D1CB"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12.4 (6.14)   84</w:t>
            </w:r>
          </w:p>
        </w:tc>
        <w:tc>
          <w:tcPr>
            <w:tcW w:w="1110" w:type="pct"/>
            <w:tcBorders>
              <w:top w:val="nil"/>
              <w:left w:val="nil"/>
              <w:bottom w:val="nil"/>
            </w:tcBorders>
            <w:shd w:val="clear" w:color="auto" w:fill="FFFFFF"/>
            <w:tcMar>
              <w:left w:w="67" w:type="dxa"/>
              <w:right w:w="67" w:type="dxa"/>
            </w:tcMar>
          </w:tcPr>
          <w:p w14:paraId="357833EF"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12.8 (6.62) 148</w:t>
            </w:r>
          </w:p>
        </w:tc>
      </w:tr>
      <w:tr w:rsidR="0029158C" w:rsidRPr="00563AD3" w14:paraId="619A2F74"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7B6A74AD" w14:textId="77777777" w:rsidR="0029158C" w:rsidRPr="00563AD3" w:rsidRDefault="0029158C" w:rsidP="00A648BD">
            <w:pPr>
              <w:keepNext/>
              <w:spacing w:after="0" w:line="240" w:lineRule="auto"/>
              <w:rPr>
                <w:rFonts w:eastAsia="Times New Roman"/>
                <w:color w:val="000000"/>
              </w:rPr>
            </w:pPr>
            <w:r w:rsidRPr="00563AD3">
              <w:rPr>
                <w:rFonts w:eastAsia="Times New Roman"/>
                <w:color w:val="000000"/>
              </w:rPr>
              <w:t>Physically non-aggressive</w:t>
            </w:r>
          </w:p>
        </w:tc>
        <w:tc>
          <w:tcPr>
            <w:tcW w:w="1111" w:type="pct"/>
            <w:tcBorders>
              <w:top w:val="nil"/>
              <w:left w:val="nil"/>
              <w:bottom w:val="nil"/>
              <w:right w:val="nil"/>
            </w:tcBorders>
            <w:shd w:val="clear" w:color="auto" w:fill="FFFFFF"/>
            <w:tcMar>
              <w:left w:w="67" w:type="dxa"/>
              <w:right w:w="67" w:type="dxa"/>
            </w:tcMar>
          </w:tcPr>
          <w:p w14:paraId="3E0B0C2E"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10.5 (5.88) 68</w:t>
            </w:r>
          </w:p>
        </w:tc>
        <w:tc>
          <w:tcPr>
            <w:tcW w:w="1113" w:type="pct"/>
            <w:tcBorders>
              <w:top w:val="nil"/>
              <w:left w:val="nil"/>
              <w:bottom w:val="nil"/>
              <w:right w:val="nil"/>
            </w:tcBorders>
            <w:shd w:val="clear" w:color="auto" w:fill="FFFFFF"/>
            <w:tcMar>
              <w:left w:w="67" w:type="dxa"/>
              <w:right w:w="67" w:type="dxa"/>
            </w:tcMar>
          </w:tcPr>
          <w:p w14:paraId="48DF19F3"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10.6 (5.28) 100</w:t>
            </w:r>
          </w:p>
        </w:tc>
        <w:tc>
          <w:tcPr>
            <w:tcW w:w="1110" w:type="pct"/>
            <w:tcBorders>
              <w:top w:val="nil"/>
              <w:left w:val="nil"/>
              <w:bottom w:val="nil"/>
            </w:tcBorders>
            <w:shd w:val="clear" w:color="auto" w:fill="FFFFFF"/>
            <w:tcMar>
              <w:left w:w="67" w:type="dxa"/>
              <w:right w:w="67" w:type="dxa"/>
            </w:tcMar>
          </w:tcPr>
          <w:p w14:paraId="31F365EE"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10.6 (5.54) 168</w:t>
            </w:r>
          </w:p>
        </w:tc>
      </w:tr>
      <w:tr w:rsidR="0029158C" w:rsidRPr="00563AD3" w14:paraId="1EBAC05A"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731B66BB" w14:textId="77777777" w:rsidR="0029158C" w:rsidRPr="00563AD3" w:rsidRDefault="0029158C" w:rsidP="00A648BD">
            <w:pPr>
              <w:keepNext/>
              <w:spacing w:after="0" w:line="240" w:lineRule="auto"/>
              <w:rPr>
                <w:rFonts w:eastAsia="Times New Roman"/>
                <w:color w:val="000000"/>
              </w:rPr>
            </w:pPr>
            <w:r w:rsidRPr="00563AD3">
              <w:rPr>
                <w:rFonts w:eastAsia="Times New Roman"/>
                <w:color w:val="000000"/>
              </w:rPr>
              <w:t>Verbally agitated</w:t>
            </w:r>
          </w:p>
        </w:tc>
        <w:tc>
          <w:tcPr>
            <w:tcW w:w="1111" w:type="pct"/>
            <w:tcBorders>
              <w:top w:val="nil"/>
              <w:left w:val="nil"/>
              <w:bottom w:val="nil"/>
              <w:right w:val="nil"/>
            </w:tcBorders>
            <w:shd w:val="clear" w:color="auto" w:fill="FFFFFF"/>
            <w:tcMar>
              <w:left w:w="67" w:type="dxa"/>
              <w:right w:w="67" w:type="dxa"/>
            </w:tcMar>
          </w:tcPr>
          <w:p w14:paraId="7D40FBDB"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9.4 (5.42) 64</w:t>
            </w:r>
          </w:p>
        </w:tc>
        <w:tc>
          <w:tcPr>
            <w:tcW w:w="1113" w:type="pct"/>
            <w:tcBorders>
              <w:top w:val="nil"/>
              <w:left w:val="nil"/>
              <w:bottom w:val="nil"/>
              <w:right w:val="nil"/>
            </w:tcBorders>
            <w:shd w:val="clear" w:color="auto" w:fill="FFFFFF"/>
            <w:tcMar>
              <w:left w:w="67" w:type="dxa"/>
              <w:right w:w="67" w:type="dxa"/>
            </w:tcMar>
          </w:tcPr>
          <w:p w14:paraId="410AFE5D"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9.6 (5.42)   87</w:t>
            </w:r>
          </w:p>
        </w:tc>
        <w:tc>
          <w:tcPr>
            <w:tcW w:w="1110" w:type="pct"/>
            <w:tcBorders>
              <w:top w:val="nil"/>
              <w:left w:val="nil"/>
            </w:tcBorders>
            <w:shd w:val="clear" w:color="auto" w:fill="FFFFFF"/>
            <w:tcMar>
              <w:left w:w="67" w:type="dxa"/>
              <w:right w:w="67" w:type="dxa"/>
            </w:tcMar>
          </w:tcPr>
          <w:p w14:paraId="5DCD0EB9"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9.5 (5.42) 151</w:t>
            </w:r>
          </w:p>
        </w:tc>
      </w:tr>
      <w:tr w:rsidR="0029158C" w:rsidRPr="00563AD3" w14:paraId="4AB28D04" w14:textId="77777777" w:rsidTr="008B76E2">
        <w:trPr>
          <w:cantSplit/>
          <w:jc w:val="center"/>
        </w:trPr>
        <w:tc>
          <w:tcPr>
            <w:tcW w:w="1666" w:type="pct"/>
            <w:tcBorders>
              <w:top w:val="nil"/>
              <w:bottom w:val="single" w:sz="4" w:space="0" w:color="auto"/>
              <w:right w:val="nil"/>
            </w:tcBorders>
            <w:shd w:val="clear" w:color="auto" w:fill="FFFFFF"/>
            <w:tcMar>
              <w:left w:w="67" w:type="dxa"/>
              <w:right w:w="67" w:type="dxa"/>
            </w:tcMar>
          </w:tcPr>
          <w:p w14:paraId="7D71FACF" w14:textId="77777777" w:rsidR="0029158C" w:rsidRPr="00563AD3" w:rsidRDefault="0029158C" w:rsidP="00A648BD">
            <w:pPr>
              <w:keepNext/>
              <w:spacing w:after="0" w:line="240" w:lineRule="auto"/>
              <w:rPr>
                <w:rFonts w:eastAsia="Times New Roman"/>
                <w:color w:val="000000"/>
              </w:rPr>
            </w:pPr>
            <w:r w:rsidRPr="00563AD3">
              <w:rPr>
                <w:rFonts w:eastAsia="Times New Roman"/>
                <w:color w:val="000000"/>
              </w:rPr>
              <w:t>Other</w:t>
            </w:r>
          </w:p>
        </w:tc>
        <w:tc>
          <w:tcPr>
            <w:tcW w:w="1111" w:type="pct"/>
            <w:tcBorders>
              <w:top w:val="nil"/>
              <w:left w:val="nil"/>
              <w:bottom w:val="single" w:sz="4" w:space="0" w:color="auto"/>
              <w:right w:val="nil"/>
            </w:tcBorders>
            <w:shd w:val="clear" w:color="auto" w:fill="FFFFFF"/>
            <w:tcMar>
              <w:left w:w="67" w:type="dxa"/>
              <w:right w:w="67" w:type="dxa"/>
            </w:tcMar>
          </w:tcPr>
          <w:p w14:paraId="18AFC74B"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11.7 (3.95) 64</w:t>
            </w:r>
          </w:p>
        </w:tc>
        <w:tc>
          <w:tcPr>
            <w:tcW w:w="1113" w:type="pct"/>
            <w:tcBorders>
              <w:top w:val="nil"/>
              <w:left w:val="nil"/>
              <w:bottom w:val="single" w:sz="4" w:space="0" w:color="auto"/>
              <w:right w:val="nil"/>
            </w:tcBorders>
            <w:shd w:val="clear" w:color="auto" w:fill="FFFFFF"/>
            <w:tcMar>
              <w:left w:w="67" w:type="dxa"/>
              <w:right w:w="67" w:type="dxa"/>
            </w:tcMar>
          </w:tcPr>
          <w:p w14:paraId="2A7D57E6"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11 (3.26)   84</w:t>
            </w:r>
          </w:p>
        </w:tc>
        <w:tc>
          <w:tcPr>
            <w:tcW w:w="1110" w:type="pct"/>
            <w:tcBorders>
              <w:top w:val="nil"/>
              <w:left w:val="nil"/>
              <w:bottom w:val="single" w:sz="4" w:space="0" w:color="auto"/>
            </w:tcBorders>
            <w:shd w:val="clear" w:color="auto" w:fill="FFFFFF"/>
            <w:tcMar>
              <w:left w:w="67" w:type="dxa"/>
              <w:right w:w="67" w:type="dxa"/>
            </w:tcMar>
          </w:tcPr>
          <w:p w14:paraId="25A1C941"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11.3 (3.58) 148</w:t>
            </w:r>
          </w:p>
        </w:tc>
      </w:tr>
      <w:tr w:rsidR="0029158C" w:rsidRPr="00563AD3" w14:paraId="382A25AB"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3ED8BA74" w14:textId="39BEF00B" w:rsidR="0029158C" w:rsidRPr="00563AD3" w:rsidRDefault="0029158C" w:rsidP="00A648BD">
            <w:pPr>
              <w:keepNext/>
              <w:spacing w:after="0" w:line="240" w:lineRule="auto"/>
              <w:rPr>
                <w:rFonts w:eastAsia="Times New Roman"/>
                <w:color w:val="000000"/>
              </w:rPr>
            </w:pPr>
            <w:r w:rsidRPr="00563AD3">
              <w:rPr>
                <w:rFonts w:eastAsia="Times New Roman"/>
                <w:b/>
                <w:bCs/>
                <w:color w:val="000000"/>
              </w:rPr>
              <w:t>16</w:t>
            </w:r>
            <w:r w:rsidR="00B80810">
              <w:rPr>
                <w:rFonts w:eastAsia="Times New Roman"/>
                <w:b/>
                <w:bCs/>
                <w:color w:val="000000"/>
              </w:rPr>
              <w:t>-months</w:t>
            </w:r>
            <w:r w:rsidRPr="00563AD3">
              <w:rPr>
                <w:rFonts w:eastAsia="Times New Roman"/>
                <w:b/>
                <w:bCs/>
                <w:color w:val="000000"/>
              </w:rPr>
              <w:t xml:space="preserve"> Total score</w:t>
            </w:r>
            <w:r w:rsidRPr="00563AD3">
              <w:rPr>
                <w:rFonts w:eastAsia="Times New Roman"/>
                <w:bCs/>
                <w:color w:val="000000"/>
              </w:rPr>
              <w:t xml:space="preserve">                          </w:t>
            </w:r>
          </w:p>
        </w:tc>
        <w:tc>
          <w:tcPr>
            <w:tcW w:w="1111" w:type="pct"/>
            <w:tcBorders>
              <w:top w:val="nil"/>
              <w:left w:val="nil"/>
              <w:bottom w:val="nil"/>
              <w:right w:val="nil"/>
            </w:tcBorders>
            <w:shd w:val="clear" w:color="auto" w:fill="FFFFFF"/>
            <w:tcMar>
              <w:left w:w="67" w:type="dxa"/>
              <w:right w:w="67" w:type="dxa"/>
            </w:tcMar>
          </w:tcPr>
          <w:p w14:paraId="1B75D27A"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b/>
                <w:color w:val="000000"/>
              </w:rPr>
              <w:t>46.4 (16.54) 123</w:t>
            </w:r>
          </w:p>
        </w:tc>
        <w:tc>
          <w:tcPr>
            <w:tcW w:w="1113" w:type="pct"/>
            <w:tcBorders>
              <w:top w:val="nil"/>
              <w:left w:val="nil"/>
              <w:bottom w:val="nil"/>
              <w:right w:val="nil"/>
            </w:tcBorders>
            <w:shd w:val="clear" w:color="auto" w:fill="FFFFFF"/>
            <w:tcMar>
              <w:left w:w="67" w:type="dxa"/>
              <w:right w:w="67" w:type="dxa"/>
            </w:tcMar>
          </w:tcPr>
          <w:p w14:paraId="12186019"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b/>
                <w:color w:val="000000"/>
              </w:rPr>
              <w:t>41.4 (14.73) 198</w:t>
            </w:r>
          </w:p>
        </w:tc>
        <w:tc>
          <w:tcPr>
            <w:tcW w:w="1110" w:type="pct"/>
            <w:tcBorders>
              <w:top w:val="single" w:sz="4" w:space="0" w:color="auto"/>
              <w:left w:val="nil"/>
              <w:bottom w:val="nil"/>
            </w:tcBorders>
            <w:shd w:val="clear" w:color="auto" w:fill="FFFFFF"/>
            <w:tcMar>
              <w:left w:w="67" w:type="dxa"/>
              <w:right w:w="67" w:type="dxa"/>
            </w:tcMar>
          </w:tcPr>
          <w:p w14:paraId="4C2B6763"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b/>
                <w:color w:val="000000"/>
              </w:rPr>
              <w:t>43.7 (15.76) 321</w:t>
            </w:r>
          </w:p>
        </w:tc>
      </w:tr>
      <w:tr w:rsidR="0029158C" w:rsidRPr="00563AD3" w14:paraId="4FF60189"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43F3EFC1" w14:textId="77777777" w:rsidR="0029158C" w:rsidRPr="00563AD3" w:rsidRDefault="0029158C" w:rsidP="00A648BD">
            <w:pPr>
              <w:keepNext/>
              <w:spacing w:after="0" w:line="240" w:lineRule="auto"/>
              <w:rPr>
                <w:rFonts w:eastAsia="Times New Roman"/>
                <w:color w:val="000000"/>
              </w:rPr>
            </w:pPr>
            <w:r w:rsidRPr="00563AD3">
              <w:rPr>
                <w:rFonts w:eastAsia="Times New Roman"/>
                <w:b/>
                <w:bCs/>
                <w:color w:val="000000"/>
              </w:rPr>
              <w:t>Subscales:</w:t>
            </w:r>
          </w:p>
        </w:tc>
        <w:tc>
          <w:tcPr>
            <w:tcW w:w="1111" w:type="pct"/>
            <w:tcBorders>
              <w:top w:val="nil"/>
              <w:left w:val="nil"/>
              <w:bottom w:val="nil"/>
              <w:right w:val="nil"/>
            </w:tcBorders>
            <w:shd w:val="clear" w:color="auto" w:fill="FFFFFF"/>
            <w:tcMar>
              <w:left w:w="67" w:type="dxa"/>
              <w:right w:w="67" w:type="dxa"/>
            </w:tcMar>
          </w:tcPr>
          <w:p w14:paraId="0041A8C4" w14:textId="77777777" w:rsidR="0029158C" w:rsidRPr="00563AD3" w:rsidRDefault="0029158C" w:rsidP="00A648BD">
            <w:pPr>
              <w:keepNext/>
              <w:spacing w:after="0" w:line="240" w:lineRule="auto"/>
              <w:jc w:val="right"/>
              <w:rPr>
                <w:rFonts w:eastAsia="Times New Roman"/>
                <w:color w:val="000000"/>
              </w:rPr>
            </w:pPr>
          </w:p>
        </w:tc>
        <w:tc>
          <w:tcPr>
            <w:tcW w:w="1113" w:type="pct"/>
            <w:tcBorders>
              <w:top w:val="nil"/>
              <w:left w:val="nil"/>
              <w:bottom w:val="nil"/>
              <w:right w:val="nil"/>
            </w:tcBorders>
            <w:shd w:val="clear" w:color="auto" w:fill="FFFFFF"/>
            <w:tcMar>
              <w:left w:w="67" w:type="dxa"/>
              <w:right w:w="67" w:type="dxa"/>
            </w:tcMar>
          </w:tcPr>
          <w:p w14:paraId="71F41F06" w14:textId="77777777" w:rsidR="0029158C" w:rsidRPr="00563AD3" w:rsidRDefault="0029158C" w:rsidP="00A648BD">
            <w:pPr>
              <w:keepNext/>
              <w:spacing w:after="0" w:line="240" w:lineRule="auto"/>
              <w:jc w:val="right"/>
              <w:rPr>
                <w:rFonts w:eastAsia="Times New Roman"/>
                <w:color w:val="000000"/>
              </w:rPr>
            </w:pPr>
          </w:p>
        </w:tc>
        <w:tc>
          <w:tcPr>
            <w:tcW w:w="1110" w:type="pct"/>
            <w:tcBorders>
              <w:top w:val="nil"/>
              <w:left w:val="nil"/>
              <w:bottom w:val="nil"/>
            </w:tcBorders>
            <w:shd w:val="clear" w:color="auto" w:fill="FFFFFF"/>
            <w:tcMar>
              <w:left w:w="67" w:type="dxa"/>
              <w:right w:w="67" w:type="dxa"/>
            </w:tcMar>
          </w:tcPr>
          <w:p w14:paraId="3D570F62" w14:textId="77777777" w:rsidR="0029158C" w:rsidRPr="00563AD3" w:rsidRDefault="0029158C" w:rsidP="00A648BD">
            <w:pPr>
              <w:keepNext/>
              <w:spacing w:after="0" w:line="240" w:lineRule="auto"/>
              <w:jc w:val="right"/>
              <w:rPr>
                <w:rFonts w:eastAsia="Times New Roman"/>
                <w:color w:val="000000"/>
              </w:rPr>
            </w:pPr>
          </w:p>
        </w:tc>
      </w:tr>
      <w:tr w:rsidR="0029158C" w:rsidRPr="00563AD3" w14:paraId="0A716B42"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2BA5C3EE" w14:textId="77777777" w:rsidR="0029158C" w:rsidRPr="00563AD3" w:rsidRDefault="0029158C" w:rsidP="00A648BD">
            <w:pPr>
              <w:keepNext/>
              <w:spacing w:after="0" w:line="240" w:lineRule="auto"/>
              <w:rPr>
                <w:rFonts w:eastAsia="Times New Roman"/>
                <w:color w:val="000000"/>
              </w:rPr>
            </w:pPr>
            <w:r w:rsidRPr="00563AD3">
              <w:rPr>
                <w:rFonts w:eastAsia="Times New Roman"/>
                <w:color w:val="000000"/>
              </w:rPr>
              <w:t>Aggressive behaviour</w:t>
            </w:r>
          </w:p>
        </w:tc>
        <w:tc>
          <w:tcPr>
            <w:tcW w:w="1111" w:type="pct"/>
            <w:tcBorders>
              <w:top w:val="nil"/>
              <w:left w:val="nil"/>
              <w:bottom w:val="nil"/>
              <w:right w:val="nil"/>
            </w:tcBorders>
            <w:shd w:val="clear" w:color="auto" w:fill="FFFFFF"/>
            <w:tcMar>
              <w:left w:w="67" w:type="dxa"/>
              <w:right w:w="67" w:type="dxa"/>
            </w:tcMar>
          </w:tcPr>
          <w:p w14:paraId="115A4F2A"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14 (7.66) 123</w:t>
            </w:r>
          </w:p>
        </w:tc>
        <w:tc>
          <w:tcPr>
            <w:tcW w:w="1113" w:type="pct"/>
            <w:tcBorders>
              <w:top w:val="nil"/>
              <w:left w:val="nil"/>
              <w:bottom w:val="nil"/>
              <w:right w:val="nil"/>
            </w:tcBorders>
            <w:shd w:val="clear" w:color="auto" w:fill="FFFFFF"/>
            <w:tcMar>
              <w:left w:w="67" w:type="dxa"/>
              <w:right w:w="67" w:type="dxa"/>
            </w:tcMar>
          </w:tcPr>
          <w:p w14:paraId="509BBF98"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12.3 (5.9) 196</w:t>
            </w:r>
          </w:p>
        </w:tc>
        <w:tc>
          <w:tcPr>
            <w:tcW w:w="1110" w:type="pct"/>
            <w:tcBorders>
              <w:top w:val="nil"/>
              <w:left w:val="nil"/>
              <w:bottom w:val="nil"/>
            </w:tcBorders>
            <w:shd w:val="clear" w:color="auto" w:fill="FFFFFF"/>
            <w:tcMar>
              <w:left w:w="67" w:type="dxa"/>
              <w:right w:w="67" w:type="dxa"/>
            </w:tcMar>
          </w:tcPr>
          <w:p w14:paraId="0212130C"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13 (6.8) 319</w:t>
            </w:r>
          </w:p>
        </w:tc>
      </w:tr>
      <w:tr w:rsidR="0029158C" w:rsidRPr="00563AD3" w14:paraId="35A2F91E"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3C2C89C9" w14:textId="77777777" w:rsidR="0029158C" w:rsidRPr="00563AD3" w:rsidRDefault="0029158C" w:rsidP="00A648BD">
            <w:pPr>
              <w:keepNext/>
              <w:spacing w:after="0" w:line="240" w:lineRule="auto"/>
              <w:rPr>
                <w:rFonts w:eastAsia="Times New Roman"/>
                <w:color w:val="000000"/>
              </w:rPr>
            </w:pPr>
            <w:r w:rsidRPr="00563AD3">
              <w:rPr>
                <w:rFonts w:eastAsia="Times New Roman"/>
                <w:color w:val="000000"/>
              </w:rPr>
              <w:t>Physically non-aggressive</w:t>
            </w:r>
          </w:p>
        </w:tc>
        <w:tc>
          <w:tcPr>
            <w:tcW w:w="1111" w:type="pct"/>
            <w:tcBorders>
              <w:top w:val="nil"/>
              <w:left w:val="nil"/>
              <w:bottom w:val="nil"/>
              <w:right w:val="nil"/>
            </w:tcBorders>
            <w:shd w:val="clear" w:color="auto" w:fill="FFFFFF"/>
            <w:tcMar>
              <w:left w:w="67" w:type="dxa"/>
              <w:right w:w="67" w:type="dxa"/>
            </w:tcMar>
          </w:tcPr>
          <w:p w14:paraId="13AEC771"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11 (5.82) 124</w:t>
            </w:r>
          </w:p>
        </w:tc>
        <w:tc>
          <w:tcPr>
            <w:tcW w:w="1113" w:type="pct"/>
            <w:tcBorders>
              <w:top w:val="nil"/>
              <w:left w:val="nil"/>
              <w:bottom w:val="nil"/>
              <w:right w:val="nil"/>
            </w:tcBorders>
            <w:shd w:val="clear" w:color="auto" w:fill="FFFFFF"/>
            <w:tcMar>
              <w:left w:w="67" w:type="dxa"/>
              <w:right w:w="67" w:type="dxa"/>
            </w:tcMar>
          </w:tcPr>
          <w:p w14:paraId="33260607"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9.2 (4.85) 205</w:t>
            </w:r>
          </w:p>
        </w:tc>
        <w:tc>
          <w:tcPr>
            <w:tcW w:w="1110" w:type="pct"/>
            <w:tcBorders>
              <w:top w:val="nil"/>
              <w:left w:val="nil"/>
              <w:bottom w:val="nil"/>
            </w:tcBorders>
            <w:shd w:val="clear" w:color="auto" w:fill="FFFFFF"/>
            <w:tcMar>
              <w:left w:w="67" w:type="dxa"/>
              <w:right w:w="67" w:type="dxa"/>
            </w:tcMar>
          </w:tcPr>
          <w:p w14:paraId="54C21B6D"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10 (5.38) 329</w:t>
            </w:r>
          </w:p>
        </w:tc>
      </w:tr>
      <w:tr w:rsidR="0029158C" w:rsidRPr="00563AD3" w14:paraId="03DF3457" w14:textId="77777777" w:rsidTr="008B76E2">
        <w:trPr>
          <w:cantSplit/>
          <w:jc w:val="center"/>
        </w:trPr>
        <w:tc>
          <w:tcPr>
            <w:tcW w:w="1666" w:type="pct"/>
            <w:tcBorders>
              <w:top w:val="nil"/>
              <w:right w:val="nil"/>
            </w:tcBorders>
            <w:shd w:val="clear" w:color="auto" w:fill="FFFFFF"/>
            <w:tcMar>
              <w:left w:w="67" w:type="dxa"/>
              <w:right w:w="67" w:type="dxa"/>
            </w:tcMar>
          </w:tcPr>
          <w:p w14:paraId="483BC98B" w14:textId="77777777" w:rsidR="0029158C" w:rsidRPr="00563AD3" w:rsidRDefault="0029158C" w:rsidP="00A648BD">
            <w:pPr>
              <w:keepNext/>
              <w:spacing w:after="0" w:line="240" w:lineRule="auto"/>
              <w:rPr>
                <w:rFonts w:eastAsia="Times New Roman"/>
                <w:color w:val="000000"/>
              </w:rPr>
            </w:pPr>
            <w:r w:rsidRPr="00563AD3">
              <w:rPr>
                <w:rFonts w:eastAsia="Times New Roman"/>
                <w:color w:val="000000"/>
              </w:rPr>
              <w:t>Verbally agitated</w:t>
            </w:r>
          </w:p>
        </w:tc>
        <w:tc>
          <w:tcPr>
            <w:tcW w:w="1111" w:type="pct"/>
            <w:tcBorders>
              <w:top w:val="nil"/>
              <w:left w:val="nil"/>
              <w:right w:val="nil"/>
            </w:tcBorders>
            <w:shd w:val="clear" w:color="auto" w:fill="FFFFFF"/>
            <w:tcMar>
              <w:left w:w="67" w:type="dxa"/>
              <w:right w:w="67" w:type="dxa"/>
            </w:tcMar>
          </w:tcPr>
          <w:p w14:paraId="38AFA493"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9.7 (5.55) 123</w:t>
            </w:r>
          </w:p>
        </w:tc>
        <w:tc>
          <w:tcPr>
            <w:tcW w:w="1113" w:type="pct"/>
            <w:tcBorders>
              <w:top w:val="nil"/>
              <w:left w:val="nil"/>
              <w:right w:val="nil"/>
            </w:tcBorders>
            <w:shd w:val="clear" w:color="auto" w:fill="FFFFFF"/>
            <w:tcMar>
              <w:left w:w="67" w:type="dxa"/>
              <w:right w:w="67" w:type="dxa"/>
            </w:tcMar>
          </w:tcPr>
          <w:p w14:paraId="45497564"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9 (5.63) 197</w:t>
            </w:r>
          </w:p>
        </w:tc>
        <w:tc>
          <w:tcPr>
            <w:tcW w:w="1110" w:type="pct"/>
            <w:tcBorders>
              <w:top w:val="nil"/>
              <w:left w:val="nil"/>
            </w:tcBorders>
            <w:shd w:val="clear" w:color="auto" w:fill="FFFFFF"/>
            <w:tcMar>
              <w:left w:w="67" w:type="dxa"/>
              <w:right w:w="67" w:type="dxa"/>
            </w:tcMar>
          </w:tcPr>
          <w:p w14:paraId="2E295CF0"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9.3 (5.60) 320</w:t>
            </w:r>
          </w:p>
        </w:tc>
      </w:tr>
      <w:tr w:rsidR="0029158C" w:rsidRPr="00563AD3" w14:paraId="57444769" w14:textId="77777777" w:rsidTr="008B76E2">
        <w:trPr>
          <w:cantSplit/>
          <w:jc w:val="center"/>
        </w:trPr>
        <w:tc>
          <w:tcPr>
            <w:tcW w:w="1666" w:type="pct"/>
            <w:tcBorders>
              <w:top w:val="nil"/>
              <w:bottom w:val="single" w:sz="4" w:space="0" w:color="auto"/>
              <w:right w:val="nil"/>
            </w:tcBorders>
            <w:shd w:val="clear" w:color="auto" w:fill="FFFFFF"/>
            <w:tcMar>
              <w:left w:w="67" w:type="dxa"/>
              <w:right w:w="67" w:type="dxa"/>
            </w:tcMar>
          </w:tcPr>
          <w:p w14:paraId="24E79638" w14:textId="77777777" w:rsidR="0029158C" w:rsidRPr="00563AD3" w:rsidRDefault="0029158C" w:rsidP="00A648BD">
            <w:pPr>
              <w:keepNext/>
              <w:spacing w:after="0" w:line="240" w:lineRule="auto"/>
              <w:rPr>
                <w:rFonts w:eastAsia="Times New Roman"/>
                <w:color w:val="000000"/>
              </w:rPr>
            </w:pPr>
            <w:r w:rsidRPr="00563AD3">
              <w:rPr>
                <w:rFonts w:eastAsia="Times New Roman"/>
                <w:color w:val="000000"/>
              </w:rPr>
              <w:t>Other</w:t>
            </w:r>
          </w:p>
        </w:tc>
        <w:tc>
          <w:tcPr>
            <w:tcW w:w="1111" w:type="pct"/>
            <w:tcBorders>
              <w:top w:val="nil"/>
              <w:left w:val="nil"/>
              <w:bottom w:val="single" w:sz="4" w:space="0" w:color="auto"/>
              <w:right w:val="nil"/>
            </w:tcBorders>
            <w:shd w:val="clear" w:color="auto" w:fill="FFFFFF"/>
            <w:tcMar>
              <w:left w:w="67" w:type="dxa"/>
              <w:right w:w="67" w:type="dxa"/>
            </w:tcMar>
          </w:tcPr>
          <w:p w14:paraId="637AA70D"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11.8 (4.05) 123</w:t>
            </w:r>
          </w:p>
        </w:tc>
        <w:tc>
          <w:tcPr>
            <w:tcW w:w="1113" w:type="pct"/>
            <w:tcBorders>
              <w:top w:val="nil"/>
              <w:left w:val="nil"/>
              <w:bottom w:val="single" w:sz="4" w:space="0" w:color="auto"/>
              <w:right w:val="nil"/>
            </w:tcBorders>
            <w:shd w:val="clear" w:color="auto" w:fill="FFFFFF"/>
            <w:tcMar>
              <w:left w:w="67" w:type="dxa"/>
              <w:right w:w="67" w:type="dxa"/>
            </w:tcMar>
          </w:tcPr>
          <w:p w14:paraId="73678D37"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10.8 (3.08) 199</w:t>
            </w:r>
          </w:p>
        </w:tc>
        <w:tc>
          <w:tcPr>
            <w:tcW w:w="1110" w:type="pct"/>
            <w:tcBorders>
              <w:top w:val="nil"/>
              <w:left w:val="nil"/>
              <w:bottom w:val="single" w:sz="4" w:space="0" w:color="auto"/>
            </w:tcBorders>
            <w:shd w:val="clear" w:color="auto" w:fill="FFFFFF"/>
            <w:tcMar>
              <w:left w:w="67" w:type="dxa"/>
              <w:right w:w="67" w:type="dxa"/>
            </w:tcMar>
          </w:tcPr>
          <w:p w14:paraId="66A15B9B"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11.3 (3.59) 322</w:t>
            </w:r>
          </w:p>
        </w:tc>
      </w:tr>
      <w:tr w:rsidR="0029158C" w:rsidRPr="00563AD3" w14:paraId="0AB14FCC" w14:textId="77777777" w:rsidTr="008B76E2">
        <w:trPr>
          <w:cantSplit/>
          <w:jc w:val="center"/>
        </w:trPr>
        <w:tc>
          <w:tcPr>
            <w:tcW w:w="1666" w:type="pct"/>
            <w:tcBorders>
              <w:top w:val="single" w:sz="4" w:space="0" w:color="auto"/>
              <w:bottom w:val="single" w:sz="4" w:space="0" w:color="auto"/>
              <w:right w:val="nil"/>
            </w:tcBorders>
            <w:shd w:val="clear" w:color="auto" w:fill="FFFFFF"/>
            <w:tcMar>
              <w:left w:w="67" w:type="dxa"/>
              <w:right w:w="67" w:type="dxa"/>
            </w:tcMar>
          </w:tcPr>
          <w:p w14:paraId="71747BE1" w14:textId="77777777" w:rsidR="0029158C" w:rsidRPr="00563AD3" w:rsidRDefault="0029158C" w:rsidP="00A648BD">
            <w:pPr>
              <w:keepNext/>
              <w:spacing w:after="0" w:line="240" w:lineRule="auto"/>
              <w:rPr>
                <w:rFonts w:eastAsia="Times New Roman"/>
                <w:bCs/>
                <w:color w:val="000000"/>
              </w:rPr>
            </w:pPr>
          </w:p>
        </w:tc>
        <w:tc>
          <w:tcPr>
            <w:tcW w:w="1111" w:type="pct"/>
            <w:tcBorders>
              <w:top w:val="single" w:sz="4" w:space="0" w:color="auto"/>
              <w:left w:val="nil"/>
              <w:bottom w:val="single" w:sz="4" w:space="0" w:color="auto"/>
              <w:right w:val="nil"/>
            </w:tcBorders>
            <w:shd w:val="clear" w:color="auto" w:fill="FFFFFF"/>
            <w:tcMar>
              <w:left w:w="67" w:type="dxa"/>
              <w:right w:w="67" w:type="dxa"/>
            </w:tcMar>
            <w:vAlign w:val="bottom"/>
          </w:tcPr>
          <w:p w14:paraId="1CC166CB" w14:textId="77777777" w:rsidR="0029158C" w:rsidRPr="00563AD3" w:rsidRDefault="0029158C" w:rsidP="00A648BD">
            <w:pPr>
              <w:keepNext/>
              <w:spacing w:after="0" w:line="240" w:lineRule="auto"/>
              <w:jc w:val="right"/>
              <w:rPr>
                <w:rFonts w:eastAsia="Times New Roman"/>
                <w:b/>
                <w:bCs/>
                <w:color w:val="000000"/>
              </w:rPr>
            </w:pPr>
          </w:p>
        </w:tc>
        <w:tc>
          <w:tcPr>
            <w:tcW w:w="1113" w:type="pct"/>
            <w:tcBorders>
              <w:top w:val="single" w:sz="4" w:space="0" w:color="auto"/>
              <w:left w:val="nil"/>
              <w:bottom w:val="single" w:sz="4" w:space="0" w:color="auto"/>
              <w:right w:val="nil"/>
            </w:tcBorders>
            <w:shd w:val="clear" w:color="auto" w:fill="FFFFFF"/>
            <w:tcMar>
              <w:left w:w="67" w:type="dxa"/>
              <w:right w:w="67" w:type="dxa"/>
            </w:tcMar>
            <w:vAlign w:val="bottom"/>
          </w:tcPr>
          <w:p w14:paraId="42913D8E" w14:textId="77777777" w:rsidR="0029158C" w:rsidRPr="00563AD3" w:rsidRDefault="0029158C" w:rsidP="00A648BD">
            <w:pPr>
              <w:keepNext/>
              <w:spacing w:after="0" w:line="240" w:lineRule="auto"/>
              <w:jc w:val="right"/>
              <w:rPr>
                <w:rFonts w:eastAsia="Times New Roman"/>
                <w:b/>
                <w:bCs/>
                <w:color w:val="000000"/>
              </w:rPr>
            </w:pPr>
            <w:r w:rsidRPr="00563AD3">
              <w:rPr>
                <w:rFonts w:eastAsia="Times New Roman"/>
                <w:b/>
                <w:color w:val="000000"/>
              </w:rPr>
              <w:t>Cross-section</w:t>
            </w:r>
          </w:p>
        </w:tc>
        <w:tc>
          <w:tcPr>
            <w:tcW w:w="1110" w:type="pct"/>
            <w:tcBorders>
              <w:top w:val="single" w:sz="4" w:space="0" w:color="auto"/>
              <w:left w:val="nil"/>
              <w:bottom w:val="single" w:sz="4" w:space="0" w:color="auto"/>
            </w:tcBorders>
            <w:shd w:val="clear" w:color="auto" w:fill="FFFFFF"/>
            <w:tcMar>
              <w:left w:w="67" w:type="dxa"/>
              <w:right w:w="67" w:type="dxa"/>
            </w:tcMar>
            <w:vAlign w:val="bottom"/>
          </w:tcPr>
          <w:p w14:paraId="58F3592F" w14:textId="77777777" w:rsidR="0029158C" w:rsidRPr="00563AD3" w:rsidRDefault="0029158C" w:rsidP="00A648BD">
            <w:pPr>
              <w:keepNext/>
              <w:spacing w:after="0" w:line="240" w:lineRule="auto"/>
              <w:jc w:val="right"/>
              <w:rPr>
                <w:rFonts w:eastAsia="Times New Roman"/>
                <w:b/>
                <w:bCs/>
                <w:color w:val="000000"/>
              </w:rPr>
            </w:pPr>
          </w:p>
        </w:tc>
      </w:tr>
      <w:tr w:rsidR="0029158C" w:rsidRPr="00563AD3" w14:paraId="45A6BB65" w14:textId="77777777" w:rsidTr="008B76E2">
        <w:trPr>
          <w:cantSplit/>
          <w:jc w:val="center"/>
        </w:trPr>
        <w:tc>
          <w:tcPr>
            <w:tcW w:w="1666" w:type="pct"/>
            <w:tcBorders>
              <w:top w:val="single" w:sz="4" w:space="0" w:color="auto"/>
              <w:bottom w:val="single" w:sz="4" w:space="0" w:color="auto"/>
              <w:right w:val="nil"/>
            </w:tcBorders>
            <w:shd w:val="clear" w:color="auto" w:fill="FFFFFF"/>
            <w:tcMar>
              <w:left w:w="67" w:type="dxa"/>
              <w:right w:w="67" w:type="dxa"/>
            </w:tcMar>
            <w:vAlign w:val="bottom"/>
          </w:tcPr>
          <w:p w14:paraId="4F4EF1EA" w14:textId="77777777" w:rsidR="0029158C" w:rsidRPr="00563AD3" w:rsidRDefault="0029158C" w:rsidP="00A648BD">
            <w:pPr>
              <w:keepNext/>
              <w:spacing w:after="0" w:line="240" w:lineRule="auto"/>
              <w:rPr>
                <w:rFonts w:eastAsia="Times New Roman"/>
                <w:b/>
                <w:bCs/>
                <w:color w:val="000000"/>
              </w:rPr>
            </w:pPr>
            <w:r w:rsidRPr="00563AD3">
              <w:rPr>
                <w:rFonts w:eastAsia="Times New Roman"/>
                <w:bCs/>
                <w:color w:val="000000"/>
              </w:rPr>
              <w:t>Mean (SD) Missing</w:t>
            </w:r>
          </w:p>
        </w:tc>
        <w:tc>
          <w:tcPr>
            <w:tcW w:w="1111" w:type="pct"/>
            <w:tcBorders>
              <w:top w:val="single" w:sz="4" w:space="0" w:color="auto"/>
              <w:left w:val="nil"/>
              <w:bottom w:val="single" w:sz="4" w:space="0" w:color="auto"/>
              <w:right w:val="nil"/>
            </w:tcBorders>
            <w:shd w:val="clear" w:color="auto" w:fill="FFFFFF"/>
            <w:tcMar>
              <w:left w:w="67" w:type="dxa"/>
              <w:right w:w="67" w:type="dxa"/>
            </w:tcMar>
            <w:vAlign w:val="bottom"/>
          </w:tcPr>
          <w:p w14:paraId="22A38FAD"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b/>
                <w:bCs/>
                <w:color w:val="000000"/>
              </w:rPr>
              <w:t>Control</w:t>
            </w:r>
            <w:r w:rsidRPr="00563AD3">
              <w:rPr>
                <w:rFonts w:eastAsia="Times New Roman"/>
                <w:b/>
                <w:bCs/>
                <w:color w:val="000000"/>
              </w:rPr>
              <w:br/>
              <w:t>(n = 287)</w:t>
            </w:r>
          </w:p>
        </w:tc>
        <w:tc>
          <w:tcPr>
            <w:tcW w:w="1113" w:type="pct"/>
            <w:tcBorders>
              <w:top w:val="single" w:sz="4" w:space="0" w:color="auto"/>
              <w:left w:val="nil"/>
              <w:bottom w:val="single" w:sz="4" w:space="0" w:color="auto"/>
              <w:right w:val="nil"/>
            </w:tcBorders>
            <w:shd w:val="clear" w:color="auto" w:fill="FFFFFF"/>
            <w:tcMar>
              <w:left w:w="67" w:type="dxa"/>
              <w:right w:w="67" w:type="dxa"/>
            </w:tcMar>
            <w:vAlign w:val="bottom"/>
          </w:tcPr>
          <w:p w14:paraId="77CBA860"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b/>
                <w:bCs/>
                <w:color w:val="000000"/>
              </w:rPr>
              <w:t>Intervention</w:t>
            </w:r>
            <w:r w:rsidRPr="00563AD3">
              <w:rPr>
                <w:rFonts w:eastAsia="Times New Roman"/>
                <w:b/>
                <w:bCs/>
                <w:color w:val="000000"/>
              </w:rPr>
              <w:br/>
              <w:t>(n = 388)</w:t>
            </w:r>
          </w:p>
        </w:tc>
        <w:tc>
          <w:tcPr>
            <w:tcW w:w="1110" w:type="pct"/>
            <w:tcBorders>
              <w:top w:val="single" w:sz="4" w:space="0" w:color="auto"/>
              <w:left w:val="nil"/>
              <w:bottom w:val="single" w:sz="4" w:space="0" w:color="auto"/>
            </w:tcBorders>
            <w:shd w:val="clear" w:color="auto" w:fill="FFFFFF"/>
            <w:tcMar>
              <w:left w:w="67" w:type="dxa"/>
              <w:right w:w="67" w:type="dxa"/>
            </w:tcMar>
            <w:vAlign w:val="bottom"/>
          </w:tcPr>
          <w:p w14:paraId="5B07647B"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b/>
                <w:bCs/>
                <w:color w:val="000000"/>
              </w:rPr>
              <w:t>Total</w:t>
            </w:r>
            <w:r w:rsidRPr="00563AD3">
              <w:rPr>
                <w:rFonts w:eastAsia="Times New Roman"/>
                <w:b/>
                <w:bCs/>
                <w:color w:val="000000"/>
              </w:rPr>
              <w:br/>
              <w:t>(n = 675)</w:t>
            </w:r>
          </w:p>
        </w:tc>
      </w:tr>
      <w:tr w:rsidR="0029158C" w:rsidRPr="00563AD3" w14:paraId="2134F297"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286FDD12" w14:textId="1118F561" w:rsidR="0029158C" w:rsidRPr="00563AD3" w:rsidRDefault="0029158C" w:rsidP="00A648BD">
            <w:pPr>
              <w:keepNext/>
              <w:spacing w:after="0" w:line="240" w:lineRule="auto"/>
              <w:rPr>
                <w:rFonts w:eastAsia="Times New Roman"/>
                <w:color w:val="000000"/>
              </w:rPr>
            </w:pPr>
            <w:r w:rsidRPr="00563AD3">
              <w:rPr>
                <w:rFonts w:eastAsia="Times New Roman"/>
                <w:b/>
                <w:bCs/>
                <w:color w:val="000000"/>
              </w:rPr>
              <w:t>16</w:t>
            </w:r>
            <w:r w:rsidR="00B80810">
              <w:rPr>
                <w:rFonts w:eastAsia="Times New Roman"/>
                <w:b/>
                <w:bCs/>
                <w:color w:val="000000"/>
              </w:rPr>
              <w:t>-months</w:t>
            </w:r>
            <w:r w:rsidRPr="00563AD3">
              <w:rPr>
                <w:rFonts w:eastAsia="Times New Roman"/>
                <w:b/>
                <w:bCs/>
                <w:color w:val="000000"/>
              </w:rPr>
              <w:t xml:space="preserve"> Total score</w:t>
            </w:r>
            <w:r w:rsidRPr="00563AD3">
              <w:rPr>
                <w:rFonts w:eastAsia="Times New Roman"/>
                <w:bCs/>
                <w:color w:val="000000"/>
              </w:rPr>
              <w:t xml:space="preserve">                          </w:t>
            </w:r>
          </w:p>
        </w:tc>
        <w:tc>
          <w:tcPr>
            <w:tcW w:w="1111" w:type="pct"/>
            <w:tcBorders>
              <w:top w:val="nil"/>
              <w:left w:val="nil"/>
              <w:bottom w:val="nil"/>
              <w:right w:val="nil"/>
            </w:tcBorders>
            <w:shd w:val="clear" w:color="auto" w:fill="FFFFFF"/>
            <w:tcMar>
              <w:left w:w="67" w:type="dxa"/>
              <w:right w:w="67" w:type="dxa"/>
            </w:tcMar>
          </w:tcPr>
          <w:p w14:paraId="6680CB09"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b/>
                <w:color w:val="000000"/>
              </w:rPr>
              <w:t>46.1 (16.78) 3</w:t>
            </w:r>
          </w:p>
        </w:tc>
        <w:tc>
          <w:tcPr>
            <w:tcW w:w="1113" w:type="pct"/>
            <w:tcBorders>
              <w:top w:val="nil"/>
              <w:left w:val="nil"/>
              <w:bottom w:val="nil"/>
              <w:right w:val="nil"/>
            </w:tcBorders>
            <w:shd w:val="clear" w:color="auto" w:fill="FFFFFF"/>
            <w:tcMar>
              <w:left w:w="67" w:type="dxa"/>
              <w:right w:w="67" w:type="dxa"/>
            </w:tcMar>
          </w:tcPr>
          <w:p w14:paraId="75FA0DC1"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b/>
                <w:color w:val="000000"/>
              </w:rPr>
              <w:t>42.8 (15.79) 6</w:t>
            </w:r>
          </w:p>
        </w:tc>
        <w:tc>
          <w:tcPr>
            <w:tcW w:w="1110" w:type="pct"/>
            <w:tcBorders>
              <w:top w:val="single" w:sz="4" w:space="0" w:color="auto"/>
              <w:left w:val="nil"/>
              <w:bottom w:val="nil"/>
            </w:tcBorders>
            <w:shd w:val="clear" w:color="auto" w:fill="FFFFFF"/>
            <w:tcMar>
              <w:left w:w="67" w:type="dxa"/>
              <w:right w:w="67" w:type="dxa"/>
            </w:tcMar>
          </w:tcPr>
          <w:p w14:paraId="14EE9E20"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b/>
                <w:color w:val="000000"/>
              </w:rPr>
              <w:t>44.2 (16.29)   9</w:t>
            </w:r>
          </w:p>
        </w:tc>
      </w:tr>
      <w:tr w:rsidR="0029158C" w:rsidRPr="00563AD3" w14:paraId="2D26313C"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074B50D8" w14:textId="77777777" w:rsidR="0029158C" w:rsidRPr="00563AD3" w:rsidRDefault="0029158C" w:rsidP="00A648BD">
            <w:pPr>
              <w:keepNext/>
              <w:spacing w:after="0" w:line="240" w:lineRule="auto"/>
              <w:rPr>
                <w:rFonts w:eastAsia="Times New Roman"/>
                <w:color w:val="000000"/>
              </w:rPr>
            </w:pPr>
            <w:r w:rsidRPr="00563AD3">
              <w:rPr>
                <w:rFonts w:eastAsia="Times New Roman"/>
                <w:b/>
                <w:bCs/>
                <w:color w:val="000000"/>
              </w:rPr>
              <w:t>Subscales:</w:t>
            </w:r>
          </w:p>
        </w:tc>
        <w:tc>
          <w:tcPr>
            <w:tcW w:w="1111" w:type="pct"/>
            <w:tcBorders>
              <w:top w:val="nil"/>
              <w:left w:val="nil"/>
              <w:bottom w:val="nil"/>
              <w:right w:val="nil"/>
            </w:tcBorders>
            <w:shd w:val="clear" w:color="auto" w:fill="FFFFFF"/>
            <w:tcMar>
              <w:left w:w="67" w:type="dxa"/>
              <w:right w:w="67" w:type="dxa"/>
            </w:tcMar>
          </w:tcPr>
          <w:p w14:paraId="6F69149B" w14:textId="77777777" w:rsidR="0029158C" w:rsidRPr="00563AD3" w:rsidRDefault="0029158C" w:rsidP="00A648BD">
            <w:pPr>
              <w:keepNext/>
              <w:spacing w:after="0" w:line="240" w:lineRule="auto"/>
              <w:jc w:val="right"/>
              <w:rPr>
                <w:rFonts w:eastAsia="Times New Roman"/>
                <w:color w:val="000000"/>
              </w:rPr>
            </w:pPr>
          </w:p>
        </w:tc>
        <w:tc>
          <w:tcPr>
            <w:tcW w:w="1113" w:type="pct"/>
            <w:tcBorders>
              <w:top w:val="nil"/>
              <w:left w:val="nil"/>
              <w:bottom w:val="nil"/>
              <w:right w:val="nil"/>
            </w:tcBorders>
            <w:shd w:val="clear" w:color="auto" w:fill="FFFFFF"/>
            <w:tcMar>
              <w:left w:w="67" w:type="dxa"/>
              <w:right w:w="67" w:type="dxa"/>
            </w:tcMar>
          </w:tcPr>
          <w:p w14:paraId="2D48699B" w14:textId="77777777" w:rsidR="0029158C" w:rsidRPr="00563AD3" w:rsidRDefault="0029158C" w:rsidP="00A648BD">
            <w:pPr>
              <w:keepNext/>
              <w:spacing w:after="0" w:line="240" w:lineRule="auto"/>
              <w:jc w:val="right"/>
              <w:rPr>
                <w:rFonts w:eastAsia="Times New Roman"/>
                <w:color w:val="000000"/>
              </w:rPr>
            </w:pPr>
          </w:p>
        </w:tc>
        <w:tc>
          <w:tcPr>
            <w:tcW w:w="1110" w:type="pct"/>
            <w:tcBorders>
              <w:top w:val="nil"/>
              <w:left w:val="nil"/>
              <w:bottom w:val="nil"/>
            </w:tcBorders>
            <w:shd w:val="clear" w:color="auto" w:fill="FFFFFF"/>
            <w:tcMar>
              <w:left w:w="67" w:type="dxa"/>
              <w:right w:w="67" w:type="dxa"/>
            </w:tcMar>
          </w:tcPr>
          <w:p w14:paraId="4E083D58" w14:textId="77777777" w:rsidR="0029158C" w:rsidRPr="00563AD3" w:rsidRDefault="0029158C" w:rsidP="00A648BD">
            <w:pPr>
              <w:keepNext/>
              <w:spacing w:after="0" w:line="240" w:lineRule="auto"/>
              <w:jc w:val="right"/>
              <w:rPr>
                <w:rFonts w:eastAsia="Times New Roman"/>
                <w:color w:val="000000"/>
              </w:rPr>
            </w:pPr>
          </w:p>
        </w:tc>
      </w:tr>
      <w:tr w:rsidR="0029158C" w:rsidRPr="00563AD3" w14:paraId="5E57859B"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2D3BA397" w14:textId="77777777" w:rsidR="0029158C" w:rsidRPr="00563AD3" w:rsidRDefault="0029158C" w:rsidP="00A648BD">
            <w:pPr>
              <w:keepNext/>
              <w:spacing w:after="0" w:line="240" w:lineRule="auto"/>
              <w:rPr>
                <w:rFonts w:eastAsia="Times New Roman"/>
                <w:color w:val="000000"/>
              </w:rPr>
            </w:pPr>
            <w:r w:rsidRPr="00563AD3">
              <w:rPr>
                <w:rFonts w:eastAsia="Times New Roman"/>
                <w:color w:val="000000"/>
              </w:rPr>
              <w:t>Aggressive behaviour</w:t>
            </w:r>
          </w:p>
        </w:tc>
        <w:tc>
          <w:tcPr>
            <w:tcW w:w="1111" w:type="pct"/>
            <w:tcBorders>
              <w:top w:val="nil"/>
              <w:left w:val="nil"/>
              <w:bottom w:val="nil"/>
              <w:right w:val="nil"/>
            </w:tcBorders>
            <w:shd w:val="clear" w:color="auto" w:fill="FFFFFF"/>
            <w:tcMar>
              <w:left w:w="67" w:type="dxa"/>
              <w:right w:w="67" w:type="dxa"/>
            </w:tcMar>
          </w:tcPr>
          <w:p w14:paraId="63FF94B2"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13.7 (7.93) 3</w:t>
            </w:r>
          </w:p>
        </w:tc>
        <w:tc>
          <w:tcPr>
            <w:tcW w:w="1113" w:type="pct"/>
            <w:tcBorders>
              <w:top w:val="nil"/>
              <w:left w:val="nil"/>
              <w:bottom w:val="nil"/>
              <w:right w:val="nil"/>
            </w:tcBorders>
            <w:shd w:val="clear" w:color="auto" w:fill="FFFFFF"/>
            <w:tcMar>
              <w:left w:w="67" w:type="dxa"/>
              <w:right w:w="67" w:type="dxa"/>
            </w:tcMar>
          </w:tcPr>
          <w:p w14:paraId="5EF85D62"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12.2 (5.87)   4</w:t>
            </w:r>
          </w:p>
        </w:tc>
        <w:tc>
          <w:tcPr>
            <w:tcW w:w="1110" w:type="pct"/>
            <w:tcBorders>
              <w:top w:val="nil"/>
              <w:left w:val="nil"/>
              <w:bottom w:val="nil"/>
            </w:tcBorders>
            <w:shd w:val="clear" w:color="auto" w:fill="FFFFFF"/>
            <w:tcMar>
              <w:left w:w="67" w:type="dxa"/>
              <w:right w:w="67" w:type="dxa"/>
            </w:tcMar>
          </w:tcPr>
          <w:p w14:paraId="792367F1"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12.9 (6.86)   7</w:t>
            </w:r>
          </w:p>
        </w:tc>
      </w:tr>
      <w:tr w:rsidR="0029158C" w:rsidRPr="00563AD3" w14:paraId="16DB28FB"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5EAD6B4A" w14:textId="77777777" w:rsidR="0029158C" w:rsidRPr="00563AD3" w:rsidRDefault="0029158C" w:rsidP="00A648BD">
            <w:pPr>
              <w:keepNext/>
              <w:spacing w:after="0" w:line="240" w:lineRule="auto"/>
              <w:rPr>
                <w:rFonts w:eastAsia="Times New Roman"/>
                <w:color w:val="000000"/>
              </w:rPr>
            </w:pPr>
            <w:r w:rsidRPr="00563AD3">
              <w:rPr>
                <w:rFonts w:eastAsia="Times New Roman"/>
                <w:color w:val="000000"/>
              </w:rPr>
              <w:t>Physically non-aggressive</w:t>
            </w:r>
          </w:p>
        </w:tc>
        <w:tc>
          <w:tcPr>
            <w:tcW w:w="1111" w:type="pct"/>
            <w:tcBorders>
              <w:top w:val="nil"/>
              <w:left w:val="nil"/>
              <w:bottom w:val="nil"/>
              <w:right w:val="nil"/>
            </w:tcBorders>
            <w:shd w:val="clear" w:color="auto" w:fill="FFFFFF"/>
            <w:tcMar>
              <w:left w:w="67" w:type="dxa"/>
              <w:right w:w="67" w:type="dxa"/>
            </w:tcMar>
          </w:tcPr>
          <w:p w14:paraId="3DF9E9DF"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11 (6.01) 4</w:t>
            </w:r>
          </w:p>
        </w:tc>
        <w:tc>
          <w:tcPr>
            <w:tcW w:w="1113" w:type="pct"/>
            <w:tcBorders>
              <w:top w:val="nil"/>
              <w:left w:val="nil"/>
              <w:bottom w:val="nil"/>
              <w:right w:val="nil"/>
            </w:tcBorders>
            <w:shd w:val="clear" w:color="auto" w:fill="FFFFFF"/>
            <w:tcMar>
              <w:left w:w="67" w:type="dxa"/>
              <w:right w:w="67" w:type="dxa"/>
            </w:tcMar>
          </w:tcPr>
          <w:p w14:paraId="378DF0BF"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9.9 (5.36) 15</w:t>
            </w:r>
          </w:p>
        </w:tc>
        <w:tc>
          <w:tcPr>
            <w:tcW w:w="1110" w:type="pct"/>
            <w:tcBorders>
              <w:top w:val="nil"/>
              <w:left w:val="nil"/>
              <w:bottom w:val="nil"/>
            </w:tcBorders>
            <w:shd w:val="clear" w:color="auto" w:fill="FFFFFF"/>
            <w:tcMar>
              <w:left w:w="67" w:type="dxa"/>
              <w:right w:w="67" w:type="dxa"/>
            </w:tcMar>
          </w:tcPr>
          <w:p w14:paraId="5B5995F8"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10.4 (5.67) 19</w:t>
            </w:r>
          </w:p>
        </w:tc>
      </w:tr>
      <w:tr w:rsidR="0029158C" w:rsidRPr="00563AD3" w14:paraId="72A7311A" w14:textId="77777777" w:rsidTr="008B76E2">
        <w:trPr>
          <w:cantSplit/>
          <w:jc w:val="center"/>
        </w:trPr>
        <w:tc>
          <w:tcPr>
            <w:tcW w:w="1666" w:type="pct"/>
            <w:tcBorders>
              <w:top w:val="nil"/>
              <w:bottom w:val="nil"/>
              <w:right w:val="nil"/>
            </w:tcBorders>
            <w:shd w:val="clear" w:color="auto" w:fill="FFFFFF"/>
            <w:tcMar>
              <w:left w:w="67" w:type="dxa"/>
              <w:right w:w="67" w:type="dxa"/>
            </w:tcMar>
          </w:tcPr>
          <w:p w14:paraId="70BFEF83" w14:textId="77777777" w:rsidR="0029158C" w:rsidRPr="00563AD3" w:rsidRDefault="0029158C" w:rsidP="00A648BD">
            <w:pPr>
              <w:keepNext/>
              <w:spacing w:after="0" w:line="240" w:lineRule="auto"/>
              <w:rPr>
                <w:rFonts w:eastAsia="Times New Roman"/>
                <w:color w:val="000000"/>
              </w:rPr>
            </w:pPr>
            <w:r w:rsidRPr="00563AD3">
              <w:rPr>
                <w:rFonts w:eastAsia="Times New Roman"/>
                <w:color w:val="000000"/>
              </w:rPr>
              <w:t>Verbally agitated</w:t>
            </w:r>
          </w:p>
        </w:tc>
        <w:tc>
          <w:tcPr>
            <w:tcW w:w="1111" w:type="pct"/>
            <w:tcBorders>
              <w:top w:val="nil"/>
              <w:left w:val="nil"/>
              <w:bottom w:val="nil"/>
              <w:right w:val="nil"/>
            </w:tcBorders>
            <w:shd w:val="clear" w:color="auto" w:fill="FFFFFF"/>
            <w:tcMar>
              <w:left w:w="67" w:type="dxa"/>
              <w:right w:w="67" w:type="dxa"/>
            </w:tcMar>
          </w:tcPr>
          <w:p w14:paraId="0E5455A0"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9.8 (5.79) 3</w:t>
            </w:r>
          </w:p>
        </w:tc>
        <w:tc>
          <w:tcPr>
            <w:tcW w:w="1113" w:type="pct"/>
            <w:tcBorders>
              <w:top w:val="nil"/>
              <w:left w:val="nil"/>
              <w:bottom w:val="nil"/>
              <w:right w:val="nil"/>
            </w:tcBorders>
            <w:shd w:val="clear" w:color="auto" w:fill="FFFFFF"/>
            <w:tcMar>
              <w:left w:w="67" w:type="dxa"/>
              <w:right w:w="67" w:type="dxa"/>
            </w:tcMar>
          </w:tcPr>
          <w:p w14:paraId="5465974B"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9.7 (6.16)   5</w:t>
            </w:r>
          </w:p>
        </w:tc>
        <w:tc>
          <w:tcPr>
            <w:tcW w:w="1110" w:type="pct"/>
            <w:tcBorders>
              <w:top w:val="nil"/>
              <w:left w:val="nil"/>
              <w:bottom w:val="nil"/>
            </w:tcBorders>
            <w:shd w:val="clear" w:color="auto" w:fill="FFFFFF"/>
            <w:tcMar>
              <w:left w:w="67" w:type="dxa"/>
              <w:right w:w="67" w:type="dxa"/>
            </w:tcMar>
          </w:tcPr>
          <w:p w14:paraId="5869EC9D"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9.7 (6.00)   8</w:t>
            </w:r>
          </w:p>
        </w:tc>
      </w:tr>
      <w:tr w:rsidR="0029158C" w:rsidRPr="00563AD3" w14:paraId="176680DD" w14:textId="77777777" w:rsidTr="008B76E2">
        <w:trPr>
          <w:cantSplit/>
          <w:jc w:val="center"/>
        </w:trPr>
        <w:tc>
          <w:tcPr>
            <w:tcW w:w="1666" w:type="pct"/>
            <w:tcBorders>
              <w:top w:val="nil"/>
              <w:bottom w:val="single" w:sz="4" w:space="0" w:color="auto"/>
              <w:right w:val="nil"/>
            </w:tcBorders>
            <w:shd w:val="clear" w:color="auto" w:fill="FFFFFF"/>
            <w:tcMar>
              <w:left w:w="67" w:type="dxa"/>
              <w:right w:w="67" w:type="dxa"/>
            </w:tcMar>
          </w:tcPr>
          <w:p w14:paraId="1313AC22" w14:textId="77777777" w:rsidR="0029158C" w:rsidRPr="00563AD3" w:rsidRDefault="0029158C" w:rsidP="00A648BD">
            <w:pPr>
              <w:keepNext/>
              <w:spacing w:after="0" w:line="240" w:lineRule="auto"/>
              <w:rPr>
                <w:rFonts w:eastAsia="Times New Roman"/>
                <w:color w:val="000000"/>
              </w:rPr>
            </w:pPr>
            <w:r w:rsidRPr="00563AD3">
              <w:rPr>
                <w:rFonts w:eastAsia="Times New Roman"/>
                <w:color w:val="000000"/>
              </w:rPr>
              <w:t>Other</w:t>
            </w:r>
          </w:p>
        </w:tc>
        <w:tc>
          <w:tcPr>
            <w:tcW w:w="1111" w:type="pct"/>
            <w:tcBorders>
              <w:top w:val="nil"/>
              <w:left w:val="nil"/>
              <w:bottom w:val="single" w:sz="4" w:space="0" w:color="auto"/>
              <w:right w:val="nil"/>
            </w:tcBorders>
            <w:shd w:val="clear" w:color="auto" w:fill="FFFFFF"/>
            <w:tcMar>
              <w:left w:w="67" w:type="dxa"/>
              <w:right w:w="67" w:type="dxa"/>
            </w:tcMar>
          </w:tcPr>
          <w:p w14:paraId="74BF473A"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11.5 (3.73) 3</w:t>
            </w:r>
          </w:p>
        </w:tc>
        <w:tc>
          <w:tcPr>
            <w:tcW w:w="1113" w:type="pct"/>
            <w:tcBorders>
              <w:top w:val="nil"/>
              <w:left w:val="nil"/>
              <w:bottom w:val="single" w:sz="4" w:space="0" w:color="auto"/>
              <w:right w:val="nil"/>
            </w:tcBorders>
            <w:shd w:val="clear" w:color="auto" w:fill="FFFFFF"/>
            <w:tcMar>
              <w:left w:w="67" w:type="dxa"/>
              <w:right w:w="67" w:type="dxa"/>
            </w:tcMar>
          </w:tcPr>
          <w:p w14:paraId="691C62B8"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11 (3.49)   7</w:t>
            </w:r>
          </w:p>
        </w:tc>
        <w:tc>
          <w:tcPr>
            <w:tcW w:w="1110" w:type="pct"/>
            <w:tcBorders>
              <w:top w:val="nil"/>
              <w:left w:val="nil"/>
              <w:bottom w:val="single" w:sz="4" w:space="0" w:color="auto"/>
            </w:tcBorders>
            <w:shd w:val="clear" w:color="auto" w:fill="FFFFFF"/>
            <w:tcMar>
              <w:left w:w="67" w:type="dxa"/>
              <w:right w:w="67" w:type="dxa"/>
            </w:tcMar>
          </w:tcPr>
          <w:p w14:paraId="0104275B" w14:textId="77777777" w:rsidR="0029158C" w:rsidRPr="00563AD3" w:rsidRDefault="0029158C" w:rsidP="00A648BD">
            <w:pPr>
              <w:keepNext/>
              <w:spacing w:after="0" w:line="240" w:lineRule="auto"/>
              <w:jc w:val="right"/>
              <w:rPr>
                <w:rFonts w:eastAsia="Times New Roman"/>
                <w:color w:val="000000"/>
              </w:rPr>
            </w:pPr>
            <w:r w:rsidRPr="00563AD3">
              <w:rPr>
                <w:rFonts w:eastAsia="Times New Roman"/>
                <w:color w:val="000000"/>
              </w:rPr>
              <w:t>11.2 (3.60)   0</w:t>
            </w:r>
          </w:p>
        </w:tc>
      </w:tr>
    </w:tbl>
    <w:p w14:paraId="0D984D39" w14:textId="02410B42" w:rsidR="00E72C7F" w:rsidRPr="00563AD3" w:rsidRDefault="00E94CD9" w:rsidP="00E94CD9">
      <w:pPr>
        <w:spacing w:line="240" w:lineRule="auto"/>
      </w:pPr>
      <w:r>
        <w:rPr>
          <w:vertAlign w:val="superscript"/>
        </w:rPr>
        <w:t>a</w:t>
      </w:r>
      <w:r w:rsidR="00520D7C" w:rsidRPr="00563AD3">
        <w:rPr>
          <w:sz w:val="16"/>
          <w:szCs w:val="16"/>
        </w:rPr>
        <w:t>CMAI</w:t>
      </w:r>
      <w:r w:rsidR="00F45EB7">
        <w:rPr>
          <w:sz w:val="16"/>
          <w:szCs w:val="16"/>
        </w:rPr>
        <w:t xml:space="preserve"> overall</w:t>
      </w:r>
      <w:r w:rsidR="00520D7C" w:rsidRPr="00563AD3">
        <w:rPr>
          <w:sz w:val="16"/>
          <w:szCs w:val="16"/>
        </w:rPr>
        <w:t>, range 29-203, higher score indicates higher frequency of agitated behaviour.</w:t>
      </w:r>
      <w:r w:rsidR="00F45EB7">
        <w:rPr>
          <w:sz w:val="16"/>
          <w:szCs w:val="16"/>
        </w:rPr>
        <w:t xml:space="preserve"> CMAI subscales: Aggressive behaviour (range 9-63), Physically non-aggressive behaviour (range 6-42), Verbally agitated behaviour (range 5-35) and Other behaviour (range 9-63).</w:t>
      </w:r>
    </w:p>
    <w:p w14:paraId="03C3DE7C" w14:textId="59DBC5EF" w:rsidR="00135718" w:rsidRDefault="00135718">
      <w:pPr>
        <w:autoSpaceDE/>
        <w:autoSpaceDN/>
        <w:adjustRightInd/>
        <w:spacing w:line="259" w:lineRule="auto"/>
      </w:pPr>
      <w:r>
        <w:br w:type="page"/>
      </w:r>
    </w:p>
    <w:p w14:paraId="2FE53AB0" w14:textId="77777777" w:rsidR="00135718" w:rsidRDefault="00135718" w:rsidP="009B13F3">
      <w:pPr>
        <w:sectPr w:rsidR="00135718" w:rsidSect="00064F63">
          <w:pgSz w:w="11906" w:h="16838"/>
          <w:pgMar w:top="1440" w:right="1440" w:bottom="1440" w:left="1440" w:header="708" w:footer="708" w:gutter="0"/>
          <w:cols w:space="708"/>
          <w:docGrid w:linePitch="360"/>
        </w:sectPr>
      </w:pPr>
    </w:p>
    <w:p w14:paraId="0F579C71" w14:textId="3F0226C3" w:rsidR="009C4701" w:rsidRDefault="009C4701" w:rsidP="009C4701">
      <w:pPr>
        <w:pStyle w:val="Tableheading"/>
      </w:pPr>
      <w:bookmarkStart w:id="164" w:name="_Ref500490627"/>
      <w:bookmarkStart w:id="165" w:name="_Toc948206"/>
      <w:bookmarkStart w:id="166" w:name="_Toc501009778"/>
      <w:r w:rsidRPr="00563AD3">
        <w:t xml:space="preserve">Table </w:t>
      </w:r>
      <w:bookmarkEnd w:id="164"/>
      <w:r w:rsidRPr="00563AD3">
        <w:t xml:space="preserve">9 Unadjusted observational CMAI and PAS scores </w:t>
      </w:r>
      <w:r>
        <w:t>for by time-point - cross-sectional cohort</w:t>
      </w:r>
      <w:bookmarkEnd w:id="165"/>
      <w:r w:rsidRPr="00563AD3">
        <w:t xml:space="preserve"> </w:t>
      </w:r>
      <w:bookmarkEnd w:id="166"/>
    </w:p>
    <w:tbl>
      <w:tblPr>
        <w:tblW w:w="5157" w:type="pct"/>
        <w:jc w:val="center"/>
        <w:tblCellMar>
          <w:left w:w="0" w:type="dxa"/>
          <w:right w:w="0" w:type="dxa"/>
        </w:tblCellMar>
        <w:tblLook w:val="0000" w:firstRow="0" w:lastRow="0" w:firstColumn="0" w:lastColumn="0" w:noHBand="0" w:noVBand="0"/>
      </w:tblPr>
      <w:tblGrid>
        <w:gridCol w:w="3251"/>
        <w:gridCol w:w="1949"/>
        <w:gridCol w:w="2165"/>
        <w:gridCol w:w="2001"/>
        <w:gridCol w:w="1681"/>
        <w:gridCol w:w="1679"/>
        <w:gridCol w:w="1670"/>
      </w:tblGrid>
      <w:tr w:rsidR="009C4701" w:rsidRPr="00563AD3" w14:paraId="7B8CC431" w14:textId="77777777" w:rsidTr="009C4701">
        <w:trPr>
          <w:cantSplit/>
          <w:jc w:val="center"/>
        </w:trPr>
        <w:tc>
          <w:tcPr>
            <w:tcW w:w="5000" w:type="pct"/>
            <w:gridSpan w:val="7"/>
            <w:tcBorders>
              <w:top w:val="single" w:sz="4" w:space="0" w:color="auto"/>
              <w:bottom w:val="single" w:sz="4" w:space="0" w:color="auto"/>
            </w:tcBorders>
            <w:shd w:val="clear" w:color="auto" w:fill="FFFFFF"/>
            <w:tcMar>
              <w:left w:w="67" w:type="dxa"/>
              <w:right w:w="67" w:type="dxa"/>
            </w:tcMar>
          </w:tcPr>
          <w:p w14:paraId="2F196036" w14:textId="0BF62960" w:rsidR="009C4701" w:rsidRPr="00563AD3" w:rsidRDefault="009C4701" w:rsidP="00E94CD9">
            <w:pPr>
              <w:keepNext/>
              <w:spacing w:after="0"/>
              <w:jc w:val="center"/>
              <w:rPr>
                <w:rFonts w:eastAsia="Times New Roman"/>
                <w:b/>
                <w:bCs/>
                <w:color w:val="000000"/>
                <w:sz w:val="20"/>
                <w:szCs w:val="20"/>
              </w:rPr>
            </w:pPr>
            <w:r w:rsidRPr="006748D8">
              <w:rPr>
                <w:rFonts w:eastAsia="Times New Roman"/>
                <w:b/>
                <w:bCs/>
                <w:color w:val="000000"/>
                <w:sz w:val="18"/>
                <w:szCs w:val="18"/>
              </w:rPr>
              <w:t>Unadjusted CMAI-O</w:t>
            </w:r>
            <w:r w:rsidR="00E94CD9">
              <w:rPr>
                <w:rFonts w:eastAsia="Times New Roman"/>
                <w:b/>
                <w:bCs/>
                <w:color w:val="000000"/>
                <w:sz w:val="18"/>
                <w:szCs w:val="18"/>
                <w:vertAlign w:val="superscript"/>
              </w:rPr>
              <w:t>a</w:t>
            </w:r>
            <w:r w:rsidRPr="006748D8">
              <w:rPr>
                <w:rFonts w:eastAsia="Times New Roman"/>
                <w:b/>
                <w:bCs/>
                <w:color w:val="000000"/>
                <w:sz w:val="18"/>
                <w:szCs w:val="18"/>
              </w:rPr>
              <w:t xml:space="preserve"> and PAS</w:t>
            </w:r>
            <w:r w:rsidR="00E94CD9">
              <w:rPr>
                <w:rFonts w:eastAsia="Times New Roman"/>
                <w:b/>
                <w:bCs/>
                <w:color w:val="000000"/>
                <w:sz w:val="18"/>
                <w:szCs w:val="18"/>
                <w:vertAlign w:val="superscript"/>
              </w:rPr>
              <w:t>b</w:t>
            </w:r>
            <w:r w:rsidRPr="006748D8">
              <w:rPr>
                <w:rFonts w:eastAsia="Times New Roman"/>
                <w:b/>
                <w:bCs/>
                <w:color w:val="000000"/>
                <w:sz w:val="18"/>
                <w:szCs w:val="18"/>
              </w:rPr>
              <w:t xml:space="preserve"> scores by time-point</w:t>
            </w:r>
            <w:r>
              <w:rPr>
                <w:rFonts w:eastAsia="Times New Roman"/>
                <w:b/>
                <w:bCs/>
                <w:color w:val="000000"/>
                <w:sz w:val="18"/>
                <w:szCs w:val="18"/>
              </w:rPr>
              <w:t xml:space="preserve"> - c</w:t>
            </w:r>
            <w:r w:rsidRPr="00563AD3">
              <w:rPr>
                <w:rFonts w:eastAsia="Times New Roman"/>
                <w:b/>
                <w:color w:val="000000"/>
                <w:sz w:val="20"/>
                <w:szCs w:val="20"/>
              </w:rPr>
              <w:t>ross-section</w:t>
            </w:r>
          </w:p>
        </w:tc>
      </w:tr>
      <w:tr w:rsidR="009C4701" w:rsidRPr="00563AD3" w14:paraId="60C2E3CB" w14:textId="77777777" w:rsidTr="009C4701">
        <w:trPr>
          <w:cantSplit/>
          <w:jc w:val="center"/>
        </w:trPr>
        <w:tc>
          <w:tcPr>
            <w:tcW w:w="1129" w:type="pct"/>
            <w:tcBorders>
              <w:top w:val="single" w:sz="4" w:space="0" w:color="auto"/>
              <w:bottom w:val="single" w:sz="4" w:space="0" w:color="auto"/>
              <w:right w:val="nil"/>
            </w:tcBorders>
            <w:shd w:val="clear" w:color="auto" w:fill="FFFFFF"/>
            <w:tcMar>
              <w:left w:w="67" w:type="dxa"/>
              <w:right w:w="67" w:type="dxa"/>
            </w:tcMar>
          </w:tcPr>
          <w:p w14:paraId="624F7E11" w14:textId="77777777" w:rsidR="009C4701" w:rsidRPr="00563AD3" w:rsidRDefault="009C4701" w:rsidP="009C4701">
            <w:pPr>
              <w:keepNext/>
              <w:spacing w:after="0"/>
              <w:rPr>
                <w:rFonts w:eastAsia="Times New Roman"/>
                <w:bCs/>
                <w:color w:val="000000"/>
                <w:sz w:val="20"/>
                <w:szCs w:val="20"/>
              </w:rPr>
            </w:pPr>
          </w:p>
        </w:tc>
        <w:tc>
          <w:tcPr>
            <w:tcW w:w="2124" w:type="pct"/>
            <w:gridSpan w:val="3"/>
            <w:tcBorders>
              <w:top w:val="single" w:sz="4" w:space="0" w:color="auto"/>
              <w:left w:val="nil"/>
              <w:bottom w:val="single" w:sz="4" w:space="0" w:color="auto"/>
              <w:right w:val="nil"/>
            </w:tcBorders>
            <w:shd w:val="clear" w:color="auto" w:fill="FFFFFF"/>
            <w:tcMar>
              <w:left w:w="67" w:type="dxa"/>
              <w:right w:w="67" w:type="dxa"/>
            </w:tcMar>
            <w:vAlign w:val="bottom"/>
          </w:tcPr>
          <w:p w14:paraId="1EA42C2B" w14:textId="77777777" w:rsidR="009C4701" w:rsidRPr="00563AD3" w:rsidRDefault="009C4701" w:rsidP="009C4701">
            <w:pPr>
              <w:keepNext/>
              <w:spacing w:after="0"/>
              <w:jc w:val="center"/>
              <w:rPr>
                <w:rFonts w:eastAsia="Times New Roman"/>
                <w:b/>
                <w:bCs/>
                <w:color w:val="000000"/>
                <w:sz w:val="20"/>
                <w:szCs w:val="20"/>
              </w:rPr>
            </w:pPr>
            <w:r>
              <w:rPr>
                <w:rFonts w:eastAsia="Times New Roman"/>
                <w:b/>
                <w:bCs/>
                <w:color w:val="000000"/>
                <w:sz w:val="20"/>
                <w:szCs w:val="20"/>
              </w:rPr>
              <w:t>AM</w:t>
            </w:r>
          </w:p>
        </w:tc>
        <w:tc>
          <w:tcPr>
            <w:tcW w:w="1747" w:type="pct"/>
            <w:gridSpan w:val="3"/>
            <w:tcBorders>
              <w:top w:val="single" w:sz="4" w:space="0" w:color="auto"/>
              <w:left w:val="nil"/>
              <w:bottom w:val="single" w:sz="4" w:space="0" w:color="auto"/>
            </w:tcBorders>
            <w:shd w:val="clear" w:color="auto" w:fill="FFFFFF"/>
            <w:vAlign w:val="bottom"/>
          </w:tcPr>
          <w:p w14:paraId="1B3F26DE" w14:textId="77777777" w:rsidR="009C4701" w:rsidRPr="00563AD3" w:rsidRDefault="009C4701" w:rsidP="009C4701">
            <w:pPr>
              <w:keepNext/>
              <w:spacing w:after="0"/>
              <w:jc w:val="center"/>
              <w:rPr>
                <w:rFonts w:eastAsia="Times New Roman"/>
                <w:b/>
                <w:bCs/>
                <w:color w:val="000000"/>
                <w:sz w:val="20"/>
                <w:szCs w:val="20"/>
              </w:rPr>
            </w:pPr>
            <w:r>
              <w:rPr>
                <w:rFonts w:eastAsia="Times New Roman"/>
                <w:b/>
                <w:bCs/>
                <w:color w:val="000000"/>
                <w:sz w:val="20"/>
                <w:szCs w:val="20"/>
              </w:rPr>
              <w:t>PM</w:t>
            </w:r>
          </w:p>
        </w:tc>
      </w:tr>
      <w:tr w:rsidR="009C4701" w:rsidRPr="00563AD3" w14:paraId="463C5E90" w14:textId="77777777" w:rsidTr="00DC1D91">
        <w:trPr>
          <w:cantSplit/>
          <w:jc w:val="center"/>
        </w:trPr>
        <w:tc>
          <w:tcPr>
            <w:tcW w:w="1129" w:type="pct"/>
            <w:tcBorders>
              <w:top w:val="single" w:sz="4" w:space="0" w:color="auto"/>
              <w:bottom w:val="single" w:sz="4" w:space="0" w:color="auto"/>
              <w:right w:val="nil"/>
            </w:tcBorders>
            <w:shd w:val="clear" w:color="auto" w:fill="FFFFFF"/>
            <w:tcMar>
              <w:left w:w="67" w:type="dxa"/>
              <w:right w:w="67" w:type="dxa"/>
            </w:tcMar>
          </w:tcPr>
          <w:p w14:paraId="2FA9D816" w14:textId="77777777" w:rsidR="009C4701" w:rsidRPr="00563AD3" w:rsidRDefault="009C4701" w:rsidP="009C4701">
            <w:pPr>
              <w:keepNext/>
              <w:spacing w:after="0"/>
              <w:rPr>
                <w:rFonts w:eastAsia="Times New Roman"/>
                <w:bCs/>
                <w:color w:val="000000"/>
                <w:sz w:val="20"/>
                <w:szCs w:val="20"/>
              </w:rPr>
            </w:pPr>
          </w:p>
          <w:p w14:paraId="21D388B4" w14:textId="77777777" w:rsidR="009C4701" w:rsidRPr="00563AD3" w:rsidRDefault="009C4701" w:rsidP="009C4701">
            <w:pPr>
              <w:keepNext/>
              <w:spacing w:after="0"/>
              <w:rPr>
                <w:rFonts w:eastAsia="Times New Roman"/>
                <w:b/>
                <w:bCs/>
                <w:color w:val="000000"/>
                <w:sz w:val="20"/>
                <w:szCs w:val="20"/>
              </w:rPr>
            </w:pPr>
            <w:r w:rsidRPr="00563AD3">
              <w:rPr>
                <w:rFonts w:eastAsia="Times New Roman"/>
                <w:bCs/>
                <w:color w:val="000000"/>
                <w:sz w:val="20"/>
                <w:szCs w:val="20"/>
              </w:rPr>
              <w:t>Mean (SD) N completed</w:t>
            </w:r>
          </w:p>
        </w:tc>
        <w:tc>
          <w:tcPr>
            <w:tcW w:w="677" w:type="pct"/>
            <w:tcBorders>
              <w:top w:val="single" w:sz="4" w:space="0" w:color="auto"/>
              <w:left w:val="nil"/>
              <w:bottom w:val="single" w:sz="4" w:space="0" w:color="auto"/>
              <w:right w:val="nil"/>
            </w:tcBorders>
            <w:shd w:val="clear" w:color="auto" w:fill="FFFFFF"/>
            <w:tcMar>
              <w:left w:w="67" w:type="dxa"/>
              <w:right w:w="67" w:type="dxa"/>
            </w:tcMar>
            <w:vAlign w:val="bottom"/>
          </w:tcPr>
          <w:p w14:paraId="4B302A85"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b/>
                <w:bCs/>
                <w:color w:val="000000"/>
                <w:sz w:val="20"/>
                <w:szCs w:val="20"/>
              </w:rPr>
              <w:t>Control</w:t>
            </w:r>
            <w:r w:rsidRPr="00563AD3">
              <w:rPr>
                <w:rFonts w:eastAsia="Times New Roman"/>
                <w:b/>
                <w:bCs/>
                <w:color w:val="000000"/>
                <w:sz w:val="20"/>
                <w:szCs w:val="20"/>
              </w:rPr>
              <w:br/>
              <w:t>(n = 287)</w:t>
            </w:r>
          </w:p>
        </w:tc>
        <w:tc>
          <w:tcPr>
            <w:tcW w:w="752" w:type="pct"/>
            <w:tcBorders>
              <w:top w:val="single" w:sz="4" w:space="0" w:color="auto"/>
              <w:left w:val="nil"/>
              <w:bottom w:val="single" w:sz="4" w:space="0" w:color="auto"/>
              <w:right w:val="nil"/>
            </w:tcBorders>
            <w:shd w:val="clear" w:color="auto" w:fill="FFFFFF"/>
            <w:tcMar>
              <w:left w:w="67" w:type="dxa"/>
              <w:right w:w="67" w:type="dxa"/>
            </w:tcMar>
            <w:vAlign w:val="bottom"/>
          </w:tcPr>
          <w:p w14:paraId="11DC14F3"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b/>
                <w:bCs/>
                <w:color w:val="000000"/>
                <w:sz w:val="20"/>
                <w:szCs w:val="20"/>
              </w:rPr>
              <w:t>Intervention</w:t>
            </w:r>
            <w:r w:rsidRPr="00563AD3">
              <w:rPr>
                <w:rFonts w:eastAsia="Times New Roman"/>
                <w:b/>
                <w:bCs/>
                <w:color w:val="000000"/>
                <w:sz w:val="20"/>
                <w:szCs w:val="20"/>
              </w:rPr>
              <w:br/>
              <w:t>(n = 388)</w:t>
            </w:r>
          </w:p>
        </w:tc>
        <w:tc>
          <w:tcPr>
            <w:tcW w:w="695" w:type="pct"/>
            <w:tcBorders>
              <w:top w:val="single" w:sz="4" w:space="0" w:color="auto"/>
              <w:left w:val="nil"/>
              <w:bottom w:val="single" w:sz="4" w:space="0" w:color="auto"/>
              <w:right w:val="nil"/>
            </w:tcBorders>
            <w:shd w:val="clear" w:color="auto" w:fill="FFFFFF"/>
            <w:tcMar>
              <w:left w:w="67" w:type="dxa"/>
              <w:right w:w="67" w:type="dxa"/>
            </w:tcMar>
            <w:vAlign w:val="bottom"/>
          </w:tcPr>
          <w:p w14:paraId="431C5F95"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b/>
                <w:bCs/>
                <w:color w:val="000000"/>
                <w:sz w:val="20"/>
                <w:szCs w:val="20"/>
              </w:rPr>
              <w:t>Total</w:t>
            </w:r>
            <w:r w:rsidRPr="00563AD3">
              <w:rPr>
                <w:rFonts w:eastAsia="Times New Roman"/>
                <w:b/>
                <w:bCs/>
                <w:color w:val="000000"/>
                <w:sz w:val="20"/>
                <w:szCs w:val="20"/>
              </w:rPr>
              <w:br/>
              <w:t>(n = 675)</w:t>
            </w:r>
          </w:p>
        </w:tc>
        <w:tc>
          <w:tcPr>
            <w:tcW w:w="584" w:type="pct"/>
            <w:tcBorders>
              <w:top w:val="single" w:sz="4" w:space="0" w:color="auto"/>
              <w:left w:val="nil"/>
              <w:bottom w:val="single" w:sz="4" w:space="0" w:color="auto"/>
              <w:right w:val="nil"/>
            </w:tcBorders>
            <w:shd w:val="clear" w:color="auto" w:fill="D9D9D9" w:themeFill="background1" w:themeFillShade="D9"/>
            <w:vAlign w:val="bottom"/>
          </w:tcPr>
          <w:p w14:paraId="328B9E89" w14:textId="77777777" w:rsidR="009C4701" w:rsidRPr="00563AD3" w:rsidRDefault="009C4701" w:rsidP="009C4701">
            <w:pPr>
              <w:keepNext/>
              <w:spacing w:after="0"/>
              <w:jc w:val="right"/>
              <w:rPr>
                <w:rFonts w:eastAsia="Times New Roman"/>
                <w:b/>
                <w:bCs/>
                <w:color w:val="000000"/>
                <w:sz w:val="20"/>
                <w:szCs w:val="20"/>
              </w:rPr>
            </w:pPr>
            <w:r w:rsidRPr="00563AD3">
              <w:rPr>
                <w:rFonts w:eastAsia="Times New Roman"/>
                <w:b/>
                <w:bCs/>
                <w:color w:val="000000"/>
                <w:sz w:val="20"/>
                <w:szCs w:val="20"/>
              </w:rPr>
              <w:t>Control</w:t>
            </w:r>
            <w:r w:rsidRPr="00563AD3">
              <w:rPr>
                <w:rFonts w:eastAsia="Times New Roman"/>
                <w:b/>
                <w:bCs/>
                <w:color w:val="000000"/>
                <w:sz w:val="20"/>
                <w:szCs w:val="20"/>
              </w:rPr>
              <w:br/>
              <w:t>(n = 287)</w:t>
            </w:r>
          </w:p>
        </w:tc>
        <w:tc>
          <w:tcPr>
            <w:tcW w:w="583" w:type="pct"/>
            <w:tcBorders>
              <w:top w:val="single" w:sz="4" w:space="0" w:color="auto"/>
              <w:left w:val="nil"/>
              <w:bottom w:val="single" w:sz="4" w:space="0" w:color="auto"/>
              <w:right w:val="nil"/>
            </w:tcBorders>
            <w:shd w:val="clear" w:color="auto" w:fill="D9D9D9" w:themeFill="background1" w:themeFillShade="D9"/>
            <w:vAlign w:val="bottom"/>
          </w:tcPr>
          <w:p w14:paraId="314DCB95" w14:textId="77777777" w:rsidR="009C4701" w:rsidRPr="00563AD3" w:rsidRDefault="009C4701" w:rsidP="009C4701">
            <w:pPr>
              <w:keepNext/>
              <w:spacing w:after="0"/>
              <w:jc w:val="right"/>
              <w:rPr>
                <w:rFonts w:eastAsia="Times New Roman"/>
                <w:b/>
                <w:bCs/>
                <w:color w:val="000000"/>
                <w:sz w:val="20"/>
                <w:szCs w:val="20"/>
              </w:rPr>
            </w:pPr>
            <w:r w:rsidRPr="00563AD3">
              <w:rPr>
                <w:rFonts w:eastAsia="Times New Roman"/>
                <w:b/>
                <w:bCs/>
                <w:color w:val="000000"/>
                <w:sz w:val="20"/>
                <w:szCs w:val="20"/>
              </w:rPr>
              <w:t>Intervention</w:t>
            </w:r>
            <w:r w:rsidRPr="00563AD3">
              <w:rPr>
                <w:rFonts w:eastAsia="Times New Roman"/>
                <w:b/>
                <w:bCs/>
                <w:color w:val="000000"/>
                <w:sz w:val="20"/>
                <w:szCs w:val="20"/>
              </w:rPr>
              <w:br/>
              <w:t>(n = 388)</w:t>
            </w:r>
          </w:p>
        </w:tc>
        <w:tc>
          <w:tcPr>
            <w:tcW w:w="580" w:type="pct"/>
            <w:tcBorders>
              <w:top w:val="single" w:sz="4" w:space="0" w:color="auto"/>
              <w:left w:val="nil"/>
              <w:bottom w:val="single" w:sz="4" w:space="0" w:color="auto"/>
            </w:tcBorders>
            <w:shd w:val="clear" w:color="auto" w:fill="D9D9D9" w:themeFill="background1" w:themeFillShade="D9"/>
            <w:vAlign w:val="bottom"/>
          </w:tcPr>
          <w:p w14:paraId="1087D67E" w14:textId="77777777" w:rsidR="009C4701" w:rsidRPr="00563AD3" w:rsidRDefault="009C4701" w:rsidP="009C4701">
            <w:pPr>
              <w:keepNext/>
              <w:spacing w:after="0"/>
              <w:jc w:val="right"/>
              <w:rPr>
                <w:rFonts w:eastAsia="Times New Roman"/>
                <w:b/>
                <w:bCs/>
                <w:color w:val="000000"/>
                <w:sz w:val="20"/>
                <w:szCs w:val="20"/>
              </w:rPr>
            </w:pPr>
            <w:r w:rsidRPr="00563AD3">
              <w:rPr>
                <w:rFonts w:eastAsia="Times New Roman"/>
                <w:b/>
                <w:bCs/>
                <w:color w:val="000000"/>
                <w:sz w:val="20"/>
                <w:szCs w:val="20"/>
              </w:rPr>
              <w:t>Total</w:t>
            </w:r>
            <w:r w:rsidRPr="00563AD3">
              <w:rPr>
                <w:rFonts w:eastAsia="Times New Roman"/>
                <w:b/>
                <w:bCs/>
                <w:color w:val="000000"/>
                <w:sz w:val="20"/>
                <w:szCs w:val="20"/>
              </w:rPr>
              <w:br/>
              <w:t>(n = 675)</w:t>
            </w:r>
          </w:p>
        </w:tc>
      </w:tr>
      <w:tr w:rsidR="009C4701" w:rsidRPr="00563AD3" w14:paraId="16E58285" w14:textId="77777777" w:rsidTr="00DC1D91">
        <w:trPr>
          <w:cantSplit/>
          <w:jc w:val="center"/>
        </w:trPr>
        <w:tc>
          <w:tcPr>
            <w:tcW w:w="1129" w:type="pct"/>
            <w:tcBorders>
              <w:top w:val="single" w:sz="4" w:space="0" w:color="auto"/>
              <w:bottom w:val="nil"/>
              <w:right w:val="nil"/>
            </w:tcBorders>
            <w:shd w:val="clear" w:color="auto" w:fill="FFFFFF"/>
            <w:tcMar>
              <w:left w:w="67" w:type="dxa"/>
              <w:right w:w="67" w:type="dxa"/>
            </w:tcMar>
          </w:tcPr>
          <w:p w14:paraId="15049C66" w14:textId="77777777" w:rsidR="009C4701" w:rsidRPr="00563AD3" w:rsidRDefault="009C4701" w:rsidP="009C4701">
            <w:pPr>
              <w:keepNext/>
              <w:spacing w:after="0"/>
              <w:rPr>
                <w:rFonts w:eastAsia="Times New Roman"/>
                <w:color w:val="000000"/>
                <w:sz w:val="20"/>
                <w:szCs w:val="20"/>
              </w:rPr>
            </w:pPr>
            <w:r w:rsidRPr="00563AD3">
              <w:rPr>
                <w:rFonts w:eastAsia="Times New Roman"/>
                <w:b/>
                <w:bCs/>
                <w:color w:val="000000"/>
                <w:sz w:val="20"/>
                <w:szCs w:val="20"/>
              </w:rPr>
              <w:t>16</w:t>
            </w:r>
            <w:r>
              <w:rPr>
                <w:rFonts w:eastAsia="Times New Roman"/>
                <w:b/>
                <w:bCs/>
                <w:color w:val="000000"/>
                <w:sz w:val="20"/>
                <w:szCs w:val="20"/>
              </w:rPr>
              <w:t>-months</w:t>
            </w:r>
            <w:r w:rsidRPr="00563AD3">
              <w:rPr>
                <w:rFonts w:eastAsia="Times New Roman"/>
                <w:b/>
                <w:bCs/>
                <w:color w:val="000000"/>
                <w:sz w:val="20"/>
                <w:szCs w:val="20"/>
              </w:rPr>
              <w:t xml:space="preserve"> CMAI-O Total Score</w:t>
            </w:r>
            <w:r w:rsidRPr="00563AD3">
              <w:rPr>
                <w:rFonts w:eastAsia="Times New Roman"/>
                <w:bCs/>
                <w:color w:val="000000"/>
                <w:sz w:val="20"/>
                <w:szCs w:val="20"/>
              </w:rPr>
              <w:t xml:space="preserve">                          </w:t>
            </w:r>
          </w:p>
        </w:tc>
        <w:tc>
          <w:tcPr>
            <w:tcW w:w="677" w:type="pct"/>
            <w:tcBorders>
              <w:top w:val="single" w:sz="4" w:space="0" w:color="auto"/>
              <w:left w:val="nil"/>
              <w:bottom w:val="nil"/>
              <w:right w:val="nil"/>
            </w:tcBorders>
            <w:shd w:val="clear" w:color="auto" w:fill="FFFFFF"/>
            <w:tcMar>
              <w:left w:w="67" w:type="dxa"/>
              <w:right w:w="67" w:type="dxa"/>
            </w:tcMar>
          </w:tcPr>
          <w:p w14:paraId="6CF09F9D" w14:textId="77777777" w:rsidR="009C4701" w:rsidRPr="00563AD3" w:rsidRDefault="009C4701" w:rsidP="009C4701">
            <w:pPr>
              <w:keepNext/>
              <w:spacing w:after="0"/>
              <w:jc w:val="right"/>
              <w:rPr>
                <w:rFonts w:eastAsia="Times New Roman"/>
                <w:b/>
                <w:color w:val="000000"/>
                <w:sz w:val="20"/>
                <w:szCs w:val="20"/>
              </w:rPr>
            </w:pPr>
            <w:r w:rsidRPr="00563AD3">
              <w:rPr>
                <w:rFonts w:eastAsia="Times New Roman"/>
                <w:b/>
                <w:color w:val="000000"/>
                <w:sz w:val="20"/>
                <w:szCs w:val="20"/>
              </w:rPr>
              <w:t>31.1 (3.8)  156</w:t>
            </w:r>
          </w:p>
        </w:tc>
        <w:tc>
          <w:tcPr>
            <w:tcW w:w="752" w:type="pct"/>
            <w:tcBorders>
              <w:top w:val="single" w:sz="4" w:space="0" w:color="auto"/>
              <w:left w:val="nil"/>
              <w:bottom w:val="nil"/>
              <w:right w:val="nil"/>
            </w:tcBorders>
            <w:shd w:val="clear" w:color="auto" w:fill="FFFFFF"/>
            <w:tcMar>
              <w:left w:w="67" w:type="dxa"/>
              <w:right w:w="67" w:type="dxa"/>
            </w:tcMar>
          </w:tcPr>
          <w:p w14:paraId="66282A77" w14:textId="77777777" w:rsidR="009C4701" w:rsidRPr="00563AD3" w:rsidRDefault="009C4701" w:rsidP="009C4701">
            <w:pPr>
              <w:keepNext/>
              <w:spacing w:after="0"/>
              <w:jc w:val="right"/>
              <w:rPr>
                <w:rFonts w:eastAsia="Times New Roman"/>
                <w:b/>
                <w:color w:val="000000"/>
                <w:sz w:val="20"/>
                <w:szCs w:val="20"/>
              </w:rPr>
            </w:pPr>
            <w:r w:rsidRPr="00563AD3">
              <w:rPr>
                <w:rFonts w:eastAsia="Times New Roman"/>
                <w:b/>
                <w:color w:val="000000"/>
                <w:sz w:val="20"/>
                <w:szCs w:val="20"/>
              </w:rPr>
              <w:t>30.5 (3.3)  209</w:t>
            </w:r>
          </w:p>
        </w:tc>
        <w:tc>
          <w:tcPr>
            <w:tcW w:w="695" w:type="pct"/>
            <w:tcBorders>
              <w:top w:val="single" w:sz="4" w:space="0" w:color="auto"/>
              <w:left w:val="nil"/>
              <w:bottom w:val="nil"/>
            </w:tcBorders>
            <w:shd w:val="clear" w:color="auto" w:fill="FFFFFF"/>
            <w:tcMar>
              <w:left w:w="67" w:type="dxa"/>
              <w:right w:w="67" w:type="dxa"/>
            </w:tcMar>
          </w:tcPr>
          <w:p w14:paraId="2DF20EBE" w14:textId="77777777" w:rsidR="009C4701" w:rsidRPr="00563AD3" w:rsidRDefault="009C4701" w:rsidP="009C4701">
            <w:pPr>
              <w:keepNext/>
              <w:spacing w:after="0"/>
              <w:jc w:val="right"/>
              <w:rPr>
                <w:rFonts w:eastAsia="Times New Roman"/>
                <w:b/>
                <w:color w:val="000000"/>
                <w:sz w:val="20"/>
                <w:szCs w:val="20"/>
              </w:rPr>
            </w:pPr>
            <w:r w:rsidRPr="00563AD3">
              <w:rPr>
                <w:rFonts w:eastAsia="Times New Roman"/>
                <w:b/>
                <w:color w:val="000000"/>
                <w:sz w:val="20"/>
                <w:szCs w:val="20"/>
              </w:rPr>
              <w:t>30.8 (3.5)  365</w:t>
            </w:r>
          </w:p>
        </w:tc>
        <w:tc>
          <w:tcPr>
            <w:tcW w:w="584" w:type="pct"/>
            <w:tcBorders>
              <w:top w:val="single" w:sz="4" w:space="0" w:color="auto"/>
              <w:left w:val="nil"/>
              <w:bottom w:val="nil"/>
              <w:right w:val="nil"/>
            </w:tcBorders>
            <w:shd w:val="clear" w:color="auto" w:fill="D9D9D9" w:themeFill="background1" w:themeFillShade="D9"/>
          </w:tcPr>
          <w:p w14:paraId="3A2C5E00" w14:textId="77777777" w:rsidR="009C4701" w:rsidRPr="00563AD3" w:rsidRDefault="009C4701" w:rsidP="009C4701">
            <w:pPr>
              <w:keepNext/>
              <w:spacing w:after="0"/>
              <w:jc w:val="right"/>
              <w:rPr>
                <w:rFonts w:eastAsia="Times New Roman"/>
                <w:b/>
                <w:color w:val="000000"/>
                <w:sz w:val="20"/>
                <w:szCs w:val="20"/>
              </w:rPr>
            </w:pPr>
            <w:r w:rsidRPr="00563AD3">
              <w:rPr>
                <w:rFonts w:eastAsia="Times New Roman"/>
                <w:b/>
                <w:color w:val="000000"/>
                <w:sz w:val="20"/>
                <w:szCs w:val="20"/>
              </w:rPr>
              <w:t>31.4 (3.8)  148</w:t>
            </w:r>
          </w:p>
        </w:tc>
        <w:tc>
          <w:tcPr>
            <w:tcW w:w="583" w:type="pct"/>
            <w:tcBorders>
              <w:top w:val="single" w:sz="4" w:space="0" w:color="auto"/>
              <w:left w:val="nil"/>
              <w:bottom w:val="nil"/>
              <w:right w:val="nil"/>
            </w:tcBorders>
            <w:shd w:val="clear" w:color="auto" w:fill="D9D9D9" w:themeFill="background1" w:themeFillShade="D9"/>
          </w:tcPr>
          <w:p w14:paraId="531EEAB5" w14:textId="77777777" w:rsidR="009C4701" w:rsidRPr="00563AD3" w:rsidRDefault="009C4701" w:rsidP="009C4701">
            <w:pPr>
              <w:keepNext/>
              <w:spacing w:after="0"/>
              <w:jc w:val="right"/>
              <w:rPr>
                <w:rFonts w:eastAsia="Times New Roman"/>
                <w:b/>
                <w:color w:val="000000"/>
                <w:sz w:val="20"/>
                <w:szCs w:val="20"/>
              </w:rPr>
            </w:pPr>
            <w:r w:rsidRPr="00563AD3">
              <w:rPr>
                <w:rFonts w:eastAsia="Times New Roman"/>
                <w:b/>
                <w:color w:val="000000"/>
                <w:sz w:val="20"/>
                <w:szCs w:val="20"/>
              </w:rPr>
              <w:t>31.1 (3.9)  206</w:t>
            </w:r>
          </w:p>
        </w:tc>
        <w:tc>
          <w:tcPr>
            <w:tcW w:w="580" w:type="pct"/>
            <w:tcBorders>
              <w:top w:val="single" w:sz="4" w:space="0" w:color="auto"/>
              <w:left w:val="nil"/>
              <w:bottom w:val="nil"/>
            </w:tcBorders>
            <w:shd w:val="clear" w:color="auto" w:fill="D9D9D9" w:themeFill="background1" w:themeFillShade="D9"/>
          </w:tcPr>
          <w:p w14:paraId="641F113F" w14:textId="77777777" w:rsidR="009C4701" w:rsidRPr="00563AD3" w:rsidRDefault="009C4701" w:rsidP="009C4701">
            <w:pPr>
              <w:keepNext/>
              <w:spacing w:after="0"/>
              <w:jc w:val="right"/>
              <w:rPr>
                <w:rFonts w:eastAsia="Times New Roman"/>
                <w:b/>
                <w:color w:val="000000"/>
                <w:sz w:val="20"/>
                <w:szCs w:val="20"/>
              </w:rPr>
            </w:pPr>
            <w:r w:rsidRPr="00563AD3">
              <w:rPr>
                <w:rFonts w:eastAsia="Times New Roman"/>
                <w:b/>
                <w:color w:val="000000"/>
                <w:sz w:val="20"/>
                <w:szCs w:val="20"/>
              </w:rPr>
              <w:t>31.2 (3.9)  354</w:t>
            </w:r>
          </w:p>
        </w:tc>
      </w:tr>
      <w:tr w:rsidR="009C4701" w:rsidRPr="00563AD3" w14:paraId="13B18633" w14:textId="77777777" w:rsidTr="00DC1D91">
        <w:trPr>
          <w:cantSplit/>
          <w:jc w:val="center"/>
        </w:trPr>
        <w:tc>
          <w:tcPr>
            <w:tcW w:w="1129" w:type="pct"/>
            <w:tcBorders>
              <w:top w:val="nil"/>
              <w:bottom w:val="nil"/>
              <w:right w:val="nil"/>
            </w:tcBorders>
            <w:shd w:val="clear" w:color="auto" w:fill="FFFFFF"/>
            <w:tcMar>
              <w:left w:w="67" w:type="dxa"/>
              <w:right w:w="67" w:type="dxa"/>
            </w:tcMar>
          </w:tcPr>
          <w:p w14:paraId="7DCCD99E" w14:textId="77777777" w:rsidR="009C4701" w:rsidRPr="00563AD3" w:rsidRDefault="009C4701" w:rsidP="009C4701">
            <w:pPr>
              <w:keepNext/>
              <w:spacing w:after="0"/>
              <w:rPr>
                <w:rFonts w:eastAsia="Times New Roman"/>
                <w:color w:val="000000"/>
                <w:sz w:val="20"/>
                <w:szCs w:val="20"/>
              </w:rPr>
            </w:pPr>
            <w:r w:rsidRPr="00563AD3">
              <w:rPr>
                <w:rFonts w:eastAsia="Times New Roman"/>
                <w:b/>
                <w:bCs/>
                <w:color w:val="000000"/>
                <w:sz w:val="20"/>
                <w:szCs w:val="20"/>
              </w:rPr>
              <w:t xml:space="preserve">Subscales: </w:t>
            </w:r>
            <w:r w:rsidRPr="00563AD3">
              <w:rPr>
                <w:rFonts w:eastAsia="Times New Roman"/>
                <w:color w:val="000000"/>
                <w:sz w:val="20"/>
                <w:szCs w:val="20"/>
              </w:rPr>
              <w:t>Aggressive behaviour</w:t>
            </w:r>
          </w:p>
        </w:tc>
        <w:tc>
          <w:tcPr>
            <w:tcW w:w="677" w:type="pct"/>
            <w:tcBorders>
              <w:top w:val="nil"/>
              <w:left w:val="nil"/>
              <w:bottom w:val="nil"/>
              <w:right w:val="nil"/>
            </w:tcBorders>
            <w:shd w:val="clear" w:color="auto" w:fill="FFFFFF"/>
            <w:tcMar>
              <w:left w:w="67" w:type="dxa"/>
              <w:right w:w="67" w:type="dxa"/>
            </w:tcMar>
          </w:tcPr>
          <w:p w14:paraId="36C5702B"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9.3 (0.9)  156</w:t>
            </w:r>
          </w:p>
        </w:tc>
        <w:tc>
          <w:tcPr>
            <w:tcW w:w="752" w:type="pct"/>
            <w:tcBorders>
              <w:top w:val="nil"/>
              <w:left w:val="nil"/>
              <w:bottom w:val="nil"/>
              <w:right w:val="nil"/>
            </w:tcBorders>
            <w:shd w:val="clear" w:color="auto" w:fill="FFFFFF"/>
            <w:tcMar>
              <w:left w:w="67" w:type="dxa"/>
              <w:right w:w="67" w:type="dxa"/>
            </w:tcMar>
          </w:tcPr>
          <w:p w14:paraId="4F6CFF81"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9.3 (1.0)  209</w:t>
            </w:r>
          </w:p>
        </w:tc>
        <w:tc>
          <w:tcPr>
            <w:tcW w:w="695" w:type="pct"/>
            <w:tcBorders>
              <w:top w:val="nil"/>
              <w:left w:val="nil"/>
              <w:bottom w:val="nil"/>
            </w:tcBorders>
            <w:shd w:val="clear" w:color="auto" w:fill="FFFFFF"/>
            <w:tcMar>
              <w:left w:w="67" w:type="dxa"/>
              <w:right w:w="67" w:type="dxa"/>
            </w:tcMar>
          </w:tcPr>
          <w:p w14:paraId="2392E88F"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9.3 (1.0)  365</w:t>
            </w:r>
          </w:p>
        </w:tc>
        <w:tc>
          <w:tcPr>
            <w:tcW w:w="584" w:type="pct"/>
            <w:tcBorders>
              <w:top w:val="nil"/>
              <w:left w:val="nil"/>
              <w:bottom w:val="nil"/>
              <w:right w:val="nil"/>
            </w:tcBorders>
            <w:shd w:val="clear" w:color="auto" w:fill="D9D9D9" w:themeFill="background1" w:themeFillShade="D9"/>
          </w:tcPr>
          <w:p w14:paraId="55F0709E"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9.3 (1.1)  148</w:t>
            </w:r>
          </w:p>
        </w:tc>
        <w:tc>
          <w:tcPr>
            <w:tcW w:w="583" w:type="pct"/>
            <w:tcBorders>
              <w:top w:val="nil"/>
              <w:left w:val="nil"/>
              <w:bottom w:val="nil"/>
              <w:right w:val="nil"/>
            </w:tcBorders>
            <w:shd w:val="clear" w:color="auto" w:fill="D9D9D9" w:themeFill="background1" w:themeFillShade="D9"/>
          </w:tcPr>
          <w:p w14:paraId="041D3FDC"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9.3 (1.2)  206</w:t>
            </w:r>
          </w:p>
        </w:tc>
        <w:tc>
          <w:tcPr>
            <w:tcW w:w="580" w:type="pct"/>
            <w:tcBorders>
              <w:top w:val="nil"/>
              <w:left w:val="nil"/>
              <w:bottom w:val="nil"/>
            </w:tcBorders>
            <w:shd w:val="clear" w:color="auto" w:fill="D9D9D9" w:themeFill="background1" w:themeFillShade="D9"/>
          </w:tcPr>
          <w:p w14:paraId="712781F5"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9.3 (1.1)  354</w:t>
            </w:r>
          </w:p>
        </w:tc>
      </w:tr>
      <w:tr w:rsidR="009C4701" w:rsidRPr="00563AD3" w14:paraId="51F7ACEE" w14:textId="77777777" w:rsidTr="00DC1D91">
        <w:trPr>
          <w:cantSplit/>
          <w:jc w:val="center"/>
        </w:trPr>
        <w:tc>
          <w:tcPr>
            <w:tcW w:w="1129" w:type="pct"/>
            <w:tcBorders>
              <w:top w:val="nil"/>
              <w:bottom w:val="nil"/>
              <w:right w:val="nil"/>
            </w:tcBorders>
            <w:shd w:val="clear" w:color="auto" w:fill="FFFFFF"/>
            <w:tcMar>
              <w:left w:w="67" w:type="dxa"/>
              <w:right w:w="67" w:type="dxa"/>
            </w:tcMar>
          </w:tcPr>
          <w:p w14:paraId="1C75FF1D" w14:textId="77777777" w:rsidR="009C4701" w:rsidRPr="00563AD3" w:rsidRDefault="009C4701" w:rsidP="009C4701">
            <w:pPr>
              <w:keepNext/>
              <w:spacing w:after="0"/>
              <w:rPr>
                <w:rFonts w:eastAsia="Times New Roman"/>
                <w:color w:val="000000"/>
                <w:sz w:val="20"/>
                <w:szCs w:val="20"/>
              </w:rPr>
            </w:pPr>
            <w:r w:rsidRPr="00563AD3">
              <w:rPr>
                <w:rFonts w:eastAsia="Times New Roman"/>
                <w:color w:val="000000"/>
                <w:sz w:val="20"/>
                <w:szCs w:val="20"/>
              </w:rPr>
              <w:t xml:space="preserve">                   Physically non-aggressive</w:t>
            </w:r>
          </w:p>
        </w:tc>
        <w:tc>
          <w:tcPr>
            <w:tcW w:w="677" w:type="pct"/>
            <w:tcBorders>
              <w:top w:val="nil"/>
              <w:left w:val="nil"/>
              <w:bottom w:val="nil"/>
              <w:right w:val="nil"/>
            </w:tcBorders>
            <w:shd w:val="clear" w:color="auto" w:fill="FFFFFF"/>
            <w:tcMar>
              <w:left w:w="67" w:type="dxa"/>
              <w:right w:w="67" w:type="dxa"/>
            </w:tcMar>
          </w:tcPr>
          <w:p w14:paraId="75C8B1EE"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6.7 (1.4)  156</w:t>
            </w:r>
          </w:p>
        </w:tc>
        <w:tc>
          <w:tcPr>
            <w:tcW w:w="752" w:type="pct"/>
            <w:tcBorders>
              <w:top w:val="nil"/>
              <w:left w:val="nil"/>
              <w:bottom w:val="nil"/>
              <w:right w:val="nil"/>
            </w:tcBorders>
            <w:shd w:val="clear" w:color="auto" w:fill="FFFFFF"/>
            <w:tcMar>
              <w:left w:w="67" w:type="dxa"/>
              <w:right w:w="67" w:type="dxa"/>
            </w:tcMar>
          </w:tcPr>
          <w:p w14:paraId="2F5EF2B8"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6.5 (1.5)  209</w:t>
            </w:r>
          </w:p>
        </w:tc>
        <w:tc>
          <w:tcPr>
            <w:tcW w:w="695" w:type="pct"/>
            <w:tcBorders>
              <w:top w:val="nil"/>
              <w:left w:val="nil"/>
              <w:bottom w:val="nil"/>
            </w:tcBorders>
            <w:shd w:val="clear" w:color="auto" w:fill="FFFFFF"/>
            <w:tcMar>
              <w:left w:w="67" w:type="dxa"/>
              <w:right w:w="67" w:type="dxa"/>
            </w:tcMar>
          </w:tcPr>
          <w:p w14:paraId="68924F0A"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6.6 (1.4)  365</w:t>
            </w:r>
          </w:p>
        </w:tc>
        <w:tc>
          <w:tcPr>
            <w:tcW w:w="584" w:type="pct"/>
            <w:tcBorders>
              <w:top w:val="nil"/>
              <w:left w:val="nil"/>
              <w:bottom w:val="nil"/>
              <w:right w:val="nil"/>
            </w:tcBorders>
            <w:shd w:val="clear" w:color="auto" w:fill="D9D9D9" w:themeFill="background1" w:themeFillShade="D9"/>
          </w:tcPr>
          <w:p w14:paraId="4FEF1670"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6.9 (1.5)  148</w:t>
            </w:r>
          </w:p>
        </w:tc>
        <w:tc>
          <w:tcPr>
            <w:tcW w:w="583" w:type="pct"/>
            <w:tcBorders>
              <w:top w:val="nil"/>
              <w:left w:val="nil"/>
              <w:bottom w:val="nil"/>
              <w:right w:val="nil"/>
            </w:tcBorders>
            <w:shd w:val="clear" w:color="auto" w:fill="D9D9D9" w:themeFill="background1" w:themeFillShade="D9"/>
          </w:tcPr>
          <w:p w14:paraId="223C9E6E"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6.8 (1.9)  206</w:t>
            </w:r>
          </w:p>
        </w:tc>
        <w:tc>
          <w:tcPr>
            <w:tcW w:w="580" w:type="pct"/>
            <w:tcBorders>
              <w:top w:val="nil"/>
              <w:left w:val="nil"/>
              <w:bottom w:val="nil"/>
            </w:tcBorders>
            <w:shd w:val="clear" w:color="auto" w:fill="D9D9D9" w:themeFill="background1" w:themeFillShade="D9"/>
          </w:tcPr>
          <w:p w14:paraId="0A96B057"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6.9 (1.8)  354</w:t>
            </w:r>
          </w:p>
        </w:tc>
      </w:tr>
      <w:tr w:rsidR="009C4701" w:rsidRPr="00563AD3" w14:paraId="7B6B8B08" w14:textId="77777777" w:rsidTr="00DC1D91">
        <w:trPr>
          <w:cantSplit/>
          <w:jc w:val="center"/>
        </w:trPr>
        <w:tc>
          <w:tcPr>
            <w:tcW w:w="1129" w:type="pct"/>
            <w:tcBorders>
              <w:top w:val="nil"/>
              <w:bottom w:val="nil"/>
              <w:right w:val="nil"/>
            </w:tcBorders>
            <w:shd w:val="clear" w:color="auto" w:fill="FFFFFF"/>
            <w:tcMar>
              <w:left w:w="67" w:type="dxa"/>
              <w:right w:w="67" w:type="dxa"/>
            </w:tcMar>
          </w:tcPr>
          <w:p w14:paraId="25B21090" w14:textId="77777777" w:rsidR="009C4701" w:rsidRPr="00563AD3" w:rsidRDefault="009C4701" w:rsidP="009C4701">
            <w:pPr>
              <w:keepNext/>
              <w:spacing w:after="0"/>
              <w:rPr>
                <w:rFonts w:eastAsia="Times New Roman"/>
                <w:color w:val="000000"/>
                <w:sz w:val="20"/>
                <w:szCs w:val="20"/>
              </w:rPr>
            </w:pPr>
            <w:r w:rsidRPr="00563AD3">
              <w:rPr>
                <w:rFonts w:eastAsia="Times New Roman"/>
                <w:color w:val="000000"/>
                <w:sz w:val="20"/>
                <w:szCs w:val="20"/>
              </w:rPr>
              <w:t xml:space="preserve">                   Verbally agitated</w:t>
            </w:r>
          </w:p>
        </w:tc>
        <w:tc>
          <w:tcPr>
            <w:tcW w:w="677" w:type="pct"/>
            <w:tcBorders>
              <w:top w:val="nil"/>
              <w:left w:val="nil"/>
              <w:bottom w:val="nil"/>
              <w:right w:val="nil"/>
            </w:tcBorders>
            <w:shd w:val="clear" w:color="auto" w:fill="FFFFFF"/>
            <w:tcMar>
              <w:left w:w="67" w:type="dxa"/>
              <w:right w:w="67" w:type="dxa"/>
            </w:tcMar>
          </w:tcPr>
          <w:p w14:paraId="3B321F95"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5.8 (2.2)  156</w:t>
            </w:r>
          </w:p>
        </w:tc>
        <w:tc>
          <w:tcPr>
            <w:tcW w:w="752" w:type="pct"/>
            <w:tcBorders>
              <w:top w:val="nil"/>
              <w:left w:val="nil"/>
              <w:bottom w:val="nil"/>
              <w:right w:val="nil"/>
            </w:tcBorders>
            <w:shd w:val="clear" w:color="auto" w:fill="FFFFFF"/>
            <w:tcMar>
              <w:left w:w="67" w:type="dxa"/>
              <w:right w:w="67" w:type="dxa"/>
            </w:tcMar>
          </w:tcPr>
          <w:p w14:paraId="0CF2649C"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5.5 (1.5)  209</w:t>
            </w:r>
          </w:p>
        </w:tc>
        <w:tc>
          <w:tcPr>
            <w:tcW w:w="695" w:type="pct"/>
            <w:tcBorders>
              <w:top w:val="nil"/>
              <w:left w:val="nil"/>
              <w:bottom w:val="nil"/>
            </w:tcBorders>
            <w:shd w:val="clear" w:color="auto" w:fill="FFFFFF"/>
            <w:tcMar>
              <w:left w:w="67" w:type="dxa"/>
              <w:right w:w="67" w:type="dxa"/>
            </w:tcMar>
          </w:tcPr>
          <w:p w14:paraId="4A0A611B"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5.6 (1.8)  365</w:t>
            </w:r>
          </w:p>
        </w:tc>
        <w:tc>
          <w:tcPr>
            <w:tcW w:w="584" w:type="pct"/>
            <w:tcBorders>
              <w:top w:val="nil"/>
              <w:left w:val="nil"/>
              <w:bottom w:val="nil"/>
              <w:right w:val="nil"/>
            </w:tcBorders>
            <w:shd w:val="clear" w:color="auto" w:fill="D9D9D9" w:themeFill="background1" w:themeFillShade="D9"/>
          </w:tcPr>
          <w:p w14:paraId="0B3C17A3"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5.8 (1.9)  148</w:t>
            </w:r>
          </w:p>
        </w:tc>
        <w:tc>
          <w:tcPr>
            <w:tcW w:w="583" w:type="pct"/>
            <w:tcBorders>
              <w:top w:val="nil"/>
              <w:left w:val="nil"/>
              <w:bottom w:val="nil"/>
              <w:right w:val="nil"/>
            </w:tcBorders>
            <w:shd w:val="clear" w:color="auto" w:fill="D9D9D9" w:themeFill="background1" w:themeFillShade="D9"/>
          </w:tcPr>
          <w:p w14:paraId="1B637EFD"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5.7 (1.7)  206</w:t>
            </w:r>
          </w:p>
        </w:tc>
        <w:tc>
          <w:tcPr>
            <w:tcW w:w="580" w:type="pct"/>
            <w:tcBorders>
              <w:top w:val="nil"/>
              <w:left w:val="nil"/>
              <w:bottom w:val="nil"/>
            </w:tcBorders>
            <w:shd w:val="clear" w:color="auto" w:fill="D9D9D9" w:themeFill="background1" w:themeFillShade="D9"/>
          </w:tcPr>
          <w:p w14:paraId="530B8148"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5.7 (1.8)  354</w:t>
            </w:r>
          </w:p>
        </w:tc>
      </w:tr>
      <w:tr w:rsidR="009C4701" w:rsidRPr="00563AD3" w14:paraId="3BC555B4" w14:textId="77777777" w:rsidTr="00DC1D91">
        <w:trPr>
          <w:cantSplit/>
          <w:jc w:val="center"/>
        </w:trPr>
        <w:tc>
          <w:tcPr>
            <w:tcW w:w="1129" w:type="pct"/>
            <w:tcBorders>
              <w:top w:val="nil"/>
              <w:bottom w:val="single" w:sz="4" w:space="0" w:color="auto"/>
              <w:right w:val="nil"/>
            </w:tcBorders>
            <w:shd w:val="clear" w:color="auto" w:fill="FFFFFF"/>
            <w:tcMar>
              <w:left w:w="67" w:type="dxa"/>
              <w:right w:w="67" w:type="dxa"/>
            </w:tcMar>
          </w:tcPr>
          <w:p w14:paraId="67C1B6FA" w14:textId="77777777" w:rsidR="009C4701" w:rsidRPr="00563AD3" w:rsidRDefault="009C4701" w:rsidP="009C4701">
            <w:pPr>
              <w:keepNext/>
              <w:spacing w:after="0"/>
              <w:rPr>
                <w:rFonts w:eastAsia="Times New Roman"/>
                <w:color w:val="000000"/>
                <w:sz w:val="20"/>
                <w:szCs w:val="20"/>
              </w:rPr>
            </w:pPr>
            <w:r w:rsidRPr="00563AD3">
              <w:rPr>
                <w:rFonts w:eastAsia="Times New Roman"/>
                <w:color w:val="000000"/>
                <w:sz w:val="20"/>
                <w:szCs w:val="20"/>
              </w:rPr>
              <w:t xml:space="preserve">                   Other</w:t>
            </w:r>
          </w:p>
        </w:tc>
        <w:tc>
          <w:tcPr>
            <w:tcW w:w="677" w:type="pct"/>
            <w:tcBorders>
              <w:top w:val="nil"/>
              <w:left w:val="nil"/>
              <w:bottom w:val="single" w:sz="4" w:space="0" w:color="auto"/>
              <w:right w:val="nil"/>
            </w:tcBorders>
            <w:shd w:val="clear" w:color="auto" w:fill="FFFFFF"/>
            <w:tcMar>
              <w:left w:w="67" w:type="dxa"/>
              <w:right w:w="67" w:type="dxa"/>
            </w:tcMar>
          </w:tcPr>
          <w:p w14:paraId="0D958571"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9.3 (1.0)  156</w:t>
            </w:r>
          </w:p>
        </w:tc>
        <w:tc>
          <w:tcPr>
            <w:tcW w:w="752" w:type="pct"/>
            <w:tcBorders>
              <w:top w:val="nil"/>
              <w:left w:val="nil"/>
              <w:bottom w:val="single" w:sz="4" w:space="0" w:color="auto"/>
              <w:right w:val="nil"/>
            </w:tcBorders>
            <w:shd w:val="clear" w:color="auto" w:fill="FFFFFF"/>
            <w:tcMar>
              <w:left w:w="67" w:type="dxa"/>
              <w:right w:w="67" w:type="dxa"/>
            </w:tcMar>
          </w:tcPr>
          <w:p w14:paraId="3C2CF3C0"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9.2 (0.7)  209</w:t>
            </w:r>
          </w:p>
        </w:tc>
        <w:tc>
          <w:tcPr>
            <w:tcW w:w="695" w:type="pct"/>
            <w:tcBorders>
              <w:top w:val="nil"/>
              <w:left w:val="nil"/>
              <w:bottom w:val="single" w:sz="4" w:space="0" w:color="auto"/>
            </w:tcBorders>
            <w:shd w:val="clear" w:color="auto" w:fill="FFFFFF"/>
            <w:tcMar>
              <w:left w:w="67" w:type="dxa"/>
              <w:right w:w="67" w:type="dxa"/>
            </w:tcMar>
          </w:tcPr>
          <w:p w14:paraId="238FF354"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9.2 (0.8)  365</w:t>
            </w:r>
          </w:p>
        </w:tc>
        <w:tc>
          <w:tcPr>
            <w:tcW w:w="584" w:type="pct"/>
            <w:tcBorders>
              <w:top w:val="nil"/>
              <w:left w:val="nil"/>
              <w:bottom w:val="single" w:sz="4" w:space="0" w:color="auto"/>
              <w:right w:val="nil"/>
            </w:tcBorders>
            <w:shd w:val="clear" w:color="auto" w:fill="D9D9D9" w:themeFill="background1" w:themeFillShade="D9"/>
          </w:tcPr>
          <w:p w14:paraId="6476AA8A"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9.3 (0.9)  148</w:t>
            </w:r>
          </w:p>
        </w:tc>
        <w:tc>
          <w:tcPr>
            <w:tcW w:w="583" w:type="pct"/>
            <w:tcBorders>
              <w:top w:val="nil"/>
              <w:left w:val="nil"/>
              <w:bottom w:val="single" w:sz="4" w:space="0" w:color="auto"/>
              <w:right w:val="nil"/>
            </w:tcBorders>
            <w:shd w:val="clear" w:color="auto" w:fill="D9D9D9" w:themeFill="background1" w:themeFillShade="D9"/>
          </w:tcPr>
          <w:p w14:paraId="377965D9"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9.3 (0.9)  206</w:t>
            </w:r>
          </w:p>
        </w:tc>
        <w:tc>
          <w:tcPr>
            <w:tcW w:w="580" w:type="pct"/>
            <w:tcBorders>
              <w:top w:val="nil"/>
              <w:left w:val="nil"/>
              <w:bottom w:val="single" w:sz="4" w:space="0" w:color="auto"/>
            </w:tcBorders>
            <w:shd w:val="clear" w:color="auto" w:fill="D9D9D9" w:themeFill="background1" w:themeFillShade="D9"/>
          </w:tcPr>
          <w:p w14:paraId="4744F705" w14:textId="77777777" w:rsidR="009C4701" w:rsidRPr="00563AD3" w:rsidRDefault="009C4701" w:rsidP="009C4701">
            <w:pPr>
              <w:keepNext/>
              <w:spacing w:after="0"/>
              <w:jc w:val="right"/>
              <w:rPr>
                <w:rFonts w:eastAsia="Times New Roman"/>
                <w:color w:val="000000"/>
                <w:sz w:val="20"/>
                <w:szCs w:val="20"/>
              </w:rPr>
            </w:pPr>
            <w:r w:rsidRPr="00563AD3">
              <w:rPr>
                <w:rFonts w:eastAsia="Times New Roman"/>
                <w:color w:val="000000"/>
                <w:sz w:val="20"/>
                <w:szCs w:val="20"/>
              </w:rPr>
              <w:t>9.3 (0.9)  354</w:t>
            </w:r>
          </w:p>
        </w:tc>
      </w:tr>
      <w:tr w:rsidR="009C4701" w:rsidRPr="00563AD3" w14:paraId="309D5231" w14:textId="77777777" w:rsidTr="00DC1D91">
        <w:trPr>
          <w:cantSplit/>
          <w:jc w:val="center"/>
        </w:trPr>
        <w:tc>
          <w:tcPr>
            <w:tcW w:w="1129" w:type="pct"/>
            <w:tcBorders>
              <w:top w:val="single" w:sz="4" w:space="0" w:color="auto"/>
              <w:bottom w:val="single" w:sz="4" w:space="0" w:color="auto"/>
              <w:right w:val="nil"/>
            </w:tcBorders>
            <w:shd w:val="clear" w:color="auto" w:fill="FFFFFF"/>
            <w:tcMar>
              <w:left w:w="67" w:type="dxa"/>
              <w:right w:w="67" w:type="dxa"/>
            </w:tcMar>
          </w:tcPr>
          <w:p w14:paraId="1C75C0E5" w14:textId="77777777" w:rsidR="009C4701" w:rsidRPr="00563AD3" w:rsidRDefault="009C4701" w:rsidP="009C4701">
            <w:pPr>
              <w:keepNext/>
              <w:spacing w:after="0"/>
              <w:rPr>
                <w:rFonts w:eastAsia="Times New Roman"/>
                <w:color w:val="000000"/>
                <w:sz w:val="20"/>
                <w:szCs w:val="20"/>
              </w:rPr>
            </w:pPr>
            <w:r w:rsidRPr="00563AD3">
              <w:rPr>
                <w:rFonts w:eastAsia="Times New Roman"/>
                <w:b/>
                <w:bCs/>
                <w:color w:val="000000"/>
                <w:sz w:val="20"/>
                <w:szCs w:val="20"/>
              </w:rPr>
              <w:t>16</w:t>
            </w:r>
            <w:r>
              <w:rPr>
                <w:rFonts w:eastAsia="Times New Roman"/>
                <w:b/>
                <w:bCs/>
                <w:color w:val="000000"/>
                <w:sz w:val="20"/>
                <w:szCs w:val="20"/>
              </w:rPr>
              <w:t>-months</w:t>
            </w:r>
            <w:r w:rsidRPr="00563AD3">
              <w:rPr>
                <w:rFonts w:eastAsia="Times New Roman"/>
                <w:b/>
                <w:bCs/>
                <w:color w:val="000000"/>
                <w:sz w:val="20"/>
                <w:szCs w:val="20"/>
              </w:rPr>
              <w:t xml:space="preserve"> </w:t>
            </w:r>
            <w:r w:rsidRPr="00563AD3">
              <w:rPr>
                <w:rFonts w:eastAsia="Times New Roman"/>
                <w:b/>
                <w:color w:val="000000"/>
                <w:sz w:val="20"/>
                <w:szCs w:val="20"/>
              </w:rPr>
              <w:t>PAS score</w:t>
            </w:r>
          </w:p>
        </w:tc>
        <w:tc>
          <w:tcPr>
            <w:tcW w:w="677" w:type="pct"/>
            <w:tcBorders>
              <w:top w:val="single" w:sz="4" w:space="0" w:color="auto"/>
              <w:left w:val="nil"/>
              <w:bottom w:val="single" w:sz="4" w:space="0" w:color="auto"/>
              <w:right w:val="nil"/>
            </w:tcBorders>
            <w:shd w:val="clear" w:color="auto" w:fill="FFFFFF"/>
            <w:tcMar>
              <w:left w:w="67" w:type="dxa"/>
              <w:right w:w="67" w:type="dxa"/>
            </w:tcMar>
          </w:tcPr>
          <w:p w14:paraId="6C75D73F" w14:textId="77777777" w:rsidR="009C4701" w:rsidRPr="00563AD3" w:rsidRDefault="009C4701" w:rsidP="009C4701">
            <w:pPr>
              <w:keepNext/>
              <w:spacing w:after="0"/>
              <w:jc w:val="right"/>
              <w:rPr>
                <w:rFonts w:eastAsia="Times New Roman"/>
                <w:color w:val="000000"/>
                <w:sz w:val="20"/>
                <w:szCs w:val="20"/>
              </w:rPr>
            </w:pPr>
            <w:r w:rsidRPr="00563AD3">
              <w:rPr>
                <w:rFonts w:eastAsia="Calibri"/>
                <w:color w:val="000000"/>
                <w:sz w:val="20"/>
                <w:szCs w:val="20"/>
                <w:lang w:eastAsia="en-US"/>
              </w:rPr>
              <w:t>1.1 (1.9)  156</w:t>
            </w:r>
          </w:p>
        </w:tc>
        <w:tc>
          <w:tcPr>
            <w:tcW w:w="752" w:type="pct"/>
            <w:tcBorders>
              <w:top w:val="single" w:sz="4" w:space="0" w:color="auto"/>
              <w:left w:val="nil"/>
              <w:bottom w:val="single" w:sz="4" w:space="0" w:color="auto"/>
              <w:right w:val="nil"/>
            </w:tcBorders>
            <w:shd w:val="clear" w:color="auto" w:fill="FFFFFF"/>
            <w:tcMar>
              <w:left w:w="67" w:type="dxa"/>
              <w:right w:w="67" w:type="dxa"/>
            </w:tcMar>
          </w:tcPr>
          <w:p w14:paraId="7FCF85B7" w14:textId="77777777" w:rsidR="009C4701" w:rsidRPr="00563AD3" w:rsidRDefault="009C4701" w:rsidP="009C4701">
            <w:pPr>
              <w:keepNext/>
              <w:spacing w:after="0"/>
              <w:jc w:val="right"/>
              <w:rPr>
                <w:rFonts w:eastAsia="Times New Roman"/>
                <w:color w:val="000000"/>
                <w:sz w:val="20"/>
                <w:szCs w:val="20"/>
              </w:rPr>
            </w:pPr>
            <w:r w:rsidRPr="00563AD3">
              <w:rPr>
                <w:rFonts w:eastAsia="Calibri"/>
                <w:color w:val="000000"/>
                <w:sz w:val="20"/>
                <w:szCs w:val="20"/>
                <w:lang w:eastAsia="en-US"/>
              </w:rPr>
              <w:t>0.8 (1.7)  209</w:t>
            </w:r>
          </w:p>
        </w:tc>
        <w:tc>
          <w:tcPr>
            <w:tcW w:w="695" w:type="pct"/>
            <w:tcBorders>
              <w:top w:val="single" w:sz="4" w:space="0" w:color="auto"/>
              <w:left w:val="nil"/>
              <w:bottom w:val="single" w:sz="4" w:space="0" w:color="auto"/>
            </w:tcBorders>
            <w:shd w:val="clear" w:color="auto" w:fill="FFFFFF"/>
            <w:tcMar>
              <w:left w:w="67" w:type="dxa"/>
              <w:right w:w="67" w:type="dxa"/>
            </w:tcMar>
          </w:tcPr>
          <w:p w14:paraId="5749CB2B" w14:textId="77777777" w:rsidR="009C4701" w:rsidRPr="00563AD3" w:rsidRDefault="009C4701" w:rsidP="009C4701">
            <w:pPr>
              <w:keepNext/>
              <w:spacing w:after="0"/>
              <w:jc w:val="right"/>
              <w:rPr>
                <w:rFonts w:eastAsia="Times New Roman"/>
                <w:color w:val="000000"/>
                <w:sz w:val="20"/>
                <w:szCs w:val="20"/>
              </w:rPr>
            </w:pPr>
            <w:r w:rsidRPr="00563AD3">
              <w:rPr>
                <w:rFonts w:eastAsia="Calibri"/>
                <w:color w:val="000000"/>
                <w:sz w:val="20"/>
                <w:szCs w:val="20"/>
                <w:lang w:eastAsia="en-US"/>
              </w:rPr>
              <w:t>0.9 (1.8)  365</w:t>
            </w:r>
          </w:p>
        </w:tc>
        <w:tc>
          <w:tcPr>
            <w:tcW w:w="584" w:type="pct"/>
            <w:tcBorders>
              <w:top w:val="single" w:sz="4" w:space="0" w:color="auto"/>
              <w:left w:val="nil"/>
              <w:bottom w:val="single" w:sz="4" w:space="0" w:color="auto"/>
              <w:right w:val="nil"/>
            </w:tcBorders>
            <w:shd w:val="clear" w:color="auto" w:fill="D9D9D9" w:themeFill="background1" w:themeFillShade="D9"/>
          </w:tcPr>
          <w:p w14:paraId="45041D0B" w14:textId="77777777" w:rsidR="009C4701" w:rsidRPr="00563AD3" w:rsidRDefault="009C4701" w:rsidP="009C4701">
            <w:pPr>
              <w:keepNext/>
              <w:spacing w:after="0"/>
              <w:jc w:val="right"/>
              <w:rPr>
                <w:rFonts w:eastAsia="Times New Roman"/>
                <w:color w:val="000000"/>
                <w:sz w:val="20"/>
                <w:szCs w:val="20"/>
              </w:rPr>
            </w:pPr>
            <w:r w:rsidRPr="00563AD3">
              <w:rPr>
                <w:rFonts w:eastAsia="Calibri"/>
                <w:color w:val="000000"/>
                <w:sz w:val="20"/>
                <w:szCs w:val="20"/>
                <w:lang w:eastAsia="en-US"/>
              </w:rPr>
              <w:t>1.2 (1.9)  148</w:t>
            </w:r>
          </w:p>
        </w:tc>
        <w:tc>
          <w:tcPr>
            <w:tcW w:w="583" w:type="pct"/>
            <w:tcBorders>
              <w:top w:val="single" w:sz="4" w:space="0" w:color="auto"/>
              <w:left w:val="nil"/>
              <w:bottom w:val="single" w:sz="4" w:space="0" w:color="auto"/>
              <w:right w:val="nil"/>
            </w:tcBorders>
            <w:shd w:val="clear" w:color="auto" w:fill="D9D9D9" w:themeFill="background1" w:themeFillShade="D9"/>
          </w:tcPr>
          <w:p w14:paraId="49DB0277" w14:textId="77777777" w:rsidR="009C4701" w:rsidRPr="00563AD3" w:rsidRDefault="009C4701" w:rsidP="009C4701">
            <w:pPr>
              <w:keepNext/>
              <w:spacing w:after="0"/>
              <w:jc w:val="right"/>
              <w:rPr>
                <w:rFonts w:eastAsia="Times New Roman"/>
                <w:color w:val="000000"/>
                <w:sz w:val="20"/>
                <w:szCs w:val="20"/>
              </w:rPr>
            </w:pPr>
            <w:r w:rsidRPr="00563AD3">
              <w:rPr>
                <w:rFonts w:eastAsia="Calibri"/>
                <w:color w:val="000000"/>
                <w:sz w:val="20"/>
                <w:szCs w:val="20"/>
                <w:lang w:eastAsia="en-US"/>
              </w:rPr>
              <w:t>0.9 (1.8)  205</w:t>
            </w:r>
          </w:p>
        </w:tc>
        <w:tc>
          <w:tcPr>
            <w:tcW w:w="580" w:type="pct"/>
            <w:tcBorders>
              <w:top w:val="single" w:sz="4" w:space="0" w:color="auto"/>
              <w:left w:val="nil"/>
              <w:bottom w:val="single" w:sz="4" w:space="0" w:color="auto"/>
            </w:tcBorders>
            <w:shd w:val="clear" w:color="auto" w:fill="D9D9D9" w:themeFill="background1" w:themeFillShade="D9"/>
          </w:tcPr>
          <w:p w14:paraId="71FA7667" w14:textId="77777777" w:rsidR="009C4701" w:rsidRPr="00563AD3" w:rsidRDefault="009C4701" w:rsidP="009C4701">
            <w:pPr>
              <w:keepNext/>
              <w:spacing w:after="0"/>
              <w:jc w:val="right"/>
              <w:rPr>
                <w:rFonts w:eastAsia="Times New Roman"/>
                <w:color w:val="000000"/>
                <w:sz w:val="20"/>
                <w:szCs w:val="20"/>
              </w:rPr>
            </w:pPr>
            <w:r w:rsidRPr="00563AD3">
              <w:rPr>
                <w:rFonts w:eastAsia="Calibri"/>
                <w:color w:val="000000"/>
                <w:sz w:val="20"/>
                <w:szCs w:val="20"/>
                <w:lang w:eastAsia="en-US"/>
              </w:rPr>
              <w:t>1.0 (1.8)  353</w:t>
            </w:r>
          </w:p>
        </w:tc>
      </w:tr>
    </w:tbl>
    <w:p w14:paraId="6F0D1D0B" w14:textId="070B2F73" w:rsidR="009C4701" w:rsidRPr="00563AD3" w:rsidRDefault="00E94CD9" w:rsidP="009C4701">
      <w:pPr>
        <w:rPr>
          <w:sz w:val="16"/>
          <w:szCs w:val="16"/>
        </w:rPr>
      </w:pPr>
      <w:r>
        <w:rPr>
          <w:sz w:val="16"/>
          <w:szCs w:val="16"/>
          <w:vertAlign w:val="superscript"/>
        </w:rPr>
        <w:t>a</w:t>
      </w:r>
      <w:r w:rsidR="009C4701" w:rsidRPr="00563AD3">
        <w:rPr>
          <w:sz w:val="16"/>
          <w:szCs w:val="16"/>
        </w:rPr>
        <w:t xml:space="preserve">CMAI-O: scores 29-116, higher score indicates more frequent agitated behaviour, </w:t>
      </w:r>
      <w:r>
        <w:rPr>
          <w:sz w:val="16"/>
          <w:szCs w:val="16"/>
          <w:vertAlign w:val="superscript"/>
        </w:rPr>
        <w:t>b</w:t>
      </w:r>
      <w:r w:rsidR="009C4701" w:rsidRPr="00563AD3">
        <w:rPr>
          <w:sz w:val="16"/>
          <w:szCs w:val="16"/>
        </w:rPr>
        <w:t>PAS: range of 0-16, with higher scores representing higher levels of agitation</w:t>
      </w:r>
    </w:p>
    <w:p w14:paraId="65201413" w14:textId="77777777" w:rsidR="009C4701" w:rsidRDefault="009C4701" w:rsidP="009C4701">
      <w:pPr>
        <w:rPr>
          <w:sz w:val="16"/>
          <w:szCs w:val="16"/>
        </w:rPr>
      </w:pPr>
    </w:p>
    <w:p w14:paraId="5F454E65" w14:textId="4ED3D6D3" w:rsidR="004327CA" w:rsidRPr="00563AD3" w:rsidRDefault="004327CA" w:rsidP="009B13F3"/>
    <w:p w14:paraId="25579A4C" w14:textId="77777777" w:rsidR="00135718" w:rsidRDefault="00135718">
      <w:pPr>
        <w:autoSpaceDE/>
        <w:autoSpaceDN/>
        <w:adjustRightInd/>
        <w:spacing w:line="259" w:lineRule="auto"/>
      </w:pPr>
      <w:r>
        <w:br w:type="page"/>
      </w:r>
    </w:p>
    <w:p w14:paraId="227D3CC4" w14:textId="77777777" w:rsidR="00135718" w:rsidRDefault="00135718" w:rsidP="009B13F3">
      <w:pPr>
        <w:sectPr w:rsidR="00135718" w:rsidSect="009C4701">
          <w:pgSz w:w="16838" w:h="11906" w:orient="landscape"/>
          <w:pgMar w:top="1440" w:right="1440" w:bottom="1440" w:left="1440" w:header="708" w:footer="708" w:gutter="0"/>
          <w:cols w:space="708"/>
          <w:docGrid w:linePitch="360"/>
        </w:sectPr>
      </w:pPr>
    </w:p>
    <w:p w14:paraId="115E96D7" w14:textId="77777777" w:rsidR="003C2700" w:rsidRPr="00563AD3" w:rsidRDefault="003C2700" w:rsidP="003C2700">
      <w:r w:rsidRPr="00563AD3">
        <w:t>on the closed-cohort assumed data are missing not at random (MNAR). This explores the impact of assumptions about the missing data, looking at a range of plausible and potentially implausible scenarios in which there was a shift in the CMAI at 16-months of up to 40 points either way for residents that died, withdrew or moved away. This assumes that the scores for all residents with missing data would have shifted by the same number of points. The conclusions of the closed-cohort analysis remain unchanged for shifts of -40 to 5 points from the average CMAI at 16-months for those who died and any shift for those who withdrew</w:t>
      </w:r>
      <w:r>
        <w:t xml:space="preserve"> (</w:t>
      </w:r>
      <w:r w:rsidRPr="00563AD3">
        <w:t xml:space="preserve">see </w:t>
      </w:r>
      <w:r w:rsidRPr="008C7FD1">
        <w:rPr>
          <w:i/>
        </w:rPr>
        <w:t>Appendix 1, Table 4</w:t>
      </w:r>
      <w:r>
        <w:rPr>
          <w:i/>
        </w:rPr>
        <w:t>8</w:t>
      </w:r>
      <w:r>
        <w:t>)</w:t>
      </w:r>
      <w:r w:rsidRPr="00563AD3">
        <w:t xml:space="preserve">. </w:t>
      </w:r>
    </w:p>
    <w:p w14:paraId="78EC075B" w14:textId="419031EC" w:rsidR="00B4308A" w:rsidRPr="00563AD3" w:rsidRDefault="00B4308A" w:rsidP="009B13F3">
      <w:r w:rsidRPr="00563AD3">
        <w:t>Supportive analyses of the closed-cohort at 6</w:t>
      </w:r>
      <w:r w:rsidR="00D6464A" w:rsidRPr="00563AD3">
        <w:t>-</w:t>
      </w:r>
      <w:r w:rsidRPr="00563AD3">
        <w:t xml:space="preserve"> and 16</w:t>
      </w:r>
      <w:r w:rsidR="00D6464A" w:rsidRPr="00563AD3">
        <w:t>-</w:t>
      </w:r>
      <w:r w:rsidRPr="00563AD3">
        <w:t xml:space="preserve">months (see </w:t>
      </w:r>
      <w:r w:rsidR="009C4701" w:rsidRPr="009C4701">
        <w:rPr>
          <w:i/>
        </w:rPr>
        <w:t xml:space="preserve">Appendix 1 </w:t>
      </w:r>
      <w:r w:rsidRPr="009C4701">
        <w:rPr>
          <w:i/>
        </w:rPr>
        <w:t xml:space="preserve">Table </w:t>
      </w:r>
      <w:r w:rsidR="00FC3CE5" w:rsidRPr="009C4701">
        <w:rPr>
          <w:i/>
        </w:rPr>
        <w:t>44</w:t>
      </w:r>
      <w:r w:rsidRPr="00563AD3">
        <w:t xml:space="preserve">) indicate that </w:t>
      </w:r>
      <w:r w:rsidR="00DC0103" w:rsidRPr="00563AD3">
        <w:t>there we</w:t>
      </w:r>
      <w:r w:rsidRPr="00563AD3">
        <w:t>re no differences in CMAI, CMAI-O or PAS scores at 6</w:t>
      </w:r>
      <w:r w:rsidR="00D6464A" w:rsidRPr="00563AD3">
        <w:t>-</w:t>
      </w:r>
      <w:r w:rsidRPr="00563AD3">
        <w:t>months, and no differences in CMAI-O and PAS scores at 16</w:t>
      </w:r>
      <w:r w:rsidR="00D6464A" w:rsidRPr="00563AD3">
        <w:t>-</w:t>
      </w:r>
      <w:r w:rsidRPr="00563AD3">
        <w:t xml:space="preserve">months. Overall, these analyses </w:t>
      </w:r>
      <w:r w:rsidR="00E36DF6" w:rsidRPr="00563AD3">
        <w:t>confirm</w:t>
      </w:r>
      <w:r w:rsidRPr="00563AD3">
        <w:t xml:space="preserve"> that the intervention is not superior to the control.</w:t>
      </w:r>
    </w:p>
    <w:p w14:paraId="7F831964" w14:textId="20040EE1" w:rsidR="003C2700" w:rsidRPr="00563AD3" w:rsidRDefault="003C2700" w:rsidP="003C2700">
      <w:r w:rsidRPr="00563AD3">
        <w:t>A complier average causal effect (CACE) analysis of the cross-sectional sample, comparing care homes in the intervention arm that completed at least one cycle to an acceptable level with care homes that would have completed at least one cycle had the intervention been offered to them, gave a mean difference in CMAI score at 16</w:t>
      </w:r>
      <w:r>
        <w:t>-months</w:t>
      </w:r>
      <w:r w:rsidRPr="00563AD3">
        <w:t xml:space="preserve"> of -2.5 points (95% CI   -5.4 to 0.4, p=0.089)</w:t>
      </w:r>
      <w:r>
        <w:t>.</w:t>
      </w:r>
      <w:r w:rsidRPr="00563AD3">
        <w:t xml:space="preserve"> This indicates that the ITT estimate from the primary analysis is not dissimilar to the effect of completing at least one cycle to an acceptable level. The 95% confidence intervals are wider compared to the primary analysis and the CACE estimate is not statistically significant at the 5% lev</w:t>
      </w:r>
      <w:r>
        <w:t>el (p=0.089) (Table 11)</w:t>
      </w:r>
      <w:r w:rsidRPr="00563AD3">
        <w:t xml:space="preserve">. The exploratory CACE analyses using other definitions of adherence indicate that the treatment effect may increase if care homes complete at least two </w:t>
      </w:r>
      <w:r w:rsidRPr="00563AD3">
        <w:rPr>
          <w:lang w:eastAsia="en-US"/>
        </w:rPr>
        <w:t>DCM</w:t>
      </w:r>
      <w:r w:rsidRPr="00563AD3">
        <w:t>™ cycles to an acceptable level compared to completing only one cycle. While these analyses are suggestive of a dose-response relationship in which supporting adherence to the second and third cycle might result in a clinically meaningful effect, this would need to be confirmed by further research.</w:t>
      </w:r>
    </w:p>
    <w:p w14:paraId="5F3CF510" w14:textId="63720192" w:rsidR="002F288D" w:rsidRPr="00563AD3" w:rsidRDefault="003C2700" w:rsidP="003C2700">
      <w:r w:rsidRPr="00563AD3">
        <w:t>The change in unadjusted CMAI scores for the care homes between baseline and 16-months is presented by intervention adherence (the number of cycles complet</w:t>
      </w:r>
      <w:r>
        <w:t xml:space="preserve">ed to an acceptable level) in Figure </w:t>
      </w:r>
      <w:r w:rsidRPr="00563AD3">
        <w:t xml:space="preserve">3. There was considerable variation in CMAI score changes between care homes completing zero, one, two and three acceptable cycles.  </w:t>
      </w:r>
    </w:p>
    <w:p w14:paraId="74E3B8FF" w14:textId="77777777" w:rsidR="002F288D" w:rsidRPr="00563AD3" w:rsidRDefault="002F288D" w:rsidP="009B13F3"/>
    <w:p w14:paraId="4B151D02" w14:textId="58F89C68" w:rsidR="00E72C7F" w:rsidRPr="00563AD3" w:rsidRDefault="00E72C7F" w:rsidP="009B13F3">
      <w:pPr>
        <w:sectPr w:rsidR="00E72C7F" w:rsidRPr="00563AD3" w:rsidSect="009C4701">
          <w:pgSz w:w="11906" w:h="16838"/>
          <w:pgMar w:top="1440" w:right="1440" w:bottom="1440" w:left="1440" w:header="708" w:footer="708" w:gutter="0"/>
          <w:cols w:space="708"/>
          <w:docGrid w:linePitch="360"/>
        </w:sectPr>
      </w:pPr>
    </w:p>
    <w:p w14:paraId="3D1069E8" w14:textId="5B0A5AE4" w:rsidR="002E6044" w:rsidRPr="00563AD3" w:rsidRDefault="002E6044" w:rsidP="009B13F3">
      <w:pPr>
        <w:pStyle w:val="Tableheading"/>
      </w:pPr>
      <w:bookmarkStart w:id="167" w:name="_Toc948207"/>
      <w:r w:rsidRPr="00563AD3">
        <w:t xml:space="preserve">Table </w:t>
      </w:r>
      <w:r w:rsidR="002165D7" w:rsidRPr="00563AD3">
        <w:t>10</w:t>
      </w:r>
      <w:r w:rsidRPr="00563AD3">
        <w:t>: Primary</w:t>
      </w:r>
      <w:r w:rsidR="00B134A7">
        <w:t xml:space="preserve"> and</w:t>
      </w:r>
      <w:r w:rsidRPr="00563AD3">
        <w:t xml:space="preserve"> sensitivity analyses assuming missing data are MAR</w:t>
      </w:r>
      <w:r w:rsidR="00B134A7">
        <w:t xml:space="preserve"> – cross-sectional sample</w:t>
      </w:r>
      <w:bookmarkEnd w:id="1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4"/>
        <w:gridCol w:w="857"/>
        <w:gridCol w:w="1270"/>
        <w:gridCol w:w="1270"/>
        <w:gridCol w:w="1270"/>
        <w:gridCol w:w="1270"/>
        <w:gridCol w:w="1030"/>
        <w:gridCol w:w="1279"/>
        <w:gridCol w:w="1061"/>
        <w:gridCol w:w="547"/>
      </w:tblGrid>
      <w:tr w:rsidR="002E6044" w:rsidRPr="00563AD3" w14:paraId="74DEF5D8" w14:textId="77777777" w:rsidTr="00DC1D91">
        <w:trPr>
          <w:cantSplit/>
          <w:tblHeader/>
          <w:jc w:val="center"/>
        </w:trPr>
        <w:tc>
          <w:tcPr>
            <w:tcW w:w="1470" w:type="pct"/>
            <w:tcBorders>
              <w:top w:val="single" w:sz="4" w:space="0" w:color="auto"/>
              <w:left w:val="nil"/>
              <w:right w:val="nil"/>
            </w:tcBorders>
            <w:shd w:val="clear" w:color="auto" w:fill="FFFFFF"/>
            <w:tcMar>
              <w:left w:w="67" w:type="dxa"/>
              <w:right w:w="67" w:type="dxa"/>
            </w:tcMar>
            <w:vAlign w:val="bottom"/>
          </w:tcPr>
          <w:p w14:paraId="39BBBB7A" w14:textId="77777777" w:rsidR="002E6044" w:rsidRPr="00563AD3" w:rsidRDefault="002E6044" w:rsidP="009B13F3">
            <w:pPr>
              <w:keepNext/>
              <w:spacing w:after="0"/>
              <w:rPr>
                <w:rFonts w:eastAsia="Times New Roman"/>
                <w:b/>
                <w:bCs/>
                <w:color w:val="000000"/>
                <w:sz w:val="20"/>
                <w:szCs w:val="20"/>
              </w:rPr>
            </w:pPr>
            <w:r w:rsidRPr="00563AD3">
              <w:rPr>
                <w:rFonts w:eastAsia="Times New Roman"/>
                <w:b/>
                <w:bCs/>
                <w:color w:val="000000"/>
                <w:sz w:val="20"/>
                <w:szCs w:val="20"/>
              </w:rPr>
              <w:t>Analysis</w:t>
            </w:r>
          </w:p>
        </w:tc>
        <w:tc>
          <w:tcPr>
            <w:tcW w:w="307" w:type="pct"/>
            <w:tcBorders>
              <w:top w:val="single" w:sz="4" w:space="0" w:color="auto"/>
              <w:left w:val="nil"/>
              <w:right w:val="nil"/>
            </w:tcBorders>
            <w:shd w:val="clear" w:color="auto" w:fill="FFFFFF"/>
            <w:vAlign w:val="bottom"/>
          </w:tcPr>
          <w:p w14:paraId="72141B1F" w14:textId="77777777" w:rsidR="002E6044" w:rsidRPr="00563AD3" w:rsidRDefault="002E6044" w:rsidP="00DC1D9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 xml:space="preserve">Adjusted Mean in Control </w:t>
            </w:r>
          </w:p>
        </w:tc>
        <w:tc>
          <w:tcPr>
            <w:tcW w:w="455" w:type="pct"/>
            <w:tcBorders>
              <w:top w:val="single" w:sz="4" w:space="0" w:color="auto"/>
              <w:left w:val="nil"/>
              <w:right w:val="nil"/>
            </w:tcBorders>
            <w:shd w:val="clear" w:color="auto" w:fill="FFFFFF"/>
            <w:vAlign w:val="bottom"/>
          </w:tcPr>
          <w:p w14:paraId="0861725F" w14:textId="77777777" w:rsidR="002E6044" w:rsidRPr="00563AD3" w:rsidRDefault="002E6044" w:rsidP="00DC1D9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Adjusted Mean in Intervention</w:t>
            </w:r>
          </w:p>
        </w:tc>
        <w:tc>
          <w:tcPr>
            <w:tcW w:w="455" w:type="pct"/>
            <w:tcBorders>
              <w:top w:val="single" w:sz="4" w:space="0" w:color="auto"/>
              <w:left w:val="nil"/>
              <w:right w:val="nil"/>
            </w:tcBorders>
            <w:shd w:val="clear" w:color="auto" w:fill="FFFFFF"/>
            <w:tcMar>
              <w:left w:w="67" w:type="dxa"/>
              <w:right w:w="67" w:type="dxa"/>
            </w:tcMar>
            <w:vAlign w:val="bottom"/>
          </w:tcPr>
          <w:p w14:paraId="1D6D4E9A" w14:textId="77777777" w:rsidR="002E6044" w:rsidRPr="00563AD3" w:rsidRDefault="002E6044" w:rsidP="00DC1D9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Estimated Mean Difference</w:t>
            </w:r>
          </w:p>
        </w:tc>
        <w:tc>
          <w:tcPr>
            <w:tcW w:w="455" w:type="pct"/>
            <w:tcBorders>
              <w:top w:val="single" w:sz="4" w:space="0" w:color="auto"/>
              <w:left w:val="nil"/>
              <w:right w:val="nil"/>
            </w:tcBorders>
            <w:shd w:val="clear" w:color="auto" w:fill="FFFFFF"/>
            <w:tcMar>
              <w:left w:w="67" w:type="dxa"/>
              <w:right w:w="67" w:type="dxa"/>
            </w:tcMar>
            <w:vAlign w:val="bottom"/>
          </w:tcPr>
          <w:p w14:paraId="056D243E" w14:textId="77777777" w:rsidR="002E6044" w:rsidRPr="00563AD3" w:rsidRDefault="002E6044" w:rsidP="00DC1D9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Lower 95% Confidence Limit</w:t>
            </w:r>
          </w:p>
        </w:tc>
        <w:tc>
          <w:tcPr>
            <w:tcW w:w="455" w:type="pct"/>
            <w:tcBorders>
              <w:top w:val="single" w:sz="4" w:space="0" w:color="auto"/>
              <w:left w:val="nil"/>
              <w:right w:val="nil"/>
            </w:tcBorders>
            <w:shd w:val="clear" w:color="auto" w:fill="FFFFFF"/>
            <w:tcMar>
              <w:left w:w="67" w:type="dxa"/>
              <w:right w:w="67" w:type="dxa"/>
            </w:tcMar>
            <w:vAlign w:val="bottom"/>
          </w:tcPr>
          <w:p w14:paraId="47141E23" w14:textId="77777777" w:rsidR="002E6044" w:rsidRPr="00563AD3" w:rsidRDefault="002E6044" w:rsidP="00DC1D9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Upper 95% Confidence Limit</w:t>
            </w:r>
          </w:p>
        </w:tc>
        <w:tc>
          <w:tcPr>
            <w:tcW w:w="369" w:type="pct"/>
            <w:tcBorders>
              <w:top w:val="single" w:sz="4" w:space="0" w:color="auto"/>
              <w:left w:val="nil"/>
              <w:right w:val="nil"/>
            </w:tcBorders>
            <w:shd w:val="clear" w:color="auto" w:fill="FFFFFF"/>
            <w:tcMar>
              <w:left w:w="67" w:type="dxa"/>
              <w:right w:w="67" w:type="dxa"/>
            </w:tcMar>
            <w:vAlign w:val="bottom"/>
          </w:tcPr>
          <w:p w14:paraId="69D506B8" w14:textId="77777777" w:rsidR="002E6044" w:rsidRPr="00563AD3" w:rsidRDefault="002E6044" w:rsidP="00DC1D9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p-value</w:t>
            </w:r>
          </w:p>
        </w:tc>
        <w:tc>
          <w:tcPr>
            <w:tcW w:w="458" w:type="pct"/>
            <w:tcBorders>
              <w:top w:val="single" w:sz="4" w:space="0" w:color="auto"/>
              <w:left w:val="nil"/>
              <w:right w:val="nil"/>
            </w:tcBorders>
            <w:shd w:val="clear" w:color="auto" w:fill="FFFFFF"/>
            <w:tcMar>
              <w:left w:w="67" w:type="dxa"/>
              <w:right w:w="67" w:type="dxa"/>
            </w:tcMar>
            <w:vAlign w:val="bottom"/>
          </w:tcPr>
          <w:p w14:paraId="2C6FB12A" w14:textId="77777777" w:rsidR="002E6044" w:rsidRPr="00563AD3" w:rsidRDefault="002E6044" w:rsidP="00DC1D9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 xml:space="preserve">Adjusted ICC for Intervention </w:t>
            </w:r>
          </w:p>
        </w:tc>
        <w:tc>
          <w:tcPr>
            <w:tcW w:w="380" w:type="pct"/>
            <w:tcBorders>
              <w:top w:val="single" w:sz="4" w:space="0" w:color="auto"/>
              <w:left w:val="nil"/>
              <w:right w:val="nil"/>
            </w:tcBorders>
            <w:shd w:val="clear" w:color="auto" w:fill="FFFFFF"/>
            <w:tcMar>
              <w:left w:w="67" w:type="dxa"/>
              <w:right w:w="67" w:type="dxa"/>
            </w:tcMar>
            <w:vAlign w:val="bottom"/>
          </w:tcPr>
          <w:p w14:paraId="53EC5673" w14:textId="77777777" w:rsidR="002E6044" w:rsidRPr="00563AD3" w:rsidRDefault="002E6044" w:rsidP="00DC1D9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 xml:space="preserve">Adjusted ICC for Control </w:t>
            </w:r>
          </w:p>
        </w:tc>
        <w:tc>
          <w:tcPr>
            <w:tcW w:w="196" w:type="pct"/>
            <w:tcBorders>
              <w:top w:val="single" w:sz="4" w:space="0" w:color="auto"/>
              <w:left w:val="nil"/>
              <w:right w:val="nil"/>
            </w:tcBorders>
            <w:shd w:val="clear" w:color="auto" w:fill="FFFFFF"/>
            <w:tcMar>
              <w:left w:w="67" w:type="dxa"/>
              <w:right w:w="67" w:type="dxa"/>
            </w:tcMar>
            <w:vAlign w:val="bottom"/>
          </w:tcPr>
          <w:p w14:paraId="2CBD4A7A" w14:textId="77777777" w:rsidR="002E6044" w:rsidRPr="00563AD3" w:rsidRDefault="002E6044" w:rsidP="00DC1D9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N</w:t>
            </w:r>
          </w:p>
        </w:tc>
      </w:tr>
      <w:tr w:rsidR="002E6044" w:rsidRPr="00563AD3" w14:paraId="2110D2D1" w14:textId="77777777" w:rsidTr="00DC1D91">
        <w:trPr>
          <w:cantSplit/>
          <w:jc w:val="center"/>
        </w:trPr>
        <w:tc>
          <w:tcPr>
            <w:tcW w:w="1470" w:type="pct"/>
            <w:tcBorders>
              <w:top w:val="nil"/>
              <w:left w:val="nil"/>
              <w:bottom w:val="single" w:sz="4" w:space="0" w:color="auto"/>
              <w:right w:val="nil"/>
            </w:tcBorders>
            <w:shd w:val="clear" w:color="auto" w:fill="F2F2F2"/>
            <w:tcMar>
              <w:left w:w="67" w:type="dxa"/>
              <w:right w:w="67" w:type="dxa"/>
            </w:tcMar>
          </w:tcPr>
          <w:p w14:paraId="288A6345" w14:textId="77777777" w:rsidR="002E6044" w:rsidRPr="00563AD3" w:rsidRDefault="002E6044" w:rsidP="009B13F3">
            <w:pPr>
              <w:spacing w:after="0"/>
              <w:rPr>
                <w:rFonts w:eastAsia="Times New Roman"/>
                <w:color w:val="000000"/>
                <w:sz w:val="20"/>
                <w:szCs w:val="20"/>
              </w:rPr>
            </w:pPr>
            <w:r w:rsidRPr="00563AD3">
              <w:rPr>
                <w:rFonts w:eastAsia="Times New Roman"/>
                <w:b/>
                <w:color w:val="000000"/>
                <w:sz w:val="20"/>
                <w:szCs w:val="20"/>
              </w:rPr>
              <w:t>Primary analysis</w:t>
            </w:r>
          </w:p>
        </w:tc>
        <w:tc>
          <w:tcPr>
            <w:tcW w:w="762" w:type="pct"/>
            <w:gridSpan w:val="2"/>
            <w:tcBorders>
              <w:top w:val="nil"/>
              <w:left w:val="nil"/>
              <w:bottom w:val="single" w:sz="4" w:space="0" w:color="auto"/>
              <w:right w:val="nil"/>
            </w:tcBorders>
            <w:shd w:val="clear" w:color="auto" w:fill="F2F2F2"/>
          </w:tcPr>
          <w:p w14:paraId="600F1506" w14:textId="77777777" w:rsidR="002E6044" w:rsidRPr="00563AD3" w:rsidRDefault="002E6044" w:rsidP="009B13F3">
            <w:pPr>
              <w:spacing w:after="0"/>
              <w:jc w:val="right"/>
              <w:rPr>
                <w:rFonts w:eastAsia="Times New Roman"/>
                <w:color w:val="000000"/>
                <w:sz w:val="20"/>
                <w:szCs w:val="20"/>
              </w:rPr>
            </w:pPr>
            <w:r w:rsidRPr="00563AD3">
              <w:rPr>
                <w:rFonts w:eastAsia="Calibri"/>
                <w:color w:val="000000"/>
                <w:sz w:val="20"/>
                <w:szCs w:val="20"/>
                <w:lang w:eastAsia="en-US"/>
              </w:rPr>
              <w:t>45.47                 43.35</w:t>
            </w:r>
          </w:p>
        </w:tc>
        <w:tc>
          <w:tcPr>
            <w:tcW w:w="455" w:type="pct"/>
            <w:tcBorders>
              <w:top w:val="nil"/>
              <w:left w:val="nil"/>
              <w:bottom w:val="single" w:sz="4" w:space="0" w:color="auto"/>
              <w:right w:val="nil"/>
            </w:tcBorders>
            <w:shd w:val="clear" w:color="auto" w:fill="F2F2F2"/>
            <w:tcMar>
              <w:left w:w="67" w:type="dxa"/>
              <w:right w:w="67" w:type="dxa"/>
            </w:tcMar>
          </w:tcPr>
          <w:p w14:paraId="3DA6618B"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-2.11</w:t>
            </w:r>
          </w:p>
        </w:tc>
        <w:tc>
          <w:tcPr>
            <w:tcW w:w="455" w:type="pct"/>
            <w:tcBorders>
              <w:top w:val="nil"/>
              <w:left w:val="nil"/>
              <w:bottom w:val="single" w:sz="4" w:space="0" w:color="auto"/>
              <w:right w:val="nil"/>
            </w:tcBorders>
            <w:shd w:val="clear" w:color="auto" w:fill="F2F2F2"/>
            <w:tcMar>
              <w:left w:w="67" w:type="dxa"/>
              <w:right w:w="67" w:type="dxa"/>
            </w:tcMar>
          </w:tcPr>
          <w:p w14:paraId="32F8ED96"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-4.66</w:t>
            </w:r>
          </w:p>
        </w:tc>
        <w:tc>
          <w:tcPr>
            <w:tcW w:w="455" w:type="pct"/>
            <w:tcBorders>
              <w:top w:val="nil"/>
              <w:left w:val="nil"/>
              <w:bottom w:val="single" w:sz="4" w:space="0" w:color="auto"/>
              <w:right w:val="nil"/>
            </w:tcBorders>
            <w:shd w:val="clear" w:color="auto" w:fill="F2F2F2"/>
            <w:tcMar>
              <w:left w:w="67" w:type="dxa"/>
              <w:right w:w="67" w:type="dxa"/>
            </w:tcMar>
          </w:tcPr>
          <w:p w14:paraId="12BF500A"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0.44</w:t>
            </w:r>
          </w:p>
        </w:tc>
        <w:tc>
          <w:tcPr>
            <w:tcW w:w="369" w:type="pct"/>
            <w:tcBorders>
              <w:top w:val="nil"/>
              <w:left w:val="nil"/>
              <w:bottom w:val="single" w:sz="4" w:space="0" w:color="auto"/>
              <w:right w:val="nil"/>
            </w:tcBorders>
            <w:shd w:val="clear" w:color="auto" w:fill="F2F2F2"/>
            <w:tcMar>
              <w:left w:w="67" w:type="dxa"/>
              <w:right w:w="67" w:type="dxa"/>
            </w:tcMar>
          </w:tcPr>
          <w:p w14:paraId="506E3A1E"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0.104</w:t>
            </w:r>
          </w:p>
        </w:tc>
        <w:tc>
          <w:tcPr>
            <w:tcW w:w="838" w:type="pct"/>
            <w:gridSpan w:val="2"/>
            <w:tcBorders>
              <w:top w:val="nil"/>
              <w:left w:val="nil"/>
              <w:bottom w:val="single" w:sz="4" w:space="0" w:color="auto"/>
              <w:right w:val="nil"/>
            </w:tcBorders>
            <w:shd w:val="clear" w:color="auto" w:fill="F2F2F2"/>
            <w:tcMar>
              <w:left w:w="67" w:type="dxa"/>
              <w:right w:w="67" w:type="dxa"/>
            </w:tcMar>
          </w:tcPr>
          <w:p w14:paraId="2FB86A5D"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0.001            0.000</w:t>
            </w:r>
          </w:p>
        </w:tc>
        <w:tc>
          <w:tcPr>
            <w:tcW w:w="196" w:type="pct"/>
            <w:tcBorders>
              <w:top w:val="nil"/>
              <w:left w:val="nil"/>
              <w:bottom w:val="single" w:sz="4" w:space="0" w:color="auto"/>
              <w:right w:val="nil"/>
            </w:tcBorders>
            <w:shd w:val="clear" w:color="auto" w:fill="F2F2F2"/>
            <w:tcMar>
              <w:left w:w="67" w:type="dxa"/>
              <w:right w:w="67" w:type="dxa"/>
            </w:tcMar>
          </w:tcPr>
          <w:p w14:paraId="50D546FA"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675</w:t>
            </w:r>
          </w:p>
        </w:tc>
      </w:tr>
      <w:tr w:rsidR="002E6044" w:rsidRPr="00563AD3" w14:paraId="05C87E32" w14:textId="77777777" w:rsidTr="00DC1D91">
        <w:trPr>
          <w:cantSplit/>
          <w:jc w:val="center"/>
        </w:trPr>
        <w:tc>
          <w:tcPr>
            <w:tcW w:w="1470" w:type="pct"/>
            <w:tcBorders>
              <w:top w:val="single" w:sz="4" w:space="0" w:color="auto"/>
              <w:left w:val="nil"/>
              <w:bottom w:val="nil"/>
              <w:right w:val="nil"/>
            </w:tcBorders>
            <w:shd w:val="clear" w:color="auto" w:fill="FFFFFF"/>
            <w:tcMar>
              <w:left w:w="67" w:type="dxa"/>
              <w:right w:w="67" w:type="dxa"/>
            </w:tcMar>
          </w:tcPr>
          <w:p w14:paraId="1D746848" w14:textId="77777777" w:rsidR="002E6044" w:rsidRPr="00563AD3" w:rsidRDefault="002E6044" w:rsidP="009B13F3">
            <w:pPr>
              <w:spacing w:after="0"/>
              <w:rPr>
                <w:rFonts w:eastAsia="Times New Roman"/>
                <w:b/>
                <w:color w:val="000000"/>
                <w:sz w:val="20"/>
                <w:szCs w:val="20"/>
              </w:rPr>
            </w:pPr>
            <w:r w:rsidRPr="00563AD3">
              <w:rPr>
                <w:rFonts w:eastAsia="Times New Roman"/>
                <w:b/>
                <w:color w:val="000000"/>
                <w:sz w:val="20"/>
                <w:szCs w:val="20"/>
              </w:rPr>
              <w:t>Sensitivity analyses (</w:t>
            </w:r>
            <w:r w:rsidRPr="00563AD3">
              <w:rPr>
                <w:rFonts w:eastAsia="Calibri"/>
                <w:b/>
                <w:sz w:val="20"/>
                <w:szCs w:val="20"/>
                <w:lang w:eastAsia="en-US"/>
              </w:rPr>
              <w:t>cross-sectional sample)</w:t>
            </w:r>
          </w:p>
        </w:tc>
        <w:tc>
          <w:tcPr>
            <w:tcW w:w="307" w:type="pct"/>
            <w:tcBorders>
              <w:top w:val="single" w:sz="4" w:space="0" w:color="auto"/>
              <w:left w:val="nil"/>
              <w:bottom w:val="nil"/>
              <w:right w:val="nil"/>
            </w:tcBorders>
            <w:shd w:val="clear" w:color="auto" w:fill="FFFFFF"/>
          </w:tcPr>
          <w:p w14:paraId="15D14928" w14:textId="77777777" w:rsidR="002E6044" w:rsidRPr="00563AD3" w:rsidRDefault="002E6044" w:rsidP="009B13F3">
            <w:pPr>
              <w:spacing w:after="0"/>
              <w:jc w:val="right"/>
              <w:rPr>
                <w:rFonts w:eastAsia="Times New Roman"/>
                <w:color w:val="000000"/>
                <w:sz w:val="20"/>
                <w:szCs w:val="20"/>
              </w:rPr>
            </w:pPr>
          </w:p>
        </w:tc>
        <w:tc>
          <w:tcPr>
            <w:tcW w:w="455" w:type="pct"/>
            <w:tcBorders>
              <w:top w:val="single" w:sz="4" w:space="0" w:color="auto"/>
              <w:left w:val="nil"/>
              <w:bottom w:val="nil"/>
              <w:right w:val="nil"/>
            </w:tcBorders>
            <w:shd w:val="clear" w:color="auto" w:fill="FFFFFF"/>
          </w:tcPr>
          <w:p w14:paraId="18F04373" w14:textId="77777777" w:rsidR="002E6044" w:rsidRPr="00563AD3" w:rsidRDefault="002E6044" w:rsidP="009B13F3">
            <w:pPr>
              <w:spacing w:after="0"/>
              <w:jc w:val="right"/>
              <w:rPr>
                <w:rFonts w:eastAsia="Times New Roman"/>
                <w:color w:val="000000"/>
                <w:sz w:val="20"/>
                <w:szCs w:val="20"/>
              </w:rPr>
            </w:pPr>
          </w:p>
        </w:tc>
        <w:tc>
          <w:tcPr>
            <w:tcW w:w="455" w:type="pct"/>
            <w:tcBorders>
              <w:top w:val="single" w:sz="4" w:space="0" w:color="auto"/>
              <w:left w:val="nil"/>
              <w:bottom w:val="nil"/>
              <w:right w:val="nil"/>
            </w:tcBorders>
            <w:shd w:val="clear" w:color="auto" w:fill="FFFFFF"/>
            <w:tcMar>
              <w:left w:w="67" w:type="dxa"/>
              <w:right w:w="67" w:type="dxa"/>
            </w:tcMar>
          </w:tcPr>
          <w:p w14:paraId="545843EE" w14:textId="77777777" w:rsidR="002E6044" w:rsidRPr="00563AD3" w:rsidRDefault="002E6044" w:rsidP="009B13F3">
            <w:pPr>
              <w:spacing w:after="0"/>
              <w:jc w:val="right"/>
              <w:rPr>
                <w:rFonts w:eastAsia="Times New Roman"/>
                <w:color w:val="000000"/>
                <w:sz w:val="20"/>
                <w:szCs w:val="20"/>
              </w:rPr>
            </w:pPr>
          </w:p>
        </w:tc>
        <w:tc>
          <w:tcPr>
            <w:tcW w:w="455" w:type="pct"/>
            <w:tcBorders>
              <w:top w:val="single" w:sz="4" w:space="0" w:color="auto"/>
              <w:left w:val="nil"/>
              <w:bottom w:val="nil"/>
              <w:right w:val="nil"/>
            </w:tcBorders>
            <w:shd w:val="clear" w:color="auto" w:fill="FFFFFF"/>
            <w:tcMar>
              <w:left w:w="67" w:type="dxa"/>
              <w:right w:w="67" w:type="dxa"/>
            </w:tcMar>
          </w:tcPr>
          <w:p w14:paraId="5932E14B" w14:textId="77777777" w:rsidR="002E6044" w:rsidRPr="00563AD3" w:rsidRDefault="002E6044" w:rsidP="009B13F3">
            <w:pPr>
              <w:spacing w:after="0"/>
              <w:jc w:val="right"/>
              <w:rPr>
                <w:rFonts w:eastAsia="Times New Roman"/>
                <w:color w:val="000000"/>
                <w:sz w:val="20"/>
                <w:szCs w:val="20"/>
              </w:rPr>
            </w:pPr>
          </w:p>
        </w:tc>
        <w:tc>
          <w:tcPr>
            <w:tcW w:w="455" w:type="pct"/>
            <w:tcBorders>
              <w:top w:val="single" w:sz="4" w:space="0" w:color="auto"/>
              <w:left w:val="nil"/>
              <w:bottom w:val="nil"/>
              <w:right w:val="nil"/>
            </w:tcBorders>
            <w:shd w:val="clear" w:color="auto" w:fill="FFFFFF"/>
            <w:tcMar>
              <w:left w:w="67" w:type="dxa"/>
              <w:right w:w="67" w:type="dxa"/>
            </w:tcMar>
          </w:tcPr>
          <w:p w14:paraId="0FF9E04D" w14:textId="77777777" w:rsidR="002E6044" w:rsidRPr="00563AD3" w:rsidRDefault="002E6044" w:rsidP="009B13F3">
            <w:pPr>
              <w:spacing w:after="0"/>
              <w:jc w:val="right"/>
              <w:rPr>
                <w:rFonts w:eastAsia="Times New Roman"/>
                <w:color w:val="000000"/>
                <w:sz w:val="20"/>
                <w:szCs w:val="20"/>
              </w:rPr>
            </w:pPr>
          </w:p>
        </w:tc>
        <w:tc>
          <w:tcPr>
            <w:tcW w:w="369" w:type="pct"/>
            <w:tcBorders>
              <w:top w:val="single" w:sz="4" w:space="0" w:color="auto"/>
              <w:left w:val="nil"/>
              <w:bottom w:val="nil"/>
              <w:right w:val="nil"/>
            </w:tcBorders>
            <w:shd w:val="clear" w:color="auto" w:fill="FFFFFF"/>
            <w:tcMar>
              <w:left w:w="67" w:type="dxa"/>
              <w:right w:w="67" w:type="dxa"/>
            </w:tcMar>
          </w:tcPr>
          <w:p w14:paraId="001EAC97" w14:textId="77777777" w:rsidR="002E6044" w:rsidRPr="00563AD3" w:rsidRDefault="002E6044" w:rsidP="009B13F3">
            <w:pPr>
              <w:spacing w:after="0"/>
              <w:jc w:val="right"/>
              <w:rPr>
                <w:rFonts w:eastAsia="Times New Roman"/>
                <w:color w:val="000000"/>
                <w:sz w:val="20"/>
                <w:szCs w:val="20"/>
              </w:rPr>
            </w:pPr>
          </w:p>
        </w:tc>
        <w:tc>
          <w:tcPr>
            <w:tcW w:w="838" w:type="pct"/>
            <w:gridSpan w:val="2"/>
            <w:tcBorders>
              <w:top w:val="single" w:sz="4" w:space="0" w:color="auto"/>
              <w:left w:val="nil"/>
              <w:bottom w:val="nil"/>
              <w:right w:val="nil"/>
            </w:tcBorders>
            <w:shd w:val="clear" w:color="auto" w:fill="FFFFFF"/>
            <w:tcMar>
              <w:left w:w="67" w:type="dxa"/>
              <w:right w:w="67" w:type="dxa"/>
            </w:tcMar>
          </w:tcPr>
          <w:p w14:paraId="33CFBC54" w14:textId="77777777" w:rsidR="002E6044" w:rsidRPr="00563AD3" w:rsidRDefault="002E6044" w:rsidP="009B13F3">
            <w:pPr>
              <w:spacing w:after="0"/>
              <w:jc w:val="center"/>
              <w:rPr>
                <w:rFonts w:eastAsia="Times New Roman"/>
                <w:color w:val="000000"/>
                <w:sz w:val="20"/>
                <w:szCs w:val="20"/>
              </w:rPr>
            </w:pPr>
          </w:p>
        </w:tc>
        <w:tc>
          <w:tcPr>
            <w:tcW w:w="196" w:type="pct"/>
            <w:tcBorders>
              <w:top w:val="single" w:sz="4" w:space="0" w:color="auto"/>
              <w:left w:val="nil"/>
              <w:bottom w:val="nil"/>
              <w:right w:val="nil"/>
            </w:tcBorders>
            <w:shd w:val="clear" w:color="auto" w:fill="FFFFFF"/>
            <w:tcMar>
              <w:left w:w="67" w:type="dxa"/>
              <w:right w:w="67" w:type="dxa"/>
            </w:tcMar>
          </w:tcPr>
          <w:p w14:paraId="4378A115" w14:textId="77777777" w:rsidR="002E6044" w:rsidRPr="00563AD3" w:rsidRDefault="002E6044" w:rsidP="009B13F3">
            <w:pPr>
              <w:spacing w:after="0"/>
              <w:jc w:val="right"/>
              <w:rPr>
                <w:rFonts w:eastAsia="Times New Roman"/>
                <w:color w:val="000000"/>
                <w:sz w:val="20"/>
                <w:szCs w:val="20"/>
              </w:rPr>
            </w:pPr>
          </w:p>
        </w:tc>
      </w:tr>
      <w:tr w:rsidR="002E6044" w:rsidRPr="00563AD3" w14:paraId="6E104F41" w14:textId="77777777" w:rsidTr="00DC1D91">
        <w:trPr>
          <w:cantSplit/>
          <w:jc w:val="center"/>
        </w:trPr>
        <w:tc>
          <w:tcPr>
            <w:tcW w:w="1470" w:type="pct"/>
            <w:tcBorders>
              <w:top w:val="nil"/>
              <w:left w:val="nil"/>
              <w:bottom w:val="nil"/>
              <w:right w:val="nil"/>
            </w:tcBorders>
            <w:shd w:val="clear" w:color="auto" w:fill="FFFFFF"/>
            <w:tcMar>
              <w:left w:w="67" w:type="dxa"/>
              <w:right w:w="67" w:type="dxa"/>
            </w:tcMar>
          </w:tcPr>
          <w:p w14:paraId="779DF64A" w14:textId="523B2E49" w:rsidR="002E6044" w:rsidRPr="00563AD3" w:rsidRDefault="002E6044" w:rsidP="009B13F3">
            <w:pPr>
              <w:spacing w:after="0"/>
              <w:rPr>
                <w:rFonts w:eastAsia="Times New Roman"/>
                <w:color w:val="000000"/>
                <w:sz w:val="20"/>
                <w:szCs w:val="20"/>
              </w:rPr>
            </w:pPr>
            <w:r w:rsidRPr="00563AD3">
              <w:rPr>
                <w:rFonts w:eastAsia="Times New Roman"/>
                <w:color w:val="000000"/>
                <w:sz w:val="20"/>
                <w:szCs w:val="20"/>
              </w:rPr>
              <w:t xml:space="preserve">Key sensitivity analysis </w:t>
            </w:r>
            <w:r w:rsidR="00DE0B66" w:rsidRPr="00563AD3">
              <w:rPr>
                <w:rFonts w:eastAsia="Times New Roman"/>
                <w:color w:val="000000"/>
                <w:sz w:val="20"/>
                <w:szCs w:val="20"/>
              </w:rPr>
              <w:t>(hub omitted from the model)</w:t>
            </w:r>
          </w:p>
        </w:tc>
        <w:tc>
          <w:tcPr>
            <w:tcW w:w="307" w:type="pct"/>
            <w:tcBorders>
              <w:top w:val="nil"/>
              <w:left w:val="nil"/>
              <w:bottom w:val="nil"/>
              <w:right w:val="nil"/>
            </w:tcBorders>
            <w:shd w:val="clear" w:color="auto" w:fill="FFFFFF"/>
          </w:tcPr>
          <w:p w14:paraId="01FE6295"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46.02</w:t>
            </w:r>
          </w:p>
        </w:tc>
        <w:tc>
          <w:tcPr>
            <w:tcW w:w="455" w:type="pct"/>
            <w:tcBorders>
              <w:top w:val="nil"/>
              <w:left w:val="nil"/>
              <w:bottom w:val="nil"/>
              <w:right w:val="nil"/>
            </w:tcBorders>
            <w:shd w:val="clear" w:color="auto" w:fill="FFFFFF"/>
          </w:tcPr>
          <w:p w14:paraId="17189E9C"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43.78</w:t>
            </w:r>
          </w:p>
        </w:tc>
        <w:tc>
          <w:tcPr>
            <w:tcW w:w="455" w:type="pct"/>
            <w:tcBorders>
              <w:top w:val="nil"/>
              <w:left w:val="nil"/>
              <w:bottom w:val="nil"/>
              <w:right w:val="nil"/>
            </w:tcBorders>
            <w:shd w:val="clear" w:color="auto" w:fill="FFFFFF"/>
            <w:tcMar>
              <w:left w:w="67" w:type="dxa"/>
              <w:right w:w="67" w:type="dxa"/>
            </w:tcMar>
          </w:tcPr>
          <w:p w14:paraId="26898E28"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-2.24</w:t>
            </w:r>
          </w:p>
        </w:tc>
        <w:tc>
          <w:tcPr>
            <w:tcW w:w="455" w:type="pct"/>
            <w:tcBorders>
              <w:top w:val="nil"/>
              <w:left w:val="nil"/>
              <w:bottom w:val="nil"/>
              <w:right w:val="nil"/>
            </w:tcBorders>
            <w:shd w:val="clear" w:color="auto" w:fill="FFFFFF"/>
            <w:tcMar>
              <w:left w:w="67" w:type="dxa"/>
              <w:right w:w="67" w:type="dxa"/>
            </w:tcMar>
          </w:tcPr>
          <w:p w14:paraId="061F69F4"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-4.91</w:t>
            </w:r>
          </w:p>
        </w:tc>
        <w:tc>
          <w:tcPr>
            <w:tcW w:w="455" w:type="pct"/>
            <w:tcBorders>
              <w:top w:val="nil"/>
              <w:left w:val="nil"/>
              <w:bottom w:val="nil"/>
              <w:right w:val="nil"/>
            </w:tcBorders>
            <w:shd w:val="clear" w:color="auto" w:fill="FFFFFF"/>
            <w:tcMar>
              <w:left w:w="67" w:type="dxa"/>
              <w:right w:w="67" w:type="dxa"/>
            </w:tcMar>
          </w:tcPr>
          <w:p w14:paraId="7E306BCF"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0.42</w:t>
            </w:r>
          </w:p>
        </w:tc>
        <w:tc>
          <w:tcPr>
            <w:tcW w:w="369" w:type="pct"/>
            <w:tcBorders>
              <w:top w:val="nil"/>
              <w:left w:val="nil"/>
              <w:bottom w:val="nil"/>
              <w:right w:val="nil"/>
            </w:tcBorders>
            <w:shd w:val="clear" w:color="auto" w:fill="FFFFFF"/>
            <w:tcMar>
              <w:left w:w="67" w:type="dxa"/>
              <w:right w:w="67" w:type="dxa"/>
            </w:tcMar>
          </w:tcPr>
          <w:p w14:paraId="22A4F0EB"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0.099</w:t>
            </w:r>
          </w:p>
        </w:tc>
        <w:tc>
          <w:tcPr>
            <w:tcW w:w="838" w:type="pct"/>
            <w:gridSpan w:val="2"/>
            <w:tcBorders>
              <w:top w:val="nil"/>
              <w:left w:val="nil"/>
              <w:bottom w:val="nil"/>
              <w:right w:val="nil"/>
            </w:tcBorders>
            <w:shd w:val="clear" w:color="auto" w:fill="FFFFFF"/>
            <w:tcMar>
              <w:left w:w="67" w:type="dxa"/>
              <w:right w:w="67" w:type="dxa"/>
            </w:tcMar>
          </w:tcPr>
          <w:p w14:paraId="2CBB1FA5" w14:textId="77777777" w:rsidR="002E6044" w:rsidRPr="00563AD3" w:rsidRDefault="002E6044" w:rsidP="009B13F3">
            <w:pPr>
              <w:spacing w:after="0"/>
              <w:jc w:val="center"/>
              <w:rPr>
                <w:rFonts w:eastAsia="Times New Roman"/>
                <w:color w:val="000000"/>
                <w:sz w:val="20"/>
                <w:szCs w:val="20"/>
              </w:rPr>
            </w:pPr>
            <w:r w:rsidRPr="00563AD3">
              <w:rPr>
                <w:rFonts w:eastAsia="Times New Roman"/>
                <w:color w:val="000000"/>
                <w:sz w:val="20"/>
                <w:szCs w:val="20"/>
              </w:rPr>
              <w:t xml:space="preserve">           0.010</w:t>
            </w:r>
          </w:p>
        </w:tc>
        <w:tc>
          <w:tcPr>
            <w:tcW w:w="196" w:type="pct"/>
            <w:tcBorders>
              <w:top w:val="nil"/>
              <w:left w:val="nil"/>
              <w:bottom w:val="nil"/>
              <w:right w:val="nil"/>
            </w:tcBorders>
            <w:shd w:val="clear" w:color="auto" w:fill="FFFFFF"/>
            <w:tcMar>
              <w:left w:w="67" w:type="dxa"/>
              <w:right w:w="67" w:type="dxa"/>
            </w:tcMar>
          </w:tcPr>
          <w:p w14:paraId="21B9C03B"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675</w:t>
            </w:r>
          </w:p>
        </w:tc>
      </w:tr>
      <w:tr w:rsidR="002E6044" w:rsidRPr="00563AD3" w14:paraId="12B7ADD3" w14:textId="77777777" w:rsidTr="00DC1D91">
        <w:trPr>
          <w:cantSplit/>
          <w:jc w:val="center"/>
        </w:trPr>
        <w:tc>
          <w:tcPr>
            <w:tcW w:w="1470" w:type="pct"/>
            <w:tcBorders>
              <w:top w:val="nil"/>
              <w:left w:val="nil"/>
              <w:bottom w:val="nil"/>
              <w:right w:val="nil"/>
            </w:tcBorders>
            <w:shd w:val="clear" w:color="auto" w:fill="FFFFFF"/>
            <w:tcMar>
              <w:left w:w="67" w:type="dxa"/>
              <w:right w:w="67" w:type="dxa"/>
            </w:tcMar>
          </w:tcPr>
          <w:p w14:paraId="02BD56D2" w14:textId="77777777" w:rsidR="002E6044" w:rsidRPr="00563AD3" w:rsidRDefault="002E6044" w:rsidP="009B13F3">
            <w:pPr>
              <w:spacing w:after="0"/>
              <w:rPr>
                <w:rFonts w:eastAsia="Times New Roman"/>
                <w:color w:val="000000"/>
                <w:sz w:val="20"/>
                <w:szCs w:val="20"/>
              </w:rPr>
            </w:pPr>
            <w:r w:rsidRPr="00563AD3">
              <w:rPr>
                <w:rFonts w:eastAsia="Times New Roman"/>
                <w:color w:val="000000"/>
                <w:sz w:val="20"/>
                <w:szCs w:val="20"/>
              </w:rPr>
              <w:t>1. Adjusting for before-after eligibility change*</w:t>
            </w:r>
          </w:p>
        </w:tc>
        <w:tc>
          <w:tcPr>
            <w:tcW w:w="307" w:type="pct"/>
            <w:tcBorders>
              <w:top w:val="nil"/>
              <w:left w:val="nil"/>
              <w:bottom w:val="nil"/>
              <w:right w:val="nil"/>
            </w:tcBorders>
            <w:shd w:val="clear" w:color="auto" w:fill="FFFFFF"/>
          </w:tcPr>
          <w:p w14:paraId="34B8607A"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44.82</w:t>
            </w:r>
          </w:p>
        </w:tc>
        <w:tc>
          <w:tcPr>
            <w:tcW w:w="455" w:type="pct"/>
            <w:tcBorders>
              <w:top w:val="nil"/>
              <w:left w:val="nil"/>
              <w:bottom w:val="nil"/>
              <w:right w:val="nil"/>
            </w:tcBorders>
            <w:shd w:val="clear" w:color="auto" w:fill="FFFFFF"/>
          </w:tcPr>
          <w:p w14:paraId="2059E5EA"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42.69</w:t>
            </w:r>
          </w:p>
        </w:tc>
        <w:tc>
          <w:tcPr>
            <w:tcW w:w="455" w:type="pct"/>
            <w:tcBorders>
              <w:top w:val="nil"/>
              <w:left w:val="nil"/>
              <w:bottom w:val="nil"/>
              <w:right w:val="nil"/>
            </w:tcBorders>
            <w:shd w:val="clear" w:color="auto" w:fill="FFFFFF"/>
            <w:tcMar>
              <w:left w:w="67" w:type="dxa"/>
              <w:right w:w="67" w:type="dxa"/>
            </w:tcMar>
          </w:tcPr>
          <w:p w14:paraId="33D61854"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-2.13</w:t>
            </w:r>
          </w:p>
        </w:tc>
        <w:tc>
          <w:tcPr>
            <w:tcW w:w="455" w:type="pct"/>
            <w:tcBorders>
              <w:top w:val="nil"/>
              <w:left w:val="nil"/>
              <w:bottom w:val="nil"/>
              <w:right w:val="nil"/>
            </w:tcBorders>
            <w:shd w:val="clear" w:color="auto" w:fill="FFFFFF"/>
            <w:tcMar>
              <w:left w:w="67" w:type="dxa"/>
              <w:right w:w="67" w:type="dxa"/>
            </w:tcMar>
          </w:tcPr>
          <w:p w14:paraId="37700B95"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-4.71</w:t>
            </w:r>
          </w:p>
        </w:tc>
        <w:tc>
          <w:tcPr>
            <w:tcW w:w="455" w:type="pct"/>
            <w:tcBorders>
              <w:top w:val="nil"/>
              <w:left w:val="nil"/>
              <w:bottom w:val="nil"/>
              <w:right w:val="nil"/>
            </w:tcBorders>
            <w:shd w:val="clear" w:color="auto" w:fill="FFFFFF"/>
            <w:tcMar>
              <w:left w:w="67" w:type="dxa"/>
              <w:right w:w="67" w:type="dxa"/>
            </w:tcMar>
          </w:tcPr>
          <w:p w14:paraId="60792E64"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0.45</w:t>
            </w:r>
          </w:p>
        </w:tc>
        <w:tc>
          <w:tcPr>
            <w:tcW w:w="369" w:type="pct"/>
            <w:tcBorders>
              <w:top w:val="nil"/>
              <w:left w:val="nil"/>
              <w:bottom w:val="nil"/>
              <w:right w:val="nil"/>
            </w:tcBorders>
            <w:shd w:val="clear" w:color="auto" w:fill="FFFFFF"/>
            <w:tcMar>
              <w:left w:w="67" w:type="dxa"/>
              <w:right w:w="67" w:type="dxa"/>
            </w:tcMar>
          </w:tcPr>
          <w:p w14:paraId="23F5954F"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0.105</w:t>
            </w:r>
          </w:p>
        </w:tc>
        <w:tc>
          <w:tcPr>
            <w:tcW w:w="458" w:type="pct"/>
            <w:tcBorders>
              <w:top w:val="nil"/>
              <w:left w:val="nil"/>
              <w:bottom w:val="nil"/>
              <w:right w:val="nil"/>
            </w:tcBorders>
            <w:shd w:val="clear" w:color="auto" w:fill="FFFFFF"/>
            <w:tcMar>
              <w:left w:w="67" w:type="dxa"/>
              <w:right w:w="67" w:type="dxa"/>
            </w:tcMar>
          </w:tcPr>
          <w:p w14:paraId="1F6DCF84"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0.002</w:t>
            </w:r>
          </w:p>
        </w:tc>
        <w:tc>
          <w:tcPr>
            <w:tcW w:w="380" w:type="pct"/>
            <w:tcBorders>
              <w:top w:val="nil"/>
              <w:left w:val="nil"/>
              <w:bottom w:val="nil"/>
              <w:right w:val="nil"/>
            </w:tcBorders>
            <w:shd w:val="clear" w:color="auto" w:fill="FFFFFF"/>
            <w:tcMar>
              <w:left w:w="67" w:type="dxa"/>
              <w:right w:w="67" w:type="dxa"/>
            </w:tcMar>
          </w:tcPr>
          <w:p w14:paraId="52BED04C"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0.000</w:t>
            </w:r>
          </w:p>
        </w:tc>
        <w:tc>
          <w:tcPr>
            <w:tcW w:w="196" w:type="pct"/>
            <w:tcBorders>
              <w:top w:val="nil"/>
              <w:left w:val="nil"/>
              <w:bottom w:val="nil"/>
              <w:right w:val="nil"/>
            </w:tcBorders>
            <w:shd w:val="clear" w:color="auto" w:fill="FFFFFF"/>
            <w:tcMar>
              <w:left w:w="67" w:type="dxa"/>
              <w:right w:w="67" w:type="dxa"/>
            </w:tcMar>
          </w:tcPr>
          <w:p w14:paraId="7D49C92D"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675</w:t>
            </w:r>
          </w:p>
        </w:tc>
      </w:tr>
      <w:tr w:rsidR="002E6044" w:rsidRPr="00563AD3" w14:paraId="40A325A7" w14:textId="77777777" w:rsidTr="00DC1D91">
        <w:trPr>
          <w:cantSplit/>
          <w:jc w:val="center"/>
        </w:trPr>
        <w:tc>
          <w:tcPr>
            <w:tcW w:w="1470" w:type="pct"/>
            <w:tcBorders>
              <w:top w:val="nil"/>
              <w:left w:val="nil"/>
              <w:bottom w:val="nil"/>
              <w:right w:val="nil"/>
            </w:tcBorders>
            <w:shd w:val="clear" w:color="auto" w:fill="FFFFFF"/>
            <w:tcMar>
              <w:left w:w="67" w:type="dxa"/>
              <w:right w:w="67" w:type="dxa"/>
            </w:tcMar>
          </w:tcPr>
          <w:p w14:paraId="2B942F7A" w14:textId="77777777" w:rsidR="002E6044" w:rsidRPr="00563AD3" w:rsidRDefault="002E6044" w:rsidP="009B13F3">
            <w:pPr>
              <w:spacing w:after="0"/>
              <w:rPr>
                <w:rFonts w:eastAsia="Times New Roman"/>
                <w:color w:val="000000"/>
                <w:sz w:val="20"/>
                <w:szCs w:val="20"/>
              </w:rPr>
            </w:pPr>
            <w:r w:rsidRPr="00563AD3">
              <w:rPr>
                <w:rFonts w:eastAsia="Times New Roman"/>
                <w:color w:val="000000"/>
                <w:sz w:val="20"/>
                <w:szCs w:val="20"/>
              </w:rPr>
              <w:t xml:space="preserve">2. Care home size as a continuous variable </w:t>
            </w:r>
          </w:p>
        </w:tc>
        <w:tc>
          <w:tcPr>
            <w:tcW w:w="307" w:type="pct"/>
            <w:tcBorders>
              <w:top w:val="nil"/>
              <w:left w:val="nil"/>
              <w:bottom w:val="nil"/>
              <w:right w:val="nil"/>
            </w:tcBorders>
            <w:shd w:val="clear" w:color="auto" w:fill="FFFFFF"/>
          </w:tcPr>
          <w:p w14:paraId="6EEE1B28"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45.59</w:t>
            </w:r>
          </w:p>
        </w:tc>
        <w:tc>
          <w:tcPr>
            <w:tcW w:w="455" w:type="pct"/>
            <w:tcBorders>
              <w:top w:val="nil"/>
              <w:left w:val="nil"/>
              <w:bottom w:val="nil"/>
              <w:right w:val="nil"/>
            </w:tcBorders>
            <w:shd w:val="clear" w:color="auto" w:fill="FFFFFF"/>
          </w:tcPr>
          <w:p w14:paraId="3F94C471"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43.21</w:t>
            </w:r>
          </w:p>
        </w:tc>
        <w:tc>
          <w:tcPr>
            <w:tcW w:w="455" w:type="pct"/>
            <w:tcBorders>
              <w:top w:val="nil"/>
              <w:left w:val="nil"/>
              <w:bottom w:val="nil"/>
              <w:right w:val="nil"/>
            </w:tcBorders>
            <w:shd w:val="clear" w:color="auto" w:fill="FFFFFF"/>
            <w:tcMar>
              <w:left w:w="67" w:type="dxa"/>
              <w:right w:w="67" w:type="dxa"/>
            </w:tcMar>
          </w:tcPr>
          <w:p w14:paraId="49410714"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-2.38</w:t>
            </w:r>
          </w:p>
        </w:tc>
        <w:tc>
          <w:tcPr>
            <w:tcW w:w="455" w:type="pct"/>
            <w:tcBorders>
              <w:top w:val="nil"/>
              <w:left w:val="nil"/>
              <w:bottom w:val="nil"/>
              <w:right w:val="nil"/>
            </w:tcBorders>
            <w:shd w:val="clear" w:color="auto" w:fill="FFFFFF"/>
            <w:tcMar>
              <w:left w:w="67" w:type="dxa"/>
              <w:right w:w="67" w:type="dxa"/>
            </w:tcMar>
          </w:tcPr>
          <w:p w14:paraId="5EB976E9"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-5.00</w:t>
            </w:r>
          </w:p>
        </w:tc>
        <w:tc>
          <w:tcPr>
            <w:tcW w:w="455" w:type="pct"/>
            <w:tcBorders>
              <w:top w:val="nil"/>
              <w:left w:val="nil"/>
              <w:bottom w:val="nil"/>
              <w:right w:val="nil"/>
            </w:tcBorders>
            <w:shd w:val="clear" w:color="auto" w:fill="FFFFFF"/>
            <w:tcMar>
              <w:left w:w="67" w:type="dxa"/>
              <w:right w:w="67" w:type="dxa"/>
            </w:tcMar>
          </w:tcPr>
          <w:p w14:paraId="0C13B106"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0.25</w:t>
            </w:r>
          </w:p>
        </w:tc>
        <w:tc>
          <w:tcPr>
            <w:tcW w:w="369" w:type="pct"/>
            <w:tcBorders>
              <w:top w:val="nil"/>
              <w:left w:val="nil"/>
              <w:bottom w:val="nil"/>
              <w:right w:val="nil"/>
            </w:tcBorders>
            <w:shd w:val="clear" w:color="auto" w:fill="FFFFFF"/>
            <w:tcMar>
              <w:left w:w="67" w:type="dxa"/>
              <w:right w:w="67" w:type="dxa"/>
            </w:tcMar>
          </w:tcPr>
          <w:p w14:paraId="6A7AE7A1"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0.076</w:t>
            </w:r>
          </w:p>
        </w:tc>
        <w:tc>
          <w:tcPr>
            <w:tcW w:w="458" w:type="pct"/>
            <w:tcBorders>
              <w:top w:val="nil"/>
              <w:left w:val="nil"/>
              <w:bottom w:val="nil"/>
              <w:right w:val="nil"/>
            </w:tcBorders>
            <w:shd w:val="clear" w:color="auto" w:fill="FFFFFF"/>
            <w:tcMar>
              <w:left w:w="67" w:type="dxa"/>
              <w:right w:w="67" w:type="dxa"/>
            </w:tcMar>
          </w:tcPr>
          <w:p w14:paraId="0814EB07"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0.000</w:t>
            </w:r>
          </w:p>
        </w:tc>
        <w:tc>
          <w:tcPr>
            <w:tcW w:w="380" w:type="pct"/>
            <w:tcBorders>
              <w:top w:val="nil"/>
              <w:left w:val="nil"/>
              <w:bottom w:val="nil"/>
              <w:right w:val="nil"/>
            </w:tcBorders>
            <w:shd w:val="clear" w:color="auto" w:fill="FFFFFF"/>
            <w:tcMar>
              <w:left w:w="67" w:type="dxa"/>
              <w:right w:w="67" w:type="dxa"/>
            </w:tcMar>
          </w:tcPr>
          <w:p w14:paraId="25890F5C"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0.000</w:t>
            </w:r>
          </w:p>
        </w:tc>
        <w:tc>
          <w:tcPr>
            <w:tcW w:w="196" w:type="pct"/>
            <w:tcBorders>
              <w:top w:val="nil"/>
              <w:left w:val="nil"/>
              <w:bottom w:val="nil"/>
              <w:right w:val="nil"/>
            </w:tcBorders>
            <w:shd w:val="clear" w:color="auto" w:fill="FFFFFF"/>
            <w:tcMar>
              <w:left w:w="67" w:type="dxa"/>
              <w:right w:w="67" w:type="dxa"/>
            </w:tcMar>
          </w:tcPr>
          <w:p w14:paraId="161F0F85"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675</w:t>
            </w:r>
          </w:p>
        </w:tc>
      </w:tr>
      <w:tr w:rsidR="002E6044" w:rsidRPr="00563AD3" w14:paraId="15ECBD7C" w14:textId="77777777" w:rsidTr="00DC1D91">
        <w:trPr>
          <w:cantSplit/>
          <w:jc w:val="center"/>
        </w:trPr>
        <w:tc>
          <w:tcPr>
            <w:tcW w:w="1470" w:type="pct"/>
            <w:tcBorders>
              <w:top w:val="nil"/>
              <w:left w:val="nil"/>
              <w:bottom w:val="nil"/>
              <w:right w:val="nil"/>
            </w:tcBorders>
            <w:shd w:val="clear" w:color="auto" w:fill="FFFFFF"/>
            <w:tcMar>
              <w:left w:w="67" w:type="dxa"/>
              <w:right w:w="67" w:type="dxa"/>
            </w:tcMar>
          </w:tcPr>
          <w:p w14:paraId="4DE84452" w14:textId="77777777" w:rsidR="002E6044" w:rsidRPr="00563AD3" w:rsidRDefault="002E6044" w:rsidP="009B13F3">
            <w:pPr>
              <w:spacing w:after="0"/>
              <w:rPr>
                <w:rFonts w:eastAsia="Times New Roman"/>
                <w:color w:val="000000"/>
                <w:sz w:val="20"/>
                <w:szCs w:val="20"/>
              </w:rPr>
            </w:pPr>
            <w:r w:rsidRPr="00563AD3">
              <w:rPr>
                <w:rFonts w:eastAsia="Times New Roman"/>
                <w:color w:val="000000"/>
                <w:sz w:val="20"/>
                <w:szCs w:val="20"/>
              </w:rPr>
              <w:t>3. Homogeneous clustering across arms</w:t>
            </w:r>
          </w:p>
        </w:tc>
        <w:tc>
          <w:tcPr>
            <w:tcW w:w="307" w:type="pct"/>
            <w:tcBorders>
              <w:top w:val="nil"/>
              <w:left w:val="nil"/>
              <w:bottom w:val="nil"/>
              <w:right w:val="nil"/>
            </w:tcBorders>
            <w:shd w:val="clear" w:color="auto" w:fill="FFFFFF"/>
          </w:tcPr>
          <w:p w14:paraId="6291D0A8"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45.41</w:t>
            </w:r>
          </w:p>
        </w:tc>
        <w:tc>
          <w:tcPr>
            <w:tcW w:w="455" w:type="pct"/>
            <w:tcBorders>
              <w:top w:val="nil"/>
              <w:left w:val="nil"/>
              <w:bottom w:val="nil"/>
              <w:right w:val="nil"/>
            </w:tcBorders>
            <w:shd w:val="clear" w:color="auto" w:fill="FFFFFF"/>
          </w:tcPr>
          <w:p w14:paraId="0EFEB931"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43.32</w:t>
            </w:r>
          </w:p>
        </w:tc>
        <w:tc>
          <w:tcPr>
            <w:tcW w:w="455" w:type="pct"/>
            <w:tcBorders>
              <w:top w:val="nil"/>
              <w:left w:val="nil"/>
              <w:bottom w:val="nil"/>
              <w:right w:val="nil"/>
            </w:tcBorders>
            <w:shd w:val="clear" w:color="auto" w:fill="FFFFFF"/>
            <w:tcMar>
              <w:left w:w="67" w:type="dxa"/>
              <w:right w:w="67" w:type="dxa"/>
            </w:tcMar>
          </w:tcPr>
          <w:p w14:paraId="5D133F73"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-2.09</w:t>
            </w:r>
          </w:p>
        </w:tc>
        <w:tc>
          <w:tcPr>
            <w:tcW w:w="455" w:type="pct"/>
            <w:tcBorders>
              <w:top w:val="nil"/>
              <w:left w:val="nil"/>
              <w:bottom w:val="nil"/>
              <w:right w:val="nil"/>
            </w:tcBorders>
            <w:shd w:val="clear" w:color="auto" w:fill="FFFFFF"/>
            <w:tcMar>
              <w:left w:w="67" w:type="dxa"/>
              <w:right w:w="67" w:type="dxa"/>
            </w:tcMar>
          </w:tcPr>
          <w:p w14:paraId="467616E3"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-4.61</w:t>
            </w:r>
          </w:p>
        </w:tc>
        <w:tc>
          <w:tcPr>
            <w:tcW w:w="455" w:type="pct"/>
            <w:tcBorders>
              <w:top w:val="nil"/>
              <w:left w:val="nil"/>
              <w:bottom w:val="nil"/>
              <w:right w:val="nil"/>
            </w:tcBorders>
            <w:shd w:val="clear" w:color="auto" w:fill="FFFFFF"/>
            <w:tcMar>
              <w:left w:w="67" w:type="dxa"/>
              <w:right w:w="67" w:type="dxa"/>
            </w:tcMar>
          </w:tcPr>
          <w:p w14:paraId="3B58E2D3"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0.44</w:t>
            </w:r>
          </w:p>
        </w:tc>
        <w:tc>
          <w:tcPr>
            <w:tcW w:w="369" w:type="pct"/>
            <w:tcBorders>
              <w:top w:val="nil"/>
              <w:left w:val="nil"/>
              <w:bottom w:val="nil"/>
              <w:right w:val="nil"/>
            </w:tcBorders>
            <w:shd w:val="clear" w:color="auto" w:fill="FFFFFF"/>
            <w:tcMar>
              <w:left w:w="67" w:type="dxa"/>
              <w:right w:w="67" w:type="dxa"/>
            </w:tcMar>
          </w:tcPr>
          <w:p w14:paraId="5C0282C1"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0.105</w:t>
            </w:r>
          </w:p>
        </w:tc>
        <w:tc>
          <w:tcPr>
            <w:tcW w:w="838" w:type="pct"/>
            <w:gridSpan w:val="2"/>
            <w:tcBorders>
              <w:top w:val="nil"/>
              <w:left w:val="nil"/>
              <w:bottom w:val="nil"/>
              <w:right w:val="nil"/>
            </w:tcBorders>
            <w:shd w:val="clear" w:color="auto" w:fill="FFFFFF"/>
            <w:tcMar>
              <w:left w:w="67" w:type="dxa"/>
              <w:right w:w="67" w:type="dxa"/>
            </w:tcMar>
          </w:tcPr>
          <w:p w14:paraId="675F189A" w14:textId="77777777" w:rsidR="002E6044" w:rsidRPr="00563AD3" w:rsidRDefault="002E6044" w:rsidP="009B13F3">
            <w:pPr>
              <w:spacing w:after="0"/>
              <w:jc w:val="center"/>
              <w:rPr>
                <w:rFonts w:eastAsia="Times New Roman"/>
                <w:color w:val="000000"/>
                <w:sz w:val="20"/>
                <w:szCs w:val="20"/>
              </w:rPr>
            </w:pPr>
            <w:r w:rsidRPr="00563AD3">
              <w:rPr>
                <w:rFonts w:eastAsia="Times New Roman"/>
                <w:color w:val="000000"/>
                <w:sz w:val="20"/>
                <w:szCs w:val="20"/>
              </w:rPr>
              <w:t xml:space="preserve">          0.001</w:t>
            </w:r>
          </w:p>
        </w:tc>
        <w:tc>
          <w:tcPr>
            <w:tcW w:w="196" w:type="pct"/>
            <w:tcBorders>
              <w:top w:val="nil"/>
              <w:left w:val="nil"/>
              <w:bottom w:val="nil"/>
              <w:right w:val="nil"/>
            </w:tcBorders>
            <w:shd w:val="clear" w:color="auto" w:fill="FFFFFF"/>
            <w:tcMar>
              <w:left w:w="67" w:type="dxa"/>
              <w:right w:w="67" w:type="dxa"/>
            </w:tcMar>
          </w:tcPr>
          <w:p w14:paraId="463FBAC4" w14:textId="77777777" w:rsidR="002E6044" w:rsidRPr="00563AD3" w:rsidRDefault="002E6044" w:rsidP="009B13F3">
            <w:pPr>
              <w:spacing w:after="0"/>
              <w:jc w:val="right"/>
              <w:rPr>
                <w:rFonts w:eastAsia="Times New Roman"/>
                <w:color w:val="000000"/>
                <w:sz w:val="20"/>
                <w:szCs w:val="20"/>
              </w:rPr>
            </w:pPr>
            <w:r w:rsidRPr="00563AD3">
              <w:rPr>
                <w:rFonts w:eastAsia="Times New Roman"/>
                <w:color w:val="000000"/>
                <w:sz w:val="20"/>
                <w:szCs w:val="20"/>
              </w:rPr>
              <w:t>675</w:t>
            </w:r>
          </w:p>
        </w:tc>
      </w:tr>
      <w:tr w:rsidR="002E6044" w:rsidRPr="00563AD3" w14:paraId="49A6489C" w14:textId="77777777" w:rsidTr="00DC1D91">
        <w:trPr>
          <w:cantSplit/>
          <w:jc w:val="center"/>
        </w:trPr>
        <w:tc>
          <w:tcPr>
            <w:tcW w:w="1470" w:type="pct"/>
            <w:tcBorders>
              <w:top w:val="nil"/>
              <w:left w:val="nil"/>
              <w:bottom w:val="nil"/>
              <w:right w:val="nil"/>
            </w:tcBorders>
            <w:shd w:val="clear" w:color="auto" w:fill="FFFFFF"/>
            <w:tcMar>
              <w:left w:w="67" w:type="dxa"/>
              <w:right w:w="67" w:type="dxa"/>
            </w:tcMar>
          </w:tcPr>
          <w:p w14:paraId="362DEE14" w14:textId="77777777" w:rsidR="002E6044" w:rsidRPr="00563AD3" w:rsidRDefault="002E6044" w:rsidP="009B13F3">
            <w:pPr>
              <w:spacing w:after="0"/>
              <w:rPr>
                <w:rFonts w:eastAsia="Times New Roman"/>
                <w:color w:val="000000"/>
                <w:sz w:val="20"/>
                <w:szCs w:val="20"/>
              </w:rPr>
            </w:pPr>
            <w:r w:rsidRPr="00563AD3">
              <w:rPr>
                <w:rFonts w:eastAsia="Times New Roman"/>
                <w:color w:val="000000"/>
                <w:sz w:val="20"/>
                <w:szCs w:val="20"/>
              </w:rPr>
              <w:t>4a. CMAI-O (AM)</w:t>
            </w:r>
          </w:p>
        </w:tc>
        <w:tc>
          <w:tcPr>
            <w:tcW w:w="307" w:type="pct"/>
            <w:tcBorders>
              <w:top w:val="nil"/>
              <w:left w:val="nil"/>
              <w:bottom w:val="nil"/>
              <w:right w:val="nil"/>
            </w:tcBorders>
            <w:shd w:val="clear" w:color="auto" w:fill="FFFFFF"/>
          </w:tcPr>
          <w:p w14:paraId="1B13394E"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31.00</w:t>
            </w:r>
          </w:p>
        </w:tc>
        <w:tc>
          <w:tcPr>
            <w:tcW w:w="455" w:type="pct"/>
            <w:tcBorders>
              <w:top w:val="nil"/>
              <w:left w:val="nil"/>
              <w:bottom w:val="nil"/>
              <w:right w:val="nil"/>
            </w:tcBorders>
            <w:shd w:val="clear" w:color="auto" w:fill="FFFFFF"/>
          </w:tcPr>
          <w:p w14:paraId="4B8A161D"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30.41</w:t>
            </w:r>
          </w:p>
        </w:tc>
        <w:tc>
          <w:tcPr>
            <w:tcW w:w="455" w:type="pct"/>
            <w:tcBorders>
              <w:top w:val="nil"/>
              <w:left w:val="nil"/>
              <w:bottom w:val="nil"/>
              <w:right w:val="nil"/>
            </w:tcBorders>
            <w:shd w:val="clear" w:color="auto" w:fill="FFFFFF"/>
            <w:tcMar>
              <w:left w:w="67" w:type="dxa"/>
              <w:right w:w="67" w:type="dxa"/>
            </w:tcMar>
          </w:tcPr>
          <w:p w14:paraId="0B7F39E5"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-0.58</w:t>
            </w:r>
          </w:p>
        </w:tc>
        <w:tc>
          <w:tcPr>
            <w:tcW w:w="455" w:type="pct"/>
            <w:tcBorders>
              <w:top w:val="nil"/>
              <w:left w:val="nil"/>
              <w:bottom w:val="nil"/>
              <w:right w:val="nil"/>
            </w:tcBorders>
            <w:shd w:val="clear" w:color="auto" w:fill="FFFFFF"/>
            <w:tcMar>
              <w:left w:w="67" w:type="dxa"/>
              <w:right w:w="67" w:type="dxa"/>
            </w:tcMar>
          </w:tcPr>
          <w:p w14:paraId="2ADCB420"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-1.62</w:t>
            </w:r>
          </w:p>
        </w:tc>
        <w:tc>
          <w:tcPr>
            <w:tcW w:w="455" w:type="pct"/>
            <w:tcBorders>
              <w:top w:val="nil"/>
              <w:left w:val="nil"/>
              <w:bottom w:val="nil"/>
              <w:right w:val="nil"/>
            </w:tcBorders>
            <w:shd w:val="clear" w:color="auto" w:fill="FFFFFF"/>
            <w:tcMar>
              <w:left w:w="67" w:type="dxa"/>
              <w:right w:w="67" w:type="dxa"/>
            </w:tcMar>
          </w:tcPr>
          <w:p w14:paraId="6FF6F05C"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0.45</w:t>
            </w:r>
          </w:p>
        </w:tc>
        <w:tc>
          <w:tcPr>
            <w:tcW w:w="369" w:type="pct"/>
            <w:tcBorders>
              <w:top w:val="nil"/>
              <w:left w:val="nil"/>
              <w:bottom w:val="nil"/>
              <w:right w:val="nil"/>
            </w:tcBorders>
            <w:shd w:val="clear" w:color="auto" w:fill="FFFFFF"/>
            <w:tcMar>
              <w:left w:w="67" w:type="dxa"/>
              <w:right w:w="67" w:type="dxa"/>
            </w:tcMar>
          </w:tcPr>
          <w:p w14:paraId="6F6FF739"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0.269</w:t>
            </w:r>
          </w:p>
        </w:tc>
        <w:tc>
          <w:tcPr>
            <w:tcW w:w="458" w:type="pct"/>
            <w:tcBorders>
              <w:top w:val="nil"/>
              <w:left w:val="nil"/>
              <w:bottom w:val="nil"/>
              <w:right w:val="nil"/>
            </w:tcBorders>
            <w:shd w:val="clear" w:color="auto" w:fill="FFFFFF"/>
            <w:tcMar>
              <w:left w:w="67" w:type="dxa"/>
              <w:right w:w="67" w:type="dxa"/>
            </w:tcMar>
          </w:tcPr>
          <w:p w14:paraId="356C4503"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0.215</w:t>
            </w:r>
          </w:p>
        </w:tc>
        <w:tc>
          <w:tcPr>
            <w:tcW w:w="380" w:type="pct"/>
            <w:tcBorders>
              <w:top w:val="nil"/>
              <w:left w:val="nil"/>
              <w:bottom w:val="nil"/>
              <w:right w:val="nil"/>
            </w:tcBorders>
            <w:shd w:val="clear" w:color="auto" w:fill="FFFFFF"/>
          </w:tcPr>
          <w:p w14:paraId="15A04EF2"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0.006</w:t>
            </w:r>
          </w:p>
        </w:tc>
        <w:tc>
          <w:tcPr>
            <w:tcW w:w="196" w:type="pct"/>
            <w:tcBorders>
              <w:top w:val="nil"/>
              <w:left w:val="nil"/>
              <w:bottom w:val="nil"/>
              <w:right w:val="nil"/>
            </w:tcBorders>
            <w:shd w:val="clear" w:color="auto" w:fill="FFFFFF"/>
            <w:tcMar>
              <w:left w:w="67" w:type="dxa"/>
              <w:right w:w="67" w:type="dxa"/>
            </w:tcMar>
          </w:tcPr>
          <w:p w14:paraId="42015F00"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675</w:t>
            </w:r>
          </w:p>
        </w:tc>
      </w:tr>
      <w:tr w:rsidR="002E6044" w:rsidRPr="00563AD3" w14:paraId="4BB1E9A7" w14:textId="77777777" w:rsidTr="00DC1D91">
        <w:trPr>
          <w:cantSplit/>
          <w:jc w:val="center"/>
        </w:trPr>
        <w:tc>
          <w:tcPr>
            <w:tcW w:w="1470" w:type="pct"/>
            <w:tcBorders>
              <w:top w:val="nil"/>
              <w:left w:val="nil"/>
              <w:bottom w:val="nil"/>
              <w:right w:val="nil"/>
            </w:tcBorders>
            <w:shd w:val="clear" w:color="auto" w:fill="FFFFFF"/>
            <w:tcMar>
              <w:left w:w="67" w:type="dxa"/>
              <w:right w:w="67" w:type="dxa"/>
            </w:tcMar>
          </w:tcPr>
          <w:p w14:paraId="0B3C58B3" w14:textId="77777777" w:rsidR="002E6044" w:rsidRPr="00563AD3" w:rsidRDefault="002E6044" w:rsidP="009B13F3">
            <w:pPr>
              <w:spacing w:after="0"/>
              <w:rPr>
                <w:rFonts w:eastAsia="Times New Roman"/>
                <w:color w:val="000000"/>
                <w:sz w:val="20"/>
                <w:szCs w:val="20"/>
              </w:rPr>
            </w:pPr>
            <w:r w:rsidRPr="00563AD3">
              <w:rPr>
                <w:rFonts w:eastAsia="Times New Roman"/>
                <w:color w:val="000000"/>
                <w:sz w:val="20"/>
                <w:szCs w:val="20"/>
              </w:rPr>
              <w:t>4b. CMAI on s</w:t>
            </w:r>
            <w:r w:rsidRPr="00563AD3">
              <w:rPr>
                <w:rFonts w:eastAsia="Calibri"/>
                <w:color w:val="000000"/>
                <w:sz w:val="20"/>
                <w:szCs w:val="20"/>
                <w:lang w:eastAsia="en-US"/>
              </w:rPr>
              <w:t xml:space="preserve">ubset with </w:t>
            </w:r>
            <w:r w:rsidRPr="00563AD3">
              <w:rPr>
                <w:rFonts w:eastAsia="Times New Roman"/>
                <w:color w:val="000000"/>
                <w:sz w:val="20"/>
                <w:szCs w:val="20"/>
              </w:rPr>
              <w:t>CMAI-O</w:t>
            </w:r>
            <w:r w:rsidRPr="00563AD3">
              <w:rPr>
                <w:rFonts w:eastAsia="Calibri"/>
                <w:color w:val="000000"/>
                <w:sz w:val="20"/>
                <w:szCs w:val="20"/>
                <w:lang w:eastAsia="en-US"/>
              </w:rPr>
              <w:t xml:space="preserve"> (AM)</w:t>
            </w:r>
          </w:p>
        </w:tc>
        <w:tc>
          <w:tcPr>
            <w:tcW w:w="307" w:type="pct"/>
            <w:tcBorders>
              <w:top w:val="nil"/>
              <w:left w:val="nil"/>
              <w:bottom w:val="nil"/>
              <w:right w:val="nil"/>
            </w:tcBorders>
            <w:shd w:val="clear" w:color="auto" w:fill="FFFFFF"/>
          </w:tcPr>
          <w:p w14:paraId="25237E35"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47.49</w:t>
            </w:r>
          </w:p>
        </w:tc>
        <w:tc>
          <w:tcPr>
            <w:tcW w:w="455" w:type="pct"/>
            <w:tcBorders>
              <w:top w:val="nil"/>
              <w:left w:val="nil"/>
              <w:bottom w:val="nil"/>
              <w:right w:val="nil"/>
            </w:tcBorders>
            <w:shd w:val="clear" w:color="auto" w:fill="FFFFFF"/>
          </w:tcPr>
          <w:p w14:paraId="5DAD6D0D"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43.43</w:t>
            </w:r>
          </w:p>
        </w:tc>
        <w:tc>
          <w:tcPr>
            <w:tcW w:w="455" w:type="pct"/>
            <w:tcBorders>
              <w:top w:val="nil"/>
              <w:left w:val="nil"/>
              <w:bottom w:val="nil"/>
              <w:right w:val="nil"/>
            </w:tcBorders>
            <w:shd w:val="clear" w:color="auto" w:fill="FFFFFF"/>
            <w:tcMar>
              <w:left w:w="67" w:type="dxa"/>
              <w:right w:w="67" w:type="dxa"/>
            </w:tcMar>
          </w:tcPr>
          <w:p w14:paraId="613D7598"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-4.06</w:t>
            </w:r>
          </w:p>
        </w:tc>
        <w:tc>
          <w:tcPr>
            <w:tcW w:w="455" w:type="pct"/>
            <w:tcBorders>
              <w:top w:val="nil"/>
              <w:left w:val="nil"/>
              <w:bottom w:val="nil"/>
              <w:right w:val="nil"/>
            </w:tcBorders>
            <w:shd w:val="clear" w:color="auto" w:fill="FFFFFF"/>
            <w:tcMar>
              <w:left w:w="67" w:type="dxa"/>
              <w:right w:w="67" w:type="dxa"/>
            </w:tcMar>
          </w:tcPr>
          <w:p w14:paraId="0DD53B50"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-7.55</w:t>
            </w:r>
          </w:p>
        </w:tc>
        <w:tc>
          <w:tcPr>
            <w:tcW w:w="455" w:type="pct"/>
            <w:tcBorders>
              <w:top w:val="nil"/>
              <w:left w:val="nil"/>
              <w:bottom w:val="nil"/>
              <w:right w:val="nil"/>
            </w:tcBorders>
            <w:shd w:val="clear" w:color="auto" w:fill="FFFFFF"/>
            <w:tcMar>
              <w:left w:w="67" w:type="dxa"/>
              <w:right w:w="67" w:type="dxa"/>
            </w:tcMar>
          </w:tcPr>
          <w:p w14:paraId="48511F8A"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-0.57</w:t>
            </w:r>
          </w:p>
        </w:tc>
        <w:tc>
          <w:tcPr>
            <w:tcW w:w="369" w:type="pct"/>
            <w:tcBorders>
              <w:top w:val="nil"/>
              <w:left w:val="nil"/>
              <w:bottom w:val="nil"/>
              <w:right w:val="nil"/>
            </w:tcBorders>
            <w:shd w:val="clear" w:color="auto" w:fill="FFFFFF"/>
            <w:tcMar>
              <w:left w:w="67" w:type="dxa"/>
              <w:right w:w="67" w:type="dxa"/>
            </w:tcMar>
          </w:tcPr>
          <w:p w14:paraId="6B33C2CD"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0.023</w:t>
            </w:r>
          </w:p>
        </w:tc>
        <w:tc>
          <w:tcPr>
            <w:tcW w:w="458" w:type="pct"/>
            <w:tcBorders>
              <w:top w:val="nil"/>
              <w:left w:val="nil"/>
              <w:bottom w:val="nil"/>
              <w:right w:val="nil"/>
            </w:tcBorders>
            <w:shd w:val="clear" w:color="auto" w:fill="FFFFFF"/>
            <w:tcMar>
              <w:left w:w="67" w:type="dxa"/>
              <w:right w:w="67" w:type="dxa"/>
            </w:tcMar>
          </w:tcPr>
          <w:p w14:paraId="3BC5323A"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0.016</w:t>
            </w:r>
          </w:p>
        </w:tc>
        <w:tc>
          <w:tcPr>
            <w:tcW w:w="380" w:type="pct"/>
            <w:tcBorders>
              <w:top w:val="nil"/>
              <w:left w:val="nil"/>
              <w:bottom w:val="nil"/>
              <w:right w:val="nil"/>
            </w:tcBorders>
            <w:shd w:val="clear" w:color="auto" w:fill="FFFFFF"/>
          </w:tcPr>
          <w:p w14:paraId="1724A960"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0.001</w:t>
            </w:r>
          </w:p>
        </w:tc>
        <w:tc>
          <w:tcPr>
            <w:tcW w:w="196" w:type="pct"/>
            <w:tcBorders>
              <w:top w:val="nil"/>
              <w:left w:val="nil"/>
              <w:bottom w:val="nil"/>
              <w:right w:val="nil"/>
            </w:tcBorders>
            <w:shd w:val="clear" w:color="auto" w:fill="FFFFFF"/>
            <w:tcMar>
              <w:left w:w="67" w:type="dxa"/>
              <w:right w:w="67" w:type="dxa"/>
            </w:tcMar>
          </w:tcPr>
          <w:p w14:paraId="7482743B"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365</w:t>
            </w:r>
          </w:p>
        </w:tc>
      </w:tr>
      <w:tr w:rsidR="002E6044" w:rsidRPr="00563AD3" w14:paraId="06F837C6" w14:textId="77777777" w:rsidTr="00DC1D91">
        <w:trPr>
          <w:cantSplit/>
          <w:jc w:val="center"/>
        </w:trPr>
        <w:tc>
          <w:tcPr>
            <w:tcW w:w="1470" w:type="pct"/>
            <w:tcBorders>
              <w:top w:val="nil"/>
              <w:left w:val="nil"/>
              <w:bottom w:val="nil"/>
              <w:right w:val="nil"/>
            </w:tcBorders>
            <w:shd w:val="clear" w:color="auto" w:fill="FFFFFF"/>
            <w:tcMar>
              <w:left w:w="67" w:type="dxa"/>
              <w:right w:w="67" w:type="dxa"/>
            </w:tcMar>
          </w:tcPr>
          <w:p w14:paraId="035D8D01" w14:textId="77777777" w:rsidR="002E6044" w:rsidRPr="00563AD3" w:rsidRDefault="002E6044" w:rsidP="009B13F3">
            <w:pPr>
              <w:spacing w:after="0"/>
              <w:rPr>
                <w:rFonts w:eastAsia="Times New Roman"/>
                <w:color w:val="000000"/>
                <w:sz w:val="20"/>
                <w:szCs w:val="20"/>
              </w:rPr>
            </w:pPr>
            <w:r w:rsidRPr="00563AD3">
              <w:rPr>
                <w:rFonts w:eastAsia="Times New Roman"/>
                <w:color w:val="000000"/>
                <w:sz w:val="20"/>
                <w:szCs w:val="20"/>
              </w:rPr>
              <w:t>4c. CMAI-O (PM)</w:t>
            </w:r>
          </w:p>
        </w:tc>
        <w:tc>
          <w:tcPr>
            <w:tcW w:w="307" w:type="pct"/>
            <w:tcBorders>
              <w:top w:val="nil"/>
              <w:left w:val="nil"/>
              <w:bottom w:val="nil"/>
              <w:right w:val="nil"/>
            </w:tcBorders>
            <w:shd w:val="clear" w:color="auto" w:fill="FFFFFF"/>
          </w:tcPr>
          <w:p w14:paraId="36F710F7"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31.34</w:t>
            </w:r>
          </w:p>
        </w:tc>
        <w:tc>
          <w:tcPr>
            <w:tcW w:w="455" w:type="pct"/>
            <w:tcBorders>
              <w:top w:val="nil"/>
              <w:left w:val="nil"/>
              <w:bottom w:val="nil"/>
              <w:right w:val="nil"/>
            </w:tcBorders>
            <w:shd w:val="clear" w:color="auto" w:fill="FFFFFF"/>
          </w:tcPr>
          <w:p w14:paraId="3F52B703"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31.11</w:t>
            </w:r>
          </w:p>
        </w:tc>
        <w:tc>
          <w:tcPr>
            <w:tcW w:w="455" w:type="pct"/>
            <w:tcBorders>
              <w:top w:val="nil"/>
              <w:left w:val="nil"/>
              <w:bottom w:val="nil"/>
              <w:right w:val="nil"/>
            </w:tcBorders>
            <w:shd w:val="clear" w:color="auto" w:fill="FFFFFF"/>
            <w:tcMar>
              <w:left w:w="67" w:type="dxa"/>
              <w:right w:w="67" w:type="dxa"/>
            </w:tcMar>
          </w:tcPr>
          <w:p w14:paraId="6343BB6A"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-0.22</w:t>
            </w:r>
          </w:p>
        </w:tc>
        <w:tc>
          <w:tcPr>
            <w:tcW w:w="455" w:type="pct"/>
            <w:tcBorders>
              <w:top w:val="nil"/>
              <w:left w:val="nil"/>
              <w:bottom w:val="nil"/>
              <w:right w:val="nil"/>
            </w:tcBorders>
            <w:shd w:val="clear" w:color="auto" w:fill="FFFFFF"/>
            <w:tcMar>
              <w:left w:w="67" w:type="dxa"/>
              <w:right w:w="67" w:type="dxa"/>
            </w:tcMar>
          </w:tcPr>
          <w:p w14:paraId="3879BCBB"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-1.52</w:t>
            </w:r>
          </w:p>
        </w:tc>
        <w:tc>
          <w:tcPr>
            <w:tcW w:w="455" w:type="pct"/>
            <w:tcBorders>
              <w:top w:val="nil"/>
              <w:left w:val="nil"/>
              <w:bottom w:val="nil"/>
              <w:right w:val="nil"/>
            </w:tcBorders>
            <w:shd w:val="clear" w:color="auto" w:fill="FFFFFF"/>
            <w:tcMar>
              <w:left w:w="67" w:type="dxa"/>
              <w:right w:w="67" w:type="dxa"/>
            </w:tcMar>
          </w:tcPr>
          <w:p w14:paraId="314A2900"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1.08</w:t>
            </w:r>
          </w:p>
        </w:tc>
        <w:tc>
          <w:tcPr>
            <w:tcW w:w="369" w:type="pct"/>
            <w:tcBorders>
              <w:top w:val="nil"/>
              <w:left w:val="nil"/>
              <w:bottom w:val="nil"/>
              <w:right w:val="nil"/>
            </w:tcBorders>
            <w:shd w:val="clear" w:color="auto" w:fill="FFFFFF"/>
            <w:tcMar>
              <w:left w:w="67" w:type="dxa"/>
              <w:right w:w="67" w:type="dxa"/>
            </w:tcMar>
          </w:tcPr>
          <w:p w14:paraId="0513C164"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0.737</w:t>
            </w:r>
          </w:p>
        </w:tc>
        <w:tc>
          <w:tcPr>
            <w:tcW w:w="458" w:type="pct"/>
            <w:tcBorders>
              <w:top w:val="nil"/>
              <w:left w:val="nil"/>
              <w:bottom w:val="nil"/>
              <w:right w:val="nil"/>
            </w:tcBorders>
            <w:shd w:val="clear" w:color="auto" w:fill="FFFFFF"/>
            <w:tcMar>
              <w:left w:w="67" w:type="dxa"/>
              <w:right w:w="67" w:type="dxa"/>
            </w:tcMar>
          </w:tcPr>
          <w:p w14:paraId="61EECB61"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0.220</w:t>
            </w:r>
          </w:p>
        </w:tc>
        <w:tc>
          <w:tcPr>
            <w:tcW w:w="380" w:type="pct"/>
            <w:tcBorders>
              <w:top w:val="nil"/>
              <w:left w:val="nil"/>
              <w:bottom w:val="nil"/>
              <w:right w:val="nil"/>
            </w:tcBorders>
            <w:shd w:val="clear" w:color="auto" w:fill="FFFFFF"/>
          </w:tcPr>
          <w:p w14:paraId="20FD2EF8"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0.013</w:t>
            </w:r>
          </w:p>
        </w:tc>
        <w:tc>
          <w:tcPr>
            <w:tcW w:w="196" w:type="pct"/>
            <w:tcBorders>
              <w:top w:val="nil"/>
              <w:left w:val="nil"/>
              <w:bottom w:val="nil"/>
              <w:right w:val="nil"/>
            </w:tcBorders>
            <w:shd w:val="clear" w:color="auto" w:fill="FFFFFF"/>
            <w:tcMar>
              <w:left w:w="67" w:type="dxa"/>
              <w:right w:w="67" w:type="dxa"/>
            </w:tcMar>
          </w:tcPr>
          <w:p w14:paraId="2BFF94B2"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675</w:t>
            </w:r>
          </w:p>
        </w:tc>
      </w:tr>
      <w:tr w:rsidR="002E6044" w:rsidRPr="00563AD3" w14:paraId="05EC177B" w14:textId="77777777" w:rsidTr="00DC1D91">
        <w:trPr>
          <w:cantSplit/>
          <w:jc w:val="center"/>
        </w:trPr>
        <w:tc>
          <w:tcPr>
            <w:tcW w:w="1470" w:type="pct"/>
            <w:tcBorders>
              <w:top w:val="nil"/>
              <w:left w:val="nil"/>
              <w:bottom w:val="nil"/>
              <w:right w:val="nil"/>
            </w:tcBorders>
            <w:shd w:val="clear" w:color="auto" w:fill="FFFFFF"/>
            <w:tcMar>
              <w:left w:w="67" w:type="dxa"/>
              <w:right w:w="67" w:type="dxa"/>
            </w:tcMar>
          </w:tcPr>
          <w:p w14:paraId="7B8068DD" w14:textId="77777777" w:rsidR="002E6044" w:rsidRPr="00563AD3" w:rsidRDefault="002E6044" w:rsidP="009B13F3">
            <w:pPr>
              <w:spacing w:after="0"/>
              <w:rPr>
                <w:rFonts w:eastAsia="Times New Roman"/>
                <w:color w:val="000000"/>
                <w:sz w:val="20"/>
                <w:szCs w:val="20"/>
              </w:rPr>
            </w:pPr>
            <w:r w:rsidRPr="00563AD3">
              <w:rPr>
                <w:rFonts w:eastAsia="Times New Roman"/>
                <w:color w:val="000000"/>
                <w:sz w:val="20"/>
                <w:szCs w:val="20"/>
              </w:rPr>
              <w:t>4d. CMAI on s</w:t>
            </w:r>
            <w:r w:rsidRPr="00563AD3">
              <w:rPr>
                <w:rFonts w:eastAsia="Calibri"/>
                <w:color w:val="000000"/>
                <w:sz w:val="20"/>
                <w:szCs w:val="20"/>
                <w:lang w:eastAsia="en-US"/>
              </w:rPr>
              <w:t xml:space="preserve">ubset with </w:t>
            </w:r>
            <w:r w:rsidRPr="00563AD3">
              <w:rPr>
                <w:rFonts w:eastAsia="Times New Roman"/>
                <w:color w:val="000000"/>
                <w:sz w:val="20"/>
                <w:szCs w:val="20"/>
              </w:rPr>
              <w:t>CMAI-O</w:t>
            </w:r>
            <w:r w:rsidRPr="00563AD3">
              <w:rPr>
                <w:rFonts w:eastAsia="Calibri"/>
                <w:color w:val="000000"/>
                <w:sz w:val="20"/>
                <w:szCs w:val="20"/>
                <w:lang w:eastAsia="en-US"/>
              </w:rPr>
              <w:t xml:space="preserve"> (PM)</w:t>
            </w:r>
          </w:p>
        </w:tc>
        <w:tc>
          <w:tcPr>
            <w:tcW w:w="307" w:type="pct"/>
            <w:tcBorders>
              <w:top w:val="nil"/>
              <w:left w:val="nil"/>
              <w:bottom w:val="nil"/>
              <w:right w:val="nil"/>
            </w:tcBorders>
            <w:shd w:val="clear" w:color="auto" w:fill="FFFFFF"/>
          </w:tcPr>
          <w:p w14:paraId="0843E07F"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47.49</w:t>
            </w:r>
          </w:p>
        </w:tc>
        <w:tc>
          <w:tcPr>
            <w:tcW w:w="455" w:type="pct"/>
            <w:tcBorders>
              <w:top w:val="nil"/>
              <w:left w:val="nil"/>
              <w:bottom w:val="nil"/>
              <w:right w:val="nil"/>
            </w:tcBorders>
            <w:shd w:val="clear" w:color="auto" w:fill="FFFFFF"/>
          </w:tcPr>
          <w:p w14:paraId="2F082581"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43.43</w:t>
            </w:r>
          </w:p>
        </w:tc>
        <w:tc>
          <w:tcPr>
            <w:tcW w:w="455" w:type="pct"/>
            <w:tcBorders>
              <w:top w:val="nil"/>
              <w:left w:val="nil"/>
              <w:bottom w:val="nil"/>
              <w:right w:val="nil"/>
            </w:tcBorders>
            <w:shd w:val="clear" w:color="auto" w:fill="FFFFFF"/>
            <w:tcMar>
              <w:left w:w="67" w:type="dxa"/>
              <w:right w:w="67" w:type="dxa"/>
            </w:tcMar>
          </w:tcPr>
          <w:p w14:paraId="669396A2"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-4.06</w:t>
            </w:r>
          </w:p>
        </w:tc>
        <w:tc>
          <w:tcPr>
            <w:tcW w:w="455" w:type="pct"/>
            <w:tcBorders>
              <w:top w:val="nil"/>
              <w:left w:val="nil"/>
              <w:bottom w:val="nil"/>
              <w:right w:val="nil"/>
            </w:tcBorders>
            <w:shd w:val="clear" w:color="auto" w:fill="FFFFFF"/>
            <w:tcMar>
              <w:left w:w="67" w:type="dxa"/>
              <w:right w:w="67" w:type="dxa"/>
            </w:tcMar>
          </w:tcPr>
          <w:p w14:paraId="4706BDB6"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-7.55</w:t>
            </w:r>
          </w:p>
        </w:tc>
        <w:tc>
          <w:tcPr>
            <w:tcW w:w="455" w:type="pct"/>
            <w:tcBorders>
              <w:top w:val="nil"/>
              <w:left w:val="nil"/>
              <w:bottom w:val="nil"/>
              <w:right w:val="nil"/>
            </w:tcBorders>
            <w:shd w:val="clear" w:color="auto" w:fill="FFFFFF"/>
            <w:tcMar>
              <w:left w:w="67" w:type="dxa"/>
              <w:right w:w="67" w:type="dxa"/>
            </w:tcMar>
          </w:tcPr>
          <w:p w14:paraId="68A8C86E"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-0.57</w:t>
            </w:r>
          </w:p>
        </w:tc>
        <w:tc>
          <w:tcPr>
            <w:tcW w:w="369" w:type="pct"/>
            <w:tcBorders>
              <w:top w:val="nil"/>
              <w:left w:val="nil"/>
              <w:bottom w:val="nil"/>
              <w:right w:val="nil"/>
            </w:tcBorders>
            <w:shd w:val="clear" w:color="auto" w:fill="FFFFFF"/>
            <w:tcMar>
              <w:left w:w="67" w:type="dxa"/>
              <w:right w:w="67" w:type="dxa"/>
            </w:tcMar>
          </w:tcPr>
          <w:p w14:paraId="2E1E1195"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0.023</w:t>
            </w:r>
          </w:p>
        </w:tc>
        <w:tc>
          <w:tcPr>
            <w:tcW w:w="458" w:type="pct"/>
            <w:tcBorders>
              <w:top w:val="nil"/>
              <w:left w:val="nil"/>
              <w:bottom w:val="nil"/>
              <w:right w:val="nil"/>
            </w:tcBorders>
            <w:shd w:val="clear" w:color="auto" w:fill="FFFFFF"/>
            <w:tcMar>
              <w:left w:w="67" w:type="dxa"/>
              <w:right w:w="67" w:type="dxa"/>
            </w:tcMar>
          </w:tcPr>
          <w:p w14:paraId="52955100"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0.016</w:t>
            </w:r>
          </w:p>
        </w:tc>
        <w:tc>
          <w:tcPr>
            <w:tcW w:w="380" w:type="pct"/>
            <w:tcBorders>
              <w:top w:val="nil"/>
              <w:left w:val="nil"/>
              <w:bottom w:val="nil"/>
              <w:right w:val="nil"/>
            </w:tcBorders>
            <w:shd w:val="clear" w:color="auto" w:fill="FFFFFF"/>
          </w:tcPr>
          <w:p w14:paraId="45515EF7"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0.001</w:t>
            </w:r>
          </w:p>
        </w:tc>
        <w:tc>
          <w:tcPr>
            <w:tcW w:w="196" w:type="pct"/>
            <w:tcBorders>
              <w:top w:val="nil"/>
              <w:left w:val="nil"/>
              <w:bottom w:val="nil"/>
              <w:right w:val="nil"/>
            </w:tcBorders>
            <w:shd w:val="clear" w:color="auto" w:fill="FFFFFF"/>
            <w:tcMar>
              <w:left w:w="67" w:type="dxa"/>
              <w:right w:w="67" w:type="dxa"/>
            </w:tcMar>
          </w:tcPr>
          <w:p w14:paraId="5DB50E22"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365</w:t>
            </w:r>
          </w:p>
        </w:tc>
      </w:tr>
      <w:tr w:rsidR="002E6044" w:rsidRPr="00563AD3" w14:paraId="566551DC" w14:textId="77777777" w:rsidTr="00DC1D91">
        <w:trPr>
          <w:cantSplit/>
          <w:jc w:val="center"/>
        </w:trPr>
        <w:tc>
          <w:tcPr>
            <w:tcW w:w="1470" w:type="pct"/>
            <w:tcBorders>
              <w:top w:val="nil"/>
              <w:left w:val="nil"/>
              <w:bottom w:val="nil"/>
              <w:right w:val="nil"/>
            </w:tcBorders>
            <w:shd w:val="clear" w:color="auto" w:fill="FFFFFF"/>
            <w:tcMar>
              <w:left w:w="67" w:type="dxa"/>
              <w:right w:w="67" w:type="dxa"/>
            </w:tcMar>
          </w:tcPr>
          <w:p w14:paraId="4D4D7717" w14:textId="77777777" w:rsidR="002E6044" w:rsidRPr="00563AD3" w:rsidRDefault="002E6044" w:rsidP="009B13F3">
            <w:pPr>
              <w:spacing w:after="0"/>
              <w:rPr>
                <w:rFonts w:eastAsia="Times New Roman"/>
                <w:color w:val="000000"/>
                <w:sz w:val="20"/>
                <w:szCs w:val="20"/>
              </w:rPr>
            </w:pPr>
            <w:r w:rsidRPr="00563AD3">
              <w:rPr>
                <w:rFonts w:eastAsia="Times New Roman"/>
                <w:color w:val="000000"/>
                <w:sz w:val="20"/>
                <w:szCs w:val="20"/>
              </w:rPr>
              <w:t>4e. PAS (AM)</w:t>
            </w:r>
          </w:p>
        </w:tc>
        <w:tc>
          <w:tcPr>
            <w:tcW w:w="307" w:type="pct"/>
            <w:tcBorders>
              <w:top w:val="nil"/>
              <w:left w:val="nil"/>
              <w:bottom w:val="nil"/>
              <w:right w:val="nil"/>
            </w:tcBorders>
            <w:shd w:val="clear" w:color="auto" w:fill="FFFFFF"/>
          </w:tcPr>
          <w:p w14:paraId="2FDE8A0B"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0.93</w:t>
            </w:r>
          </w:p>
        </w:tc>
        <w:tc>
          <w:tcPr>
            <w:tcW w:w="455" w:type="pct"/>
            <w:tcBorders>
              <w:top w:val="nil"/>
              <w:left w:val="nil"/>
              <w:bottom w:val="nil"/>
              <w:right w:val="nil"/>
            </w:tcBorders>
            <w:shd w:val="clear" w:color="auto" w:fill="FFFFFF"/>
          </w:tcPr>
          <w:p w14:paraId="076295ED"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0.73</w:t>
            </w:r>
          </w:p>
        </w:tc>
        <w:tc>
          <w:tcPr>
            <w:tcW w:w="455" w:type="pct"/>
            <w:tcBorders>
              <w:top w:val="nil"/>
              <w:left w:val="nil"/>
              <w:bottom w:val="nil"/>
              <w:right w:val="nil"/>
            </w:tcBorders>
            <w:shd w:val="clear" w:color="auto" w:fill="FFFFFF"/>
            <w:tcMar>
              <w:left w:w="67" w:type="dxa"/>
              <w:right w:w="67" w:type="dxa"/>
            </w:tcMar>
          </w:tcPr>
          <w:p w14:paraId="6C1E54F9"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-0.20</w:t>
            </w:r>
          </w:p>
        </w:tc>
        <w:tc>
          <w:tcPr>
            <w:tcW w:w="455" w:type="pct"/>
            <w:tcBorders>
              <w:top w:val="nil"/>
              <w:left w:val="nil"/>
              <w:bottom w:val="nil"/>
              <w:right w:val="nil"/>
            </w:tcBorders>
            <w:shd w:val="clear" w:color="auto" w:fill="FFFFFF"/>
            <w:tcMar>
              <w:left w:w="67" w:type="dxa"/>
              <w:right w:w="67" w:type="dxa"/>
            </w:tcMar>
          </w:tcPr>
          <w:p w14:paraId="62AED748"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-0.67</w:t>
            </w:r>
          </w:p>
        </w:tc>
        <w:tc>
          <w:tcPr>
            <w:tcW w:w="455" w:type="pct"/>
            <w:tcBorders>
              <w:top w:val="nil"/>
              <w:left w:val="nil"/>
              <w:bottom w:val="nil"/>
              <w:right w:val="nil"/>
            </w:tcBorders>
            <w:shd w:val="clear" w:color="auto" w:fill="FFFFFF"/>
            <w:tcMar>
              <w:left w:w="67" w:type="dxa"/>
              <w:right w:w="67" w:type="dxa"/>
            </w:tcMar>
          </w:tcPr>
          <w:p w14:paraId="6885C4B0"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0.27</w:t>
            </w:r>
          </w:p>
        </w:tc>
        <w:tc>
          <w:tcPr>
            <w:tcW w:w="369" w:type="pct"/>
            <w:tcBorders>
              <w:top w:val="nil"/>
              <w:left w:val="nil"/>
              <w:bottom w:val="nil"/>
              <w:right w:val="nil"/>
            </w:tcBorders>
            <w:shd w:val="clear" w:color="auto" w:fill="FFFFFF"/>
            <w:tcMar>
              <w:left w:w="67" w:type="dxa"/>
              <w:right w:w="67" w:type="dxa"/>
            </w:tcMar>
          </w:tcPr>
          <w:p w14:paraId="6ED7847A"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0.402</w:t>
            </w:r>
          </w:p>
        </w:tc>
        <w:tc>
          <w:tcPr>
            <w:tcW w:w="458" w:type="pct"/>
            <w:tcBorders>
              <w:top w:val="nil"/>
              <w:left w:val="nil"/>
              <w:bottom w:val="nil"/>
              <w:right w:val="nil"/>
            </w:tcBorders>
            <w:shd w:val="clear" w:color="auto" w:fill="FFFFFF"/>
            <w:tcMar>
              <w:left w:w="67" w:type="dxa"/>
              <w:right w:w="67" w:type="dxa"/>
            </w:tcMar>
          </w:tcPr>
          <w:p w14:paraId="5D0235C7"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0.166</w:t>
            </w:r>
          </w:p>
        </w:tc>
        <w:tc>
          <w:tcPr>
            <w:tcW w:w="380" w:type="pct"/>
            <w:tcBorders>
              <w:top w:val="nil"/>
              <w:left w:val="nil"/>
              <w:bottom w:val="nil"/>
              <w:right w:val="nil"/>
            </w:tcBorders>
            <w:shd w:val="clear" w:color="auto" w:fill="FFFFFF"/>
          </w:tcPr>
          <w:p w14:paraId="38D5FE11"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0.011</w:t>
            </w:r>
          </w:p>
        </w:tc>
        <w:tc>
          <w:tcPr>
            <w:tcW w:w="196" w:type="pct"/>
            <w:tcBorders>
              <w:top w:val="nil"/>
              <w:left w:val="nil"/>
              <w:bottom w:val="nil"/>
              <w:right w:val="nil"/>
            </w:tcBorders>
            <w:shd w:val="clear" w:color="auto" w:fill="FFFFFF"/>
            <w:tcMar>
              <w:left w:w="67" w:type="dxa"/>
              <w:right w:w="67" w:type="dxa"/>
            </w:tcMar>
          </w:tcPr>
          <w:p w14:paraId="0480A5CD"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675</w:t>
            </w:r>
          </w:p>
        </w:tc>
      </w:tr>
      <w:tr w:rsidR="002E6044" w:rsidRPr="00563AD3" w14:paraId="7FE29E53" w14:textId="77777777" w:rsidTr="00DC1D91">
        <w:trPr>
          <w:cantSplit/>
          <w:jc w:val="center"/>
        </w:trPr>
        <w:tc>
          <w:tcPr>
            <w:tcW w:w="1470" w:type="pct"/>
            <w:tcBorders>
              <w:top w:val="nil"/>
              <w:left w:val="nil"/>
              <w:bottom w:val="nil"/>
              <w:right w:val="nil"/>
            </w:tcBorders>
            <w:shd w:val="clear" w:color="auto" w:fill="FFFFFF"/>
            <w:tcMar>
              <w:left w:w="67" w:type="dxa"/>
              <w:right w:w="67" w:type="dxa"/>
            </w:tcMar>
          </w:tcPr>
          <w:p w14:paraId="08023B18" w14:textId="77777777" w:rsidR="002E6044" w:rsidRPr="00563AD3" w:rsidRDefault="002E6044" w:rsidP="009B13F3">
            <w:pPr>
              <w:spacing w:after="0"/>
              <w:rPr>
                <w:rFonts w:eastAsia="Times New Roman"/>
                <w:color w:val="000000"/>
                <w:sz w:val="20"/>
                <w:szCs w:val="20"/>
              </w:rPr>
            </w:pPr>
            <w:r w:rsidRPr="00563AD3">
              <w:rPr>
                <w:rFonts w:eastAsia="Times New Roman"/>
                <w:color w:val="000000"/>
                <w:sz w:val="20"/>
                <w:szCs w:val="20"/>
              </w:rPr>
              <w:t>4f. CMAI on subset with PAS (AM)</w:t>
            </w:r>
          </w:p>
        </w:tc>
        <w:tc>
          <w:tcPr>
            <w:tcW w:w="307" w:type="pct"/>
            <w:tcBorders>
              <w:top w:val="nil"/>
              <w:left w:val="nil"/>
              <w:bottom w:val="nil"/>
              <w:right w:val="nil"/>
            </w:tcBorders>
            <w:shd w:val="clear" w:color="auto" w:fill="FFFFFF"/>
          </w:tcPr>
          <w:p w14:paraId="58A1B6D9"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47.49</w:t>
            </w:r>
          </w:p>
        </w:tc>
        <w:tc>
          <w:tcPr>
            <w:tcW w:w="455" w:type="pct"/>
            <w:tcBorders>
              <w:top w:val="nil"/>
              <w:left w:val="nil"/>
              <w:bottom w:val="nil"/>
              <w:right w:val="nil"/>
            </w:tcBorders>
            <w:shd w:val="clear" w:color="auto" w:fill="FFFFFF"/>
          </w:tcPr>
          <w:p w14:paraId="4EF08656"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43.43</w:t>
            </w:r>
          </w:p>
        </w:tc>
        <w:tc>
          <w:tcPr>
            <w:tcW w:w="455" w:type="pct"/>
            <w:tcBorders>
              <w:top w:val="nil"/>
              <w:left w:val="nil"/>
              <w:bottom w:val="nil"/>
              <w:right w:val="nil"/>
            </w:tcBorders>
            <w:shd w:val="clear" w:color="auto" w:fill="FFFFFF"/>
            <w:tcMar>
              <w:left w:w="67" w:type="dxa"/>
              <w:right w:w="67" w:type="dxa"/>
            </w:tcMar>
          </w:tcPr>
          <w:p w14:paraId="7C5E7378"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-4.06</w:t>
            </w:r>
          </w:p>
        </w:tc>
        <w:tc>
          <w:tcPr>
            <w:tcW w:w="455" w:type="pct"/>
            <w:tcBorders>
              <w:top w:val="nil"/>
              <w:left w:val="nil"/>
              <w:bottom w:val="nil"/>
              <w:right w:val="nil"/>
            </w:tcBorders>
            <w:shd w:val="clear" w:color="auto" w:fill="FFFFFF"/>
            <w:tcMar>
              <w:left w:w="67" w:type="dxa"/>
              <w:right w:w="67" w:type="dxa"/>
            </w:tcMar>
          </w:tcPr>
          <w:p w14:paraId="4E80C7D1"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-7.55</w:t>
            </w:r>
          </w:p>
        </w:tc>
        <w:tc>
          <w:tcPr>
            <w:tcW w:w="455" w:type="pct"/>
            <w:tcBorders>
              <w:top w:val="nil"/>
              <w:left w:val="nil"/>
              <w:bottom w:val="nil"/>
              <w:right w:val="nil"/>
            </w:tcBorders>
            <w:shd w:val="clear" w:color="auto" w:fill="FFFFFF"/>
            <w:tcMar>
              <w:left w:w="67" w:type="dxa"/>
              <w:right w:w="67" w:type="dxa"/>
            </w:tcMar>
          </w:tcPr>
          <w:p w14:paraId="3D7E7544"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-0.57</w:t>
            </w:r>
          </w:p>
        </w:tc>
        <w:tc>
          <w:tcPr>
            <w:tcW w:w="369" w:type="pct"/>
            <w:tcBorders>
              <w:top w:val="nil"/>
              <w:left w:val="nil"/>
              <w:bottom w:val="nil"/>
              <w:right w:val="nil"/>
            </w:tcBorders>
            <w:shd w:val="clear" w:color="auto" w:fill="FFFFFF"/>
            <w:tcMar>
              <w:left w:w="67" w:type="dxa"/>
              <w:right w:w="67" w:type="dxa"/>
            </w:tcMar>
          </w:tcPr>
          <w:p w14:paraId="37659176"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0.023</w:t>
            </w:r>
          </w:p>
        </w:tc>
        <w:tc>
          <w:tcPr>
            <w:tcW w:w="458" w:type="pct"/>
            <w:tcBorders>
              <w:top w:val="nil"/>
              <w:left w:val="nil"/>
              <w:bottom w:val="nil"/>
              <w:right w:val="nil"/>
            </w:tcBorders>
            <w:shd w:val="clear" w:color="auto" w:fill="FFFFFF"/>
            <w:tcMar>
              <w:left w:w="67" w:type="dxa"/>
              <w:right w:w="67" w:type="dxa"/>
            </w:tcMar>
          </w:tcPr>
          <w:p w14:paraId="4E8A3AF3"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0.016</w:t>
            </w:r>
          </w:p>
        </w:tc>
        <w:tc>
          <w:tcPr>
            <w:tcW w:w="380" w:type="pct"/>
            <w:tcBorders>
              <w:top w:val="nil"/>
              <w:left w:val="nil"/>
              <w:bottom w:val="nil"/>
              <w:right w:val="nil"/>
            </w:tcBorders>
            <w:shd w:val="clear" w:color="auto" w:fill="FFFFFF"/>
          </w:tcPr>
          <w:p w14:paraId="28046960"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0.001</w:t>
            </w:r>
          </w:p>
        </w:tc>
        <w:tc>
          <w:tcPr>
            <w:tcW w:w="196" w:type="pct"/>
            <w:tcBorders>
              <w:top w:val="nil"/>
              <w:left w:val="nil"/>
              <w:bottom w:val="nil"/>
              <w:right w:val="nil"/>
            </w:tcBorders>
            <w:shd w:val="clear" w:color="auto" w:fill="FFFFFF"/>
            <w:tcMar>
              <w:left w:w="67" w:type="dxa"/>
              <w:right w:w="67" w:type="dxa"/>
            </w:tcMar>
          </w:tcPr>
          <w:p w14:paraId="4C4B4D55"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365</w:t>
            </w:r>
          </w:p>
        </w:tc>
      </w:tr>
      <w:tr w:rsidR="002E6044" w:rsidRPr="00563AD3" w14:paraId="3C8EFE71" w14:textId="77777777" w:rsidTr="00DC1D91">
        <w:trPr>
          <w:cantSplit/>
          <w:jc w:val="center"/>
        </w:trPr>
        <w:tc>
          <w:tcPr>
            <w:tcW w:w="1470" w:type="pct"/>
            <w:tcBorders>
              <w:top w:val="nil"/>
              <w:left w:val="nil"/>
              <w:bottom w:val="nil"/>
              <w:right w:val="nil"/>
            </w:tcBorders>
            <w:shd w:val="clear" w:color="auto" w:fill="FFFFFF"/>
            <w:tcMar>
              <w:left w:w="67" w:type="dxa"/>
              <w:right w:w="67" w:type="dxa"/>
            </w:tcMar>
          </w:tcPr>
          <w:p w14:paraId="33E0DE4C" w14:textId="77777777" w:rsidR="002E6044" w:rsidRPr="00563AD3" w:rsidRDefault="002E6044" w:rsidP="009B13F3">
            <w:pPr>
              <w:spacing w:after="0"/>
              <w:rPr>
                <w:rFonts w:eastAsia="Times New Roman"/>
                <w:color w:val="000000"/>
                <w:sz w:val="20"/>
                <w:szCs w:val="20"/>
              </w:rPr>
            </w:pPr>
            <w:r w:rsidRPr="00563AD3">
              <w:rPr>
                <w:rFonts w:eastAsia="Times New Roman"/>
                <w:color w:val="000000"/>
                <w:sz w:val="20"/>
                <w:szCs w:val="20"/>
              </w:rPr>
              <w:t>4g. PAS (PM)</w:t>
            </w:r>
          </w:p>
        </w:tc>
        <w:tc>
          <w:tcPr>
            <w:tcW w:w="307" w:type="pct"/>
            <w:tcBorders>
              <w:top w:val="nil"/>
              <w:left w:val="nil"/>
              <w:bottom w:val="nil"/>
              <w:right w:val="nil"/>
            </w:tcBorders>
            <w:shd w:val="clear" w:color="auto" w:fill="FFFFFF"/>
          </w:tcPr>
          <w:p w14:paraId="54BCE519"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1.17</w:t>
            </w:r>
          </w:p>
        </w:tc>
        <w:tc>
          <w:tcPr>
            <w:tcW w:w="455" w:type="pct"/>
            <w:tcBorders>
              <w:top w:val="nil"/>
              <w:left w:val="nil"/>
              <w:bottom w:val="nil"/>
              <w:right w:val="nil"/>
            </w:tcBorders>
            <w:shd w:val="clear" w:color="auto" w:fill="FFFFFF"/>
          </w:tcPr>
          <w:p w14:paraId="6DADC19A"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0.89</w:t>
            </w:r>
          </w:p>
        </w:tc>
        <w:tc>
          <w:tcPr>
            <w:tcW w:w="455" w:type="pct"/>
            <w:tcBorders>
              <w:top w:val="nil"/>
              <w:left w:val="nil"/>
              <w:bottom w:val="nil"/>
              <w:right w:val="nil"/>
            </w:tcBorders>
            <w:shd w:val="clear" w:color="auto" w:fill="FFFFFF"/>
            <w:tcMar>
              <w:left w:w="67" w:type="dxa"/>
              <w:right w:w="67" w:type="dxa"/>
            </w:tcMar>
          </w:tcPr>
          <w:p w14:paraId="3DE922C3"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-0.28</w:t>
            </w:r>
          </w:p>
        </w:tc>
        <w:tc>
          <w:tcPr>
            <w:tcW w:w="455" w:type="pct"/>
            <w:tcBorders>
              <w:top w:val="nil"/>
              <w:left w:val="nil"/>
              <w:bottom w:val="nil"/>
              <w:right w:val="nil"/>
            </w:tcBorders>
            <w:shd w:val="clear" w:color="auto" w:fill="FFFFFF"/>
            <w:tcMar>
              <w:left w:w="67" w:type="dxa"/>
              <w:right w:w="67" w:type="dxa"/>
            </w:tcMar>
          </w:tcPr>
          <w:p w14:paraId="33E76962"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-0.96</w:t>
            </w:r>
          </w:p>
        </w:tc>
        <w:tc>
          <w:tcPr>
            <w:tcW w:w="455" w:type="pct"/>
            <w:tcBorders>
              <w:top w:val="nil"/>
              <w:left w:val="nil"/>
              <w:bottom w:val="nil"/>
              <w:right w:val="nil"/>
            </w:tcBorders>
            <w:shd w:val="clear" w:color="auto" w:fill="FFFFFF"/>
            <w:tcMar>
              <w:left w:w="67" w:type="dxa"/>
              <w:right w:w="67" w:type="dxa"/>
            </w:tcMar>
          </w:tcPr>
          <w:p w14:paraId="4FC2A693"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0.41</w:t>
            </w:r>
          </w:p>
        </w:tc>
        <w:tc>
          <w:tcPr>
            <w:tcW w:w="369" w:type="pct"/>
            <w:tcBorders>
              <w:top w:val="nil"/>
              <w:left w:val="nil"/>
              <w:bottom w:val="nil"/>
              <w:right w:val="nil"/>
            </w:tcBorders>
            <w:shd w:val="clear" w:color="auto" w:fill="FFFFFF"/>
            <w:tcMar>
              <w:left w:w="67" w:type="dxa"/>
              <w:right w:w="67" w:type="dxa"/>
            </w:tcMar>
          </w:tcPr>
          <w:p w14:paraId="797D244C"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0.429</w:t>
            </w:r>
          </w:p>
        </w:tc>
        <w:tc>
          <w:tcPr>
            <w:tcW w:w="458" w:type="pct"/>
            <w:tcBorders>
              <w:top w:val="nil"/>
              <w:left w:val="nil"/>
              <w:bottom w:val="nil"/>
              <w:right w:val="nil"/>
            </w:tcBorders>
            <w:shd w:val="clear" w:color="auto" w:fill="FFFFFF"/>
            <w:tcMar>
              <w:left w:w="67" w:type="dxa"/>
              <w:right w:w="67" w:type="dxa"/>
            </w:tcMar>
          </w:tcPr>
          <w:p w14:paraId="50E68213"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0.299</w:t>
            </w:r>
          </w:p>
        </w:tc>
        <w:tc>
          <w:tcPr>
            <w:tcW w:w="380" w:type="pct"/>
            <w:tcBorders>
              <w:top w:val="nil"/>
              <w:left w:val="nil"/>
              <w:bottom w:val="nil"/>
              <w:right w:val="nil"/>
            </w:tcBorders>
            <w:shd w:val="clear" w:color="auto" w:fill="FFFFFF"/>
          </w:tcPr>
          <w:p w14:paraId="36190685"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0.018</w:t>
            </w:r>
          </w:p>
        </w:tc>
        <w:tc>
          <w:tcPr>
            <w:tcW w:w="196" w:type="pct"/>
            <w:tcBorders>
              <w:top w:val="nil"/>
              <w:left w:val="nil"/>
              <w:bottom w:val="nil"/>
              <w:right w:val="nil"/>
            </w:tcBorders>
            <w:shd w:val="clear" w:color="auto" w:fill="FFFFFF"/>
            <w:tcMar>
              <w:left w:w="67" w:type="dxa"/>
              <w:right w:w="67" w:type="dxa"/>
            </w:tcMar>
          </w:tcPr>
          <w:p w14:paraId="791BDA34" w14:textId="77777777" w:rsidR="002E6044" w:rsidRPr="00563AD3" w:rsidRDefault="002E6044" w:rsidP="009B13F3">
            <w:pPr>
              <w:spacing w:after="0"/>
              <w:jc w:val="right"/>
              <w:rPr>
                <w:rFonts w:eastAsia="Times New Roman"/>
                <w:color w:val="000000"/>
                <w:sz w:val="20"/>
                <w:szCs w:val="20"/>
                <w:highlight w:val="yellow"/>
              </w:rPr>
            </w:pPr>
            <w:r w:rsidRPr="00563AD3">
              <w:rPr>
                <w:rFonts w:eastAsia="Calibri"/>
                <w:color w:val="000000"/>
                <w:sz w:val="20"/>
                <w:szCs w:val="20"/>
                <w:lang w:eastAsia="en-US"/>
              </w:rPr>
              <w:t>675</w:t>
            </w:r>
          </w:p>
        </w:tc>
      </w:tr>
      <w:tr w:rsidR="002E6044" w:rsidRPr="00563AD3" w14:paraId="24C1966E" w14:textId="77777777" w:rsidTr="00DC1D91">
        <w:trPr>
          <w:cantSplit/>
          <w:jc w:val="center"/>
        </w:trPr>
        <w:tc>
          <w:tcPr>
            <w:tcW w:w="1470" w:type="pct"/>
            <w:tcBorders>
              <w:top w:val="nil"/>
              <w:left w:val="nil"/>
              <w:bottom w:val="nil"/>
              <w:right w:val="nil"/>
            </w:tcBorders>
            <w:shd w:val="clear" w:color="auto" w:fill="FFFFFF"/>
            <w:tcMar>
              <w:left w:w="67" w:type="dxa"/>
              <w:right w:w="67" w:type="dxa"/>
            </w:tcMar>
          </w:tcPr>
          <w:p w14:paraId="54C41123" w14:textId="77777777" w:rsidR="002E6044" w:rsidRPr="00563AD3" w:rsidRDefault="002E6044" w:rsidP="009B13F3">
            <w:pPr>
              <w:spacing w:after="0"/>
              <w:rPr>
                <w:rFonts w:eastAsia="Times New Roman"/>
                <w:color w:val="000000"/>
                <w:sz w:val="20"/>
                <w:szCs w:val="20"/>
              </w:rPr>
            </w:pPr>
            <w:r w:rsidRPr="00563AD3">
              <w:rPr>
                <w:rFonts w:eastAsia="Times New Roman"/>
                <w:color w:val="000000"/>
                <w:sz w:val="20"/>
                <w:szCs w:val="20"/>
              </w:rPr>
              <w:t>4h. CMAI on subset with PAS (PM)</w:t>
            </w:r>
          </w:p>
        </w:tc>
        <w:tc>
          <w:tcPr>
            <w:tcW w:w="307" w:type="pct"/>
            <w:tcBorders>
              <w:top w:val="nil"/>
              <w:left w:val="nil"/>
              <w:bottom w:val="nil"/>
              <w:right w:val="nil"/>
            </w:tcBorders>
            <w:shd w:val="clear" w:color="auto" w:fill="FFFFFF"/>
          </w:tcPr>
          <w:p w14:paraId="00D24EA0"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47.49</w:t>
            </w:r>
          </w:p>
        </w:tc>
        <w:tc>
          <w:tcPr>
            <w:tcW w:w="455" w:type="pct"/>
            <w:tcBorders>
              <w:top w:val="nil"/>
              <w:left w:val="nil"/>
              <w:bottom w:val="nil"/>
              <w:right w:val="nil"/>
            </w:tcBorders>
            <w:shd w:val="clear" w:color="auto" w:fill="FFFFFF"/>
          </w:tcPr>
          <w:p w14:paraId="1F1EFA9D"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43.43</w:t>
            </w:r>
          </w:p>
        </w:tc>
        <w:tc>
          <w:tcPr>
            <w:tcW w:w="455" w:type="pct"/>
            <w:tcBorders>
              <w:top w:val="nil"/>
              <w:left w:val="nil"/>
              <w:bottom w:val="nil"/>
              <w:right w:val="nil"/>
            </w:tcBorders>
            <w:shd w:val="clear" w:color="auto" w:fill="FFFFFF"/>
            <w:tcMar>
              <w:left w:w="67" w:type="dxa"/>
              <w:right w:w="67" w:type="dxa"/>
            </w:tcMar>
          </w:tcPr>
          <w:p w14:paraId="02810C24"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-4.06</w:t>
            </w:r>
          </w:p>
        </w:tc>
        <w:tc>
          <w:tcPr>
            <w:tcW w:w="455" w:type="pct"/>
            <w:tcBorders>
              <w:top w:val="nil"/>
              <w:left w:val="nil"/>
              <w:bottom w:val="nil"/>
              <w:right w:val="nil"/>
            </w:tcBorders>
            <w:shd w:val="clear" w:color="auto" w:fill="FFFFFF"/>
            <w:tcMar>
              <w:left w:w="67" w:type="dxa"/>
              <w:right w:w="67" w:type="dxa"/>
            </w:tcMar>
          </w:tcPr>
          <w:p w14:paraId="2BBB7B69"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-7.55</w:t>
            </w:r>
          </w:p>
        </w:tc>
        <w:tc>
          <w:tcPr>
            <w:tcW w:w="455" w:type="pct"/>
            <w:tcBorders>
              <w:top w:val="nil"/>
              <w:left w:val="nil"/>
              <w:bottom w:val="nil"/>
              <w:right w:val="nil"/>
            </w:tcBorders>
            <w:shd w:val="clear" w:color="auto" w:fill="FFFFFF"/>
            <w:tcMar>
              <w:left w:w="67" w:type="dxa"/>
              <w:right w:w="67" w:type="dxa"/>
            </w:tcMar>
          </w:tcPr>
          <w:p w14:paraId="527A416D"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-0.57</w:t>
            </w:r>
          </w:p>
        </w:tc>
        <w:tc>
          <w:tcPr>
            <w:tcW w:w="369" w:type="pct"/>
            <w:tcBorders>
              <w:top w:val="nil"/>
              <w:left w:val="nil"/>
              <w:bottom w:val="nil"/>
              <w:right w:val="nil"/>
            </w:tcBorders>
            <w:shd w:val="clear" w:color="auto" w:fill="FFFFFF"/>
            <w:tcMar>
              <w:left w:w="67" w:type="dxa"/>
              <w:right w:w="67" w:type="dxa"/>
            </w:tcMar>
          </w:tcPr>
          <w:p w14:paraId="372CD65E"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0.023</w:t>
            </w:r>
          </w:p>
        </w:tc>
        <w:tc>
          <w:tcPr>
            <w:tcW w:w="458" w:type="pct"/>
            <w:tcBorders>
              <w:top w:val="nil"/>
              <w:left w:val="nil"/>
              <w:bottom w:val="nil"/>
              <w:right w:val="nil"/>
            </w:tcBorders>
            <w:shd w:val="clear" w:color="auto" w:fill="FFFFFF"/>
            <w:tcMar>
              <w:left w:w="67" w:type="dxa"/>
              <w:right w:w="67" w:type="dxa"/>
            </w:tcMar>
          </w:tcPr>
          <w:p w14:paraId="4E289530"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0.016</w:t>
            </w:r>
          </w:p>
        </w:tc>
        <w:tc>
          <w:tcPr>
            <w:tcW w:w="380" w:type="pct"/>
            <w:tcBorders>
              <w:top w:val="nil"/>
              <w:left w:val="nil"/>
              <w:bottom w:val="nil"/>
              <w:right w:val="nil"/>
            </w:tcBorders>
            <w:shd w:val="clear" w:color="auto" w:fill="FFFFFF"/>
          </w:tcPr>
          <w:p w14:paraId="05F01F65"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0.001</w:t>
            </w:r>
          </w:p>
        </w:tc>
        <w:tc>
          <w:tcPr>
            <w:tcW w:w="196" w:type="pct"/>
            <w:tcBorders>
              <w:top w:val="nil"/>
              <w:left w:val="nil"/>
              <w:bottom w:val="nil"/>
              <w:right w:val="nil"/>
            </w:tcBorders>
            <w:shd w:val="clear" w:color="auto" w:fill="FFFFFF"/>
            <w:tcMar>
              <w:left w:w="67" w:type="dxa"/>
              <w:right w:w="67" w:type="dxa"/>
            </w:tcMar>
          </w:tcPr>
          <w:p w14:paraId="67F107B5"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365</w:t>
            </w:r>
          </w:p>
        </w:tc>
      </w:tr>
      <w:tr w:rsidR="002E6044" w:rsidRPr="00563AD3" w14:paraId="41CD38C0" w14:textId="77777777" w:rsidTr="00DC1D91">
        <w:trPr>
          <w:cantSplit/>
          <w:jc w:val="center"/>
        </w:trPr>
        <w:tc>
          <w:tcPr>
            <w:tcW w:w="1470" w:type="pct"/>
            <w:tcBorders>
              <w:top w:val="nil"/>
              <w:left w:val="nil"/>
              <w:bottom w:val="single" w:sz="4" w:space="0" w:color="auto"/>
              <w:right w:val="nil"/>
            </w:tcBorders>
            <w:shd w:val="clear" w:color="auto" w:fill="FFFFFF"/>
            <w:tcMar>
              <w:left w:w="67" w:type="dxa"/>
              <w:right w:w="67" w:type="dxa"/>
            </w:tcMar>
          </w:tcPr>
          <w:p w14:paraId="31B4AE1D" w14:textId="7EFCC584" w:rsidR="002E6044" w:rsidRPr="00563AD3" w:rsidRDefault="002E6044" w:rsidP="009B13F3">
            <w:pPr>
              <w:spacing w:after="0"/>
              <w:rPr>
                <w:rFonts w:eastAsia="Times New Roman"/>
                <w:color w:val="000000"/>
                <w:sz w:val="20"/>
                <w:szCs w:val="20"/>
              </w:rPr>
            </w:pPr>
            <w:r w:rsidRPr="00563AD3">
              <w:rPr>
                <w:rFonts w:eastAsia="Times New Roman"/>
                <w:color w:val="000000"/>
                <w:sz w:val="20"/>
                <w:szCs w:val="20"/>
              </w:rPr>
              <w:t>5. CMAI at 16</w:t>
            </w:r>
            <w:r w:rsidR="00B80810">
              <w:rPr>
                <w:rFonts w:eastAsia="Times New Roman"/>
                <w:color w:val="000000"/>
                <w:sz w:val="20"/>
                <w:szCs w:val="20"/>
              </w:rPr>
              <w:t>-months</w:t>
            </w:r>
            <w:r w:rsidRPr="00563AD3">
              <w:rPr>
                <w:rFonts w:eastAsia="Times New Roman"/>
                <w:color w:val="000000"/>
                <w:sz w:val="20"/>
                <w:szCs w:val="20"/>
              </w:rPr>
              <w:t xml:space="preserve"> (closed-cohort)</w:t>
            </w:r>
          </w:p>
        </w:tc>
        <w:tc>
          <w:tcPr>
            <w:tcW w:w="307" w:type="pct"/>
            <w:tcBorders>
              <w:top w:val="nil"/>
              <w:left w:val="nil"/>
              <w:bottom w:val="single" w:sz="4" w:space="0" w:color="auto"/>
              <w:right w:val="nil"/>
            </w:tcBorders>
            <w:shd w:val="clear" w:color="auto" w:fill="FFFFFF"/>
          </w:tcPr>
          <w:p w14:paraId="7B885231"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46.4</w:t>
            </w:r>
          </w:p>
        </w:tc>
        <w:tc>
          <w:tcPr>
            <w:tcW w:w="455" w:type="pct"/>
            <w:tcBorders>
              <w:top w:val="nil"/>
              <w:left w:val="nil"/>
              <w:bottom w:val="single" w:sz="4" w:space="0" w:color="auto"/>
              <w:right w:val="nil"/>
            </w:tcBorders>
            <w:shd w:val="clear" w:color="auto" w:fill="FFFFFF"/>
          </w:tcPr>
          <w:p w14:paraId="37C622D4"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43.16</w:t>
            </w:r>
          </w:p>
        </w:tc>
        <w:tc>
          <w:tcPr>
            <w:tcW w:w="455" w:type="pct"/>
            <w:tcBorders>
              <w:top w:val="nil"/>
              <w:left w:val="nil"/>
              <w:bottom w:val="single" w:sz="4" w:space="0" w:color="auto"/>
              <w:right w:val="nil"/>
            </w:tcBorders>
            <w:shd w:val="clear" w:color="auto" w:fill="FFFFFF"/>
            <w:tcMar>
              <w:left w:w="67" w:type="dxa"/>
              <w:right w:w="67" w:type="dxa"/>
            </w:tcMar>
          </w:tcPr>
          <w:p w14:paraId="4732F0C3"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-3.25</w:t>
            </w:r>
          </w:p>
        </w:tc>
        <w:tc>
          <w:tcPr>
            <w:tcW w:w="455" w:type="pct"/>
            <w:tcBorders>
              <w:top w:val="nil"/>
              <w:left w:val="nil"/>
              <w:bottom w:val="single" w:sz="4" w:space="0" w:color="auto"/>
              <w:right w:val="nil"/>
            </w:tcBorders>
            <w:shd w:val="clear" w:color="auto" w:fill="FFFFFF"/>
            <w:tcMar>
              <w:left w:w="67" w:type="dxa"/>
              <w:right w:w="67" w:type="dxa"/>
            </w:tcMar>
          </w:tcPr>
          <w:p w14:paraId="084B4934"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-6.13</w:t>
            </w:r>
          </w:p>
        </w:tc>
        <w:tc>
          <w:tcPr>
            <w:tcW w:w="455" w:type="pct"/>
            <w:tcBorders>
              <w:top w:val="nil"/>
              <w:left w:val="nil"/>
              <w:bottom w:val="single" w:sz="4" w:space="0" w:color="auto"/>
              <w:right w:val="nil"/>
            </w:tcBorders>
            <w:shd w:val="clear" w:color="auto" w:fill="FFFFFF"/>
            <w:tcMar>
              <w:left w:w="67" w:type="dxa"/>
              <w:right w:w="67" w:type="dxa"/>
            </w:tcMar>
          </w:tcPr>
          <w:p w14:paraId="4B43F3A2"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-0.37</w:t>
            </w:r>
          </w:p>
        </w:tc>
        <w:tc>
          <w:tcPr>
            <w:tcW w:w="369" w:type="pct"/>
            <w:tcBorders>
              <w:top w:val="nil"/>
              <w:left w:val="nil"/>
              <w:bottom w:val="single" w:sz="4" w:space="0" w:color="auto"/>
              <w:right w:val="nil"/>
            </w:tcBorders>
            <w:shd w:val="clear" w:color="auto" w:fill="FFFFFF"/>
            <w:tcMar>
              <w:left w:w="67" w:type="dxa"/>
              <w:right w:w="67" w:type="dxa"/>
            </w:tcMar>
          </w:tcPr>
          <w:p w14:paraId="08E659FB"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0.027</w:t>
            </w:r>
          </w:p>
        </w:tc>
        <w:tc>
          <w:tcPr>
            <w:tcW w:w="458" w:type="pct"/>
            <w:tcBorders>
              <w:top w:val="nil"/>
              <w:left w:val="nil"/>
              <w:bottom w:val="single" w:sz="4" w:space="0" w:color="auto"/>
              <w:right w:val="nil"/>
            </w:tcBorders>
            <w:shd w:val="clear" w:color="auto" w:fill="FFFFFF"/>
            <w:tcMar>
              <w:left w:w="67" w:type="dxa"/>
              <w:right w:w="67" w:type="dxa"/>
            </w:tcMar>
          </w:tcPr>
          <w:p w14:paraId="0816BAA5"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0.013</w:t>
            </w:r>
          </w:p>
        </w:tc>
        <w:tc>
          <w:tcPr>
            <w:tcW w:w="380" w:type="pct"/>
            <w:tcBorders>
              <w:top w:val="nil"/>
              <w:left w:val="nil"/>
              <w:bottom w:val="single" w:sz="4" w:space="0" w:color="auto"/>
              <w:right w:val="nil"/>
            </w:tcBorders>
            <w:shd w:val="clear" w:color="auto" w:fill="FFFFFF"/>
          </w:tcPr>
          <w:p w14:paraId="6B02F1DA"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0.001</w:t>
            </w:r>
          </w:p>
        </w:tc>
        <w:tc>
          <w:tcPr>
            <w:tcW w:w="196" w:type="pct"/>
            <w:tcBorders>
              <w:top w:val="nil"/>
              <w:left w:val="nil"/>
              <w:bottom w:val="single" w:sz="4" w:space="0" w:color="auto"/>
              <w:right w:val="nil"/>
            </w:tcBorders>
            <w:shd w:val="clear" w:color="auto" w:fill="FFFFFF"/>
            <w:tcMar>
              <w:left w:w="67" w:type="dxa"/>
              <w:right w:w="67" w:type="dxa"/>
            </w:tcMar>
          </w:tcPr>
          <w:p w14:paraId="6B0534F3" w14:textId="77777777" w:rsidR="002E6044" w:rsidRPr="00563AD3" w:rsidRDefault="002E6044" w:rsidP="009B13F3">
            <w:pPr>
              <w:spacing w:after="0"/>
              <w:jc w:val="right"/>
              <w:rPr>
                <w:rFonts w:eastAsia="Calibri"/>
                <w:color w:val="000000"/>
                <w:sz w:val="20"/>
                <w:szCs w:val="20"/>
                <w:lang w:eastAsia="en-US"/>
              </w:rPr>
            </w:pPr>
            <w:r w:rsidRPr="00563AD3">
              <w:rPr>
                <w:rFonts w:eastAsia="Calibri"/>
                <w:color w:val="000000"/>
                <w:sz w:val="20"/>
                <w:szCs w:val="20"/>
                <w:lang w:eastAsia="en-US"/>
              </w:rPr>
              <w:t>726</w:t>
            </w:r>
          </w:p>
        </w:tc>
      </w:tr>
      <w:tr w:rsidR="002E6044" w:rsidRPr="00563AD3" w14:paraId="5F56ABAF" w14:textId="77777777" w:rsidTr="005C577F">
        <w:trPr>
          <w:cantSplit/>
          <w:jc w:val="center"/>
        </w:trPr>
        <w:tc>
          <w:tcPr>
            <w:tcW w:w="5000" w:type="pct"/>
            <w:gridSpan w:val="10"/>
            <w:tcBorders>
              <w:top w:val="single" w:sz="4" w:space="0" w:color="auto"/>
              <w:left w:val="nil"/>
              <w:bottom w:val="nil"/>
              <w:right w:val="nil"/>
            </w:tcBorders>
            <w:shd w:val="clear" w:color="auto" w:fill="FFFFFF"/>
            <w:tcMar>
              <w:left w:w="67" w:type="dxa"/>
              <w:right w:w="67" w:type="dxa"/>
            </w:tcMar>
          </w:tcPr>
          <w:p w14:paraId="6567EF5D" w14:textId="77777777" w:rsidR="002E6044" w:rsidRPr="00563AD3" w:rsidRDefault="002E6044" w:rsidP="009B13F3">
            <w:pPr>
              <w:spacing w:after="0"/>
              <w:rPr>
                <w:rFonts w:eastAsia="Calibri"/>
                <w:color w:val="000000"/>
                <w:sz w:val="18"/>
                <w:szCs w:val="18"/>
                <w:lang w:eastAsia="en-US"/>
              </w:rPr>
            </w:pPr>
            <w:r w:rsidRPr="00563AD3">
              <w:rPr>
                <w:rFonts w:eastAsia="Times New Roman"/>
                <w:color w:val="000000"/>
                <w:sz w:val="18"/>
                <w:szCs w:val="18"/>
              </w:rPr>
              <w:t>*eligibility changed in December 2014 after first two care homes randomised</w:t>
            </w:r>
          </w:p>
        </w:tc>
      </w:tr>
    </w:tbl>
    <w:p w14:paraId="6FED7F53" w14:textId="053A7995" w:rsidR="002E6044" w:rsidRPr="00563AD3" w:rsidRDefault="002E6044" w:rsidP="009B13F3">
      <w:pPr>
        <w:pStyle w:val="Tableheading"/>
        <w:sectPr w:rsidR="002E6044" w:rsidRPr="00563AD3" w:rsidSect="00064F63">
          <w:pgSz w:w="16838" w:h="11906" w:orient="landscape"/>
          <w:pgMar w:top="1440" w:right="1440" w:bottom="1440" w:left="1440" w:header="708" w:footer="708" w:gutter="0"/>
          <w:cols w:space="708"/>
          <w:docGrid w:linePitch="360"/>
        </w:sectPr>
      </w:pPr>
    </w:p>
    <w:p w14:paraId="738F53A6" w14:textId="5360297E" w:rsidR="002E6044" w:rsidRPr="00563AD3" w:rsidRDefault="009C4701" w:rsidP="003C2700">
      <w:pPr>
        <w:pStyle w:val="Tableheading"/>
        <w:rPr>
          <w:rFonts w:eastAsia="Calibri"/>
          <w:lang w:eastAsia="en-US"/>
        </w:rPr>
      </w:pPr>
      <w:bookmarkStart w:id="168" w:name="_Ref501009718"/>
      <w:bookmarkStart w:id="169" w:name="_Ref500494069"/>
      <w:r w:rsidRPr="00563AD3">
        <w:t xml:space="preserve"> </w:t>
      </w:r>
      <w:bookmarkStart w:id="170" w:name="_Toc948208"/>
      <w:r w:rsidR="002E6044" w:rsidRPr="00563AD3">
        <w:rPr>
          <w:rFonts w:eastAsia="Calibri"/>
          <w:lang w:eastAsia="en-US"/>
        </w:rPr>
        <w:t xml:space="preserve">Table </w:t>
      </w:r>
      <w:bookmarkEnd w:id="168"/>
      <w:r w:rsidR="002165D7" w:rsidRPr="00563AD3">
        <w:rPr>
          <w:rFonts w:eastAsia="Calibri"/>
          <w:lang w:eastAsia="en-US"/>
        </w:rPr>
        <w:t>11</w:t>
      </w:r>
      <w:r w:rsidR="002E6044" w:rsidRPr="00563AD3">
        <w:rPr>
          <w:rFonts w:eastAsia="Calibri"/>
          <w:lang w:eastAsia="en-US"/>
        </w:rPr>
        <w:t xml:space="preserve">: </w:t>
      </w:r>
      <w:bookmarkEnd w:id="169"/>
      <w:r w:rsidR="002E6044" w:rsidRPr="00563AD3">
        <w:rPr>
          <w:rFonts w:eastAsia="Calibri"/>
          <w:noProof/>
          <w:lang w:eastAsia="en-US"/>
        </w:rPr>
        <w:t>CACE analysis using various scenarios</w:t>
      </w:r>
      <w:bookmarkEnd w:id="170"/>
    </w:p>
    <w:tbl>
      <w:tblPr>
        <w:tblStyle w:val="TableGrid3"/>
        <w:tblW w:w="9783" w:type="dxa"/>
        <w:jc w:val="center"/>
        <w:tblLook w:val="04A0" w:firstRow="1" w:lastRow="0" w:firstColumn="1" w:lastColumn="0" w:noHBand="0" w:noVBand="1"/>
      </w:tblPr>
      <w:tblGrid>
        <w:gridCol w:w="2524"/>
        <w:gridCol w:w="3889"/>
        <w:gridCol w:w="1274"/>
        <w:gridCol w:w="1329"/>
        <w:gridCol w:w="767"/>
      </w:tblGrid>
      <w:tr w:rsidR="002E6044" w:rsidRPr="00D55420" w14:paraId="0BDFF0CA" w14:textId="77777777" w:rsidTr="005C577F">
        <w:trPr>
          <w:jc w:val="center"/>
        </w:trPr>
        <w:tc>
          <w:tcPr>
            <w:tcW w:w="2552" w:type="dxa"/>
            <w:tcBorders>
              <w:top w:val="single" w:sz="4" w:space="0" w:color="auto"/>
              <w:left w:val="nil"/>
              <w:right w:val="nil"/>
            </w:tcBorders>
          </w:tcPr>
          <w:p w14:paraId="5C88ED48" w14:textId="77777777" w:rsidR="002E6044" w:rsidRPr="00D55420" w:rsidRDefault="002E6044" w:rsidP="00D55420">
            <w:pPr>
              <w:autoSpaceDE/>
              <w:autoSpaceDN/>
              <w:adjustRightInd/>
              <w:spacing w:line="240" w:lineRule="auto"/>
              <w:rPr>
                <w:rFonts w:eastAsia="Calibri"/>
                <w:sz w:val="22"/>
                <w:szCs w:val="22"/>
                <w:lang w:eastAsia="en-US"/>
              </w:rPr>
            </w:pPr>
          </w:p>
        </w:tc>
        <w:tc>
          <w:tcPr>
            <w:tcW w:w="3969" w:type="dxa"/>
            <w:tcBorders>
              <w:top w:val="single" w:sz="4" w:space="0" w:color="auto"/>
              <w:left w:val="nil"/>
              <w:right w:val="nil"/>
            </w:tcBorders>
            <w:shd w:val="clear" w:color="auto" w:fill="auto"/>
          </w:tcPr>
          <w:p w14:paraId="0C03C53E" w14:textId="77777777" w:rsidR="002E6044" w:rsidRPr="00D55420" w:rsidRDefault="002E6044" w:rsidP="00D55420">
            <w:pPr>
              <w:autoSpaceDE/>
              <w:autoSpaceDN/>
              <w:adjustRightInd/>
              <w:spacing w:line="240" w:lineRule="auto"/>
              <w:rPr>
                <w:rFonts w:eastAsia="Calibri"/>
                <w:sz w:val="22"/>
                <w:szCs w:val="22"/>
                <w:lang w:eastAsia="en-US"/>
              </w:rPr>
            </w:pPr>
            <w:r w:rsidRPr="00D55420">
              <w:rPr>
                <w:rFonts w:eastAsia="Calibri"/>
                <w:sz w:val="22"/>
                <w:szCs w:val="22"/>
                <w:lang w:eastAsia="en-US"/>
              </w:rPr>
              <w:t>Model</w:t>
            </w:r>
          </w:p>
        </w:tc>
        <w:tc>
          <w:tcPr>
            <w:tcW w:w="1276" w:type="dxa"/>
            <w:tcBorders>
              <w:top w:val="single" w:sz="4" w:space="0" w:color="auto"/>
              <w:left w:val="nil"/>
              <w:right w:val="nil"/>
            </w:tcBorders>
            <w:shd w:val="clear" w:color="auto" w:fill="auto"/>
          </w:tcPr>
          <w:p w14:paraId="07B28616" w14:textId="77777777" w:rsidR="002E6044" w:rsidRPr="00D55420" w:rsidRDefault="002E6044" w:rsidP="00D55420">
            <w:pPr>
              <w:autoSpaceDE/>
              <w:autoSpaceDN/>
              <w:adjustRightInd/>
              <w:spacing w:line="240" w:lineRule="auto"/>
              <w:rPr>
                <w:rFonts w:eastAsia="Calibri"/>
                <w:sz w:val="22"/>
                <w:szCs w:val="22"/>
                <w:lang w:eastAsia="en-US"/>
              </w:rPr>
            </w:pPr>
            <w:r w:rsidRPr="00D55420">
              <w:rPr>
                <w:rFonts w:eastAsia="Calibri"/>
                <w:sz w:val="22"/>
                <w:szCs w:val="22"/>
                <w:lang w:eastAsia="en-US"/>
              </w:rPr>
              <w:t>Treatment Effect (SE)</w:t>
            </w:r>
          </w:p>
        </w:tc>
        <w:tc>
          <w:tcPr>
            <w:tcW w:w="1275" w:type="dxa"/>
            <w:tcBorders>
              <w:top w:val="single" w:sz="4" w:space="0" w:color="auto"/>
              <w:left w:val="nil"/>
              <w:right w:val="nil"/>
            </w:tcBorders>
            <w:shd w:val="clear" w:color="auto" w:fill="auto"/>
          </w:tcPr>
          <w:p w14:paraId="66CEB40F" w14:textId="77777777" w:rsidR="002E6044" w:rsidRPr="00D55420" w:rsidRDefault="002E6044" w:rsidP="00D55420">
            <w:pPr>
              <w:autoSpaceDE/>
              <w:autoSpaceDN/>
              <w:adjustRightInd/>
              <w:spacing w:line="240" w:lineRule="auto"/>
              <w:rPr>
                <w:rFonts w:eastAsia="Calibri"/>
                <w:sz w:val="22"/>
                <w:szCs w:val="22"/>
                <w:lang w:eastAsia="en-US"/>
              </w:rPr>
            </w:pPr>
            <w:r w:rsidRPr="00D55420">
              <w:rPr>
                <w:rFonts w:eastAsia="Calibri"/>
                <w:sz w:val="22"/>
                <w:szCs w:val="22"/>
                <w:lang w:eastAsia="en-US"/>
              </w:rPr>
              <w:t xml:space="preserve">95% </w:t>
            </w:r>
          </w:p>
          <w:p w14:paraId="22DE9AE3" w14:textId="77777777" w:rsidR="002E6044" w:rsidRPr="00D55420" w:rsidRDefault="002E6044" w:rsidP="00D55420">
            <w:pPr>
              <w:autoSpaceDE/>
              <w:autoSpaceDN/>
              <w:adjustRightInd/>
              <w:spacing w:line="240" w:lineRule="auto"/>
              <w:rPr>
                <w:rFonts w:eastAsia="Calibri"/>
                <w:sz w:val="22"/>
                <w:szCs w:val="22"/>
                <w:lang w:eastAsia="en-US"/>
              </w:rPr>
            </w:pPr>
            <w:r w:rsidRPr="00D55420">
              <w:rPr>
                <w:rFonts w:eastAsia="Calibri"/>
                <w:sz w:val="22"/>
                <w:szCs w:val="22"/>
                <w:lang w:eastAsia="en-US"/>
              </w:rPr>
              <w:t>Confidence Interval</w:t>
            </w:r>
          </w:p>
        </w:tc>
        <w:tc>
          <w:tcPr>
            <w:tcW w:w="711" w:type="dxa"/>
            <w:tcBorders>
              <w:top w:val="single" w:sz="4" w:space="0" w:color="auto"/>
              <w:left w:val="nil"/>
              <w:right w:val="nil"/>
            </w:tcBorders>
            <w:shd w:val="clear" w:color="auto" w:fill="auto"/>
          </w:tcPr>
          <w:p w14:paraId="50E8BE78" w14:textId="77777777" w:rsidR="002E6044" w:rsidRPr="00D55420" w:rsidRDefault="002E6044" w:rsidP="00D55420">
            <w:pPr>
              <w:autoSpaceDE/>
              <w:autoSpaceDN/>
              <w:adjustRightInd/>
              <w:spacing w:line="240" w:lineRule="auto"/>
              <w:rPr>
                <w:rFonts w:eastAsia="Calibri"/>
                <w:sz w:val="22"/>
                <w:szCs w:val="22"/>
                <w:lang w:eastAsia="en-US"/>
              </w:rPr>
            </w:pPr>
            <w:r w:rsidRPr="00D55420">
              <w:rPr>
                <w:rFonts w:eastAsia="Calibri"/>
                <w:sz w:val="22"/>
                <w:szCs w:val="22"/>
                <w:lang w:eastAsia="en-US"/>
              </w:rPr>
              <w:t>p-value</w:t>
            </w:r>
          </w:p>
        </w:tc>
      </w:tr>
      <w:tr w:rsidR="002E6044" w:rsidRPr="00D55420" w14:paraId="31BE921B" w14:textId="77777777" w:rsidTr="002E6044">
        <w:trPr>
          <w:jc w:val="center"/>
        </w:trPr>
        <w:tc>
          <w:tcPr>
            <w:tcW w:w="2552" w:type="dxa"/>
            <w:vMerge w:val="restart"/>
            <w:tcBorders>
              <w:left w:val="nil"/>
              <w:right w:val="nil"/>
            </w:tcBorders>
            <w:shd w:val="clear" w:color="auto" w:fill="D9D9D9"/>
          </w:tcPr>
          <w:p w14:paraId="29253E24" w14:textId="77777777" w:rsidR="002E6044" w:rsidRPr="00D55420" w:rsidRDefault="002E6044" w:rsidP="00D55420">
            <w:pPr>
              <w:autoSpaceDE/>
              <w:autoSpaceDN/>
              <w:adjustRightInd/>
              <w:spacing w:line="240" w:lineRule="auto"/>
              <w:rPr>
                <w:rFonts w:eastAsia="Calibri"/>
                <w:sz w:val="22"/>
                <w:szCs w:val="22"/>
                <w:lang w:eastAsia="en-US"/>
              </w:rPr>
            </w:pPr>
            <w:r w:rsidRPr="00D55420">
              <w:rPr>
                <w:rFonts w:eastAsia="Calibri"/>
                <w:b/>
                <w:sz w:val="22"/>
                <w:szCs w:val="22"/>
                <w:lang w:eastAsia="en-US"/>
              </w:rPr>
              <w:t>CACE Analyses (documented and expert evidence), multiple imputation</w:t>
            </w:r>
          </w:p>
        </w:tc>
        <w:tc>
          <w:tcPr>
            <w:tcW w:w="3969" w:type="dxa"/>
            <w:tcBorders>
              <w:left w:val="nil"/>
              <w:bottom w:val="nil"/>
              <w:right w:val="nil"/>
            </w:tcBorders>
            <w:shd w:val="clear" w:color="auto" w:fill="D9D9D9"/>
          </w:tcPr>
          <w:p w14:paraId="14CDACDE" w14:textId="77777777" w:rsidR="002E6044" w:rsidRPr="00D55420" w:rsidRDefault="002E6044" w:rsidP="00D55420">
            <w:pPr>
              <w:autoSpaceDE/>
              <w:autoSpaceDN/>
              <w:adjustRightInd/>
              <w:spacing w:line="240" w:lineRule="auto"/>
              <w:rPr>
                <w:rFonts w:eastAsia="Calibri"/>
                <w:sz w:val="22"/>
                <w:szCs w:val="22"/>
                <w:lang w:eastAsia="en-US"/>
              </w:rPr>
            </w:pPr>
            <w:r w:rsidRPr="00D55420">
              <w:rPr>
                <w:rFonts w:eastAsia="Calibri"/>
                <w:sz w:val="22"/>
                <w:szCs w:val="22"/>
                <w:lang w:eastAsia="en-US"/>
              </w:rPr>
              <w:t>At least one cycle to an acceptable level</w:t>
            </w:r>
          </w:p>
        </w:tc>
        <w:tc>
          <w:tcPr>
            <w:tcW w:w="1276" w:type="dxa"/>
            <w:tcBorders>
              <w:left w:val="nil"/>
              <w:bottom w:val="nil"/>
              <w:right w:val="nil"/>
            </w:tcBorders>
            <w:shd w:val="clear" w:color="auto" w:fill="D9D9D9"/>
          </w:tcPr>
          <w:p w14:paraId="316D868F"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-2.5 (1.5)</w:t>
            </w:r>
          </w:p>
        </w:tc>
        <w:tc>
          <w:tcPr>
            <w:tcW w:w="1275" w:type="dxa"/>
            <w:tcBorders>
              <w:left w:val="nil"/>
              <w:bottom w:val="nil"/>
              <w:right w:val="nil"/>
            </w:tcBorders>
            <w:shd w:val="clear" w:color="auto" w:fill="D9D9D9"/>
          </w:tcPr>
          <w:p w14:paraId="51CFE17B"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-5.4 to 0.4</w:t>
            </w:r>
          </w:p>
        </w:tc>
        <w:tc>
          <w:tcPr>
            <w:tcW w:w="711" w:type="dxa"/>
            <w:tcBorders>
              <w:left w:val="nil"/>
              <w:bottom w:val="nil"/>
              <w:right w:val="nil"/>
            </w:tcBorders>
            <w:shd w:val="clear" w:color="auto" w:fill="D9D9D9"/>
          </w:tcPr>
          <w:p w14:paraId="2F0A1B1A"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0.089</w:t>
            </w:r>
          </w:p>
        </w:tc>
      </w:tr>
      <w:tr w:rsidR="002E6044" w:rsidRPr="00D55420" w14:paraId="78198553" w14:textId="77777777" w:rsidTr="002E6044">
        <w:trPr>
          <w:jc w:val="center"/>
        </w:trPr>
        <w:tc>
          <w:tcPr>
            <w:tcW w:w="2552" w:type="dxa"/>
            <w:vMerge/>
            <w:tcBorders>
              <w:left w:val="nil"/>
              <w:right w:val="nil"/>
            </w:tcBorders>
            <w:shd w:val="clear" w:color="auto" w:fill="D9D9D9"/>
          </w:tcPr>
          <w:p w14:paraId="76F7F198" w14:textId="77777777" w:rsidR="002E6044" w:rsidRPr="00D55420" w:rsidRDefault="002E6044" w:rsidP="00D55420">
            <w:pPr>
              <w:autoSpaceDE/>
              <w:autoSpaceDN/>
              <w:adjustRightInd/>
              <w:spacing w:line="240" w:lineRule="auto"/>
              <w:rPr>
                <w:rFonts w:eastAsia="Calibri"/>
                <w:sz w:val="22"/>
                <w:szCs w:val="22"/>
                <w:lang w:eastAsia="en-US"/>
              </w:rPr>
            </w:pPr>
          </w:p>
        </w:tc>
        <w:tc>
          <w:tcPr>
            <w:tcW w:w="3969" w:type="dxa"/>
            <w:tcBorders>
              <w:top w:val="nil"/>
              <w:left w:val="nil"/>
              <w:bottom w:val="nil"/>
              <w:right w:val="nil"/>
            </w:tcBorders>
            <w:shd w:val="clear" w:color="auto" w:fill="auto"/>
          </w:tcPr>
          <w:p w14:paraId="20FC419E" w14:textId="77777777" w:rsidR="002E6044" w:rsidRPr="00D55420" w:rsidRDefault="002E6044" w:rsidP="00D55420">
            <w:pPr>
              <w:autoSpaceDE/>
              <w:autoSpaceDN/>
              <w:adjustRightInd/>
              <w:spacing w:line="240" w:lineRule="auto"/>
              <w:rPr>
                <w:rFonts w:eastAsia="Calibri"/>
                <w:sz w:val="22"/>
                <w:szCs w:val="22"/>
                <w:lang w:eastAsia="en-US"/>
              </w:rPr>
            </w:pPr>
            <w:r w:rsidRPr="00D55420">
              <w:rPr>
                <w:rFonts w:eastAsia="Calibri"/>
                <w:sz w:val="22"/>
                <w:szCs w:val="22"/>
                <w:lang w:eastAsia="en-US"/>
              </w:rPr>
              <w:t xml:space="preserve">At least one cycle to a partial level </w:t>
            </w:r>
          </w:p>
        </w:tc>
        <w:tc>
          <w:tcPr>
            <w:tcW w:w="1276" w:type="dxa"/>
            <w:tcBorders>
              <w:top w:val="nil"/>
              <w:left w:val="nil"/>
              <w:bottom w:val="nil"/>
              <w:right w:val="nil"/>
            </w:tcBorders>
            <w:shd w:val="clear" w:color="auto" w:fill="auto"/>
          </w:tcPr>
          <w:p w14:paraId="086E055F"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-2.2 (1.3)</w:t>
            </w:r>
          </w:p>
        </w:tc>
        <w:tc>
          <w:tcPr>
            <w:tcW w:w="1275" w:type="dxa"/>
            <w:tcBorders>
              <w:top w:val="nil"/>
              <w:left w:val="nil"/>
              <w:bottom w:val="nil"/>
              <w:right w:val="nil"/>
            </w:tcBorders>
            <w:shd w:val="clear" w:color="auto" w:fill="auto"/>
          </w:tcPr>
          <w:p w14:paraId="7FD0BF1C"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-4.8 to 0.3</w:t>
            </w:r>
          </w:p>
        </w:tc>
        <w:tc>
          <w:tcPr>
            <w:tcW w:w="711" w:type="dxa"/>
            <w:tcBorders>
              <w:top w:val="nil"/>
              <w:left w:val="nil"/>
              <w:bottom w:val="nil"/>
              <w:right w:val="nil"/>
            </w:tcBorders>
            <w:shd w:val="clear" w:color="auto" w:fill="auto"/>
          </w:tcPr>
          <w:p w14:paraId="06409ED2"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0.087</w:t>
            </w:r>
          </w:p>
        </w:tc>
      </w:tr>
      <w:tr w:rsidR="002E6044" w:rsidRPr="00D55420" w14:paraId="4820EABF" w14:textId="77777777" w:rsidTr="002E6044">
        <w:trPr>
          <w:jc w:val="center"/>
        </w:trPr>
        <w:tc>
          <w:tcPr>
            <w:tcW w:w="2552" w:type="dxa"/>
            <w:vMerge/>
            <w:tcBorders>
              <w:left w:val="nil"/>
              <w:right w:val="nil"/>
            </w:tcBorders>
            <w:shd w:val="clear" w:color="auto" w:fill="D9D9D9"/>
          </w:tcPr>
          <w:p w14:paraId="061CB359" w14:textId="77777777" w:rsidR="002E6044" w:rsidRPr="00D55420" w:rsidRDefault="002E6044" w:rsidP="00D55420">
            <w:pPr>
              <w:autoSpaceDE/>
              <w:autoSpaceDN/>
              <w:adjustRightInd/>
              <w:spacing w:line="240" w:lineRule="auto"/>
              <w:rPr>
                <w:rFonts w:eastAsia="Calibri"/>
                <w:sz w:val="22"/>
                <w:szCs w:val="22"/>
                <w:lang w:eastAsia="en-US"/>
              </w:rPr>
            </w:pPr>
          </w:p>
        </w:tc>
        <w:tc>
          <w:tcPr>
            <w:tcW w:w="3969" w:type="dxa"/>
            <w:tcBorders>
              <w:top w:val="nil"/>
              <w:left w:val="nil"/>
              <w:bottom w:val="nil"/>
              <w:right w:val="nil"/>
            </w:tcBorders>
            <w:shd w:val="clear" w:color="auto" w:fill="auto"/>
          </w:tcPr>
          <w:p w14:paraId="161909EB" w14:textId="77777777" w:rsidR="002E6044" w:rsidRPr="00D55420" w:rsidRDefault="002E6044" w:rsidP="00D55420">
            <w:pPr>
              <w:autoSpaceDE/>
              <w:autoSpaceDN/>
              <w:adjustRightInd/>
              <w:spacing w:line="240" w:lineRule="auto"/>
              <w:rPr>
                <w:rFonts w:eastAsia="Calibri"/>
                <w:sz w:val="22"/>
                <w:szCs w:val="22"/>
                <w:lang w:eastAsia="en-US"/>
              </w:rPr>
            </w:pPr>
            <w:r w:rsidRPr="00D55420">
              <w:rPr>
                <w:rFonts w:eastAsia="Calibri"/>
                <w:sz w:val="22"/>
                <w:szCs w:val="22"/>
                <w:lang w:eastAsia="en-US"/>
              </w:rPr>
              <w:t xml:space="preserve">One cycle </w:t>
            </w:r>
            <w:r w:rsidRPr="00D55420">
              <w:rPr>
                <w:rFonts w:eastAsia="Calibri"/>
                <w:b/>
                <w:sz w:val="22"/>
                <w:szCs w:val="22"/>
                <w:lang w:eastAsia="en-US"/>
              </w:rPr>
              <w:t>only</w:t>
            </w:r>
            <w:r w:rsidRPr="00D55420">
              <w:rPr>
                <w:rFonts w:eastAsia="Calibri"/>
                <w:sz w:val="22"/>
                <w:szCs w:val="22"/>
                <w:lang w:eastAsia="en-US"/>
              </w:rPr>
              <w:t xml:space="preserve"> to an acceptable level</w:t>
            </w:r>
          </w:p>
        </w:tc>
        <w:tc>
          <w:tcPr>
            <w:tcW w:w="1276" w:type="dxa"/>
            <w:tcBorders>
              <w:top w:val="nil"/>
              <w:left w:val="nil"/>
              <w:bottom w:val="nil"/>
              <w:right w:val="nil"/>
            </w:tcBorders>
            <w:shd w:val="clear" w:color="auto" w:fill="auto"/>
          </w:tcPr>
          <w:p w14:paraId="599E32C5"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-3.6 (2.2)</w:t>
            </w:r>
          </w:p>
        </w:tc>
        <w:tc>
          <w:tcPr>
            <w:tcW w:w="1275" w:type="dxa"/>
            <w:tcBorders>
              <w:top w:val="nil"/>
              <w:left w:val="nil"/>
              <w:bottom w:val="nil"/>
              <w:right w:val="nil"/>
            </w:tcBorders>
            <w:shd w:val="clear" w:color="auto" w:fill="auto"/>
          </w:tcPr>
          <w:p w14:paraId="250E8476"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 xml:space="preserve">-7.9 to 0.8 </w:t>
            </w:r>
          </w:p>
        </w:tc>
        <w:tc>
          <w:tcPr>
            <w:tcW w:w="711" w:type="dxa"/>
            <w:tcBorders>
              <w:top w:val="nil"/>
              <w:left w:val="nil"/>
              <w:bottom w:val="nil"/>
              <w:right w:val="nil"/>
            </w:tcBorders>
            <w:shd w:val="clear" w:color="auto" w:fill="auto"/>
          </w:tcPr>
          <w:p w14:paraId="38FC74FD"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0.106</w:t>
            </w:r>
          </w:p>
        </w:tc>
      </w:tr>
      <w:tr w:rsidR="002E6044" w:rsidRPr="00D55420" w14:paraId="1556900C" w14:textId="77777777" w:rsidTr="002E6044">
        <w:trPr>
          <w:jc w:val="center"/>
        </w:trPr>
        <w:tc>
          <w:tcPr>
            <w:tcW w:w="2552" w:type="dxa"/>
            <w:vMerge/>
            <w:tcBorders>
              <w:left w:val="nil"/>
              <w:right w:val="nil"/>
            </w:tcBorders>
            <w:shd w:val="clear" w:color="auto" w:fill="D9D9D9"/>
          </w:tcPr>
          <w:p w14:paraId="31DA7D40" w14:textId="77777777" w:rsidR="002E6044" w:rsidRPr="00D55420" w:rsidRDefault="002E6044" w:rsidP="00D55420">
            <w:pPr>
              <w:autoSpaceDE/>
              <w:autoSpaceDN/>
              <w:adjustRightInd/>
              <w:spacing w:line="240" w:lineRule="auto"/>
              <w:rPr>
                <w:rFonts w:eastAsia="Calibri"/>
                <w:sz w:val="22"/>
                <w:szCs w:val="22"/>
                <w:lang w:eastAsia="en-US"/>
              </w:rPr>
            </w:pPr>
          </w:p>
        </w:tc>
        <w:tc>
          <w:tcPr>
            <w:tcW w:w="3969" w:type="dxa"/>
            <w:tcBorders>
              <w:top w:val="nil"/>
              <w:left w:val="nil"/>
              <w:right w:val="nil"/>
            </w:tcBorders>
            <w:shd w:val="clear" w:color="auto" w:fill="auto"/>
          </w:tcPr>
          <w:p w14:paraId="2603CE41" w14:textId="77777777" w:rsidR="002E6044" w:rsidRPr="00D55420" w:rsidRDefault="002E6044" w:rsidP="00D55420">
            <w:pPr>
              <w:autoSpaceDE/>
              <w:autoSpaceDN/>
              <w:adjustRightInd/>
              <w:spacing w:line="240" w:lineRule="auto"/>
              <w:rPr>
                <w:rFonts w:eastAsia="Calibri"/>
                <w:sz w:val="22"/>
                <w:szCs w:val="22"/>
                <w:lang w:eastAsia="en-US"/>
              </w:rPr>
            </w:pPr>
            <w:r w:rsidRPr="00D55420">
              <w:rPr>
                <w:rFonts w:eastAsia="Calibri"/>
                <w:sz w:val="22"/>
                <w:szCs w:val="22"/>
                <w:lang w:eastAsia="en-US"/>
              </w:rPr>
              <w:t>At least two cycles to an acceptable level</w:t>
            </w:r>
          </w:p>
        </w:tc>
        <w:tc>
          <w:tcPr>
            <w:tcW w:w="1276" w:type="dxa"/>
            <w:tcBorders>
              <w:top w:val="nil"/>
              <w:left w:val="nil"/>
              <w:right w:val="nil"/>
            </w:tcBorders>
            <w:shd w:val="clear" w:color="auto" w:fill="auto"/>
          </w:tcPr>
          <w:p w14:paraId="7B0C4A75"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-8.5 (5.3)</w:t>
            </w:r>
          </w:p>
        </w:tc>
        <w:tc>
          <w:tcPr>
            <w:tcW w:w="1275" w:type="dxa"/>
            <w:tcBorders>
              <w:top w:val="nil"/>
              <w:left w:val="nil"/>
              <w:right w:val="nil"/>
            </w:tcBorders>
            <w:shd w:val="clear" w:color="auto" w:fill="auto"/>
          </w:tcPr>
          <w:p w14:paraId="21916936"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-18.9 to 2.0</w:t>
            </w:r>
          </w:p>
        </w:tc>
        <w:tc>
          <w:tcPr>
            <w:tcW w:w="711" w:type="dxa"/>
            <w:tcBorders>
              <w:top w:val="nil"/>
              <w:left w:val="nil"/>
              <w:right w:val="nil"/>
            </w:tcBorders>
            <w:shd w:val="clear" w:color="auto" w:fill="auto"/>
          </w:tcPr>
          <w:p w14:paraId="627DF616"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0.112</w:t>
            </w:r>
          </w:p>
        </w:tc>
      </w:tr>
      <w:tr w:rsidR="002E6044" w:rsidRPr="00D55420" w14:paraId="2442514D" w14:textId="77777777" w:rsidTr="005C577F">
        <w:trPr>
          <w:jc w:val="center"/>
        </w:trPr>
        <w:tc>
          <w:tcPr>
            <w:tcW w:w="2552" w:type="dxa"/>
            <w:vMerge w:val="restart"/>
            <w:tcBorders>
              <w:left w:val="nil"/>
              <w:right w:val="nil"/>
            </w:tcBorders>
          </w:tcPr>
          <w:p w14:paraId="34E0DEF9" w14:textId="77777777" w:rsidR="002E6044" w:rsidRPr="00D55420" w:rsidRDefault="002E6044" w:rsidP="00D55420">
            <w:pPr>
              <w:autoSpaceDE/>
              <w:autoSpaceDN/>
              <w:adjustRightInd/>
              <w:spacing w:line="240" w:lineRule="auto"/>
              <w:rPr>
                <w:rFonts w:eastAsia="Calibri"/>
                <w:sz w:val="22"/>
                <w:szCs w:val="22"/>
                <w:lang w:eastAsia="en-US"/>
              </w:rPr>
            </w:pPr>
            <w:r w:rsidRPr="00D55420">
              <w:rPr>
                <w:rFonts w:eastAsia="Calibri"/>
                <w:b/>
                <w:sz w:val="22"/>
                <w:szCs w:val="22"/>
                <w:lang w:eastAsia="en-US"/>
              </w:rPr>
              <w:t xml:space="preserve">Complete Case CACE Analyses, </w:t>
            </w:r>
            <w:r w:rsidRPr="00D55420">
              <w:rPr>
                <w:rFonts w:eastAsia="Calibri"/>
                <w:sz w:val="22"/>
                <w:szCs w:val="22"/>
                <w:lang w:eastAsia="en-US"/>
              </w:rPr>
              <w:t>sensitivity analyses</w:t>
            </w:r>
          </w:p>
        </w:tc>
        <w:tc>
          <w:tcPr>
            <w:tcW w:w="3969" w:type="dxa"/>
            <w:tcBorders>
              <w:left w:val="nil"/>
              <w:bottom w:val="nil"/>
              <w:right w:val="nil"/>
            </w:tcBorders>
            <w:shd w:val="clear" w:color="auto" w:fill="auto"/>
          </w:tcPr>
          <w:p w14:paraId="31D6BC4B" w14:textId="77777777" w:rsidR="002E6044" w:rsidRPr="00D55420" w:rsidRDefault="002E6044" w:rsidP="00D55420">
            <w:pPr>
              <w:autoSpaceDE/>
              <w:autoSpaceDN/>
              <w:adjustRightInd/>
              <w:spacing w:line="240" w:lineRule="auto"/>
              <w:rPr>
                <w:rFonts w:eastAsia="Calibri"/>
                <w:sz w:val="22"/>
                <w:szCs w:val="22"/>
                <w:lang w:eastAsia="en-US"/>
              </w:rPr>
            </w:pPr>
            <w:r w:rsidRPr="00D55420">
              <w:rPr>
                <w:rFonts w:eastAsia="Calibri"/>
                <w:sz w:val="22"/>
                <w:szCs w:val="22"/>
                <w:lang w:eastAsia="en-US"/>
              </w:rPr>
              <w:t>At least one cycle to an acceptable level</w:t>
            </w:r>
          </w:p>
        </w:tc>
        <w:tc>
          <w:tcPr>
            <w:tcW w:w="1276" w:type="dxa"/>
            <w:tcBorders>
              <w:left w:val="nil"/>
              <w:bottom w:val="nil"/>
              <w:right w:val="nil"/>
            </w:tcBorders>
            <w:shd w:val="clear" w:color="auto" w:fill="auto"/>
          </w:tcPr>
          <w:p w14:paraId="160247D0" w14:textId="77777777" w:rsidR="002E6044" w:rsidRPr="00D55420" w:rsidRDefault="002E6044" w:rsidP="00D55420">
            <w:pPr>
              <w:autoSpaceDE/>
              <w:autoSpaceDN/>
              <w:adjustRightInd/>
              <w:spacing w:line="240" w:lineRule="auto"/>
              <w:jc w:val="right"/>
              <w:rPr>
                <w:rFonts w:eastAsia="Calibri"/>
                <w:sz w:val="22"/>
                <w:szCs w:val="22"/>
                <w:lang w:eastAsia="en-US"/>
              </w:rPr>
            </w:pPr>
          </w:p>
        </w:tc>
        <w:tc>
          <w:tcPr>
            <w:tcW w:w="1275" w:type="dxa"/>
            <w:tcBorders>
              <w:left w:val="nil"/>
              <w:bottom w:val="nil"/>
              <w:right w:val="nil"/>
            </w:tcBorders>
            <w:shd w:val="clear" w:color="auto" w:fill="auto"/>
          </w:tcPr>
          <w:p w14:paraId="7089C3BC" w14:textId="77777777" w:rsidR="002E6044" w:rsidRPr="00D55420" w:rsidRDefault="002E6044" w:rsidP="00D55420">
            <w:pPr>
              <w:autoSpaceDE/>
              <w:autoSpaceDN/>
              <w:adjustRightInd/>
              <w:spacing w:line="240" w:lineRule="auto"/>
              <w:jc w:val="right"/>
              <w:rPr>
                <w:rFonts w:eastAsia="Calibri"/>
                <w:sz w:val="22"/>
                <w:szCs w:val="22"/>
                <w:lang w:eastAsia="en-US"/>
              </w:rPr>
            </w:pPr>
          </w:p>
        </w:tc>
        <w:tc>
          <w:tcPr>
            <w:tcW w:w="711" w:type="dxa"/>
            <w:tcBorders>
              <w:left w:val="nil"/>
              <w:bottom w:val="nil"/>
              <w:right w:val="nil"/>
            </w:tcBorders>
            <w:shd w:val="clear" w:color="auto" w:fill="auto"/>
          </w:tcPr>
          <w:p w14:paraId="702706F1" w14:textId="77777777" w:rsidR="002E6044" w:rsidRPr="00D55420" w:rsidRDefault="002E6044" w:rsidP="00D55420">
            <w:pPr>
              <w:autoSpaceDE/>
              <w:autoSpaceDN/>
              <w:adjustRightInd/>
              <w:spacing w:line="240" w:lineRule="auto"/>
              <w:jc w:val="right"/>
              <w:rPr>
                <w:rFonts w:eastAsia="Calibri"/>
                <w:sz w:val="22"/>
                <w:szCs w:val="22"/>
                <w:lang w:eastAsia="en-US"/>
              </w:rPr>
            </w:pPr>
          </w:p>
        </w:tc>
      </w:tr>
      <w:tr w:rsidR="002E6044" w:rsidRPr="00D55420" w14:paraId="17840C6F" w14:textId="77777777" w:rsidTr="005C577F">
        <w:trPr>
          <w:jc w:val="center"/>
        </w:trPr>
        <w:tc>
          <w:tcPr>
            <w:tcW w:w="2552" w:type="dxa"/>
            <w:vMerge/>
            <w:tcBorders>
              <w:left w:val="nil"/>
              <w:right w:val="nil"/>
            </w:tcBorders>
          </w:tcPr>
          <w:p w14:paraId="1F35B34B" w14:textId="77777777" w:rsidR="002E6044" w:rsidRPr="00D55420" w:rsidRDefault="002E6044" w:rsidP="00D55420">
            <w:pPr>
              <w:autoSpaceDE/>
              <w:autoSpaceDN/>
              <w:adjustRightInd/>
              <w:spacing w:line="240" w:lineRule="auto"/>
              <w:rPr>
                <w:rFonts w:eastAsia="Calibri"/>
                <w:sz w:val="22"/>
                <w:szCs w:val="22"/>
                <w:lang w:eastAsia="en-US"/>
              </w:rPr>
            </w:pPr>
          </w:p>
        </w:tc>
        <w:tc>
          <w:tcPr>
            <w:tcW w:w="3969" w:type="dxa"/>
            <w:tcBorders>
              <w:top w:val="nil"/>
              <w:left w:val="nil"/>
              <w:right w:val="nil"/>
            </w:tcBorders>
            <w:shd w:val="clear" w:color="auto" w:fill="auto"/>
          </w:tcPr>
          <w:p w14:paraId="6A2C0030" w14:textId="77777777" w:rsidR="002E6044" w:rsidRPr="00D55420" w:rsidRDefault="002E6044" w:rsidP="00D55420">
            <w:pPr>
              <w:autoSpaceDE/>
              <w:autoSpaceDN/>
              <w:adjustRightInd/>
              <w:spacing w:line="240" w:lineRule="auto"/>
              <w:rPr>
                <w:rFonts w:eastAsia="Calibri"/>
                <w:sz w:val="22"/>
                <w:szCs w:val="22"/>
                <w:lang w:eastAsia="en-US"/>
              </w:rPr>
            </w:pPr>
            <w:r w:rsidRPr="00D55420">
              <w:rPr>
                <w:rFonts w:eastAsia="Calibri"/>
                <w:sz w:val="22"/>
                <w:szCs w:val="22"/>
                <w:lang w:eastAsia="en-US"/>
              </w:rPr>
              <w:t>At least two cycles to an acceptable level</w:t>
            </w:r>
          </w:p>
        </w:tc>
        <w:tc>
          <w:tcPr>
            <w:tcW w:w="1276" w:type="dxa"/>
            <w:tcBorders>
              <w:top w:val="nil"/>
              <w:left w:val="nil"/>
              <w:right w:val="nil"/>
            </w:tcBorders>
            <w:shd w:val="clear" w:color="auto" w:fill="auto"/>
          </w:tcPr>
          <w:p w14:paraId="35101744"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-2.6 (1.4)</w:t>
            </w:r>
          </w:p>
        </w:tc>
        <w:tc>
          <w:tcPr>
            <w:tcW w:w="1275" w:type="dxa"/>
            <w:tcBorders>
              <w:top w:val="nil"/>
              <w:left w:val="nil"/>
              <w:right w:val="nil"/>
            </w:tcBorders>
            <w:shd w:val="clear" w:color="auto" w:fill="auto"/>
          </w:tcPr>
          <w:p w14:paraId="45595FC6"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-5.4 to 0.2</w:t>
            </w:r>
          </w:p>
        </w:tc>
        <w:tc>
          <w:tcPr>
            <w:tcW w:w="711" w:type="dxa"/>
            <w:tcBorders>
              <w:top w:val="nil"/>
              <w:left w:val="nil"/>
              <w:right w:val="nil"/>
            </w:tcBorders>
            <w:shd w:val="clear" w:color="auto" w:fill="auto"/>
          </w:tcPr>
          <w:p w14:paraId="10BC0121" w14:textId="77777777" w:rsidR="002E6044" w:rsidRPr="00D55420" w:rsidRDefault="002E6044" w:rsidP="00D55420">
            <w:pPr>
              <w:autoSpaceDE/>
              <w:autoSpaceDN/>
              <w:adjustRightInd/>
              <w:spacing w:line="240" w:lineRule="auto"/>
              <w:jc w:val="right"/>
              <w:rPr>
                <w:rFonts w:eastAsia="Calibri"/>
                <w:sz w:val="22"/>
                <w:szCs w:val="22"/>
                <w:lang w:eastAsia="en-US"/>
              </w:rPr>
            </w:pPr>
            <w:r w:rsidRPr="00D55420">
              <w:rPr>
                <w:rFonts w:eastAsia="Calibri"/>
                <w:sz w:val="22"/>
                <w:szCs w:val="22"/>
                <w:lang w:eastAsia="en-US"/>
              </w:rPr>
              <w:t>0.068</w:t>
            </w:r>
          </w:p>
        </w:tc>
      </w:tr>
      <w:tr w:rsidR="002E6044" w:rsidRPr="00D55420" w14:paraId="4752CA69" w14:textId="77777777" w:rsidTr="005C577F">
        <w:trPr>
          <w:jc w:val="center"/>
        </w:trPr>
        <w:tc>
          <w:tcPr>
            <w:tcW w:w="2552" w:type="dxa"/>
            <w:vMerge/>
            <w:tcBorders>
              <w:left w:val="nil"/>
              <w:right w:val="nil"/>
            </w:tcBorders>
          </w:tcPr>
          <w:p w14:paraId="3FDDAFB4" w14:textId="77777777" w:rsidR="002E6044" w:rsidRPr="00D55420" w:rsidRDefault="002E6044" w:rsidP="003C2700">
            <w:pPr>
              <w:autoSpaceDE/>
              <w:autoSpaceDN/>
              <w:adjustRightInd/>
              <w:spacing w:before="240" w:line="240" w:lineRule="auto"/>
              <w:rPr>
                <w:rFonts w:eastAsia="Calibri"/>
                <w:sz w:val="22"/>
                <w:szCs w:val="22"/>
                <w:lang w:eastAsia="en-US"/>
              </w:rPr>
            </w:pPr>
          </w:p>
        </w:tc>
        <w:tc>
          <w:tcPr>
            <w:tcW w:w="3969" w:type="dxa"/>
            <w:tcBorders>
              <w:top w:val="nil"/>
              <w:left w:val="nil"/>
              <w:right w:val="nil"/>
            </w:tcBorders>
            <w:shd w:val="clear" w:color="auto" w:fill="auto"/>
          </w:tcPr>
          <w:p w14:paraId="36AA5AC4" w14:textId="77777777" w:rsidR="002E6044" w:rsidRPr="00D55420" w:rsidRDefault="002E6044" w:rsidP="003C2700">
            <w:pPr>
              <w:autoSpaceDE/>
              <w:autoSpaceDN/>
              <w:adjustRightInd/>
              <w:spacing w:before="240" w:line="240" w:lineRule="auto"/>
              <w:rPr>
                <w:rFonts w:eastAsia="Calibri"/>
                <w:sz w:val="22"/>
                <w:szCs w:val="22"/>
                <w:lang w:eastAsia="en-US"/>
              </w:rPr>
            </w:pPr>
            <w:r w:rsidRPr="00D55420">
              <w:rPr>
                <w:rFonts w:eastAsia="Calibri"/>
                <w:sz w:val="22"/>
                <w:szCs w:val="22"/>
                <w:lang w:eastAsia="en-US"/>
              </w:rPr>
              <w:t>At least one cycle to a partial level</w:t>
            </w:r>
          </w:p>
        </w:tc>
        <w:tc>
          <w:tcPr>
            <w:tcW w:w="1276" w:type="dxa"/>
            <w:tcBorders>
              <w:top w:val="nil"/>
              <w:left w:val="nil"/>
              <w:right w:val="nil"/>
            </w:tcBorders>
            <w:shd w:val="clear" w:color="auto" w:fill="auto"/>
          </w:tcPr>
          <w:p w14:paraId="4068EAE5" w14:textId="77777777" w:rsidR="002E6044" w:rsidRPr="00D55420" w:rsidRDefault="002E6044" w:rsidP="003C2700">
            <w:pPr>
              <w:autoSpaceDE/>
              <w:autoSpaceDN/>
              <w:adjustRightInd/>
              <w:spacing w:before="240" w:line="240" w:lineRule="auto"/>
              <w:jc w:val="right"/>
              <w:rPr>
                <w:rFonts w:eastAsia="Calibri"/>
                <w:sz w:val="22"/>
                <w:szCs w:val="22"/>
                <w:lang w:eastAsia="en-US"/>
              </w:rPr>
            </w:pPr>
            <w:r w:rsidRPr="00D55420">
              <w:rPr>
                <w:rFonts w:eastAsia="Calibri"/>
                <w:sz w:val="22"/>
                <w:szCs w:val="22"/>
                <w:lang w:eastAsia="en-US"/>
              </w:rPr>
              <w:t>-2.2 (1.3)</w:t>
            </w:r>
          </w:p>
        </w:tc>
        <w:tc>
          <w:tcPr>
            <w:tcW w:w="1275" w:type="dxa"/>
            <w:tcBorders>
              <w:top w:val="nil"/>
              <w:left w:val="nil"/>
              <w:right w:val="nil"/>
            </w:tcBorders>
            <w:shd w:val="clear" w:color="auto" w:fill="auto"/>
          </w:tcPr>
          <w:p w14:paraId="140816EE" w14:textId="77777777" w:rsidR="002E6044" w:rsidRPr="00D55420" w:rsidRDefault="002E6044" w:rsidP="003C2700">
            <w:pPr>
              <w:autoSpaceDE/>
              <w:autoSpaceDN/>
              <w:adjustRightInd/>
              <w:spacing w:before="240" w:line="240" w:lineRule="auto"/>
              <w:jc w:val="right"/>
              <w:rPr>
                <w:rFonts w:eastAsia="Calibri"/>
                <w:sz w:val="22"/>
                <w:szCs w:val="22"/>
                <w:lang w:eastAsia="en-US"/>
              </w:rPr>
            </w:pPr>
            <w:r w:rsidRPr="00D55420">
              <w:rPr>
                <w:rFonts w:eastAsia="Calibri"/>
                <w:sz w:val="22"/>
                <w:szCs w:val="22"/>
                <w:lang w:eastAsia="en-US"/>
              </w:rPr>
              <w:t>-4.8 to 0.3</w:t>
            </w:r>
          </w:p>
        </w:tc>
        <w:tc>
          <w:tcPr>
            <w:tcW w:w="711" w:type="dxa"/>
            <w:tcBorders>
              <w:top w:val="nil"/>
              <w:left w:val="nil"/>
              <w:right w:val="nil"/>
            </w:tcBorders>
            <w:shd w:val="clear" w:color="auto" w:fill="auto"/>
          </w:tcPr>
          <w:p w14:paraId="156463BB" w14:textId="77777777" w:rsidR="002E6044" w:rsidRPr="00D55420" w:rsidRDefault="002E6044" w:rsidP="003C2700">
            <w:pPr>
              <w:autoSpaceDE/>
              <w:autoSpaceDN/>
              <w:adjustRightInd/>
              <w:spacing w:before="240" w:line="240" w:lineRule="auto"/>
              <w:jc w:val="right"/>
              <w:rPr>
                <w:rFonts w:eastAsia="Calibri"/>
                <w:sz w:val="22"/>
                <w:szCs w:val="22"/>
                <w:lang w:eastAsia="en-US"/>
              </w:rPr>
            </w:pPr>
            <w:r w:rsidRPr="00D55420">
              <w:rPr>
                <w:rFonts w:eastAsia="Calibri"/>
                <w:sz w:val="22"/>
                <w:szCs w:val="22"/>
                <w:lang w:eastAsia="en-US"/>
              </w:rPr>
              <w:t>0.087</w:t>
            </w:r>
          </w:p>
        </w:tc>
      </w:tr>
    </w:tbl>
    <w:p w14:paraId="65DC449C" w14:textId="7BF71EFE" w:rsidR="007E0E48" w:rsidRDefault="007E0E48" w:rsidP="009B13F3">
      <w:pPr>
        <w:rPr>
          <w:rFonts w:eastAsia="Calibri"/>
          <w:sz w:val="24"/>
          <w:szCs w:val="24"/>
          <w:lang w:eastAsia="en-US"/>
        </w:rPr>
      </w:pPr>
    </w:p>
    <w:p w14:paraId="526CFD38" w14:textId="77777777" w:rsidR="003C2700" w:rsidRPr="00563AD3" w:rsidRDefault="003C2700" w:rsidP="009B13F3">
      <w:pPr>
        <w:rPr>
          <w:rFonts w:eastAsia="Calibri"/>
          <w:sz w:val="24"/>
          <w:szCs w:val="24"/>
          <w:lang w:eastAsia="en-US"/>
        </w:rPr>
      </w:pPr>
    </w:p>
    <w:p w14:paraId="46CDA08D" w14:textId="19DE73B5" w:rsidR="002F288D" w:rsidRDefault="002F288D" w:rsidP="00D55420">
      <w:pPr>
        <w:pStyle w:val="Caption"/>
        <w:spacing w:line="360" w:lineRule="auto"/>
        <w:jc w:val="center"/>
      </w:pPr>
      <w:r w:rsidRPr="00563AD3">
        <w:rPr>
          <w:noProof/>
          <w:lang w:eastAsia="en-GB"/>
        </w:rPr>
        <w:drawing>
          <wp:inline distT="0" distB="0" distL="0" distR="0" wp14:anchorId="49727884" wp14:editId="478648A1">
            <wp:extent cx="3665220" cy="3665220"/>
            <wp:effectExtent l="0" t="0" r="0" b="0"/>
            <wp:docPr id="1" name="Picture 1" descr="P:\CTRU\Projects\Health_Sciences\Older People\DCM EPIC\Stats\Final\Plots\11_CACE\Adherence_no mean_1801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TRU\Projects\Health_Sciences\Older People\DCM EPIC\Stats\Final\Plots\11_CACE\Adherence_no mean_180103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5220" cy="3665220"/>
                    </a:xfrm>
                    <a:prstGeom prst="rect">
                      <a:avLst/>
                    </a:prstGeom>
                    <a:noFill/>
                    <a:ln>
                      <a:noFill/>
                    </a:ln>
                  </pic:spPr>
                </pic:pic>
              </a:graphicData>
            </a:graphic>
          </wp:inline>
        </w:drawing>
      </w:r>
    </w:p>
    <w:p w14:paraId="7EE61CB8" w14:textId="3230CE05" w:rsidR="009B13F3" w:rsidRDefault="009B13F3" w:rsidP="009B13F3">
      <w:pPr>
        <w:pStyle w:val="Figure"/>
      </w:pPr>
      <w:bookmarkStart w:id="171" w:name="_Toc525805239"/>
      <w:r w:rsidRPr="00563AD3">
        <w:t>Figure 3 Change in CMAI score between baseline and 16</w:t>
      </w:r>
      <w:r>
        <w:t>-months</w:t>
      </w:r>
      <w:r w:rsidRPr="00563AD3">
        <w:t xml:space="preserve"> by adherence to the intervention</w:t>
      </w:r>
      <w:bookmarkEnd w:id="171"/>
    </w:p>
    <w:p w14:paraId="155C57D5" w14:textId="77777777" w:rsidR="009F26C5" w:rsidRPr="00563AD3" w:rsidRDefault="009F26C5" w:rsidP="009B13F3">
      <w:pPr>
        <w:pStyle w:val="Figure"/>
      </w:pPr>
    </w:p>
    <w:p w14:paraId="2F8BBEF7" w14:textId="77777777" w:rsidR="003C2700" w:rsidRDefault="003C2700">
      <w:pPr>
        <w:autoSpaceDE/>
        <w:autoSpaceDN/>
        <w:adjustRightInd/>
        <w:spacing w:line="259" w:lineRule="auto"/>
        <w:rPr>
          <w:rFonts w:eastAsia="Times New Roman"/>
          <w:lang w:eastAsia="en-US"/>
        </w:rPr>
      </w:pPr>
      <w:bookmarkStart w:id="172" w:name="_Toc504748862"/>
      <w:r>
        <w:rPr>
          <w:rFonts w:eastAsia="Times New Roman"/>
          <w:lang w:eastAsia="en-US"/>
        </w:rPr>
        <w:br w:type="page"/>
      </w:r>
    </w:p>
    <w:p w14:paraId="151A4F48" w14:textId="4F84AA72" w:rsidR="005C577F" w:rsidRPr="00563AD3" w:rsidRDefault="00C436A4" w:rsidP="003C2700">
      <w:pPr>
        <w:pStyle w:val="Heading2"/>
        <w:rPr>
          <w:rFonts w:eastAsia="Times New Roman"/>
          <w:lang w:eastAsia="en-US"/>
        </w:rPr>
      </w:pPr>
      <w:r w:rsidRPr="00563AD3">
        <w:rPr>
          <w:rFonts w:eastAsia="Times New Roman"/>
          <w:lang w:eastAsia="en-US"/>
        </w:rPr>
        <w:t xml:space="preserve">3.5.2 </w:t>
      </w:r>
      <w:r w:rsidR="005C577F" w:rsidRPr="00563AD3">
        <w:rPr>
          <w:rFonts w:eastAsia="Times New Roman"/>
          <w:lang w:eastAsia="en-US"/>
        </w:rPr>
        <w:t>Analyses of the secondary outcomes</w:t>
      </w:r>
      <w:bookmarkEnd w:id="172"/>
    </w:p>
    <w:p w14:paraId="2D602F82" w14:textId="0A734776" w:rsidR="005C577F" w:rsidRPr="00563AD3" w:rsidRDefault="005C577F" w:rsidP="009B13F3">
      <w:pPr>
        <w:rPr>
          <w:rFonts w:eastAsia="Calibri"/>
          <w:lang w:eastAsia="en-US"/>
        </w:rPr>
      </w:pPr>
      <w:r w:rsidRPr="00563AD3">
        <w:rPr>
          <w:rFonts w:eastAsia="Calibri"/>
          <w:lang w:eastAsia="en-US"/>
        </w:rPr>
        <w:t xml:space="preserve">Analyses of the NPI-NH, </w:t>
      </w:r>
      <w:r w:rsidR="00C74BB8" w:rsidRPr="00563AD3">
        <w:rPr>
          <w:rFonts w:eastAsia="Calibri"/>
          <w:lang w:eastAsia="en-US"/>
        </w:rPr>
        <w:t>PRN</w:t>
      </w:r>
      <w:r w:rsidRPr="00563AD3">
        <w:rPr>
          <w:rFonts w:eastAsia="Calibri"/>
          <w:lang w:eastAsia="en-US"/>
        </w:rPr>
        <w:t xml:space="preserve"> prescription medications, quality of life and quality of staff interactions were conducted on closed-cohort at 6</w:t>
      </w:r>
      <w:r w:rsidR="00C436A4" w:rsidRPr="00563AD3">
        <w:rPr>
          <w:rFonts w:eastAsia="Calibri"/>
          <w:lang w:eastAsia="en-US"/>
        </w:rPr>
        <w:t>-</w:t>
      </w:r>
      <w:r w:rsidRPr="00563AD3">
        <w:rPr>
          <w:rFonts w:eastAsia="Calibri"/>
          <w:lang w:eastAsia="en-US"/>
        </w:rPr>
        <w:t>months and on the cross-sectional sample (primary) and the closed-cohort (supportive) at 16</w:t>
      </w:r>
      <w:r w:rsidR="00C436A4" w:rsidRPr="00563AD3">
        <w:rPr>
          <w:rFonts w:eastAsia="Calibri"/>
          <w:lang w:eastAsia="en-US"/>
        </w:rPr>
        <w:t>-</w:t>
      </w:r>
      <w:r w:rsidRPr="00563AD3">
        <w:rPr>
          <w:rFonts w:eastAsia="Calibri"/>
          <w:lang w:eastAsia="en-US"/>
        </w:rPr>
        <w:t xml:space="preserve">months. Unadjusted scores are presented in Tables </w:t>
      </w:r>
      <w:r w:rsidR="007C624A" w:rsidRPr="00563AD3">
        <w:rPr>
          <w:rFonts w:eastAsia="Calibri"/>
          <w:lang w:eastAsia="en-US"/>
        </w:rPr>
        <w:t>12</w:t>
      </w:r>
      <w:r w:rsidRPr="00563AD3">
        <w:rPr>
          <w:rFonts w:eastAsia="Calibri"/>
          <w:lang w:eastAsia="en-US"/>
        </w:rPr>
        <w:t xml:space="preserve">, </w:t>
      </w:r>
      <w:r w:rsidR="007C624A" w:rsidRPr="00563AD3">
        <w:rPr>
          <w:rFonts w:eastAsia="Calibri"/>
          <w:lang w:eastAsia="en-US"/>
        </w:rPr>
        <w:t>13</w:t>
      </w:r>
      <w:r w:rsidRPr="00563AD3">
        <w:rPr>
          <w:rFonts w:eastAsia="Calibri"/>
          <w:lang w:eastAsia="en-US"/>
        </w:rPr>
        <w:t xml:space="preserve">, </w:t>
      </w:r>
      <w:r w:rsidR="007C624A" w:rsidRPr="00563AD3">
        <w:rPr>
          <w:rFonts w:eastAsia="Calibri"/>
          <w:lang w:eastAsia="en-US"/>
        </w:rPr>
        <w:t xml:space="preserve">14 </w:t>
      </w:r>
      <w:r w:rsidRPr="00563AD3">
        <w:rPr>
          <w:rFonts w:eastAsia="Calibri"/>
          <w:lang w:eastAsia="en-US"/>
        </w:rPr>
        <w:t xml:space="preserve">and </w:t>
      </w:r>
      <w:r w:rsidR="007C624A" w:rsidRPr="00563AD3">
        <w:rPr>
          <w:rFonts w:eastAsia="Calibri"/>
          <w:lang w:eastAsia="en-US"/>
        </w:rPr>
        <w:t xml:space="preserve">15 </w:t>
      </w:r>
      <w:r w:rsidRPr="00563AD3">
        <w:rPr>
          <w:rFonts w:eastAsia="Calibri"/>
          <w:lang w:eastAsia="en-US"/>
        </w:rPr>
        <w:t>by resident sample and time</w:t>
      </w:r>
      <w:r w:rsidR="00C436A4" w:rsidRPr="00563AD3">
        <w:rPr>
          <w:rFonts w:eastAsia="Calibri"/>
          <w:lang w:eastAsia="en-US"/>
        </w:rPr>
        <w:t>-</w:t>
      </w:r>
      <w:r w:rsidRPr="00563AD3">
        <w:rPr>
          <w:rFonts w:eastAsia="Calibri"/>
          <w:lang w:eastAsia="en-US"/>
        </w:rPr>
        <w:t>point</w:t>
      </w:r>
      <w:r w:rsidR="005B29F6">
        <w:rPr>
          <w:rFonts w:eastAsia="Calibri"/>
          <w:lang w:eastAsia="en-US"/>
        </w:rPr>
        <w:t xml:space="preserve"> and </w:t>
      </w:r>
      <w:r w:rsidR="00087868">
        <w:rPr>
          <w:rFonts w:eastAsia="Calibri"/>
          <w:lang w:eastAsia="en-US"/>
        </w:rPr>
        <w:t>Appendix 1</w:t>
      </w:r>
      <w:r w:rsidR="005B29F6">
        <w:rPr>
          <w:rFonts w:eastAsia="Calibri"/>
          <w:lang w:eastAsia="en-US"/>
        </w:rPr>
        <w:t>, Tables 49-60</w:t>
      </w:r>
      <w:r w:rsidRPr="00563AD3">
        <w:rPr>
          <w:rFonts w:eastAsia="Calibri"/>
          <w:lang w:eastAsia="en-US"/>
        </w:rPr>
        <w:t xml:space="preserve">. </w:t>
      </w:r>
    </w:p>
    <w:p w14:paraId="7CE8F099" w14:textId="52B894A4" w:rsidR="00D55420" w:rsidRDefault="005C577F" w:rsidP="009B13F3">
      <w:pPr>
        <w:rPr>
          <w:rFonts w:eastAsia="Calibri"/>
          <w:sz w:val="24"/>
          <w:szCs w:val="24"/>
          <w:lang w:eastAsia="en-US"/>
        </w:rPr>
      </w:pPr>
      <w:r w:rsidRPr="00563AD3">
        <w:rPr>
          <w:rFonts w:eastAsia="Calibri"/>
          <w:lang w:eastAsia="en-US"/>
        </w:rPr>
        <w:t>A</w:t>
      </w:r>
      <w:r w:rsidR="00783B0D" w:rsidRPr="00563AD3">
        <w:rPr>
          <w:rFonts w:eastAsia="Calibri"/>
          <w:lang w:eastAsia="en-US"/>
        </w:rPr>
        <w:t xml:space="preserve">s can be seen in </w:t>
      </w:r>
      <w:r w:rsidR="004C4825" w:rsidRPr="00563AD3">
        <w:rPr>
          <w:rFonts w:eastAsia="Calibri"/>
          <w:lang w:eastAsia="en-US"/>
        </w:rPr>
        <w:t>T</w:t>
      </w:r>
      <w:r w:rsidR="00783B0D" w:rsidRPr="00563AD3">
        <w:rPr>
          <w:rFonts w:eastAsia="Calibri"/>
          <w:lang w:eastAsia="en-US"/>
        </w:rPr>
        <w:t xml:space="preserve">able </w:t>
      </w:r>
      <w:r w:rsidR="004C4825" w:rsidRPr="00563AD3">
        <w:rPr>
          <w:rFonts w:eastAsia="Calibri"/>
          <w:lang w:eastAsia="en-US"/>
        </w:rPr>
        <w:t>12</w:t>
      </w:r>
      <w:r w:rsidR="00783B0D" w:rsidRPr="00563AD3">
        <w:rPr>
          <w:rFonts w:eastAsia="Calibri"/>
          <w:lang w:eastAsia="en-US"/>
        </w:rPr>
        <w:t>, a</w:t>
      </w:r>
      <w:r w:rsidRPr="00563AD3">
        <w:rPr>
          <w:rFonts w:eastAsia="Calibri"/>
          <w:lang w:eastAsia="en-US"/>
        </w:rPr>
        <w:t xml:space="preserve">t baseline, the proportions of residents experiencing behaviour staff </w:t>
      </w:r>
      <w:r w:rsidR="00C436A4" w:rsidRPr="00563AD3">
        <w:rPr>
          <w:rFonts w:eastAsia="Calibri"/>
          <w:lang w:eastAsia="en-US"/>
        </w:rPr>
        <w:t xml:space="preserve">may </w:t>
      </w:r>
      <w:r w:rsidRPr="00563AD3">
        <w:rPr>
          <w:rFonts w:eastAsia="Calibri"/>
          <w:lang w:eastAsia="en-US"/>
        </w:rPr>
        <w:t>find challenging</w:t>
      </w:r>
      <w:r w:rsidR="00C436A4" w:rsidRPr="00563AD3">
        <w:rPr>
          <w:rFonts w:eastAsia="Calibri"/>
          <w:lang w:eastAsia="en-US"/>
        </w:rPr>
        <w:t xml:space="preserve"> to support (BSC)</w:t>
      </w:r>
      <w:r w:rsidRPr="00563AD3">
        <w:rPr>
          <w:rFonts w:eastAsia="Calibri"/>
          <w:lang w:eastAsia="en-US"/>
        </w:rPr>
        <w:t xml:space="preserve"> (defined as presence of the following behaviours in the NPI-NH:</w:t>
      </w:r>
      <w:r w:rsidRPr="00563AD3" w:rsidDel="00263BC2">
        <w:rPr>
          <w:rFonts w:eastAsia="Calibri"/>
          <w:lang w:eastAsia="en-US"/>
        </w:rPr>
        <w:t xml:space="preserve"> </w:t>
      </w:r>
      <w:r w:rsidRPr="00563AD3">
        <w:rPr>
          <w:rFonts w:eastAsia="Calibri"/>
          <w:lang w:eastAsia="en-US"/>
        </w:rPr>
        <w:t xml:space="preserve">agitation/aggression, depression/dysphoria, anxiety, apathy/indifference, disinhibition or irritability/lability) </w:t>
      </w:r>
      <w:r w:rsidR="00C436A4" w:rsidRPr="00563AD3">
        <w:rPr>
          <w:rFonts w:eastAsia="Calibri"/>
          <w:lang w:eastAsia="en-US"/>
        </w:rPr>
        <w:t>we</w:t>
      </w:r>
      <w:r w:rsidRPr="00563AD3">
        <w:rPr>
          <w:rFonts w:eastAsia="Calibri"/>
          <w:lang w:eastAsia="en-US"/>
        </w:rPr>
        <w:t xml:space="preserve">re similar across </w:t>
      </w:r>
      <w:r w:rsidR="00907EB9" w:rsidRPr="00563AD3">
        <w:rPr>
          <w:rFonts w:eastAsia="Calibri"/>
          <w:lang w:eastAsia="en-US"/>
        </w:rPr>
        <w:t xml:space="preserve">the intervention and control </w:t>
      </w:r>
      <w:r w:rsidR="00182DC5" w:rsidRPr="00563AD3">
        <w:rPr>
          <w:rFonts w:eastAsia="Calibri"/>
          <w:lang w:eastAsia="en-US"/>
        </w:rPr>
        <w:t>arm</w:t>
      </w:r>
      <w:r w:rsidRPr="00563AD3">
        <w:rPr>
          <w:rFonts w:eastAsia="Calibri"/>
          <w:lang w:eastAsia="en-US"/>
        </w:rPr>
        <w:t xml:space="preserve">. </w:t>
      </w:r>
      <w:r w:rsidR="007D34AE" w:rsidRPr="00563AD3">
        <w:rPr>
          <w:rFonts w:eastAsia="Calibri"/>
          <w:lang w:eastAsia="en-US"/>
        </w:rPr>
        <w:t xml:space="preserve">However, the average NPI-NH score was higher in the control than intervention </w:t>
      </w:r>
      <w:r w:rsidR="00182DC5" w:rsidRPr="00563AD3">
        <w:rPr>
          <w:rFonts w:eastAsia="Calibri"/>
          <w:lang w:eastAsia="en-US"/>
        </w:rPr>
        <w:t>arm</w:t>
      </w:r>
      <w:r w:rsidR="007D34AE" w:rsidRPr="00563AD3">
        <w:rPr>
          <w:rFonts w:eastAsia="Calibri"/>
          <w:lang w:eastAsia="en-US"/>
        </w:rPr>
        <w:t xml:space="preserve">. </w:t>
      </w:r>
      <w:r w:rsidRPr="00563AD3">
        <w:rPr>
          <w:rFonts w:eastAsia="Calibri"/>
          <w:lang w:eastAsia="en-US"/>
        </w:rPr>
        <w:t xml:space="preserve">Agitation/aggression </w:t>
      </w:r>
      <w:r w:rsidR="007D34AE" w:rsidRPr="00563AD3">
        <w:rPr>
          <w:rFonts w:eastAsia="Calibri"/>
          <w:lang w:eastAsia="en-US"/>
        </w:rPr>
        <w:t>was</w:t>
      </w:r>
      <w:r w:rsidRPr="00563AD3">
        <w:rPr>
          <w:rFonts w:eastAsia="Calibri"/>
          <w:lang w:eastAsia="en-US"/>
        </w:rPr>
        <w:t xml:space="preserve"> experienced by the highest proportion of residents across all time</w:t>
      </w:r>
      <w:r w:rsidR="00C436A4" w:rsidRPr="00563AD3">
        <w:rPr>
          <w:rFonts w:eastAsia="Calibri"/>
          <w:lang w:eastAsia="en-US"/>
        </w:rPr>
        <w:t>-</w:t>
      </w:r>
      <w:r w:rsidRPr="00563AD3">
        <w:rPr>
          <w:rFonts w:eastAsia="Calibri"/>
          <w:lang w:eastAsia="en-US"/>
        </w:rPr>
        <w:t>p</w:t>
      </w:r>
      <w:r w:rsidR="00C436A4" w:rsidRPr="00563AD3">
        <w:rPr>
          <w:rFonts w:eastAsia="Calibri"/>
          <w:lang w:eastAsia="en-US"/>
        </w:rPr>
        <w:t>oints and in both samples.</w:t>
      </w:r>
      <w:r w:rsidR="007D34AE" w:rsidRPr="00563AD3">
        <w:rPr>
          <w:rFonts w:eastAsia="Calibri"/>
          <w:lang w:eastAsia="en-US"/>
        </w:rPr>
        <w:t xml:space="preserve"> At 16-months</w:t>
      </w:r>
      <w:r w:rsidR="00C718B2">
        <w:rPr>
          <w:rFonts w:eastAsia="Calibri"/>
          <w:lang w:eastAsia="en-US"/>
        </w:rPr>
        <w:t>,</w:t>
      </w:r>
      <w:r w:rsidR="007D34AE" w:rsidRPr="00563AD3">
        <w:rPr>
          <w:rFonts w:eastAsia="Calibri"/>
          <w:lang w:eastAsia="en-US"/>
        </w:rPr>
        <w:t xml:space="preserve"> </w:t>
      </w:r>
      <w:r w:rsidR="00783B0D" w:rsidRPr="00563AD3">
        <w:rPr>
          <w:rFonts w:eastAsia="Calibri"/>
          <w:lang w:eastAsia="en-US"/>
        </w:rPr>
        <w:t xml:space="preserve">the proportion of residents experiencing BSC was smaller in the intervention </w:t>
      </w:r>
      <w:r w:rsidR="00182DC5" w:rsidRPr="00563AD3">
        <w:rPr>
          <w:rFonts w:eastAsia="Calibri"/>
          <w:lang w:eastAsia="en-US"/>
        </w:rPr>
        <w:t>arm</w:t>
      </w:r>
      <w:r w:rsidR="00783B0D" w:rsidRPr="00563AD3">
        <w:rPr>
          <w:rFonts w:eastAsia="Calibri"/>
          <w:lang w:eastAsia="en-US"/>
        </w:rPr>
        <w:t xml:space="preserve"> compared to control for both the cross-sectional and closed-cohort samples. The average NPI-NH score was similar in both </w:t>
      </w:r>
      <w:r w:rsidR="00182DC5" w:rsidRPr="00563AD3">
        <w:rPr>
          <w:rFonts w:eastAsia="Calibri"/>
          <w:lang w:eastAsia="en-US"/>
        </w:rPr>
        <w:t>arms</w:t>
      </w:r>
      <w:r w:rsidR="00783B0D" w:rsidRPr="00563AD3">
        <w:rPr>
          <w:rFonts w:eastAsia="Calibri"/>
          <w:lang w:eastAsia="en-US"/>
        </w:rPr>
        <w:t xml:space="preserve"> for both samples, having reduced more in the control </w:t>
      </w:r>
      <w:r w:rsidR="00182DC5" w:rsidRPr="00563AD3">
        <w:rPr>
          <w:rFonts w:eastAsia="Calibri"/>
          <w:lang w:eastAsia="en-US"/>
        </w:rPr>
        <w:t>arm</w:t>
      </w:r>
      <w:r w:rsidR="00783B0D" w:rsidRPr="00563AD3">
        <w:rPr>
          <w:rFonts w:eastAsia="Calibri"/>
          <w:lang w:eastAsia="en-US"/>
        </w:rPr>
        <w:t xml:space="preserve"> from baseline</w:t>
      </w:r>
      <w:r w:rsidR="00DC0103" w:rsidRPr="00563AD3">
        <w:rPr>
          <w:rFonts w:eastAsia="Calibri"/>
          <w:lang w:eastAsia="en-US"/>
        </w:rPr>
        <w:t>.</w:t>
      </w:r>
    </w:p>
    <w:p w14:paraId="6F5A892C" w14:textId="40FD421B" w:rsidR="003C2700" w:rsidRDefault="003C2700" w:rsidP="003C2700">
      <w:pPr>
        <w:rPr>
          <w:rFonts w:eastAsia="Calibri"/>
          <w:lang w:eastAsia="en-US"/>
        </w:rPr>
      </w:pPr>
      <w:r w:rsidRPr="00C612A5">
        <w:rPr>
          <w:rFonts w:eastAsia="Calibri"/>
          <w:lang w:eastAsia="en-US"/>
        </w:rPr>
        <w:t xml:space="preserve">The percentage of residents </w:t>
      </w:r>
      <w:r>
        <w:rPr>
          <w:rFonts w:eastAsia="Calibri"/>
          <w:lang w:eastAsia="en-US"/>
        </w:rPr>
        <w:t>prescribed</w:t>
      </w:r>
      <w:r w:rsidRPr="00C612A5">
        <w:rPr>
          <w:rFonts w:eastAsia="Calibri"/>
          <w:lang w:eastAsia="en-US"/>
        </w:rPr>
        <w:t xml:space="preserve"> antipsychotics on a PRN basis was low across time-points at less than 1.</w:t>
      </w:r>
      <w:r>
        <w:rPr>
          <w:rFonts w:eastAsia="Calibri"/>
          <w:lang w:eastAsia="en-US"/>
        </w:rPr>
        <w:t>6</w:t>
      </w:r>
      <w:r w:rsidRPr="00C612A5">
        <w:rPr>
          <w:rFonts w:eastAsia="Calibri"/>
          <w:lang w:eastAsia="en-US"/>
        </w:rPr>
        <w:t>% (see Table 13), making it difficult to detect any differences between the arms.</w:t>
      </w:r>
      <w:r w:rsidRPr="00563AD3">
        <w:rPr>
          <w:rFonts w:eastAsia="Calibri"/>
          <w:lang w:eastAsia="en-US"/>
        </w:rPr>
        <w:t xml:space="preserve"> Quality of life was primarily measured using the QUALID staff-proxy. Data is presented on the resident-rated QOL-AD and the relative-proxy QUALID, however, this is for comparison only, due to the poor completion rates (see Table 14). There are no notable differences in the QUALID scores provided by staff-proxies at baseline, 6- or 16-months in either resident sample. This pattern is supported by the resident-rated QOL-AD and relative-proxy QUALID. </w:t>
      </w:r>
    </w:p>
    <w:p w14:paraId="457AE8EF" w14:textId="77777777" w:rsidR="003C2700" w:rsidRPr="00563AD3" w:rsidRDefault="003C2700" w:rsidP="003C2700">
      <w:pPr>
        <w:rPr>
          <w:rFonts w:eastAsia="Calibri"/>
          <w:lang w:eastAsia="en-US"/>
        </w:rPr>
      </w:pPr>
      <w:r w:rsidRPr="00563AD3">
        <w:rPr>
          <w:rFonts w:eastAsia="Calibri"/>
          <w:lang w:eastAsia="en-US"/>
        </w:rPr>
        <w:t xml:space="preserve">The proportion of positive interactions as measured by the QUIS (see Table 15) differed between arms at baseline and at 6-months, with a higher proportion of interactions experienced in the intervention; this difference in proportions was not evident at 16-months.  </w:t>
      </w:r>
    </w:p>
    <w:p w14:paraId="453C44C7" w14:textId="77777777" w:rsidR="003C2700" w:rsidRPr="00563AD3" w:rsidRDefault="003C2700" w:rsidP="003C2700">
      <w:pPr>
        <w:rPr>
          <w:rFonts w:eastAsia="Calibri"/>
          <w:lang w:eastAsia="en-US"/>
        </w:rPr>
      </w:pPr>
    </w:p>
    <w:p w14:paraId="5F06C0BF" w14:textId="257EC758" w:rsidR="00D55420" w:rsidRDefault="00D55420">
      <w:pPr>
        <w:autoSpaceDE/>
        <w:autoSpaceDN/>
        <w:adjustRightInd/>
        <w:spacing w:line="259" w:lineRule="auto"/>
        <w:rPr>
          <w:rFonts w:eastAsia="Calibri"/>
          <w:sz w:val="24"/>
          <w:szCs w:val="24"/>
          <w:lang w:eastAsia="en-US"/>
        </w:rPr>
      </w:pPr>
    </w:p>
    <w:p w14:paraId="0BB24E71" w14:textId="77777777" w:rsidR="003C2700" w:rsidRDefault="003C2700">
      <w:pPr>
        <w:autoSpaceDE/>
        <w:autoSpaceDN/>
        <w:adjustRightInd/>
        <w:spacing w:line="259" w:lineRule="auto"/>
        <w:rPr>
          <w:rFonts w:eastAsia="Calibri"/>
          <w:sz w:val="24"/>
          <w:szCs w:val="24"/>
          <w:lang w:eastAsia="en-US"/>
        </w:rPr>
        <w:sectPr w:rsidR="003C2700" w:rsidSect="005C577F">
          <w:pgSz w:w="11906" w:h="16838"/>
          <w:pgMar w:top="1440" w:right="1440" w:bottom="1440" w:left="1440" w:header="708" w:footer="708" w:gutter="0"/>
          <w:cols w:space="708"/>
          <w:docGrid w:linePitch="360"/>
        </w:sectPr>
      </w:pPr>
    </w:p>
    <w:p w14:paraId="12D5954E" w14:textId="77777777" w:rsidR="009F26C5" w:rsidRPr="00563AD3" w:rsidRDefault="009F26C5" w:rsidP="009F26C5">
      <w:pPr>
        <w:pStyle w:val="Tableheading"/>
        <w:rPr>
          <w:rFonts w:eastAsia="Calibri"/>
          <w:lang w:eastAsia="en-US"/>
        </w:rPr>
      </w:pPr>
      <w:bookmarkStart w:id="173" w:name="_Toc948209"/>
      <w:bookmarkStart w:id="174" w:name="_Ref500504010"/>
      <w:r w:rsidRPr="00563AD3">
        <w:rPr>
          <w:rFonts w:eastAsia="Calibri"/>
          <w:lang w:eastAsia="en-US"/>
        </w:rPr>
        <w:t>Table 12 Unadjusted NPI-NH scores and behaviours staff find challenging by resident sample and time-point</w:t>
      </w:r>
      <w:bookmarkEnd w:id="173"/>
    </w:p>
    <w:tbl>
      <w:tblPr>
        <w:tblW w:w="5000" w:type="pct"/>
        <w:jc w:val="center"/>
        <w:tblCellMar>
          <w:left w:w="0" w:type="dxa"/>
          <w:right w:w="0" w:type="dxa"/>
        </w:tblCellMar>
        <w:tblLook w:val="0000" w:firstRow="0" w:lastRow="0" w:firstColumn="0" w:lastColumn="0" w:noHBand="0" w:noVBand="0"/>
      </w:tblPr>
      <w:tblGrid>
        <w:gridCol w:w="3119"/>
        <w:gridCol w:w="1714"/>
        <w:gridCol w:w="1828"/>
        <w:gridCol w:w="1828"/>
        <w:gridCol w:w="1823"/>
        <w:gridCol w:w="1823"/>
        <w:gridCol w:w="1823"/>
      </w:tblGrid>
      <w:tr w:rsidR="009F26C5" w:rsidRPr="009F26C5" w14:paraId="0F705E3A" w14:textId="77777777" w:rsidTr="009F26C5">
        <w:trPr>
          <w:tblHeader/>
          <w:jc w:val="center"/>
        </w:trPr>
        <w:tc>
          <w:tcPr>
            <w:tcW w:w="1117" w:type="pct"/>
            <w:tcBorders>
              <w:top w:val="single" w:sz="4" w:space="0" w:color="auto"/>
              <w:bottom w:val="single" w:sz="4" w:space="0" w:color="000000"/>
              <w:right w:val="nil"/>
            </w:tcBorders>
            <w:shd w:val="clear" w:color="auto" w:fill="FFFFFF"/>
            <w:tcMar>
              <w:left w:w="67" w:type="dxa"/>
              <w:right w:w="67" w:type="dxa"/>
            </w:tcMar>
            <w:vAlign w:val="bottom"/>
          </w:tcPr>
          <w:p w14:paraId="26CD8EA1" w14:textId="77777777" w:rsidR="009F26C5" w:rsidRPr="009F26C5" w:rsidRDefault="009F26C5" w:rsidP="009F26C5">
            <w:pPr>
              <w:keepNext/>
              <w:spacing w:after="0" w:line="240" w:lineRule="auto"/>
              <w:rPr>
                <w:rFonts w:eastAsia="Times New Roman"/>
                <w:bCs/>
                <w:color w:val="000000"/>
                <w:sz w:val="16"/>
                <w:szCs w:val="16"/>
              </w:rPr>
            </w:pPr>
          </w:p>
        </w:tc>
        <w:tc>
          <w:tcPr>
            <w:tcW w:w="1924" w:type="pct"/>
            <w:gridSpan w:val="3"/>
            <w:tcBorders>
              <w:top w:val="single" w:sz="4" w:space="0" w:color="auto"/>
              <w:left w:val="nil"/>
              <w:bottom w:val="single" w:sz="4" w:space="0" w:color="000000"/>
              <w:right w:val="nil"/>
            </w:tcBorders>
            <w:shd w:val="clear" w:color="auto" w:fill="FFFFFF"/>
            <w:tcMar>
              <w:left w:w="67" w:type="dxa"/>
              <w:right w:w="67" w:type="dxa"/>
            </w:tcMar>
            <w:vAlign w:val="bottom"/>
          </w:tcPr>
          <w:p w14:paraId="36E5804B" w14:textId="77777777" w:rsidR="009F26C5" w:rsidRPr="009F26C5" w:rsidRDefault="009F26C5" w:rsidP="009F26C5">
            <w:pPr>
              <w:keepNext/>
              <w:spacing w:after="0" w:line="240" w:lineRule="auto"/>
              <w:jc w:val="center"/>
              <w:rPr>
                <w:rFonts w:eastAsia="Times New Roman"/>
                <w:b/>
                <w:bCs/>
                <w:color w:val="000000"/>
                <w:sz w:val="16"/>
                <w:szCs w:val="16"/>
              </w:rPr>
            </w:pPr>
            <w:r w:rsidRPr="009F26C5">
              <w:rPr>
                <w:rFonts w:eastAsia="Times New Roman"/>
                <w:b/>
                <w:bCs/>
                <w:color w:val="000000"/>
                <w:sz w:val="16"/>
                <w:szCs w:val="16"/>
              </w:rPr>
              <w:t xml:space="preserve">Scores </w:t>
            </w:r>
            <w:r w:rsidRPr="009F26C5">
              <w:rPr>
                <w:rFonts w:eastAsia="Times New Roman"/>
                <w:bCs/>
                <w:color w:val="000000"/>
                <w:sz w:val="16"/>
                <w:szCs w:val="16"/>
              </w:rPr>
              <w:t>Mean (SD) Missing</w:t>
            </w:r>
          </w:p>
        </w:tc>
        <w:tc>
          <w:tcPr>
            <w:tcW w:w="1959" w:type="pct"/>
            <w:gridSpan w:val="3"/>
            <w:tcBorders>
              <w:top w:val="single" w:sz="4" w:space="0" w:color="auto"/>
              <w:left w:val="nil"/>
              <w:bottom w:val="single" w:sz="4" w:space="0" w:color="000000"/>
            </w:tcBorders>
            <w:shd w:val="clear" w:color="auto" w:fill="FFFFFF"/>
            <w:vAlign w:val="bottom"/>
          </w:tcPr>
          <w:p w14:paraId="1D7793DE" w14:textId="77777777" w:rsidR="009F26C5" w:rsidRPr="009F26C5" w:rsidRDefault="009F26C5" w:rsidP="009F26C5">
            <w:pPr>
              <w:keepNext/>
              <w:spacing w:after="0" w:line="240" w:lineRule="auto"/>
              <w:jc w:val="center"/>
              <w:rPr>
                <w:rFonts w:eastAsia="Times New Roman"/>
                <w:b/>
                <w:bCs/>
                <w:color w:val="000000"/>
                <w:sz w:val="16"/>
                <w:szCs w:val="16"/>
              </w:rPr>
            </w:pPr>
            <w:r w:rsidRPr="009F26C5">
              <w:rPr>
                <w:rFonts w:eastAsia="Times New Roman"/>
                <w:b/>
                <w:bCs/>
                <w:color w:val="000000"/>
                <w:sz w:val="16"/>
                <w:szCs w:val="16"/>
              </w:rPr>
              <w:t xml:space="preserve">Number experiencing the behaviour staff find challenging        </w:t>
            </w:r>
            <w:r w:rsidRPr="009F26C5">
              <w:rPr>
                <w:rFonts w:eastAsia="Times New Roman"/>
                <w:bCs/>
                <w:color w:val="000000"/>
                <w:sz w:val="16"/>
                <w:szCs w:val="16"/>
              </w:rPr>
              <w:t>N (%) completed</w:t>
            </w:r>
          </w:p>
        </w:tc>
      </w:tr>
      <w:tr w:rsidR="009F26C5" w:rsidRPr="009F26C5" w14:paraId="41BED1FA" w14:textId="77777777" w:rsidTr="009F26C5">
        <w:trPr>
          <w:tblHeader/>
          <w:jc w:val="center"/>
        </w:trPr>
        <w:tc>
          <w:tcPr>
            <w:tcW w:w="1117" w:type="pct"/>
            <w:tcBorders>
              <w:top w:val="single" w:sz="4" w:space="0" w:color="auto"/>
              <w:bottom w:val="single" w:sz="4" w:space="0" w:color="000000"/>
              <w:right w:val="nil"/>
            </w:tcBorders>
            <w:shd w:val="clear" w:color="auto" w:fill="F2F2F2"/>
            <w:tcMar>
              <w:left w:w="67" w:type="dxa"/>
              <w:right w:w="67" w:type="dxa"/>
            </w:tcMar>
            <w:vAlign w:val="bottom"/>
          </w:tcPr>
          <w:p w14:paraId="64DBA1D9" w14:textId="77777777" w:rsidR="009F26C5" w:rsidRPr="009F26C5" w:rsidRDefault="009F26C5" w:rsidP="009F26C5">
            <w:pPr>
              <w:keepNext/>
              <w:spacing w:after="0" w:line="240" w:lineRule="auto"/>
              <w:rPr>
                <w:rFonts w:eastAsia="Times New Roman"/>
                <w:bCs/>
                <w:color w:val="000000"/>
                <w:sz w:val="16"/>
                <w:szCs w:val="16"/>
              </w:rPr>
            </w:pPr>
            <w:r w:rsidRPr="009F26C5">
              <w:rPr>
                <w:rFonts w:eastAsia="Times New Roman"/>
                <w:b/>
                <w:bCs/>
                <w:color w:val="000000"/>
                <w:sz w:val="16"/>
                <w:szCs w:val="16"/>
              </w:rPr>
              <w:t>CLOSED-COHORT</w:t>
            </w:r>
          </w:p>
        </w:tc>
        <w:tc>
          <w:tcPr>
            <w:tcW w:w="614" w:type="pct"/>
            <w:tcBorders>
              <w:top w:val="single" w:sz="4" w:space="0" w:color="auto"/>
              <w:left w:val="nil"/>
              <w:bottom w:val="single" w:sz="4" w:space="0" w:color="000000"/>
              <w:right w:val="nil"/>
            </w:tcBorders>
            <w:shd w:val="clear" w:color="auto" w:fill="F2F2F2"/>
            <w:tcMar>
              <w:left w:w="67" w:type="dxa"/>
              <w:right w:w="67" w:type="dxa"/>
            </w:tcMar>
            <w:vAlign w:val="bottom"/>
          </w:tcPr>
          <w:p w14:paraId="58DCE64F" w14:textId="77777777" w:rsidR="009F26C5" w:rsidRPr="009F26C5" w:rsidRDefault="009F26C5" w:rsidP="009F26C5">
            <w:pPr>
              <w:keepNext/>
              <w:spacing w:after="0" w:line="240" w:lineRule="auto"/>
              <w:jc w:val="right"/>
              <w:rPr>
                <w:rFonts w:eastAsia="Times New Roman"/>
                <w:b/>
                <w:bCs/>
                <w:color w:val="000000"/>
                <w:sz w:val="16"/>
                <w:szCs w:val="16"/>
              </w:rPr>
            </w:pPr>
            <w:r w:rsidRPr="009F26C5">
              <w:rPr>
                <w:rFonts w:eastAsia="Times New Roman"/>
                <w:b/>
                <w:bCs/>
                <w:color w:val="000000"/>
                <w:sz w:val="16"/>
                <w:szCs w:val="16"/>
              </w:rPr>
              <w:t>Control</w:t>
            </w:r>
            <w:r w:rsidRPr="009F26C5">
              <w:rPr>
                <w:rFonts w:eastAsia="Times New Roman"/>
                <w:b/>
                <w:bCs/>
                <w:color w:val="000000"/>
                <w:sz w:val="16"/>
                <w:szCs w:val="16"/>
              </w:rPr>
              <w:br/>
              <w:t>(n = 308)</w:t>
            </w:r>
          </w:p>
        </w:tc>
        <w:tc>
          <w:tcPr>
            <w:tcW w:w="655" w:type="pct"/>
            <w:tcBorders>
              <w:top w:val="single" w:sz="4" w:space="0" w:color="auto"/>
              <w:left w:val="nil"/>
              <w:bottom w:val="single" w:sz="4" w:space="0" w:color="000000"/>
              <w:right w:val="nil"/>
            </w:tcBorders>
            <w:shd w:val="clear" w:color="auto" w:fill="F2F2F2"/>
            <w:tcMar>
              <w:left w:w="67" w:type="dxa"/>
              <w:right w:w="67" w:type="dxa"/>
            </w:tcMar>
            <w:vAlign w:val="bottom"/>
          </w:tcPr>
          <w:p w14:paraId="2D7C54CB" w14:textId="77777777" w:rsidR="009F26C5" w:rsidRPr="009F26C5" w:rsidRDefault="009F26C5" w:rsidP="009F26C5">
            <w:pPr>
              <w:keepNext/>
              <w:spacing w:after="0" w:line="240" w:lineRule="auto"/>
              <w:jc w:val="right"/>
              <w:rPr>
                <w:rFonts w:eastAsia="Times New Roman"/>
                <w:b/>
                <w:bCs/>
                <w:color w:val="000000"/>
                <w:sz w:val="16"/>
                <w:szCs w:val="16"/>
              </w:rPr>
            </w:pPr>
            <w:r w:rsidRPr="009F26C5">
              <w:rPr>
                <w:rFonts w:eastAsia="Times New Roman"/>
                <w:b/>
                <w:bCs/>
                <w:color w:val="000000"/>
                <w:sz w:val="16"/>
                <w:szCs w:val="16"/>
              </w:rPr>
              <w:t>Intervention</w:t>
            </w:r>
            <w:r w:rsidRPr="009F26C5">
              <w:rPr>
                <w:rFonts w:eastAsia="Times New Roman"/>
                <w:b/>
                <w:bCs/>
                <w:color w:val="000000"/>
                <w:sz w:val="16"/>
                <w:szCs w:val="16"/>
              </w:rPr>
              <w:br/>
              <w:t>(n = 418)</w:t>
            </w:r>
          </w:p>
        </w:tc>
        <w:tc>
          <w:tcPr>
            <w:tcW w:w="655" w:type="pct"/>
            <w:tcBorders>
              <w:top w:val="single" w:sz="4" w:space="0" w:color="auto"/>
              <w:left w:val="nil"/>
              <w:bottom w:val="single" w:sz="4" w:space="0" w:color="000000"/>
            </w:tcBorders>
            <w:shd w:val="clear" w:color="auto" w:fill="F2F2F2"/>
            <w:tcMar>
              <w:left w:w="67" w:type="dxa"/>
              <w:right w:w="67" w:type="dxa"/>
            </w:tcMar>
            <w:vAlign w:val="bottom"/>
          </w:tcPr>
          <w:p w14:paraId="15CDBF66" w14:textId="77777777" w:rsidR="009F26C5" w:rsidRPr="009F26C5" w:rsidRDefault="009F26C5" w:rsidP="009F26C5">
            <w:pPr>
              <w:keepNext/>
              <w:spacing w:after="0" w:line="240" w:lineRule="auto"/>
              <w:jc w:val="right"/>
              <w:rPr>
                <w:rFonts w:eastAsia="Times New Roman"/>
                <w:b/>
                <w:bCs/>
                <w:color w:val="000000"/>
                <w:sz w:val="16"/>
                <w:szCs w:val="16"/>
              </w:rPr>
            </w:pPr>
            <w:r w:rsidRPr="009F26C5">
              <w:rPr>
                <w:rFonts w:eastAsia="Times New Roman"/>
                <w:b/>
                <w:bCs/>
                <w:color w:val="000000"/>
                <w:sz w:val="16"/>
                <w:szCs w:val="16"/>
              </w:rPr>
              <w:t>Total</w:t>
            </w:r>
            <w:r w:rsidRPr="009F26C5">
              <w:rPr>
                <w:rFonts w:eastAsia="Times New Roman"/>
                <w:b/>
                <w:bCs/>
                <w:color w:val="000000"/>
                <w:sz w:val="16"/>
                <w:szCs w:val="16"/>
              </w:rPr>
              <w:br/>
              <w:t>(n = 726)</w:t>
            </w:r>
          </w:p>
        </w:tc>
        <w:tc>
          <w:tcPr>
            <w:tcW w:w="653" w:type="pct"/>
            <w:tcBorders>
              <w:top w:val="single" w:sz="4" w:space="0" w:color="auto"/>
              <w:left w:val="nil"/>
              <w:bottom w:val="single" w:sz="4" w:space="0" w:color="000000"/>
              <w:right w:val="nil"/>
            </w:tcBorders>
            <w:shd w:val="clear" w:color="auto" w:fill="F2F2F2"/>
            <w:vAlign w:val="bottom"/>
          </w:tcPr>
          <w:p w14:paraId="113462C1" w14:textId="77777777" w:rsidR="009F26C5" w:rsidRPr="009F26C5" w:rsidRDefault="009F26C5" w:rsidP="009F26C5">
            <w:pPr>
              <w:keepNext/>
              <w:spacing w:after="0" w:line="240" w:lineRule="auto"/>
              <w:jc w:val="right"/>
              <w:rPr>
                <w:rFonts w:eastAsia="Times New Roman"/>
                <w:b/>
                <w:bCs/>
                <w:color w:val="000000"/>
                <w:sz w:val="16"/>
                <w:szCs w:val="16"/>
              </w:rPr>
            </w:pPr>
            <w:r w:rsidRPr="009F26C5">
              <w:rPr>
                <w:rFonts w:eastAsia="Times New Roman"/>
                <w:b/>
                <w:bCs/>
                <w:color w:val="000000"/>
                <w:sz w:val="16"/>
                <w:szCs w:val="16"/>
              </w:rPr>
              <w:t>Control</w:t>
            </w:r>
            <w:r w:rsidRPr="009F26C5">
              <w:rPr>
                <w:rFonts w:eastAsia="Times New Roman"/>
                <w:b/>
                <w:bCs/>
                <w:color w:val="000000"/>
                <w:sz w:val="16"/>
                <w:szCs w:val="16"/>
              </w:rPr>
              <w:br/>
              <w:t>(n = 308)</w:t>
            </w:r>
          </w:p>
        </w:tc>
        <w:tc>
          <w:tcPr>
            <w:tcW w:w="653" w:type="pct"/>
            <w:tcBorders>
              <w:top w:val="single" w:sz="4" w:space="0" w:color="auto"/>
              <w:left w:val="nil"/>
              <w:bottom w:val="single" w:sz="4" w:space="0" w:color="000000"/>
              <w:right w:val="nil"/>
            </w:tcBorders>
            <w:shd w:val="clear" w:color="auto" w:fill="F2F2F2"/>
            <w:vAlign w:val="bottom"/>
          </w:tcPr>
          <w:p w14:paraId="21BD5085" w14:textId="77777777" w:rsidR="009F26C5" w:rsidRPr="009F26C5" w:rsidRDefault="009F26C5" w:rsidP="009F26C5">
            <w:pPr>
              <w:keepNext/>
              <w:spacing w:after="0" w:line="240" w:lineRule="auto"/>
              <w:jc w:val="right"/>
              <w:rPr>
                <w:rFonts w:eastAsia="Times New Roman"/>
                <w:b/>
                <w:bCs/>
                <w:color w:val="000000"/>
                <w:sz w:val="16"/>
                <w:szCs w:val="16"/>
              </w:rPr>
            </w:pPr>
            <w:r w:rsidRPr="009F26C5">
              <w:rPr>
                <w:rFonts w:eastAsia="Times New Roman"/>
                <w:b/>
                <w:bCs/>
                <w:color w:val="000000"/>
                <w:sz w:val="16"/>
                <w:szCs w:val="16"/>
              </w:rPr>
              <w:t>Intervention</w:t>
            </w:r>
            <w:r w:rsidRPr="009F26C5">
              <w:rPr>
                <w:rFonts w:eastAsia="Times New Roman"/>
                <w:b/>
                <w:bCs/>
                <w:color w:val="000000"/>
                <w:sz w:val="16"/>
                <w:szCs w:val="16"/>
              </w:rPr>
              <w:br/>
              <w:t>(n = 418)</w:t>
            </w:r>
          </w:p>
        </w:tc>
        <w:tc>
          <w:tcPr>
            <w:tcW w:w="653" w:type="pct"/>
            <w:tcBorders>
              <w:top w:val="single" w:sz="4" w:space="0" w:color="auto"/>
              <w:left w:val="nil"/>
              <w:bottom w:val="single" w:sz="4" w:space="0" w:color="000000"/>
            </w:tcBorders>
            <w:shd w:val="clear" w:color="auto" w:fill="F2F2F2"/>
            <w:vAlign w:val="bottom"/>
          </w:tcPr>
          <w:p w14:paraId="76C6BFF3" w14:textId="77777777" w:rsidR="009F26C5" w:rsidRPr="009F26C5" w:rsidRDefault="009F26C5" w:rsidP="009F26C5">
            <w:pPr>
              <w:keepNext/>
              <w:spacing w:after="0" w:line="240" w:lineRule="auto"/>
              <w:jc w:val="right"/>
              <w:rPr>
                <w:rFonts w:eastAsia="Times New Roman"/>
                <w:b/>
                <w:bCs/>
                <w:color w:val="000000"/>
                <w:sz w:val="16"/>
                <w:szCs w:val="16"/>
              </w:rPr>
            </w:pPr>
            <w:r w:rsidRPr="009F26C5">
              <w:rPr>
                <w:rFonts w:eastAsia="Times New Roman"/>
                <w:b/>
                <w:bCs/>
                <w:color w:val="000000"/>
                <w:sz w:val="16"/>
                <w:szCs w:val="16"/>
              </w:rPr>
              <w:t>Total</w:t>
            </w:r>
            <w:r w:rsidRPr="009F26C5">
              <w:rPr>
                <w:rFonts w:eastAsia="Times New Roman"/>
                <w:b/>
                <w:bCs/>
                <w:color w:val="000000"/>
                <w:sz w:val="16"/>
                <w:szCs w:val="16"/>
              </w:rPr>
              <w:br/>
              <w:t>(n = 726)</w:t>
            </w:r>
          </w:p>
        </w:tc>
      </w:tr>
      <w:tr w:rsidR="009F26C5" w:rsidRPr="009F26C5" w14:paraId="1A024F93" w14:textId="77777777" w:rsidTr="009F26C5">
        <w:trPr>
          <w:jc w:val="center"/>
        </w:trPr>
        <w:tc>
          <w:tcPr>
            <w:tcW w:w="1117" w:type="pct"/>
            <w:tcBorders>
              <w:top w:val="nil"/>
              <w:right w:val="nil"/>
            </w:tcBorders>
            <w:shd w:val="clear" w:color="auto" w:fill="FFFFFF"/>
            <w:tcMar>
              <w:left w:w="67" w:type="dxa"/>
              <w:right w:w="67" w:type="dxa"/>
            </w:tcMar>
          </w:tcPr>
          <w:p w14:paraId="508A31AC" w14:textId="520D53A7" w:rsidR="009F26C5" w:rsidRPr="009F26C5" w:rsidRDefault="009F26C5" w:rsidP="009F26C5">
            <w:pPr>
              <w:spacing w:after="0" w:line="240" w:lineRule="auto"/>
              <w:rPr>
                <w:rFonts w:eastAsia="Times New Roman"/>
                <w:bCs/>
                <w:color w:val="000000"/>
                <w:sz w:val="16"/>
                <w:szCs w:val="16"/>
              </w:rPr>
            </w:pPr>
            <w:r w:rsidRPr="009F26C5">
              <w:rPr>
                <w:rFonts w:eastAsia="Times New Roman"/>
                <w:b/>
                <w:bCs/>
                <w:color w:val="000000"/>
                <w:sz w:val="16"/>
                <w:szCs w:val="16"/>
              </w:rPr>
              <w:t>Baseline Total NPI</w:t>
            </w:r>
            <w:r w:rsidR="00C718B2">
              <w:rPr>
                <w:rFonts w:eastAsia="Times New Roman"/>
                <w:b/>
                <w:bCs/>
                <w:color w:val="000000"/>
                <w:sz w:val="16"/>
                <w:szCs w:val="16"/>
                <w:vertAlign w:val="superscript"/>
              </w:rPr>
              <w:t>a</w:t>
            </w:r>
            <w:r w:rsidRPr="009F26C5">
              <w:rPr>
                <w:rFonts w:eastAsia="Times New Roman"/>
                <w:b/>
                <w:bCs/>
                <w:color w:val="000000"/>
                <w:sz w:val="16"/>
                <w:szCs w:val="16"/>
              </w:rPr>
              <w:t xml:space="preserve"> score</w:t>
            </w:r>
            <w:r w:rsidRPr="009F26C5">
              <w:rPr>
                <w:rFonts w:eastAsia="Times New Roman"/>
                <w:bCs/>
                <w:color w:val="000000"/>
                <w:sz w:val="16"/>
                <w:szCs w:val="16"/>
              </w:rPr>
              <w:t xml:space="preserve">                          </w:t>
            </w:r>
          </w:p>
        </w:tc>
        <w:tc>
          <w:tcPr>
            <w:tcW w:w="614" w:type="pct"/>
            <w:tcBorders>
              <w:top w:val="nil"/>
              <w:left w:val="nil"/>
              <w:bottom w:val="nil"/>
              <w:right w:val="nil"/>
            </w:tcBorders>
            <w:shd w:val="clear" w:color="auto" w:fill="FFFFFF"/>
            <w:tcMar>
              <w:left w:w="67" w:type="dxa"/>
              <w:right w:w="67" w:type="dxa"/>
            </w:tcMar>
          </w:tcPr>
          <w:p w14:paraId="60A062C2" w14:textId="77777777" w:rsidR="009F26C5" w:rsidRPr="009F26C5" w:rsidRDefault="009F26C5" w:rsidP="009F26C5">
            <w:pPr>
              <w:spacing w:after="0" w:line="240" w:lineRule="auto"/>
              <w:jc w:val="right"/>
              <w:rPr>
                <w:rFonts w:eastAsia="Times New Roman"/>
                <w:b/>
                <w:color w:val="000000"/>
                <w:sz w:val="16"/>
                <w:szCs w:val="16"/>
              </w:rPr>
            </w:pPr>
            <w:r w:rsidRPr="009F26C5">
              <w:rPr>
                <w:rFonts w:eastAsia="Times New Roman"/>
                <w:b/>
                <w:color w:val="000000"/>
                <w:sz w:val="16"/>
                <w:szCs w:val="16"/>
              </w:rPr>
              <w:t>13 (13.95) 0</w:t>
            </w:r>
          </w:p>
        </w:tc>
        <w:tc>
          <w:tcPr>
            <w:tcW w:w="655" w:type="pct"/>
            <w:tcBorders>
              <w:top w:val="nil"/>
              <w:left w:val="nil"/>
              <w:bottom w:val="nil"/>
              <w:right w:val="nil"/>
            </w:tcBorders>
            <w:shd w:val="clear" w:color="auto" w:fill="FFFFFF"/>
            <w:tcMar>
              <w:left w:w="67" w:type="dxa"/>
              <w:right w:w="67" w:type="dxa"/>
            </w:tcMar>
          </w:tcPr>
          <w:p w14:paraId="03F98D10" w14:textId="77777777" w:rsidR="009F26C5" w:rsidRPr="009F26C5" w:rsidRDefault="009F26C5" w:rsidP="009F26C5">
            <w:pPr>
              <w:spacing w:after="0" w:line="240" w:lineRule="auto"/>
              <w:jc w:val="right"/>
              <w:rPr>
                <w:rFonts w:eastAsia="Times New Roman"/>
                <w:b/>
                <w:color w:val="000000"/>
                <w:sz w:val="16"/>
                <w:szCs w:val="16"/>
              </w:rPr>
            </w:pPr>
            <w:r w:rsidRPr="009F26C5">
              <w:rPr>
                <w:rFonts w:eastAsia="Times New Roman"/>
                <w:b/>
                <w:color w:val="000000"/>
                <w:sz w:val="16"/>
                <w:szCs w:val="16"/>
              </w:rPr>
              <w:t>11.7 (12.35) 0</w:t>
            </w:r>
          </w:p>
        </w:tc>
        <w:tc>
          <w:tcPr>
            <w:tcW w:w="655" w:type="pct"/>
            <w:tcBorders>
              <w:top w:val="nil"/>
              <w:left w:val="nil"/>
              <w:bottom w:val="nil"/>
            </w:tcBorders>
            <w:shd w:val="clear" w:color="auto" w:fill="FFFFFF"/>
            <w:tcMar>
              <w:left w:w="67" w:type="dxa"/>
              <w:right w:w="67" w:type="dxa"/>
            </w:tcMar>
          </w:tcPr>
          <w:p w14:paraId="17A55776" w14:textId="77777777" w:rsidR="009F26C5" w:rsidRPr="009F26C5" w:rsidRDefault="009F26C5" w:rsidP="009F26C5">
            <w:pPr>
              <w:spacing w:after="0" w:line="240" w:lineRule="auto"/>
              <w:jc w:val="right"/>
              <w:rPr>
                <w:rFonts w:eastAsia="Times New Roman"/>
                <w:b/>
                <w:color w:val="000000"/>
                <w:sz w:val="16"/>
                <w:szCs w:val="16"/>
              </w:rPr>
            </w:pPr>
            <w:r w:rsidRPr="009F26C5">
              <w:rPr>
                <w:rFonts w:eastAsia="Times New Roman"/>
                <w:b/>
                <w:color w:val="000000"/>
                <w:sz w:val="16"/>
                <w:szCs w:val="16"/>
              </w:rPr>
              <w:t>12.2 (13.06) 0</w:t>
            </w:r>
          </w:p>
        </w:tc>
        <w:tc>
          <w:tcPr>
            <w:tcW w:w="653" w:type="pct"/>
            <w:tcBorders>
              <w:top w:val="nil"/>
              <w:left w:val="nil"/>
              <w:bottom w:val="nil"/>
              <w:right w:val="nil"/>
            </w:tcBorders>
            <w:shd w:val="clear" w:color="auto" w:fill="FFFFFF"/>
          </w:tcPr>
          <w:p w14:paraId="3D1909A2" w14:textId="77777777" w:rsidR="009F26C5" w:rsidRPr="009F26C5" w:rsidRDefault="009F26C5" w:rsidP="009F26C5">
            <w:pPr>
              <w:spacing w:after="0" w:line="240" w:lineRule="auto"/>
              <w:jc w:val="right"/>
              <w:rPr>
                <w:rFonts w:eastAsia="Times New Roman"/>
                <w:b/>
                <w:color w:val="000000"/>
                <w:sz w:val="16"/>
                <w:szCs w:val="16"/>
              </w:rPr>
            </w:pPr>
          </w:p>
        </w:tc>
        <w:tc>
          <w:tcPr>
            <w:tcW w:w="653" w:type="pct"/>
            <w:tcBorders>
              <w:top w:val="nil"/>
              <w:left w:val="nil"/>
              <w:bottom w:val="nil"/>
              <w:right w:val="nil"/>
            </w:tcBorders>
            <w:shd w:val="clear" w:color="auto" w:fill="FFFFFF"/>
          </w:tcPr>
          <w:p w14:paraId="0493556F" w14:textId="77777777" w:rsidR="009F26C5" w:rsidRPr="009F26C5" w:rsidRDefault="009F26C5" w:rsidP="009F26C5">
            <w:pPr>
              <w:spacing w:after="0" w:line="240" w:lineRule="auto"/>
              <w:jc w:val="right"/>
              <w:rPr>
                <w:rFonts w:eastAsia="Times New Roman"/>
                <w:b/>
                <w:color w:val="000000"/>
                <w:sz w:val="16"/>
                <w:szCs w:val="16"/>
              </w:rPr>
            </w:pPr>
          </w:p>
        </w:tc>
        <w:tc>
          <w:tcPr>
            <w:tcW w:w="653" w:type="pct"/>
            <w:tcBorders>
              <w:top w:val="nil"/>
              <w:left w:val="nil"/>
              <w:bottom w:val="nil"/>
            </w:tcBorders>
            <w:shd w:val="clear" w:color="auto" w:fill="FFFFFF"/>
          </w:tcPr>
          <w:p w14:paraId="2341450A" w14:textId="77777777" w:rsidR="009F26C5" w:rsidRPr="009F26C5" w:rsidRDefault="009F26C5" w:rsidP="009F26C5">
            <w:pPr>
              <w:spacing w:after="0" w:line="240" w:lineRule="auto"/>
              <w:jc w:val="right"/>
              <w:rPr>
                <w:rFonts w:eastAsia="Times New Roman"/>
                <w:b/>
                <w:color w:val="000000"/>
                <w:sz w:val="16"/>
                <w:szCs w:val="16"/>
              </w:rPr>
            </w:pPr>
          </w:p>
        </w:tc>
      </w:tr>
      <w:tr w:rsidR="009F26C5" w:rsidRPr="009F26C5" w14:paraId="4276FAFE" w14:textId="77777777" w:rsidTr="009F26C5">
        <w:trPr>
          <w:jc w:val="center"/>
        </w:trPr>
        <w:tc>
          <w:tcPr>
            <w:tcW w:w="1117" w:type="pct"/>
            <w:tcBorders>
              <w:top w:val="nil"/>
              <w:right w:val="nil"/>
            </w:tcBorders>
            <w:shd w:val="clear" w:color="auto" w:fill="FFFFFF"/>
            <w:tcMar>
              <w:left w:w="67" w:type="dxa"/>
              <w:right w:w="67" w:type="dxa"/>
            </w:tcMar>
          </w:tcPr>
          <w:p w14:paraId="65B3840E" w14:textId="77777777" w:rsidR="009F26C5" w:rsidRPr="009F26C5" w:rsidRDefault="009F26C5" w:rsidP="009F26C5">
            <w:pPr>
              <w:spacing w:after="0" w:line="240" w:lineRule="auto"/>
              <w:rPr>
                <w:rFonts w:eastAsia="Times New Roman"/>
                <w:b/>
                <w:bCs/>
                <w:color w:val="000000"/>
                <w:sz w:val="16"/>
                <w:szCs w:val="16"/>
              </w:rPr>
            </w:pPr>
            <w:r w:rsidRPr="009F26C5">
              <w:rPr>
                <w:rFonts w:eastAsia="Times New Roman"/>
                <w:b/>
                <w:bCs/>
                <w:color w:val="000000"/>
                <w:sz w:val="16"/>
                <w:szCs w:val="16"/>
              </w:rPr>
              <w:t>Subscales*:</w:t>
            </w:r>
          </w:p>
        </w:tc>
        <w:tc>
          <w:tcPr>
            <w:tcW w:w="614" w:type="pct"/>
            <w:tcBorders>
              <w:top w:val="nil"/>
              <w:left w:val="nil"/>
              <w:bottom w:val="nil"/>
              <w:right w:val="nil"/>
            </w:tcBorders>
            <w:shd w:val="clear" w:color="auto" w:fill="FFFFFF"/>
            <w:tcMar>
              <w:left w:w="67" w:type="dxa"/>
              <w:right w:w="67" w:type="dxa"/>
            </w:tcMar>
          </w:tcPr>
          <w:p w14:paraId="32DDFC21" w14:textId="77777777" w:rsidR="009F26C5" w:rsidRPr="009F26C5" w:rsidRDefault="009F26C5" w:rsidP="009F26C5">
            <w:pPr>
              <w:spacing w:after="0" w:line="240" w:lineRule="auto"/>
              <w:jc w:val="right"/>
              <w:rPr>
                <w:rFonts w:eastAsia="Times New Roman"/>
                <w:color w:val="000000"/>
                <w:sz w:val="16"/>
                <w:szCs w:val="16"/>
              </w:rPr>
            </w:pPr>
          </w:p>
        </w:tc>
        <w:tc>
          <w:tcPr>
            <w:tcW w:w="655" w:type="pct"/>
            <w:tcBorders>
              <w:top w:val="nil"/>
              <w:left w:val="nil"/>
              <w:bottom w:val="nil"/>
              <w:right w:val="nil"/>
            </w:tcBorders>
            <w:shd w:val="clear" w:color="auto" w:fill="FFFFFF"/>
            <w:tcMar>
              <w:left w:w="67" w:type="dxa"/>
              <w:right w:w="67" w:type="dxa"/>
            </w:tcMar>
          </w:tcPr>
          <w:p w14:paraId="091E5F2D" w14:textId="77777777" w:rsidR="009F26C5" w:rsidRPr="009F26C5" w:rsidRDefault="009F26C5" w:rsidP="009F26C5">
            <w:pPr>
              <w:spacing w:after="0" w:line="240" w:lineRule="auto"/>
              <w:jc w:val="right"/>
              <w:rPr>
                <w:rFonts w:eastAsia="Times New Roman"/>
                <w:color w:val="000000"/>
                <w:sz w:val="16"/>
                <w:szCs w:val="16"/>
              </w:rPr>
            </w:pPr>
          </w:p>
        </w:tc>
        <w:tc>
          <w:tcPr>
            <w:tcW w:w="655" w:type="pct"/>
            <w:tcBorders>
              <w:top w:val="nil"/>
              <w:left w:val="nil"/>
              <w:bottom w:val="nil"/>
            </w:tcBorders>
            <w:shd w:val="clear" w:color="auto" w:fill="FFFFFF"/>
            <w:tcMar>
              <w:left w:w="67" w:type="dxa"/>
              <w:right w:w="67" w:type="dxa"/>
            </w:tcMar>
          </w:tcPr>
          <w:p w14:paraId="6D35E503" w14:textId="77777777" w:rsidR="009F26C5" w:rsidRPr="009F26C5" w:rsidRDefault="009F26C5" w:rsidP="009F26C5">
            <w:pPr>
              <w:spacing w:after="0" w:line="240" w:lineRule="auto"/>
              <w:jc w:val="right"/>
              <w:rPr>
                <w:rFonts w:eastAsia="Times New Roman"/>
                <w:color w:val="000000"/>
                <w:sz w:val="16"/>
                <w:szCs w:val="16"/>
              </w:rPr>
            </w:pPr>
          </w:p>
        </w:tc>
        <w:tc>
          <w:tcPr>
            <w:tcW w:w="653" w:type="pct"/>
            <w:tcBorders>
              <w:top w:val="nil"/>
              <w:left w:val="nil"/>
              <w:bottom w:val="nil"/>
              <w:right w:val="nil"/>
            </w:tcBorders>
            <w:shd w:val="clear" w:color="auto" w:fill="FFFFFF"/>
          </w:tcPr>
          <w:p w14:paraId="479F8F9D" w14:textId="77777777" w:rsidR="009F26C5" w:rsidRPr="009F26C5" w:rsidRDefault="009F26C5" w:rsidP="009F26C5">
            <w:pPr>
              <w:spacing w:after="0" w:line="240" w:lineRule="auto"/>
              <w:jc w:val="right"/>
              <w:rPr>
                <w:rFonts w:eastAsia="Times New Roman"/>
                <w:color w:val="000000"/>
                <w:sz w:val="16"/>
                <w:szCs w:val="16"/>
              </w:rPr>
            </w:pPr>
            <w:r w:rsidRPr="009F26C5">
              <w:rPr>
                <w:rFonts w:eastAsia="Calibri"/>
                <w:color w:val="000000"/>
                <w:sz w:val="16"/>
                <w:szCs w:val="16"/>
                <w:lang w:eastAsia="en-US"/>
              </w:rPr>
              <w:t>236 (76.6%) 308</w:t>
            </w:r>
          </w:p>
        </w:tc>
        <w:tc>
          <w:tcPr>
            <w:tcW w:w="653" w:type="pct"/>
            <w:tcBorders>
              <w:top w:val="nil"/>
              <w:left w:val="nil"/>
              <w:bottom w:val="nil"/>
              <w:right w:val="nil"/>
            </w:tcBorders>
            <w:shd w:val="clear" w:color="auto" w:fill="FFFFFF"/>
          </w:tcPr>
          <w:p w14:paraId="4F5546B0" w14:textId="77777777" w:rsidR="009F26C5" w:rsidRPr="009F26C5" w:rsidRDefault="009F26C5" w:rsidP="009F26C5">
            <w:pPr>
              <w:spacing w:after="0" w:line="240" w:lineRule="auto"/>
              <w:jc w:val="right"/>
              <w:rPr>
                <w:rFonts w:eastAsia="Times New Roman"/>
                <w:color w:val="000000"/>
                <w:sz w:val="16"/>
                <w:szCs w:val="16"/>
              </w:rPr>
            </w:pPr>
            <w:r w:rsidRPr="009F26C5">
              <w:rPr>
                <w:rFonts w:eastAsia="Calibri"/>
                <w:color w:val="000000"/>
                <w:sz w:val="16"/>
                <w:szCs w:val="16"/>
                <w:lang w:eastAsia="en-US"/>
              </w:rPr>
              <w:t>325 (77.8%) 418</w:t>
            </w:r>
          </w:p>
        </w:tc>
        <w:tc>
          <w:tcPr>
            <w:tcW w:w="653" w:type="pct"/>
            <w:tcBorders>
              <w:top w:val="nil"/>
              <w:left w:val="nil"/>
              <w:bottom w:val="nil"/>
            </w:tcBorders>
            <w:shd w:val="clear" w:color="auto" w:fill="FFFFFF"/>
          </w:tcPr>
          <w:p w14:paraId="1585A0D0" w14:textId="77777777" w:rsidR="009F26C5" w:rsidRPr="009F26C5" w:rsidRDefault="009F26C5" w:rsidP="009F26C5">
            <w:pPr>
              <w:spacing w:after="0" w:line="240" w:lineRule="auto"/>
              <w:jc w:val="right"/>
              <w:rPr>
                <w:rFonts w:eastAsia="Times New Roman"/>
                <w:color w:val="000000"/>
                <w:sz w:val="16"/>
                <w:szCs w:val="16"/>
              </w:rPr>
            </w:pPr>
            <w:r w:rsidRPr="009F26C5">
              <w:rPr>
                <w:rFonts w:eastAsia="Calibri"/>
                <w:color w:val="000000"/>
                <w:sz w:val="16"/>
                <w:szCs w:val="16"/>
                <w:lang w:eastAsia="en-US"/>
              </w:rPr>
              <w:t>561 (77.3%) 726</w:t>
            </w:r>
          </w:p>
        </w:tc>
      </w:tr>
      <w:tr w:rsidR="009F26C5" w:rsidRPr="009F26C5" w14:paraId="5EF320A1" w14:textId="77777777" w:rsidTr="009F26C5">
        <w:trPr>
          <w:jc w:val="center"/>
        </w:trPr>
        <w:tc>
          <w:tcPr>
            <w:tcW w:w="1117" w:type="pct"/>
            <w:tcBorders>
              <w:top w:val="nil"/>
              <w:right w:val="nil"/>
            </w:tcBorders>
            <w:shd w:val="clear" w:color="auto" w:fill="FFFFFF"/>
            <w:tcMar>
              <w:left w:w="67" w:type="dxa"/>
              <w:right w:w="67" w:type="dxa"/>
            </w:tcMar>
          </w:tcPr>
          <w:p w14:paraId="6987BB49" w14:textId="77777777" w:rsidR="009F26C5" w:rsidRPr="009F26C5" w:rsidRDefault="009F26C5" w:rsidP="009F26C5">
            <w:pPr>
              <w:spacing w:after="0" w:line="240" w:lineRule="auto"/>
              <w:rPr>
                <w:rFonts w:eastAsia="Times New Roman"/>
                <w:color w:val="000000"/>
                <w:sz w:val="16"/>
                <w:szCs w:val="16"/>
              </w:rPr>
            </w:pPr>
            <w:r w:rsidRPr="009F26C5">
              <w:rPr>
                <w:rFonts w:eastAsia="Times New Roman"/>
                <w:color w:val="000000"/>
                <w:sz w:val="16"/>
                <w:szCs w:val="16"/>
              </w:rPr>
              <w:t>Agitation/Aggression</w:t>
            </w:r>
          </w:p>
        </w:tc>
        <w:tc>
          <w:tcPr>
            <w:tcW w:w="614" w:type="pct"/>
            <w:tcBorders>
              <w:top w:val="nil"/>
              <w:left w:val="nil"/>
              <w:bottom w:val="nil"/>
              <w:right w:val="nil"/>
            </w:tcBorders>
            <w:shd w:val="clear" w:color="auto" w:fill="FFFFFF"/>
            <w:tcMar>
              <w:left w:w="67" w:type="dxa"/>
              <w:right w:w="67" w:type="dxa"/>
            </w:tcMar>
          </w:tcPr>
          <w:p w14:paraId="1728D7A2"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5.0 (2.85) 2</w:t>
            </w:r>
          </w:p>
        </w:tc>
        <w:tc>
          <w:tcPr>
            <w:tcW w:w="655" w:type="pct"/>
            <w:tcBorders>
              <w:top w:val="nil"/>
              <w:left w:val="nil"/>
              <w:bottom w:val="nil"/>
              <w:right w:val="nil"/>
            </w:tcBorders>
            <w:shd w:val="clear" w:color="auto" w:fill="FFFFFF"/>
            <w:tcMar>
              <w:left w:w="67" w:type="dxa"/>
              <w:right w:w="67" w:type="dxa"/>
            </w:tcMar>
          </w:tcPr>
          <w:p w14:paraId="14E51BD9"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4.7 (2.86) 0</w:t>
            </w:r>
          </w:p>
        </w:tc>
        <w:tc>
          <w:tcPr>
            <w:tcW w:w="655" w:type="pct"/>
            <w:tcBorders>
              <w:top w:val="nil"/>
              <w:left w:val="nil"/>
              <w:bottom w:val="nil"/>
            </w:tcBorders>
            <w:shd w:val="clear" w:color="auto" w:fill="FFFFFF"/>
            <w:tcMar>
              <w:left w:w="67" w:type="dxa"/>
              <w:right w:w="67" w:type="dxa"/>
            </w:tcMar>
          </w:tcPr>
          <w:p w14:paraId="346A1DF0"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4.8 (2.85) 2</w:t>
            </w:r>
          </w:p>
        </w:tc>
        <w:tc>
          <w:tcPr>
            <w:tcW w:w="653" w:type="pct"/>
            <w:tcBorders>
              <w:top w:val="nil"/>
              <w:left w:val="nil"/>
              <w:bottom w:val="nil"/>
              <w:right w:val="nil"/>
            </w:tcBorders>
            <w:shd w:val="clear" w:color="auto" w:fill="FFFFFF"/>
          </w:tcPr>
          <w:p w14:paraId="660B4C50"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145 (47.1%) 308</w:t>
            </w:r>
          </w:p>
        </w:tc>
        <w:tc>
          <w:tcPr>
            <w:tcW w:w="653" w:type="pct"/>
            <w:tcBorders>
              <w:top w:val="nil"/>
              <w:left w:val="nil"/>
              <w:bottom w:val="nil"/>
              <w:right w:val="nil"/>
            </w:tcBorders>
            <w:shd w:val="clear" w:color="auto" w:fill="FFFFFF"/>
          </w:tcPr>
          <w:p w14:paraId="5A7B87E1"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192 (46.0%) 417</w:t>
            </w:r>
          </w:p>
        </w:tc>
        <w:tc>
          <w:tcPr>
            <w:tcW w:w="653" w:type="pct"/>
            <w:tcBorders>
              <w:top w:val="nil"/>
              <w:left w:val="nil"/>
              <w:bottom w:val="nil"/>
            </w:tcBorders>
            <w:shd w:val="clear" w:color="auto" w:fill="FFFFFF"/>
          </w:tcPr>
          <w:p w14:paraId="5018B561"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337 (46.5%) 725</w:t>
            </w:r>
          </w:p>
        </w:tc>
      </w:tr>
      <w:tr w:rsidR="009F26C5" w:rsidRPr="009F26C5" w14:paraId="61A80A4D" w14:textId="77777777" w:rsidTr="009F26C5">
        <w:trPr>
          <w:jc w:val="center"/>
        </w:trPr>
        <w:tc>
          <w:tcPr>
            <w:tcW w:w="1117" w:type="pct"/>
            <w:tcBorders>
              <w:top w:val="nil"/>
              <w:right w:val="nil"/>
            </w:tcBorders>
            <w:shd w:val="clear" w:color="auto" w:fill="FFFFFF"/>
            <w:tcMar>
              <w:left w:w="67" w:type="dxa"/>
              <w:right w:w="67" w:type="dxa"/>
            </w:tcMar>
          </w:tcPr>
          <w:p w14:paraId="3037AAE3" w14:textId="77777777" w:rsidR="009F26C5" w:rsidRPr="009F26C5" w:rsidRDefault="009F26C5" w:rsidP="009F26C5">
            <w:pPr>
              <w:spacing w:after="0" w:line="240" w:lineRule="auto"/>
              <w:rPr>
                <w:rFonts w:eastAsia="Times New Roman"/>
                <w:color w:val="000000"/>
                <w:sz w:val="16"/>
                <w:szCs w:val="16"/>
              </w:rPr>
            </w:pPr>
            <w:r w:rsidRPr="009F26C5">
              <w:rPr>
                <w:rFonts w:eastAsia="Times New Roman"/>
                <w:color w:val="000000"/>
                <w:sz w:val="16"/>
                <w:szCs w:val="16"/>
              </w:rPr>
              <w:t xml:space="preserve">                  Depression/Dysphoria</w:t>
            </w:r>
          </w:p>
        </w:tc>
        <w:tc>
          <w:tcPr>
            <w:tcW w:w="614" w:type="pct"/>
            <w:tcBorders>
              <w:top w:val="nil"/>
              <w:left w:val="nil"/>
              <w:bottom w:val="nil"/>
              <w:right w:val="nil"/>
            </w:tcBorders>
            <w:shd w:val="clear" w:color="auto" w:fill="FFFFFF"/>
            <w:tcMar>
              <w:left w:w="67" w:type="dxa"/>
              <w:right w:w="67" w:type="dxa"/>
            </w:tcMar>
          </w:tcPr>
          <w:p w14:paraId="62A39D9B"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4.1 (2.77) 0</w:t>
            </w:r>
          </w:p>
        </w:tc>
        <w:tc>
          <w:tcPr>
            <w:tcW w:w="655" w:type="pct"/>
            <w:tcBorders>
              <w:top w:val="nil"/>
              <w:left w:val="nil"/>
              <w:bottom w:val="nil"/>
              <w:right w:val="nil"/>
            </w:tcBorders>
            <w:shd w:val="clear" w:color="auto" w:fill="FFFFFF"/>
            <w:tcMar>
              <w:left w:w="67" w:type="dxa"/>
              <w:right w:w="67" w:type="dxa"/>
            </w:tcMar>
          </w:tcPr>
          <w:p w14:paraId="39E226AA"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3.6 (2.63) 2</w:t>
            </w:r>
          </w:p>
        </w:tc>
        <w:tc>
          <w:tcPr>
            <w:tcW w:w="655" w:type="pct"/>
            <w:tcBorders>
              <w:top w:val="nil"/>
              <w:left w:val="nil"/>
              <w:bottom w:val="nil"/>
            </w:tcBorders>
            <w:shd w:val="clear" w:color="auto" w:fill="FFFFFF"/>
            <w:tcMar>
              <w:left w:w="67" w:type="dxa"/>
              <w:right w:w="67" w:type="dxa"/>
            </w:tcMar>
          </w:tcPr>
          <w:p w14:paraId="33F21C0E"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3.8 (2.70) 2</w:t>
            </w:r>
          </w:p>
        </w:tc>
        <w:tc>
          <w:tcPr>
            <w:tcW w:w="653" w:type="pct"/>
            <w:tcBorders>
              <w:top w:val="nil"/>
              <w:left w:val="nil"/>
              <w:bottom w:val="nil"/>
              <w:right w:val="nil"/>
            </w:tcBorders>
            <w:shd w:val="clear" w:color="auto" w:fill="FFFFFF"/>
          </w:tcPr>
          <w:p w14:paraId="6A2B05D2"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92 (30.0%) 307</w:t>
            </w:r>
          </w:p>
        </w:tc>
        <w:tc>
          <w:tcPr>
            <w:tcW w:w="653" w:type="pct"/>
            <w:tcBorders>
              <w:top w:val="nil"/>
              <w:left w:val="nil"/>
              <w:bottom w:val="nil"/>
              <w:right w:val="nil"/>
            </w:tcBorders>
            <w:shd w:val="clear" w:color="auto" w:fill="FFFFFF"/>
          </w:tcPr>
          <w:p w14:paraId="0F8B4719"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129 (30.9%) 418</w:t>
            </w:r>
          </w:p>
        </w:tc>
        <w:tc>
          <w:tcPr>
            <w:tcW w:w="653" w:type="pct"/>
            <w:tcBorders>
              <w:top w:val="nil"/>
              <w:left w:val="nil"/>
              <w:bottom w:val="nil"/>
            </w:tcBorders>
            <w:shd w:val="clear" w:color="auto" w:fill="FFFFFF"/>
          </w:tcPr>
          <w:p w14:paraId="6D333C95"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221 (30.5%) 725</w:t>
            </w:r>
          </w:p>
        </w:tc>
      </w:tr>
      <w:tr w:rsidR="009F26C5" w:rsidRPr="009F26C5" w14:paraId="0CFB963F" w14:textId="77777777" w:rsidTr="009F26C5">
        <w:trPr>
          <w:jc w:val="center"/>
        </w:trPr>
        <w:tc>
          <w:tcPr>
            <w:tcW w:w="1117" w:type="pct"/>
            <w:tcBorders>
              <w:top w:val="nil"/>
              <w:right w:val="nil"/>
            </w:tcBorders>
            <w:shd w:val="clear" w:color="auto" w:fill="FFFFFF"/>
            <w:tcMar>
              <w:left w:w="67" w:type="dxa"/>
              <w:right w:w="67" w:type="dxa"/>
            </w:tcMar>
          </w:tcPr>
          <w:p w14:paraId="06A014A7" w14:textId="77777777" w:rsidR="009F26C5" w:rsidRPr="009F26C5" w:rsidRDefault="009F26C5" w:rsidP="009F26C5">
            <w:pPr>
              <w:spacing w:after="0" w:line="240" w:lineRule="auto"/>
              <w:rPr>
                <w:rFonts w:eastAsia="Times New Roman"/>
                <w:color w:val="000000"/>
                <w:sz w:val="16"/>
                <w:szCs w:val="16"/>
              </w:rPr>
            </w:pPr>
            <w:r w:rsidRPr="009F26C5">
              <w:rPr>
                <w:rFonts w:eastAsia="Times New Roman"/>
                <w:color w:val="000000"/>
                <w:sz w:val="16"/>
                <w:szCs w:val="16"/>
              </w:rPr>
              <w:t xml:space="preserve">                  Anxiety</w:t>
            </w:r>
          </w:p>
        </w:tc>
        <w:tc>
          <w:tcPr>
            <w:tcW w:w="614" w:type="pct"/>
            <w:tcBorders>
              <w:top w:val="nil"/>
              <w:left w:val="nil"/>
              <w:bottom w:val="nil"/>
              <w:right w:val="nil"/>
            </w:tcBorders>
            <w:shd w:val="clear" w:color="auto" w:fill="FFFFFF"/>
            <w:tcMar>
              <w:left w:w="67" w:type="dxa"/>
              <w:right w:w="67" w:type="dxa"/>
            </w:tcMar>
          </w:tcPr>
          <w:p w14:paraId="4644F4A1"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5.2 (3.16) 2</w:t>
            </w:r>
          </w:p>
        </w:tc>
        <w:tc>
          <w:tcPr>
            <w:tcW w:w="655" w:type="pct"/>
            <w:tcBorders>
              <w:top w:val="nil"/>
              <w:left w:val="nil"/>
              <w:bottom w:val="nil"/>
              <w:right w:val="nil"/>
            </w:tcBorders>
            <w:shd w:val="clear" w:color="auto" w:fill="FFFFFF"/>
            <w:tcMar>
              <w:left w:w="67" w:type="dxa"/>
              <w:right w:w="67" w:type="dxa"/>
            </w:tcMar>
          </w:tcPr>
          <w:p w14:paraId="5E699389"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3.9 (2.32) 3</w:t>
            </w:r>
          </w:p>
        </w:tc>
        <w:tc>
          <w:tcPr>
            <w:tcW w:w="655" w:type="pct"/>
            <w:tcBorders>
              <w:top w:val="nil"/>
              <w:left w:val="nil"/>
              <w:bottom w:val="nil"/>
            </w:tcBorders>
            <w:shd w:val="clear" w:color="auto" w:fill="FFFFFF"/>
            <w:tcMar>
              <w:left w:w="67" w:type="dxa"/>
              <w:right w:w="67" w:type="dxa"/>
            </w:tcMar>
          </w:tcPr>
          <w:p w14:paraId="134DE0D0"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4.5 (2.80) 5</w:t>
            </w:r>
          </w:p>
        </w:tc>
        <w:tc>
          <w:tcPr>
            <w:tcW w:w="653" w:type="pct"/>
            <w:tcBorders>
              <w:top w:val="nil"/>
              <w:left w:val="nil"/>
              <w:bottom w:val="nil"/>
              <w:right w:val="nil"/>
            </w:tcBorders>
            <w:shd w:val="clear" w:color="auto" w:fill="FFFFFF"/>
          </w:tcPr>
          <w:p w14:paraId="2DB65093"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80 (26.0%) 308</w:t>
            </w:r>
          </w:p>
        </w:tc>
        <w:tc>
          <w:tcPr>
            <w:tcW w:w="653" w:type="pct"/>
            <w:tcBorders>
              <w:top w:val="nil"/>
              <w:left w:val="nil"/>
              <w:bottom w:val="nil"/>
              <w:right w:val="nil"/>
            </w:tcBorders>
            <w:shd w:val="clear" w:color="auto" w:fill="FFFFFF"/>
          </w:tcPr>
          <w:p w14:paraId="463DD60B"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98 (23.5%) 417</w:t>
            </w:r>
          </w:p>
        </w:tc>
        <w:tc>
          <w:tcPr>
            <w:tcW w:w="653" w:type="pct"/>
            <w:tcBorders>
              <w:top w:val="nil"/>
              <w:left w:val="nil"/>
              <w:bottom w:val="nil"/>
            </w:tcBorders>
            <w:shd w:val="clear" w:color="auto" w:fill="FFFFFF"/>
          </w:tcPr>
          <w:p w14:paraId="4D493824" w14:textId="77777777" w:rsidR="009F26C5" w:rsidRPr="009F26C5" w:rsidRDefault="009F26C5" w:rsidP="009F26C5">
            <w:pPr>
              <w:spacing w:after="0" w:line="240" w:lineRule="auto"/>
              <w:jc w:val="right"/>
              <w:rPr>
                <w:rFonts w:eastAsia="Times New Roman"/>
                <w:color w:val="000000"/>
                <w:sz w:val="16"/>
                <w:szCs w:val="16"/>
              </w:rPr>
            </w:pPr>
            <w:r w:rsidRPr="009F26C5">
              <w:rPr>
                <w:rFonts w:eastAsia="Times New Roman"/>
                <w:color w:val="000000"/>
                <w:sz w:val="16"/>
                <w:szCs w:val="16"/>
              </w:rPr>
              <w:t>178 (24.6%) 725</w:t>
            </w:r>
          </w:p>
        </w:tc>
      </w:tr>
      <w:tr w:rsidR="009F26C5" w:rsidRPr="009F26C5" w14:paraId="77A28270" w14:textId="77777777" w:rsidTr="009F26C5">
        <w:trPr>
          <w:jc w:val="center"/>
        </w:trPr>
        <w:tc>
          <w:tcPr>
            <w:tcW w:w="1117" w:type="pct"/>
            <w:tcBorders>
              <w:top w:val="nil"/>
              <w:right w:val="nil"/>
            </w:tcBorders>
            <w:shd w:val="clear" w:color="auto" w:fill="FFFFFF"/>
            <w:tcMar>
              <w:left w:w="67" w:type="dxa"/>
              <w:right w:w="67" w:type="dxa"/>
            </w:tcMar>
          </w:tcPr>
          <w:p w14:paraId="2ABFA835"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Apathy/Indifference</w:t>
            </w:r>
          </w:p>
        </w:tc>
        <w:tc>
          <w:tcPr>
            <w:tcW w:w="614" w:type="pct"/>
            <w:tcBorders>
              <w:top w:val="nil"/>
              <w:left w:val="nil"/>
              <w:right w:val="nil"/>
            </w:tcBorders>
            <w:shd w:val="clear" w:color="auto" w:fill="FFFFFF"/>
            <w:tcMar>
              <w:left w:w="67" w:type="dxa"/>
              <w:right w:w="67" w:type="dxa"/>
            </w:tcMar>
          </w:tcPr>
          <w:p w14:paraId="15A4D15F"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5.4 (3.30) 1</w:t>
            </w:r>
          </w:p>
        </w:tc>
        <w:tc>
          <w:tcPr>
            <w:tcW w:w="655" w:type="pct"/>
            <w:tcBorders>
              <w:top w:val="nil"/>
              <w:left w:val="nil"/>
              <w:right w:val="nil"/>
            </w:tcBorders>
            <w:shd w:val="clear" w:color="auto" w:fill="FFFFFF"/>
            <w:tcMar>
              <w:left w:w="67" w:type="dxa"/>
              <w:right w:w="67" w:type="dxa"/>
            </w:tcMar>
          </w:tcPr>
          <w:p w14:paraId="6F00F45D"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5.2 (3.07) 1</w:t>
            </w:r>
          </w:p>
        </w:tc>
        <w:tc>
          <w:tcPr>
            <w:tcW w:w="655" w:type="pct"/>
            <w:tcBorders>
              <w:top w:val="nil"/>
              <w:left w:val="nil"/>
            </w:tcBorders>
            <w:shd w:val="clear" w:color="auto" w:fill="FFFFFF"/>
            <w:tcMar>
              <w:left w:w="67" w:type="dxa"/>
              <w:right w:w="67" w:type="dxa"/>
            </w:tcMar>
          </w:tcPr>
          <w:p w14:paraId="12AB7F3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5.3 (3.16) 2</w:t>
            </w:r>
          </w:p>
        </w:tc>
        <w:tc>
          <w:tcPr>
            <w:tcW w:w="653" w:type="pct"/>
            <w:tcBorders>
              <w:top w:val="nil"/>
              <w:left w:val="nil"/>
              <w:right w:val="nil"/>
            </w:tcBorders>
            <w:shd w:val="clear" w:color="auto" w:fill="FFFFFF"/>
          </w:tcPr>
          <w:p w14:paraId="583CE68E"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91 (29.5%) 308</w:t>
            </w:r>
          </w:p>
        </w:tc>
        <w:tc>
          <w:tcPr>
            <w:tcW w:w="653" w:type="pct"/>
            <w:tcBorders>
              <w:top w:val="nil"/>
              <w:left w:val="nil"/>
              <w:right w:val="nil"/>
            </w:tcBorders>
            <w:shd w:val="clear" w:color="auto" w:fill="FFFFFF"/>
          </w:tcPr>
          <w:p w14:paraId="3365B38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130 (31.2%) 417</w:t>
            </w:r>
          </w:p>
        </w:tc>
        <w:tc>
          <w:tcPr>
            <w:tcW w:w="653" w:type="pct"/>
            <w:tcBorders>
              <w:top w:val="nil"/>
              <w:left w:val="nil"/>
            </w:tcBorders>
            <w:shd w:val="clear" w:color="auto" w:fill="FFFFFF"/>
          </w:tcPr>
          <w:p w14:paraId="5FA5D328"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221 (30.5%) 725</w:t>
            </w:r>
          </w:p>
        </w:tc>
      </w:tr>
      <w:tr w:rsidR="009F26C5" w:rsidRPr="009F26C5" w14:paraId="71B1952F" w14:textId="77777777" w:rsidTr="009F26C5">
        <w:trPr>
          <w:jc w:val="center"/>
        </w:trPr>
        <w:tc>
          <w:tcPr>
            <w:tcW w:w="1117" w:type="pct"/>
            <w:tcBorders>
              <w:top w:val="nil"/>
              <w:right w:val="nil"/>
            </w:tcBorders>
            <w:shd w:val="clear" w:color="auto" w:fill="FFFFFF"/>
            <w:tcMar>
              <w:left w:w="67" w:type="dxa"/>
              <w:right w:w="67" w:type="dxa"/>
            </w:tcMar>
          </w:tcPr>
          <w:p w14:paraId="30730BE2"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Disinhibition</w:t>
            </w:r>
          </w:p>
        </w:tc>
        <w:tc>
          <w:tcPr>
            <w:tcW w:w="614" w:type="pct"/>
            <w:tcBorders>
              <w:top w:val="nil"/>
              <w:left w:val="nil"/>
              <w:right w:val="nil"/>
            </w:tcBorders>
            <w:shd w:val="clear" w:color="auto" w:fill="FFFFFF"/>
            <w:tcMar>
              <w:left w:w="67" w:type="dxa"/>
              <w:right w:w="67" w:type="dxa"/>
            </w:tcMar>
          </w:tcPr>
          <w:p w14:paraId="489BA70E"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5.0 (3.29) 0</w:t>
            </w:r>
          </w:p>
        </w:tc>
        <w:tc>
          <w:tcPr>
            <w:tcW w:w="655" w:type="pct"/>
            <w:tcBorders>
              <w:top w:val="nil"/>
              <w:left w:val="nil"/>
              <w:right w:val="nil"/>
            </w:tcBorders>
            <w:shd w:val="clear" w:color="auto" w:fill="FFFFFF"/>
            <w:tcMar>
              <w:left w:w="67" w:type="dxa"/>
              <w:right w:w="67" w:type="dxa"/>
            </w:tcMar>
          </w:tcPr>
          <w:p w14:paraId="1664A8A4"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3.8 (2.62) 0</w:t>
            </w:r>
          </w:p>
        </w:tc>
        <w:tc>
          <w:tcPr>
            <w:tcW w:w="655" w:type="pct"/>
            <w:tcBorders>
              <w:top w:val="nil"/>
              <w:left w:val="nil"/>
            </w:tcBorders>
            <w:shd w:val="clear" w:color="auto" w:fill="FFFFFF"/>
            <w:tcMar>
              <w:left w:w="67" w:type="dxa"/>
              <w:right w:w="67" w:type="dxa"/>
            </w:tcMar>
          </w:tcPr>
          <w:p w14:paraId="2EA66C47"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4.3 (2.97) 0</w:t>
            </w:r>
          </w:p>
        </w:tc>
        <w:tc>
          <w:tcPr>
            <w:tcW w:w="653" w:type="pct"/>
            <w:tcBorders>
              <w:top w:val="nil"/>
              <w:left w:val="nil"/>
              <w:right w:val="nil"/>
            </w:tcBorders>
            <w:shd w:val="clear" w:color="auto" w:fill="FFFFFF"/>
          </w:tcPr>
          <w:p w14:paraId="4194AB52"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51 (16.6%) 308</w:t>
            </w:r>
          </w:p>
        </w:tc>
        <w:tc>
          <w:tcPr>
            <w:tcW w:w="653" w:type="pct"/>
            <w:tcBorders>
              <w:top w:val="nil"/>
              <w:left w:val="nil"/>
              <w:right w:val="nil"/>
            </w:tcBorders>
            <w:shd w:val="clear" w:color="auto" w:fill="FFFFFF"/>
          </w:tcPr>
          <w:p w14:paraId="7F7D4639"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65 (15.6%) 416</w:t>
            </w:r>
          </w:p>
        </w:tc>
        <w:tc>
          <w:tcPr>
            <w:tcW w:w="653" w:type="pct"/>
            <w:tcBorders>
              <w:top w:val="nil"/>
              <w:left w:val="nil"/>
            </w:tcBorders>
            <w:shd w:val="clear" w:color="auto" w:fill="FFFFFF"/>
          </w:tcPr>
          <w:p w14:paraId="03FBE5F5"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116 (16.0%) 724</w:t>
            </w:r>
          </w:p>
        </w:tc>
      </w:tr>
      <w:tr w:rsidR="009F26C5" w:rsidRPr="009F26C5" w14:paraId="41A01CCF" w14:textId="77777777" w:rsidTr="009F26C5">
        <w:trPr>
          <w:jc w:val="center"/>
        </w:trPr>
        <w:tc>
          <w:tcPr>
            <w:tcW w:w="1117" w:type="pct"/>
            <w:tcBorders>
              <w:top w:val="nil"/>
              <w:bottom w:val="single" w:sz="4" w:space="0" w:color="auto"/>
              <w:right w:val="nil"/>
            </w:tcBorders>
            <w:shd w:val="clear" w:color="auto" w:fill="FFFFFF"/>
            <w:tcMar>
              <w:left w:w="67" w:type="dxa"/>
              <w:right w:w="67" w:type="dxa"/>
            </w:tcMar>
          </w:tcPr>
          <w:p w14:paraId="44B51A38"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Irritability/Lability</w:t>
            </w:r>
          </w:p>
        </w:tc>
        <w:tc>
          <w:tcPr>
            <w:tcW w:w="614" w:type="pct"/>
            <w:tcBorders>
              <w:top w:val="nil"/>
              <w:left w:val="nil"/>
              <w:bottom w:val="single" w:sz="4" w:space="0" w:color="auto"/>
              <w:right w:val="nil"/>
            </w:tcBorders>
            <w:shd w:val="clear" w:color="auto" w:fill="FFFFFF"/>
            <w:tcMar>
              <w:left w:w="67" w:type="dxa"/>
              <w:right w:w="67" w:type="dxa"/>
            </w:tcMar>
          </w:tcPr>
          <w:p w14:paraId="72BBB0C8"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5.3 (3.16) 3</w:t>
            </w:r>
          </w:p>
        </w:tc>
        <w:tc>
          <w:tcPr>
            <w:tcW w:w="655" w:type="pct"/>
            <w:tcBorders>
              <w:top w:val="nil"/>
              <w:left w:val="nil"/>
              <w:bottom w:val="single" w:sz="4" w:space="0" w:color="auto"/>
              <w:right w:val="nil"/>
            </w:tcBorders>
            <w:shd w:val="clear" w:color="auto" w:fill="FFFFFF"/>
            <w:tcMar>
              <w:left w:w="67" w:type="dxa"/>
              <w:right w:w="67" w:type="dxa"/>
            </w:tcMar>
          </w:tcPr>
          <w:p w14:paraId="2579CBB7"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4.4 (2.85) 0</w:t>
            </w:r>
          </w:p>
        </w:tc>
        <w:tc>
          <w:tcPr>
            <w:tcW w:w="655" w:type="pct"/>
            <w:tcBorders>
              <w:top w:val="nil"/>
              <w:left w:val="nil"/>
              <w:bottom w:val="single" w:sz="4" w:space="0" w:color="auto"/>
            </w:tcBorders>
            <w:shd w:val="clear" w:color="auto" w:fill="FFFFFF"/>
            <w:tcMar>
              <w:left w:w="67" w:type="dxa"/>
              <w:right w:w="67" w:type="dxa"/>
            </w:tcMar>
          </w:tcPr>
          <w:p w14:paraId="4C88E40D"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4.8 (3.01) 3</w:t>
            </w:r>
          </w:p>
        </w:tc>
        <w:tc>
          <w:tcPr>
            <w:tcW w:w="653" w:type="pct"/>
            <w:tcBorders>
              <w:top w:val="nil"/>
              <w:left w:val="nil"/>
              <w:bottom w:val="single" w:sz="4" w:space="0" w:color="auto"/>
              <w:right w:val="nil"/>
            </w:tcBorders>
            <w:shd w:val="clear" w:color="auto" w:fill="FFFFFF"/>
          </w:tcPr>
          <w:p w14:paraId="3AA1A5E2"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117 (38.0%) 308</w:t>
            </w:r>
          </w:p>
        </w:tc>
        <w:tc>
          <w:tcPr>
            <w:tcW w:w="653" w:type="pct"/>
            <w:tcBorders>
              <w:top w:val="nil"/>
              <w:left w:val="nil"/>
              <w:bottom w:val="single" w:sz="4" w:space="0" w:color="auto"/>
              <w:right w:val="nil"/>
            </w:tcBorders>
            <w:shd w:val="clear" w:color="auto" w:fill="FFFFFF"/>
          </w:tcPr>
          <w:p w14:paraId="66659CCD"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153 (36.7%) 417</w:t>
            </w:r>
          </w:p>
        </w:tc>
        <w:tc>
          <w:tcPr>
            <w:tcW w:w="653" w:type="pct"/>
            <w:tcBorders>
              <w:top w:val="nil"/>
              <w:left w:val="nil"/>
              <w:bottom w:val="single" w:sz="4" w:space="0" w:color="auto"/>
            </w:tcBorders>
            <w:shd w:val="clear" w:color="auto" w:fill="FFFFFF"/>
          </w:tcPr>
          <w:p w14:paraId="633D4C2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270 (37.2%) 725</w:t>
            </w:r>
          </w:p>
        </w:tc>
      </w:tr>
      <w:tr w:rsidR="009F26C5" w:rsidRPr="009F26C5" w14:paraId="234C05B1" w14:textId="77777777" w:rsidTr="009F26C5">
        <w:trPr>
          <w:jc w:val="center"/>
        </w:trPr>
        <w:tc>
          <w:tcPr>
            <w:tcW w:w="1117" w:type="pct"/>
            <w:tcBorders>
              <w:top w:val="single" w:sz="4" w:space="0" w:color="auto"/>
              <w:bottom w:val="nil"/>
              <w:right w:val="nil"/>
            </w:tcBorders>
            <w:shd w:val="clear" w:color="auto" w:fill="FFFFFF"/>
            <w:tcMar>
              <w:left w:w="67" w:type="dxa"/>
              <w:right w:w="67" w:type="dxa"/>
            </w:tcMar>
          </w:tcPr>
          <w:p w14:paraId="367E0F76"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b/>
                <w:bCs/>
                <w:color w:val="000000"/>
                <w:sz w:val="16"/>
                <w:szCs w:val="16"/>
              </w:rPr>
              <w:t>6-months Total NPI score</w:t>
            </w:r>
            <w:r w:rsidRPr="009F26C5">
              <w:rPr>
                <w:rFonts w:eastAsia="Times New Roman"/>
                <w:bCs/>
                <w:color w:val="000000"/>
                <w:sz w:val="16"/>
                <w:szCs w:val="16"/>
              </w:rPr>
              <w:t xml:space="preserve">                          </w:t>
            </w:r>
          </w:p>
        </w:tc>
        <w:tc>
          <w:tcPr>
            <w:tcW w:w="614" w:type="pct"/>
            <w:tcBorders>
              <w:top w:val="single" w:sz="4" w:space="0" w:color="auto"/>
              <w:left w:val="nil"/>
              <w:bottom w:val="nil"/>
              <w:right w:val="nil"/>
            </w:tcBorders>
            <w:shd w:val="clear" w:color="auto" w:fill="FFFFFF"/>
            <w:tcMar>
              <w:left w:w="67" w:type="dxa"/>
              <w:right w:w="67" w:type="dxa"/>
            </w:tcMar>
          </w:tcPr>
          <w:p w14:paraId="1D23E8AD" w14:textId="77777777" w:rsidR="009F26C5" w:rsidRPr="009F26C5" w:rsidRDefault="009F26C5" w:rsidP="009F26C5">
            <w:pPr>
              <w:keepNext/>
              <w:spacing w:after="0" w:line="240" w:lineRule="auto"/>
              <w:jc w:val="right"/>
              <w:rPr>
                <w:rFonts w:eastAsia="Times New Roman"/>
                <w:b/>
                <w:color w:val="000000"/>
                <w:sz w:val="16"/>
                <w:szCs w:val="16"/>
              </w:rPr>
            </w:pPr>
            <w:r w:rsidRPr="009F26C5">
              <w:rPr>
                <w:rFonts w:eastAsia="Times New Roman"/>
                <w:b/>
                <w:color w:val="000000"/>
                <w:sz w:val="16"/>
                <w:szCs w:val="16"/>
              </w:rPr>
              <w:t>11.3 (12.35) 0</w:t>
            </w:r>
          </w:p>
        </w:tc>
        <w:tc>
          <w:tcPr>
            <w:tcW w:w="655" w:type="pct"/>
            <w:tcBorders>
              <w:top w:val="single" w:sz="4" w:space="0" w:color="auto"/>
              <w:left w:val="nil"/>
              <w:bottom w:val="nil"/>
              <w:right w:val="nil"/>
            </w:tcBorders>
            <w:shd w:val="clear" w:color="auto" w:fill="FFFFFF"/>
            <w:tcMar>
              <w:left w:w="67" w:type="dxa"/>
              <w:right w:w="67" w:type="dxa"/>
            </w:tcMar>
          </w:tcPr>
          <w:p w14:paraId="05A20147" w14:textId="77777777" w:rsidR="009F26C5" w:rsidRPr="009F26C5" w:rsidRDefault="009F26C5" w:rsidP="009F26C5">
            <w:pPr>
              <w:keepNext/>
              <w:spacing w:after="0" w:line="240" w:lineRule="auto"/>
              <w:jc w:val="right"/>
              <w:rPr>
                <w:rFonts w:eastAsia="Times New Roman"/>
                <w:b/>
                <w:color w:val="000000"/>
                <w:sz w:val="16"/>
                <w:szCs w:val="16"/>
              </w:rPr>
            </w:pPr>
            <w:r w:rsidRPr="009F26C5">
              <w:rPr>
                <w:rFonts w:eastAsia="Times New Roman"/>
                <w:b/>
                <w:color w:val="000000"/>
                <w:sz w:val="16"/>
                <w:szCs w:val="16"/>
              </w:rPr>
              <w:t>9.7 (10.14) 0</w:t>
            </w:r>
          </w:p>
        </w:tc>
        <w:tc>
          <w:tcPr>
            <w:tcW w:w="655" w:type="pct"/>
            <w:tcBorders>
              <w:top w:val="single" w:sz="4" w:space="0" w:color="auto"/>
              <w:left w:val="nil"/>
              <w:bottom w:val="nil"/>
            </w:tcBorders>
            <w:shd w:val="clear" w:color="auto" w:fill="FFFFFF"/>
            <w:tcMar>
              <w:left w:w="67" w:type="dxa"/>
              <w:right w:w="67" w:type="dxa"/>
            </w:tcMar>
          </w:tcPr>
          <w:p w14:paraId="3317BEC3" w14:textId="77777777" w:rsidR="009F26C5" w:rsidRPr="009F26C5" w:rsidRDefault="009F26C5" w:rsidP="009F26C5">
            <w:pPr>
              <w:keepNext/>
              <w:spacing w:after="0" w:line="240" w:lineRule="auto"/>
              <w:jc w:val="right"/>
              <w:rPr>
                <w:rFonts w:eastAsia="Times New Roman"/>
                <w:b/>
                <w:color w:val="000000"/>
                <w:sz w:val="16"/>
                <w:szCs w:val="16"/>
              </w:rPr>
            </w:pPr>
            <w:r w:rsidRPr="009F26C5">
              <w:rPr>
                <w:rFonts w:eastAsia="Times New Roman"/>
                <w:b/>
                <w:color w:val="000000"/>
                <w:sz w:val="16"/>
                <w:szCs w:val="16"/>
              </w:rPr>
              <w:t>10.4 (11.17) 0</w:t>
            </w:r>
          </w:p>
        </w:tc>
        <w:tc>
          <w:tcPr>
            <w:tcW w:w="653" w:type="pct"/>
            <w:tcBorders>
              <w:top w:val="single" w:sz="4" w:space="0" w:color="auto"/>
              <w:left w:val="nil"/>
              <w:bottom w:val="nil"/>
              <w:right w:val="nil"/>
            </w:tcBorders>
            <w:shd w:val="clear" w:color="auto" w:fill="FFFFFF"/>
          </w:tcPr>
          <w:p w14:paraId="30FDFAA2" w14:textId="77777777" w:rsidR="009F26C5" w:rsidRPr="009F26C5" w:rsidRDefault="009F26C5" w:rsidP="009F26C5">
            <w:pPr>
              <w:keepNext/>
              <w:spacing w:after="0" w:line="240" w:lineRule="auto"/>
              <w:jc w:val="right"/>
              <w:rPr>
                <w:rFonts w:eastAsia="Times New Roman"/>
                <w:b/>
                <w:color w:val="000000"/>
                <w:sz w:val="16"/>
                <w:szCs w:val="16"/>
              </w:rPr>
            </w:pPr>
          </w:p>
        </w:tc>
        <w:tc>
          <w:tcPr>
            <w:tcW w:w="653" w:type="pct"/>
            <w:tcBorders>
              <w:top w:val="single" w:sz="4" w:space="0" w:color="auto"/>
              <w:left w:val="nil"/>
              <w:bottom w:val="nil"/>
              <w:right w:val="nil"/>
            </w:tcBorders>
            <w:shd w:val="clear" w:color="auto" w:fill="FFFFFF"/>
          </w:tcPr>
          <w:p w14:paraId="1A84F0BF" w14:textId="77777777" w:rsidR="009F26C5" w:rsidRPr="009F26C5" w:rsidRDefault="009F26C5" w:rsidP="009F26C5">
            <w:pPr>
              <w:keepNext/>
              <w:spacing w:after="0" w:line="240" w:lineRule="auto"/>
              <w:jc w:val="right"/>
              <w:rPr>
                <w:rFonts w:eastAsia="Times New Roman"/>
                <w:b/>
                <w:color w:val="000000"/>
                <w:sz w:val="16"/>
                <w:szCs w:val="16"/>
              </w:rPr>
            </w:pPr>
          </w:p>
        </w:tc>
        <w:tc>
          <w:tcPr>
            <w:tcW w:w="653" w:type="pct"/>
            <w:tcBorders>
              <w:top w:val="single" w:sz="4" w:space="0" w:color="auto"/>
              <w:left w:val="nil"/>
              <w:bottom w:val="nil"/>
            </w:tcBorders>
            <w:shd w:val="clear" w:color="auto" w:fill="FFFFFF"/>
          </w:tcPr>
          <w:p w14:paraId="79148555" w14:textId="77777777" w:rsidR="009F26C5" w:rsidRPr="009F26C5" w:rsidRDefault="009F26C5" w:rsidP="009F26C5">
            <w:pPr>
              <w:keepNext/>
              <w:spacing w:after="0" w:line="240" w:lineRule="auto"/>
              <w:jc w:val="right"/>
              <w:rPr>
                <w:rFonts w:eastAsia="Times New Roman"/>
                <w:b/>
                <w:color w:val="000000"/>
                <w:sz w:val="16"/>
                <w:szCs w:val="16"/>
              </w:rPr>
            </w:pPr>
          </w:p>
        </w:tc>
      </w:tr>
      <w:tr w:rsidR="009F26C5" w:rsidRPr="009F26C5" w14:paraId="4DBFE516" w14:textId="77777777" w:rsidTr="009F26C5">
        <w:trPr>
          <w:jc w:val="center"/>
        </w:trPr>
        <w:tc>
          <w:tcPr>
            <w:tcW w:w="1117" w:type="pct"/>
            <w:tcBorders>
              <w:top w:val="nil"/>
              <w:bottom w:val="nil"/>
              <w:right w:val="nil"/>
            </w:tcBorders>
            <w:shd w:val="clear" w:color="auto" w:fill="FFFFFF"/>
            <w:tcMar>
              <w:left w:w="67" w:type="dxa"/>
              <w:right w:w="67" w:type="dxa"/>
            </w:tcMar>
          </w:tcPr>
          <w:p w14:paraId="36831BDC" w14:textId="77777777" w:rsidR="009F26C5" w:rsidRPr="009F26C5" w:rsidRDefault="009F26C5" w:rsidP="009F26C5">
            <w:pPr>
              <w:keepNext/>
              <w:spacing w:after="0" w:line="240" w:lineRule="auto"/>
              <w:rPr>
                <w:rFonts w:eastAsia="Times New Roman"/>
                <w:b/>
                <w:bCs/>
                <w:color w:val="000000"/>
                <w:sz w:val="16"/>
                <w:szCs w:val="16"/>
              </w:rPr>
            </w:pPr>
            <w:r w:rsidRPr="009F26C5">
              <w:rPr>
                <w:rFonts w:eastAsia="Times New Roman"/>
                <w:b/>
                <w:bCs/>
                <w:color w:val="000000"/>
                <w:sz w:val="16"/>
                <w:szCs w:val="16"/>
              </w:rPr>
              <w:t>Subscales*:</w:t>
            </w:r>
          </w:p>
        </w:tc>
        <w:tc>
          <w:tcPr>
            <w:tcW w:w="614" w:type="pct"/>
            <w:tcBorders>
              <w:top w:val="nil"/>
              <w:left w:val="nil"/>
              <w:bottom w:val="nil"/>
              <w:right w:val="nil"/>
            </w:tcBorders>
            <w:shd w:val="clear" w:color="auto" w:fill="FFFFFF"/>
            <w:tcMar>
              <w:left w:w="67" w:type="dxa"/>
              <w:right w:w="67" w:type="dxa"/>
            </w:tcMar>
          </w:tcPr>
          <w:p w14:paraId="5ED0A87A" w14:textId="77777777" w:rsidR="009F26C5" w:rsidRPr="009F26C5" w:rsidRDefault="009F26C5" w:rsidP="009F26C5">
            <w:pPr>
              <w:keepNext/>
              <w:spacing w:after="0" w:line="240" w:lineRule="auto"/>
              <w:jc w:val="right"/>
              <w:rPr>
                <w:rFonts w:eastAsia="Times New Roman"/>
                <w:color w:val="000000"/>
                <w:sz w:val="16"/>
                <w:szCs w:val="16"/>
              </w:rPr>
            </w:pPr>
          </w:p>
        </w:tc>
        <w:tc>
          <w:tcPr>
            <w:tcW w:w="655" w:type="pct"/>
            <w:tcBorders>
              <w:top w:val="nil"/>
              <w:left w:val="nil"/>
              <w:bottom w:val="nil"/>
              <w:right w:val="nil"/>
            </w:tcBorders>
            <w:shd w:val="clear" w:color="auto" w:fill="FFFFFF"/>
            <w:tcMar>
              <w:left w:w="67" w:type="dxa"/>
              <w:right w:w="67" w:type="dxa"/>
            </w:tcMar>
          </w:tcPr>
          <w:p w14:paraId="05DC3D32" w14:textId="77777777" w:rsidR="009F26C5" w:rsidRPr="009F26C5" w:rsidRDefault="009F26C5" w:rsidP="009F26C5">
            <w:pPr>
              <w:keepNext/>
              <w:spacing w:after="0" w:line="240" w:lineRule="auto"/>
              <w:jc w:val="right"/>
              <w:rPr>
                <w:rFonts w:eastAsia="Times New Roman"/>
                <w:color w:val="000000"/>
                <w:sz w:val="16"/>
                <w:szCs w:val="16"/>
              </w:rPr>
            </w:pPr>
          </w:p>
        </w:tc>
        <w:tc>
          <w:tcPr>
            <w:tcW w:w="655" w:type="pct"/>
            <w:tcBorders>
              <w:top w:val="nil"/>
              <w:left w:val="nil"/>
              <w:bottom w:val="nil"/>
            </w:tcBorders>
            <w:shd w:val="clear" w:color="auto" w:fill="FFFFFF"/>
            <w:tcMar>
              <w:left w:w="67" w:type="dxa"/>
              <w:right w:w="67" w:type="dxa"/>
            </w:tcMar>
          </w:tcPr>
          <w:p w14:paraId="6D2457B7" w14:textId="77777777" w:rsidR="009F26C5" w:rsidRPr="009F26C5" w:rsidRDefault="009F26C5" w:rsidP="009F26C5">
            <w:pPr>
              <w:keepNext/>
              <w:spacing w:after="0" w:line="240" w:lineRule="auto"/>
              <w:jc w:val="right"/>
              <w:rPr>
                <w:rFonts w:eastAsia="Times New Roman"/>
                <w:color w:val="000000"/>
                <w:sz w:val="16"/>
                <w:szCs w:val="16"/>
              </w:rPr>
            </w:pPr>
          </w:p>
        </w:tc>
        <w:tc>
          <w:tcPr>
            <w:tcW w:w="653" w:type="pct"/>
            <w:tcBorders>
              <w:top w:val="nil"/>
              <w:left w:val="nil"/>
              <w:bottom w:val="nil"/>
              <w:right w:val="nil"/>
            </w:tcBorders>
            <w:shd w:val="clear" w:color="auto" w:fill="FFFFFF"/>
          </w:tcPr>
          <w:p w14:paraId="2645FC4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Calibri"/>
                <w:color w:val="000000"/>
                <w:sz w:val="16"/>
                <w:szCs w:val="16"/>
                <w:lang w:eastAsia="en-US"/>
              </w:rPr>
              <w:t>186 (76.2%) 244</w:t>
            </w:r>
          </w:p>
        </w:tc>
        <w:tc>
          <w:tcPr>
            <w:tcW w:w="653" w:type="pct"/>
            <w:tcBorders>
              <w:top w:val="nil"/>
              <w:left w:val="nil"/>
              <w:bottom w:val="nil"/>
              <w:right w:val="nil"/>
            </w:tcBorders>
            <w:shd w:val="clear" w:color="auto" w:fill="FFFFFF"/>
          </w:tcPr>
          <w:p w14:paraId="65ECA9FA"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Calibri"/>
                <w:color w:val="000000"/>
                <w:sz w:val="16"/>
                <w:szCs w:val="16"/>
                <w:lang w:eastAsia="en-US"/>
              </w:rPr>
              <w:t>238 (74.4%) 320</w:t>
            </w:r>
          </w:p>
        </w:tc>
        <w:tc>
          <w:tcPr>
            <w:tcW w:w="653" w:type="pct"/>
            <w:tcBorders>
              <w:top w:val="nil"/>
              <w:left w:val="nil"/>
              <w:bottom w:val="nil"/>
            </w:tcBorders>
            <w:shd w:val="clear" w:color="auto" w:fill="FFFFFF"/>
          </w:tcPr>
          <w:p w14:paraId="4341C8C4"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Calibri"/>
                <w:color w:val="000000"/>
                <w:sz w:val="16"/>
                <w:szCs w:val="16"/>
                <w:lang w:eastAsia="en-US"/>
              </w:rPr>
              <w:t>424 (75.2%) 564</w:t>
            </w:r>
          </w:p>
        </w:tc>
      </w:tr>
      <w:tr w:rsidR="009F26C5" w:rsidRPr="009F26C5" w14:paraId="7F920C5D" w14:textId="77777777" w:rsidTr="009F26C5">
        <w:trPr>
          <w:jc w:val="center"/>
        </w:trPr>
        <w:tc>
          <w:tcPr>
            <w:tcW w:w="1117" w:type="pct"/>
            <w:tcBorders>
              <w:top w:val="nil"/>
              <w:bottom w:val="nil"/>
              <w:right w:val="nil"/>
            </w:tcBorders>
            <w:shd w:val="clear" w:color="auto" w:fill="FFFFFF"/>
            <w:tcMar>
              <w:left w:w="67" w:type="dxa"/>
              <w:right w:w="67" w:type="dxa"/>
            </w:tcMar>
          </w:tcPr>
          <w:p w14:paraId="55C46DAF"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Agitation/Aggression</w:t>
            </w:r>
          </w:p>
        </w:tc>
        <w:tc>
          <w:tcPr>
            <w:tcW w:w="614" w:type="pct"/>
            <w:tcBorders>
              <w:top w:val="nil"/>
              <w:left w:val="nil"/>
              <w:bottom w:val="nil"/>
              <w:right w:val="nil"/>
            </w:tcBorders>
            <w:shd w:val="clear" w:color="auto" w:fill="FFFFFF"/>
            <w:tcMar>
              <w:left w:w="67" w:type="dxa"/>
              <w:right w:w="67" w:type="dxa"/>
            </w:tcMar>
          </w:tcPr>
          <w:p w14:paraId="6BB0B39B"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5.4 (3.24) 0</w:t>
            </w:r>
          </w:p>
        </w:tc>
        <w:tc>
          <w:tcPr>
            <w:tcW w:w="655" w:type="pct"/>
            <w:tcBorders>
              <w:top w:val="nil"/>
              <w:left w:val="nil"/>
              <w:bottom w:val="nil"/>
              <w:right w:val="nil"/>
            </w:tcBorders>
            <w:shd w:val="clear" w:color="auto" w:fill="FFFFFF"/>
            <w:tcMar>
              <w:left w:w="67" w:type="dxa"/>
              <w:right w:w="67" w:type="dxa"/>
            </w:tcMar>
          </w:tcPr>
          <w:p w14:paraId="74E723C3"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4.4 (2.62) 0</w:t>
            </w:r>
          </w:p>
        </w:tc>
        <w:tc>
          <w:tcPr>
            <w:tcW w:w="655" w:type="pct"/>
            <w:tcBorders>
              <w:top w:val="nil"/>
              <w:left w:val="nil"/>
              <w:bottom w:val="nil"/>
            </w:tcBorders>
            <w:shd w:val="clear" w:color="auto" w:fill="FFFFFF"/>
            <w:tcMar>
              <w:left w:w="67" w:type="dxa"/>
              <w:right w:w="67" w:type="dxa"/>
            </w:tcMar>
          </w:tcPr>
          <w:p w14:paraId="6253E3C1"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4.9 (2.98) 0</w:t>
            </w:r>
          </w:p>
        </w:tc>
        <w:tc>
          <w:tcPr>
            <w:tcW w:w="653" w:type="pct"/>
            <w:tcBorders>
              <w:top w:val="nil"/>
              <w:left w:val="nil"/>
              <w:bottom w:val="nil"/>
              <w:right w:val="nil"/>
            </w:tcBorders>
            <w:shd w:val="clear" w:color="auto" w:fill="FFFFFF"/>
          </w:tcPr>
          <w:p w14:paraId="47553CF4"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120 (49.0%) 245</w:t>
            </w:r>
          </w:p>
        </w:tc>
        <w:tc>
          <w:tcPr>
            <w:tcW w:w="653" w:type="pct"/>
            <w:tcBorders>
              <w:top w:val="nil"/>
              <w:left w:val="nil"/>
              <w:bottom w:val="nil"/>
              <w:right w:val="nil"/>
            </w:tcBorders>
            <w:shd w:val="clear" w:color="auto" w:fill="FFFFFF"/>
          </w:tcPr>
          <w:p w14:paraId="2C102E50"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125 (39.2%) 319</w:t>
            </w:r>
          </w:p>
        </w:tc>
        <w:tc>
          <w:tcPr>
            <w:tcW w:w="653" w:type="pct"/>
            <w:tcBorders>
              <w:top w:val="nil"/>
              <w:left w:val="nil"/>
              <w:bottom w:val="nil"/>
            </w:tcBorders>
            <w:shd w:val="clear" w:color="auto" w:fill="FFFFFF"/>
          </w:tcPr>
          <w:p w14:paraId="03CD8C75"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245 (43.4%) 564</w:t>
            </w:r>
          </w:p>
        </w:tc>
      </w:tr>
      <w:tr w:rsidR="009F26C5" w:rsidRPr="009F26C5" w14:paraId="54D5D8BC" w14:textId="77777777" w:rsidTr="009F26C5">
        <w:trPr>
          <w:jc w:val="center"/>
        </w:trPr>
        <w:tc>
          <w:tcPr>
            <w:tcW w:w="1117" w:type="pct"/>
            <w:tcBorders>
              <w:top w:val="nil"/>
              <w:bottom w:val="nil"/>
              <w:right w:val="nil"/>
            </w:tcBorders>
            <w:shd w:val="clear" w:color="auto" w:fill="FFFFFF"/>
            <w:tcMar>
              <w:left w:w="67" w:type="dxa"/>
              <w:right w:w="67" w:type="dxa"/>
            </w:tcMar>
          </w:tcPr>
          <w:p w14:paraId="20F13DE7"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Depression/Dysphoria</w:t>
            </w:r>
          </w:p>
        </w:tc>
        <w:tc>
          <w:tcPr>
            <w:tcW w:w="614" w:type="pct"/>
            <w:tcBorders>
              <w:top w:val="nil"/>
              <w:left w:val="nil"/>
              <w:bottom w:val="nil"/>
              <w:right w:val="nil"/>
            </w:tcBorders>
            <w:shd w:val="clear" w:color="auto" w:fill="FFFFFF"/>
            <w:tcMar>
              <w:left w:w="67" w:type="dxa"/>
              <w:right w:w="67" w:type="dxa"/>
            </w:tcMar>
          </w:tcPr>
          <w:p w14:paraId="61E092F8" w14:textId="77777777" w:rsidR="009F26C5" w:rsidRPr="009F26C5" w:rsidRDefault="009F26C5" w:rsidP="009F26C5">
            <w:pPr>
              <w:keepNext/>
              <w:tabs>
                <w:tab w:val="left" w:pos="1500"/>
              </w:tabs>
              <w:spacing w:after="0" w:line="240" w:lineRule="auto"/>
              <w:jc w:val="right"/>
              <w:rPr>
                <w:rFonts w:eastAsia="Times New Roman"/>
                <w:color w:val="000000"/>
                <w:sz w:val="16"/>
                <w:szCs w:val="16"/>
              </w:rPr>
            </w:pPr>
            <w:r w:rsidRPr="009F26C5">
              <w:rPr>
                <w:rFonts w:eastAsia="Times New Roman"/>
                <w:color w:val="000000"/>
                <w:sz w:val="16"/>
                <w:szCs w:val="16"/>
              </w:rPr>
              <w:t>3.7 (2.66) 0</w:t>
            </w:r>
          </w:p>
        </w:tc>
        <w:tc>
          <w:tcPr>
            <w:tcW w:w="655" w:type="pct"/>
            <w:tcBorders>
              <w:top w:val="nil"/>
              <w:left w:val="nil"/>
              <w:bottom w:val="nil"/>
              <w:right w:val="nil"/>
            </w:tcBorders>
            <w:shd w:val="clear" w:color="auto" w:fill="FFFFFF"/>
            <w:tcMar>
              <w:left w:w="67" w:type="dxa"/>
              <w:right w:w="67" w:type="dxa"/>
            </w:tcMar>
          </w:tcPr>
          <w:p w14:paraId="7F731BF1"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3.5 (2.35) 1</w:t>
            </w:r>
          </w:p>
        </w:tc>
        <w:tc>
          <w:tcPr>
            <w:tcW w:w="655" w:type="pct"/>
            <w:tcBorders>
              <w:top w:val="nil"/>
              <w:left w:val="nil"/>
              <w:bottom w:val="nil"/>
            </w:tcBorders>
            <w:shd w:val="clear" w:color="auto" w:fill="FFFFFF"/>
            <w:tcMar>
              <w:left w:w="67" w:type="dxa"/>
              <w:right w:w="67" w:type="dxa"/>
            </w:tcMar>
          </w:tcPr>
          <w:p w14:paraId="7E03E34F"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3.6 (2.47) 1</w:t>
            </w:r>
          </w:p>
        </w:tc>
        <w:tc>
          <w:tcPr>
            <w:tcW w:w="653" w:type="pct"/>
            <w:tcBorders>
              <w:top w:val="nil"/>
              <w:left w:val="nil"/>
              <w:bottom w:val="nil"/>
              <w:right w:val="nil"/>
            </w:tcBorders>
            <w:shd w:val="clear" w:color="auto" w:fill="FFFFFF"/>
          </w:tcPr>
          <w:p w14:paraId="76344A27"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63 (26.0%) 242</w:t>
            </w:r>
          </w:p>
        </w:tc>
        <w:tc>
          <w:tcPr>
            <w:tcW w:w="653" w:type="pct"/>
            <w:tcBorders>
              <w:top w:val="nil"/>
              <w:left w:val="nil"/>
              <w:bottom w:val="nil"/>
              <w:right w:val="nil"/>
            </w:tcBorders>
            <w:shd w:val="clear" w:color="auto" w:fill="FFFFFF"/>
          </w:tcPr>
          <w:p w14:paraId="4F0DAF21"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101 (31.6%) 320</w:t>
            </w:r>
          </w:p>
        </w:tc>
        <w:tc>
          <w:tcPr>
            <w:tcW w:w="653" w:type="pct"/>
            <w:tcBorders>
              <w:top w:val="nil"/>
              <w:left w:val="nil"/>
              <w:bottom w:val="nil"/>
            </w:tcBorders>
            <w:shd w:val="clear" w:color="auto" w:fill="FFFFFF"/>
          </w:tcPr>
          <w:p w14:paraId="5B0473A8"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164 (29.2%) 562</w:t>
            </w:r>
          </w:p>
        </w:tc>
      </w:tr>
      <w:tr w:rsidR="009F26C5" w:rsidRPr="009F26C5" w14:paraId="0E604E1A" w14:textId="77777777" w:rsidTr="009F26C5">
        <w:trPr>
          <w:jc w:val="center"/>
        </w:trPr>
        <w:tc>
          <w:tcPr>
            <w:tcW w:w="1117" w:type="pct"/>
            <w:tcBorders>
              <w:top w:val="nil"/>
              <w:bottom w:val="nil"/>
              <w:right w:val="nil"/>
            </w:tcBorders>
            <w:shd w:val="clear" w:color="auto" w:fill="FFFFFF"/>
            <w:tcMar>
              <w:left w:w="67" w:type="dxa"/>
              <w:right w:w="67" w:type="dxa"/>
            </w:tcMar>
          </w:tcPr>
          <w:p w14:paraId="2AE882EF"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Anxiety</w:t>
            </w:r>
          </w:p>
        </w:tc>
        <w:tc>
          <w:tcPr>
            <w:tcW w:w="614" w:type="pct"/>
            <w:tcBorders>
              <w:top w:val="nil"/>
              <w:left w:val="nil"/>
              <w:bottom w:val="nil"/>
              <w:right w:val="nil"/>
            </w:tcBorders>
            <w:shd w:val="clear" w:color="auto" w:fill="FFFFFF"/>
            <w:tcMar>
              <w:left w:w="67" w:type="dxa"/>
              <w:right w:w="67" w:type="dxa"/>
            </w:tcMar>
          </w:tcPr>
          <w:p w14:paraId="34F3CE1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4.6 (2.92) 2</w:t>
            </w:r>
          </w:p>
        </w:tc>
        <w:tc>
          <w:tcPr>
            <w:tcW w:w="655" w:type="pct"/>
            <w:tcBorders>
              <w:top w:val="nil"/>
              <w:left w:val="nil"/>
              <w:bottom w:val="nil"/>
              <w:right w:val="nil"/>
            </w:tcBorders>
            <w:shd w:val="clear" w:color="auto" w:fill="FFFFFF"/>
            <w:tcMar>
              <w:left w:w="67" w:type="dxa"/>
              <w:right w:w="67" w:type="dxa"/>
            </w:tcMar>
          </w:tcPr>
          <w:p w14:paraId="0836E65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4.0 (2.71) 1</w:t>
            </w:r>
          </w:p>
        </w:tc>
        <w:tc>
          <w:tcPr>
            <w:tcW w:w="655" w:type="pct"/>
            <w:tcBorders>
              <w:top w:val="nil"/>
              <w:left w:val="nil"/>
              <w:bottom w:val="nil"/>
            </w:tcBorders>
            <w:shd w:val="clear" w:color="auto" w:fill="FFFFFF"/>
            <w:tcMar>
              <w:left w:w="67" w:type="dxa"/>
              <w:right w:w="67" w:type="dxa"/>
            </w:tcMar>
          </w:tcPr>
          <w:p w14:paraId="3D301743"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4.3 (2.81) 3</w:t>
            </w:r>
          </w:p>
        </w:tc>
        <w:tc>
          <w:tcPr>
            <w:tcW w:w="653" w:type="pct"/>
            <w:tcBorders>
              <w:top w:val="nil"/>
              <w:left w:val="nil"/>
              <w:bottom w:val="nil"/>
              <w:right w:val="nil"/>
            </w:tcBorders>
            <w:shd w:val="clear" w:color="auto" w:fill="FFFFFF"/>
          </w:tcPr>
          <w:p w14:paraId="78F935E2"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47 (19.3%) 244</w:t>
            </w:r>
          </w:p>
        </w:tc>
        <w:tc>
          <w:tcPr>
            <w:tcW w:w="653" w:type="pct"/>
            <w:tcBorders>
              <w:top w:val="nil"/>
              <w:left w:val="nil"/>
              <w:bottom w:val="nil"/>
              <w:right w:val="nil"/>
            </w:tcBorders>
            <w:shd w:val="clear" w:color="auto" w:fill="FFFFFF"/>
          </w:tcPr>
          <w:p w14:paraId="0B95296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57 (17.9%) 319</w:t>
            </w:r>
          </w:p>
        </w:tc>
        <w:tc>
          <w:tcPr>
            <w:tcW w:w="653" w:type="pct"/>
            <w:tcBorders>
              <w:top w:val="nil"/>
              <w:left w:val="nil"/>
              <w:bottom w:val="nil"/>
            </w:tcBorders>
            <w:shd w:val="clear" w:color="auto" w:fill="FFFFFF"/>
          </w:tcPr>
          <w:p w14:paraId="7462D3B2"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104 (18.5%) 563</w:t>
            </w:r>
          </w:p>
        </w:tc>
      </w:tr>
      <w:tr w:rsidR="009F26C5" w:rsidRPr="009F26C5" w14:paraId="125FE5D4" w14:textId="77777777" w:rsidTr="009F26C5">
        <w:trPr>
          <w:jc w:val="center"/>
        </w:trPr>
        <w:tc>
          <w:tcPr>
            <w:tcW w:w="1117" w:type="pct"/>
            <w:tcBorders>
              <w:top w:val="nil"/>
              <w:right w:val="nil"/>
            </w:tcBorders>
            <w:shd w:val="clear" w:color="auto" w:fill="FFFFFF"/>
            <w:tcMar>
              <w:left w:w="67" w:type="dxa"/>
              <w:right w:w="67" w:type="dxa"/>
            </w:tcMar>
          </w:tcPr>
          <w:p w14:paraId="1FA0E76E"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Apathy/Indifference</w:t>
            </w:r>
          </w:p>
        </w:tc>
        <w:tc>
          <w:tcPr>
            <w:tcW w:w="614" w:type="pct"/>
            <w:tcBorders>
              <w:top w:val="nil"/>
              <w:left w:val="nil"/>
              <w:right w:val="nil"/>
            </w:tcBorders>
            <w:shd w:val="clear" w:color="auto" w:fill="FFFFFF"/>
            <w:tcMar>
              <w:left w:w="67" w:type="dxa"/>
              <w:right w:w="67" w:type="dxa"/>
            </w:tcMar>
          </w:tcPr>
          <w:p w14:paraId="7ADB3256"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5.7 (3.39) 1</w:t>
            </w:r>
          </w:p>
        </w:tc>
        <w:tc>
          <w:tcPr>
            <w:tcW w:w="655" w:type="pct"/>
            <w:tcBorders>
              <w:top w:val="nil"/>
              <w:left w:val="nil"/>
              <w:right w:val="nil"/>
            </w:tcBorders>
            <w:shd w:val="clear" w:color="auto" w:fill="FFFFFF"/>
            <w:tcMar>
              <w:left w:w="67" w:type="dxa"/>
              <w:right w:w="67" w:type="dxa"/>
            </w:tcMar>
          </w:tcPr>
          <w:p w14:paraId="4627031B"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4.3 (2.91) 1</w:t>
            </w:r>
          </w:p>
        </w:tc>
        <w:tc>
          <w:tcPr>
            <w:tcW w:w="655" w:type="pct"/>
            <w:tcBorders>
              <w:top w:val="nil"/>
              <w:left w:val="nil"/>
            </w:tcBorders>
            <w:shd w:val="clear" w:color="auto" w:fill="FFFFFF"/>
            <w:tcMar>
              <w:left w:w="67" w:type="dxa"/>
              <w:right w:w="67" w:type="dxa"/>
            </w:tcMar>
          </w:tcPr>
          <w:p w14:paraId="61AEF202"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4.9 (3.16) 2</w:t>
            </w:r>
          </w:p>
        </w:tc>
        <w:tc>
          <w:tcPr>
            <w:tcW w:w="653" w:type="pct"/>
            <w:tcBorders>
              <w:top w:val="nil"/>
              <w:left w:val="nil"/>
              <w:right w:val="nil"/>
            </w:tcBorders>
            <w:shd w:val="clear" w:color="auto" w:fill="FFFFFF"/>
          </w:tcPr>
          <w:p w14:paraId="0F871058"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73 (29.9%) 244</w:t>
            </w:r>
          </w:p>
        </w:tc>
        <w:tc>
          <w:tcPr>
            <w:tcW w:w="653" w:type="pct"/>
            <w:tcBorders>
              <w:top w:val="nil"/>
              <w:left w:val="nil"/>
              <w:right w:val="nil"/>
            </w:tcBorders>
            <w:shd w:val="clear" w:color="auto" w:fill="FFFFFF"/>
          </w:tcPr>
          <w:p w14:paraId="4B8ABCB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116 (36.3%) 320</w:t>
            </w:r>
          </w:p>
        </w:tc>
        <w:tc>
          <w:tcPr>
            <w:tcW w:w="653" w:type="pct"/>
            <w:tcBorders>
              <w:top w:val="nil"/>
              <w:left w:val="nil"/>
            </w:tcBorders>
            <w:shd w:val="clear" w:color="auto" w:fill="FFFFFF"/>
          </w:tcPr>
          <w:p w14:paraId="24775E0D"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189 (33.5%) 564</w:t>
            </w:r>
          </w:p>
        </w:tc>
      </w:tr>
      <w:tr w:rsidR="009F26C5" w:rsidRPr="009F26C5" w14:paraId="076B3782" w14:textId="77777777" w:rsidTr="009F26C5">
        <w:trPr>
          <w:jc w:val="center"/>
        </w:trPr>
        <w:tc>
          <w:tcPr>
            <w:tcW w:w="1117" w:type="pct"/>
            <w:tcBorders>
              <w:top w:val="nil"/>
              <w:right w:val="nil"/>
            </w:tcBorders>
            <w:shd w:val="clear" w:color="auto" w:fill="FFFFFF"/>
            <w:tcMar>
              <w:left w:w="67" w:type="dxa"/>
              <w:right w:w="67" w:type="dxa"/>
            </w:tcMar>
          </w:tcPr>
          <w:p w14:paraId="0400A5F9"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Disinhibition</w:t>
            </w:r>
          </w:p>
        </w:tc>
        <w:tc>
          <w:tcPr>
            <w:tcW w:w="614" w:type="pct"/>
            <w:tcBorders>
              <w:top w:val="nil"/>
              <w:left w:val="nil"/>
              <w:right w:val="nil"/>
            </w:tcBorders>
            <w:shd w:val="clear" w:color="auto" w:fill="FFFFFF"/>
            <w:tcMar>
              <w:left w:w="67" w:type="dxa"/>
              <w:right w:w="67" w:type="dxa"/>
            </w:tcMar>
          </w:tcPr>
          <w:p w14:paraId="27EBFE86"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4.9 (3.08) 0</w:t>
            </w:r>
          </w:p>
        </w:tc>
        <w:tc>
          <w:tcPr>
            <w:tcW w:w="655" w:type="pct"/>
            <w:tcBorders>
              <w:top w:val="nil"/>
              <w:left w:val="nil"/>
              <w:right w:val="nil"/>
            </w:tcBorders>
            <w:shd w:val="clear" w:color="auto" w:fill="FFFFFF"/>
            <w:tcMar>
              <w:left w:w="67" w:type="dxa"/>
              <w:right w:w="67" w:type="dxa"/>
            </w:tcMar>
          </w:tcPr>
          <w:p w14:paraId="239035F2"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5.3 (3.44) 0</w:t>
            </w:r>
          </w:p>
        </w:tc>
        <w:tc>
          <w:tcPr>
            <w:tcW w:w="655" w:type="pct"/>
            <w:tcBorders>
              <w:top w:val="nil"/>
              <w:left w:val="nil"/>
            </w:tcBorders>
            <w:shd w:val="clear" w:color="auto" w:fill="FFFFFF"/>
            <w:tcMar>
              <w:left w:w="67" w:type="dxa"/>
              <w:right w:w="67" w:type="dxa"/>
            </w:tcMar>
          </w:tcPr>
          <w:p w14:paraId="6E724187"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5.1 (3.23) 0</w:t>
            </w:r>
          </w:p>
        </w:tc>
        <w:tc>
          <w:tcPr>
            <w:tcW w:w="653" w:type="pct"/>
            <w:tcBorders>
              <w:top w:val="nil"/>
              <w:left w:val="nil"/>
              <w:right w:val="nil"/>
            </w:tcBorders>
            <w:shd w:val="clear" w:color="auto" w:fill="FFFFFF"/>
          </w:tcPr>
          <w:p w14:paraId="3048D639"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35 (14.3%) 244</w:t>
            </w:r>
          </w:p>
        </w:tc>
        <w:tc>
          <w:tcPr>
            <w:tcW w:w="653" w:type="pct"/>
            <w:tcBorders>
              <w:top w:val="nil"/>
              <w:left w:val="nil"/>
              <w:right w:val="nil"/>
            </w:tcBorders>
            <w:shd w:val="clear" w:color="auto" w:fill="FFFFFF"/>
          </w:tcPr>
          <w:p w14:paraId="754F1E0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30   (9.4%) 320</w:t>
            </w:r>
          </w:p>
        </w:tc>
        <w:tc>
          <w:tcPr>
            <w:tcW w:w="653" w:type="pct"/>
            <w:tcBorders>
              <w:top w:val="nil"/>
              <w:left w:val="nil"/>
            </w:tcBorders>
            <w:shd w:val="clear" w:color="auto" w:fill="FFFFFF"/>
          </w:tcPr>
          <w:p w14:paraId="7740AE4A"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65 (11.5%) 564</w:t>
            </w:r>
          </w:p>
        </w:tc>
      </w:tr>
      <w:tr w:rsidR="009F26C5" w:rsidRPr="009F26C5" w14:paraId="7AC3F67B" w14:textId="77777777" w:rsidTr="009F26C5">
        <w:trPr>
          <w:jc w:val="center"/>
        </w:trPr>
        <w:tc>
          <w:tcPr>
            <w:tcW w:w="1117" w:type="pct"/>
            <w:tcBorders>
              <w:top w:val="nil"/>
              <w:bottom w:val="single" w:sz="4" w:space="0" w:color="auto"/>
              <w:right w:val="nil"/>
            </w:tcBorders>
            <w:shd w:val="clear" w:color="auto" w:fill="FFFFFF"/>
            <w:tcMar>
              <w:left w:w="67" w:type="dxa"/>
              <w:right w:w="67" w:type="dxa"/>
            </w:tcMar>
          </w:tcPr>
          <w:p w14:paraId="373D3BFC"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Irritability/Lability</w:t>
            </w:r>
          </w:p>
        </w:tc>
        <w:tc>
          <w:tcPr>
            <w:tcW w:w="614" w:type="pct"/>
            <w:tcBorders>
              <w:top w:val="nil"/>
              <w:left w:val="nil"/>
              <w:bottom w:val="single" w:sz="4" w:space="0" w:color="auto"/>
              <w:right w:val="nil"/>
            </w:tcBorders>
            <w:shd w:val="clear" w:color="auto" w:fill="FFFFFF"/>
            <w:tcMar>
              <w:left w:w="67" w:type="dxa"/>
              <w:right w:w="67" w:type="dxa"/>
            </w:tcMar>
          </w:tcPr>
          <w:p w14:paraId="43331082"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4.5 (3.12) 0</w:t>
            </w:r>
          </w:p>
        </w:tc>
        <w:tc>
          <w:tcPr>
            <w:tcW w:w="655" w:type="pct"/>
            <w:tcBorders>
              <w:top w:val="nil"/>
              <w:left w:val="nil"/>
              <w:bottom w:val="single" w:sz="4" w:space="0" w:color="auto"/>
              <w:right w:val="nil"/>
            </w:tcBorders>
            <w:shd w:val="clear" w:color="auto" w:fill="FFFFFF"/>
            <w:tcMar>
              <w:left w:w="67" w:type="dxa"/>
              <w:right w:w="67" w:type="dxa"/>
            </w:tcMar>
          </w:tcPr>
          <w:p w14:paraId="190D1C87"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4.4 (2.89) 0</w:t>
            </w:r>
          </w:p>
        </w:tc>
        <w:tc>
          <w:tcPr>
            <w:tcW w:w="655" w:type="pct"/>
            <w:tcBorders>
              <w:top w:val="nil"/>
              <w:left w:val="nil"/>
              <w:bottom w:val="single" w:sz="4" w:space="0" w:color="auto"/>
            </w:tcBorders>
            <w:shd w:val="clear" w:color="auto" w:fill="FFFFFF"/>
            <w:tcMar>
              <w:left w:w="67" w:type="dxa"/>
              <w:right w:w="67" w:type="dxa"/>
            </w:tcMar>
          </w:tcPr>
          <w:p w14:paraId="270C1D98"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4.5 (2.99) 0</w:t>
            </w:r>
          </w:p>
        </w:tc>
        <w:tc>
          <w:tcPr>
            <w:tcW w:w="653" w:type="pct"/>
            <w:tcBorders>
              <w:top w:val="nil"/>
              <w:left w:val="nil"/>
              <w:bottom w:val="single" w:sz="4" w:space="0" w:color="auto"/>
              <w:right w:val="nil"/>
            </w:tcBorders>
            <w:shd w:val="clear" w:color="auto" w:fill="FFFFFF"/>
          </w:tcPr>
          <w:p w14:paraId="16D80CB0"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83 (33.9%) 245</w:t>
            </w:r>
          </w:p>
        </w:tc>
        <w:tc>
          <w:tcPr>
            <w:tcW w:w="653" w:type="pct"/>
            <w:tcBorders>
              <w:top w:val="nil"/>
              <w:left w:val="nil"/>
              <w:bottom w:val="single" w:sz="4" w:space="0" w:color="auto"/>
              <w:right w:val="nil"/>
            </w:tcBorders>
            <w:shd w:val="clear" w:color="auto" w:fill="FFFFFF"/>
          </w:tcPr>
          <w:p w14:paraId="796B85D0"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99 (30.9%) 320</w:t>
            </w:r>
          </w:p>
        </w:tc>
        <w:tc>
          <w:tcPr>
            <w:tcW w:w="653" w:type="pct"/>
            <w:tcBorders>
              <w:top w:val="nil"/>
              <w:left w:val="nil"/>
              <w:bottom w:val="single" w:sz="4" w:space="0" w:color="auto"/>
            </w:tcBorders>
            <w:shd w:val="clear" w:color="auto" w:fill="FFFFFF"/>
          </w:tcPr>
          <w:p w14:paraId="2CF98083"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182 (32.2%) 565</w:t>
            </w:r>
          </w:p>
        </w:tc>
      </w:tr>
      <w:tr w:rsidR="009F26C5" w:rsidRPr="009F26C5" w14:paraId="72BB7618" w14:textId="77777777" w:rsidTr="009F26C5">
        <w:trPr>
          <w:jc w:val="center"/>
        </w:trPr>
        <w:tc>
          <w:tcPr>
            <w:tcW w:w="1117" w:type="pct"/>
            <w:tcBorders>
              <w:top w:val="nil"/>
              <w:bottom w:val="nil"/>
              <w:right w:val="nil"/>
            </w:tcBorders>
            <w:shd w:val="clear" w:color="auto" w:fill="FFFFFF"/>
            <w:tcMar>
              <w:left w:w="67" w:type="dxa"/>
              <w:right w:w="67" w:type="dxa"/>
            </w:tcMar>
          </w:tcPr>
          <w:p w14:paraId="4AD3C52B"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b/>
                <w:bCs/>
                <w:color w:val="000000"/>
                <w:sz w:val="16"/>
                <w:szCs w:val="16"/>
              </w:rPr>
              <w:t>16-months Total NPI score</w:t>
            </w:r>
            <w:r w:rsidRPr="009F26C5">
              <w:rPr>
                <w:rFonts w:eastAsia="Times New Roman"/>
                <w:bCs/>
                <w:color w:val="000000"/>
                <w:sz w:val="16"/>
                <w:szCs w:val="16"/>
              </w:rPr>
              <w:t xml:space="preserve">                          </w:t>
            </w:r>
          </w:p>
        </w:tc>
        <w:tc>
          <w:tcPr>
            <w:tcW w:w="614" w:type="pct"/>
            <w:tcBorders>
              <w:top w:val="nil"/>
              <w:left w:val="nil"/>
              <w:bottom w:val="nil"/>
              <w:right w:val="nil"/>
            </w:tcBorders>
            <w:shd w:val="clear" w:color="auto" w:fill="FFFFFF"/>
            <w:tcMar>
              <w:left w:w="67" w:type="dxa"/>
              <w:right w:w="67" w:type="dxa"/>
            </w:tcMar>
          </w:tcPr>
          <w:p w14:paraId="393FDF75" w14:textId="77777777" w:rsidR="009F26C5" w:rsidRPr="009F26C5" w:rsidRDefault="009F26C5" w:rsidP="009F26C5">
            <w:pPr>
              <w:keepNext/>
              <w:spacing w:after="0" w:line="240" w:lineRule="auto"/>
              <w:jc w:val="right"/>
              <w:rPr>
                <w:rFonts w:eastAsia="Times New Roman"/>
                <w:b/>
                <w:color w:val="000000"/>
                <w:sz w:val="16"/>
                <w:szCs w:val="16"/>
              </w:rPr>
            </w:pPr>
            <w:r w:rsidRPr="009F26C5">
              <w:rPr>
                <w:rFonts w:eastAsia="Times New Roman"/>
                <w:b/>
                <w:color w:val="000000"/>
                <w:sz w:val="16"/>
                <w:szCs w:val="16"/>
              </w:rPr>
              <w:t>10.4 (9.25) 0</w:t>
            </w:r>
          </w:p>
        </w:tc>
        <w:tc>
          <w:tcPr>
            <w:tcW w:w="655" w:type="pct"/>
            <w:tcBorders>
              <w:top w:val="single" w:sz="4" w:space="0" w:color="auto"/>
              <w:left w:val="nil"/>
              <w:bottom w:val="nil"/>
              <w:right w:val="nil"/>
            </w:tcBorders>
            <w:shd w:val="clear" w:color="auto" w:fill="FFFFFF"/>
            <w:tcMar>
              <w:left w:w="67" w:type="dxa"/>
              <w:right w:w="67" w:type="dxa"/>
            </w:tcMar>
          </w:tcPr>
          <w:p w14:paraId="626C675D" w14:textId="77777777" w:rsidR="009F26C5" w:rsidRPr="009F26C5" w:rsidRDefault="009F26C5" w:rsidP="009F26C5">
            <w:pPr>
              <w:keepNext/>
              <w:spacing w:after="0" w:line="240" w:lineRule="auto"/>
              <w:jc w:val="right"/>
              <w:rPr>
                <w:rFonts w:eastAsia="Times New Roman"/>
                <w:b/>
                <w:color w:val="000000"/>
                <w:sz w:val="16"/>
                <w:szCs w:val="16"/>
              </w:rPr>
            </w:pPr>
            <w:r w:rsidRPr="009F26C5">
              <w:rPr>
                <w:rFonts w:eastAsia="Times New Roman"/>
                <w:b/>
                <w:color w:val="000000"/>
                <w:sz w:val="16"/>
                <w:szCs w:val="16"/>
              </w:rPr>
              <w:t>7.7 (9.36) 0</w:t>
            </w:r>
          </w:p>
        </w:tc>
        <w:tc>
          <w:tcPr>
            <w:tcW w:w="655" w:type="pct"/>
            <w:tcBorders>
              <w:top w:val="single" w:sz="4" w:space="0" w:color="auto"/>
              <w:left w:val="nil"/>
              <w:bottom w:val="nil"/>
            </w:tcBorders>
            <w:shd w:val="clear" w:color="auto" w:fill="FFFFFF"/>
            <w:tcMar>
              <w:left w:w="67" w:type="dxa"/>
              <w:right w:w="67" w:type="dxa"/>
            </w:tcMar>
          </w:tcPr>
          <w:p w14:paraId="73C64F25" w14:textId="77777777" w:rsidR="009F26C5" w:rsidRPr="009F26C5" w:rsidRDefault="009F26C5" w:rsidP="009F26C5">
            <w:pPr>
              <w:keepNext/>
              <w:spacing w:after="0" w:line="240" w:lineRule="auto"/>
              <w:jc w:val="right"/>
              <w:rPr>
                <w:rFonts w:eastAsia="Times New Roman"/>
                <w:b/>
                <w:color w:val="000000"/>
                <w:sz w:val="16"/>
                <w:szCs w:val="16"/>
              </w:rPr>
            </w:pPr>
            <w:r w:rsidRPr="009F26C5">
              <w:rPr>
                <w:rFonts w:eastAsia="Times New Roman"/>
                <w:b/>
                <w:color w:val="000000"/>
                <w:sz w:val="16"/>
                <w:szCs w:val="16"/>
              </w:rPr>
              <w:t>8.9 (9.4) 0</w:t>
            </w:r>
          </w:p>
        </w:tc>
        <w:tc>
          <w:tcPr>
            <w:tcW w:w="653" w:type="pct"/>
            <w:tcBorders>
              <w:top w:val="single" w:sz="4" w:space="0" w:color="auto"/>
              <w:left w:val="nil"/>
              <w:bottom w:val="nil"/>
              <w:right w:val="nil"/>
            </w:tcBorders>
            <w:shd w:val="clear" w:color="auto" w:fill="FFFFFF"/>
          </w:tcPr>
          <w:p w14:paraId="19D74205" w14:textId="77777777" w:rsidR="009F26C5" w:rsidRPr="009F26C5" w:rsidRDefault="009F26C5" w:rsidP="009F26C5">
            <w:pPr>
              <w:keepNext/>
              <w:spacing w:after="0" w:line="240" w:lineRule="auto"/>
              <w:jc w:val="right"/>
              <w:rPr>
                <w:rFonts w:eastAsia="Times New Roman"/>
                <w:b/>
                <w:color w:val="000000"/>
                <w:sz w:val="16"/>
                <w:szCs w:val="16"/>
              </w:rPr>
            </w:pPr>
          </w:p>
        </w:tc>
        <w:tc>
          <w:tcPr>
            <w:tcW w:w="653" w:type="pct"/>
            <w:tcBorders>
              <w:top w:val="single" w:sz="4" w:space="0" w:color="auto"/>
              <w:left w:val="nil"/>
              <w:bottom w:val="nil"/>
              <w:right w:val="nil"/>
            </w:tcBorders>
            <w:shd w:val="clear" w:color="auto" w:fill="FFFFFF"/>
          </w:tcPr>
          <w:p w14:paraId="720C6BCA" w14:textId="77777777" w:rsidR="009F26C5" w:rsidRPr="009F26C5" w:rsidRDefault="009F26C5" w:rsidP="009F26C5">
            <w:pPr>
              <w:keepNext/>
              <w:spacing w:after="0" w:line="240" w:lineRule="auto"/>
              <w:jc w:val="right"/>
              <w:rPr>
                <w:rFonts w:eastAsia="Times New Roman"/>
                <w:b/>
                <w:color w:val="000000"/>
                <w:sz w:val="16"/>
                <w:szCs w:val="16"/>
              </w:rPr>
            </w:pPr>
          </w:p>
        </w:tc>
        <w:tc>
          <w:tcPr>
            <w:tcW w:w="653" w:type="pct"/>
            <w:tcBorders>
              <w:top w:val="single" w:sz="4" w:space="0" w:color="auto"/>
              <w:left w:val="nil"/>
              <w:bottom w:val="nil"/>
            </w:tcBorders>
            <w:shd w:val="clear" w:color="auto" w:fill="FFFFFF"/>
          </w:tcPr>
          <w:p w14:paraId="61902A81" w14:textId="77777777" w:rsidR="009F26C5" w:rsidRPr="009F26C5" w:rsidRDefault="009F26C5" w:rsidP="009F26C5">
            <w:pPr>
              <w:keepNext/>
              <w:spacing w:after="0" w:line="240" w:lineRule="auto"/>
              <w:jc w:val="right"/>
              <w:rPr>
                <w:rFonts w:eastAsia="Times New Roman"/>
                <w:b/>
                <w:color w:val="000000"/>
                <w:sz w:val="16"/>
                <w:szCs w:val="16"/>
              </w:rPr>
            </w:pPr>
          </w:p>
        </w:tc>
      </w:tr>
      <w:tr w:rsidR="009F26C5" w:rsidRPr="009F26C5" w14:paraId="152735FE" w14:textId="77777777" w:rsidTr="009F26C5">
        <w:trPr>
          <w:jc w:val="center"/>
        </w:trPr>
        <w:tc>
          <w:tcPr>
            <w:tcW w:w="1117" w:type="pct"/>
            <w:tcBorders>
              <w:top w:val="nil"/>
              <w:bottom w:val="nil"/>
              <w:right w:val="nil"/>
            </w:tcBorders>
            <w:shd w:val="clear" w:color="auto" w:fill="FFFFFF"/>
            <w:tcMar>
              <w:left w:w="67" w:type="dxa"/>
              <w:right w:w="67" w:type="dxa"/>
            </w:tcMar>
          </w:tcPr>
          <w:p w14:paraId="1CAE71C1" w14:textId="77777777" w:rsidR="009F26C5" w:rsidRPr="009F26C5" w:rsidRDefault="009F26C5" w:rsidP="009F26C5">
            <w:pPr>
              <w:keepNext/>
              <w:spacing w:after="0" w:line="240" w:lineRule="auto"/>
              <w:rPr>
                <w:rFonts w:eastAsia="Times New Roman"/>
                <w:b/>
                <w:bCs/>
                <w:color w:val="000000"/>
                <w:sz w:val="16"/>
                <w:szCs w:val="16"/>
              </w:rPr>
            </w:pPr>
            <w:r w:rsidRPr="009F26C5">
              <w:rPr>
                <w:rFonts w:eastAsia="Times New Roman"/>
                <w:b/>
                <w:bCs/>
                <w:color w:val="000000"/>
                <w:sz w:val="16"/>
                <w:szCs w:val="16"/>
              </w:rPr>
              <w:t>Subscales*:</w:t>
            </w:r>
          </w:p>
        </w:tc>
        <w:tc>
          <w:tcPr>
            <w:tcW w:w="614" w:type="pct"/>
            <w:tcBorders>
              <w:top w:val="nil"/>
              <w:left w:val="nil"/>
              <w:bottom w:val="nil"/>
              <w:right w:val="nil"/>
            </w:tcBorders>
            <w:shd w:val="clear" w:color="auto" w:fill="FFFFFF"/>
            <w:tcMar>
              <w:left w:w="67" w:type="dxa"/>
              <w:right w:w="67" w:type="dxa"/>
            </w:tcMar>
          </w:tcPr>
          <w:p w14:paraId="6B4EB67A" w14:textId="77777777" w:rsidR="009F26C5" w:rsidRPr="009F26C5" w:rsidRDefault="009F26C5" w:rsidP="009F26C5">
            <w:pPr>
              <w:keepNext/>
              <w:spacing w:after="0" w:line="240" w:lineRule="auto"/>
              <w:jc w:val="right"/>
              <w:rPr>
                <w:rFonts w:eastAsia="Times New Roman"/>
                <w:color w:val="000000"/>
                <w:sz w:val="16"/>
                <w:szCs w:val="16"/>
              </w:rPr>
            </w:pPr>
          </w:p>
        </w:tc>
        <w:tc>
          <w:tcPr>
            <w:tcW w:w="655" w:type="pct"/>
            <w:tcBorders>
              <w:top w:val="nil"/>
              <w:left w:val="nil"/>
              <w:bottom w:val="nil"/>
              <w:right w:val="nil"/>
            </w:tcBorders>
            <w:shd w:val="clear" w:color="auto" w:fill="FFFFFF"/>
            <w:tcMar>
              <w:left w:w="67" w:type="dxa"/>
              <w:right w:w="67" w:type="dxa"/>
            </w:tcMar>
          </w:tcPr>
          <w:p w14:paraId="45BB5D75" w14:textId="77777777" w:rsidR="009F26C5" w:rsidRPr="009F26C5" w:rsidRDefault="009F26C5" w:rsidP="009F26C5">
            <w:pPr>
              <w:keepNext/>
              <w:spacing w:after="0" w:line="240" w:lineRule="auto"/>
              <w:jc w:val="right"/>
              <w:rPr>
                <w:rFonts w:eastAsia="Times New Roman"/>
                <w:color w:val="000000"/>
                <w:sz w:val="16"/>
                <w:szCs w:val="16"/>
              </w:rPr>
            </w:pPr>
          </w:p>
        </w:tc>
        <w:tc>
          <w:tcPr>
            <w:tcW w:w="655" w:type="pct"/>
            <w:tcBorders>
              <w:top w:val="nil"/>
              <w:left w:val="nil"/>
              <w:bottom w:val="nil"/>
            </w:tcBorders>
            <w:shd w:val="clear" w:color="auto" w:fill="FFFFFF"/>
            <w:tcMar>
              <w:left w:w="67" w:type="dxa"/>
              <w:right w:w="67" w:type="dxa"/>
            </w:tcMar>
          </w:tcPr>
          <w:p w14:paraId="3FFD2426" w14:textId="77777777" w:rsidR="009F26C5" w:rsidRPr="009F26C5" w:rsidRDefault="009F26C5" w:rsidP="009F26C5">
            <w:pPr>
              <w:keepNext/>
              <w:spacing w:after="0" w:line="240" w:lineRule="auto"/>
              <w:jc w:val="right"/>
              <w:rPr>
                <w:rFonts w:eastAsia="Times New Roman"/>
                <w:color w:val="000000"/>
                <w:sz w:val="16"/>
                <w:szCs w:val="16"/>
              </w:rPr>
            </w:pPr>
          </w:p>
        </w:tc>
        <w:tc>
          <w:tcPr>
            <w:tcW w:w="653" w:type="pct"/>
            <w:tcBorders>
              <w:top w:val="nil"/>
              <w:left w:val="nil"/>
              <w:bottom w:val="nil"/>
              <w:right w:val="nil"/>
            </w:tcBorders>
            <w:shd w:val="clear" w:color="auto" w:fill="FFFFFF"/>
          </w:tcPr>
          <w:p w14:paraId="6D60AD0E"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Calibri"/>
                <w:color w:val="000000"/>
                <w:sz w:val="16"/>
                <w:szCs w:val="16"/>
                <w:lang w:eastAsia="en-US"/>
              </w:rPr>
              <w:t>146 (78.9%) 185</w:t>
            </w:r>
          </w:p>
        </w:tc>
        <w:tc>
          <w:tcPr>
            <w:tcW w:w="653" w:type="pct"/>
            <w:tcBorders>
              <w:top w:val="nil"/>
              <w:left w:val="nil"/>
              <w:bottom w:val="nil"/>
              <w:right w:val="nil"/>
            </w:tcBorders>
            <w:shd w:val="clear" w:color="auto" w:fill="FFFFFF"/>
          </w:tcPr>
          <w:p w14:paraId="30DBD777"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Calibri"/>
                <w:color w:val="000000"/>
                <w:sz w:val="16"/>
                <w:szCs w:val="16"/>
                <w:lang w:eastAsia="en-US"/>
              </w:rPr>
              <w:t>154 (69.4%) 222</w:t>
            </w:r>
          </w:p>
        </w:tc>
        <w:tc>
          <w:tcPr>
            <w:tcW w:w="653" w:type="pct"/>
            <w:tcBorders>
              <w:top w:val="nil"/>
              <w:left w:val="nil"/>
              <w:bottom w:val="nil"/>
            </w:tcBorders>
            <w:shd w:val="clear" w:color="auto" w:fill="FFFFFF"/>
          </w:tcPr>
          <w:p w14:paraId="7CE5C0ED"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Calibri"/>
                <w:color w:val="000000"/>
                <w:sz w:val="16"/>
                <w:szCs w:val="16"/>
                <w:lang w:eastAsia="en-US"/>
              </w:rPr>
              <w:t>300 (73.7%) 407</w:t>
            </w:r>
          </w:p>
        </w:tc>
      </w:tr>
      <w:tr w:rsidR="009F26C5" w:rsidRPr="009F26C5" w14:paraId="41D33D77" w14:textId="77777777" w:rsidTr="009F26C5">
        <w:trPr>
          <w:jc w:val="center"/>
        </w:trPr>
        <w:tc>
          <w:tcPr>
            <w:tcW w:w="1117" w:type="pct"/>
            <w:tcBorders>
              <w:top w:val="nil"/>
              <w:bottom w:val="nil"/>
              <w:right w:val="nil"/>
            </w:tcBorders>
            <w:shd w:val="clear" w:color="auto" w:fill="FFFFFF"/>
            <w:tcMar>
              <w:left w:w="67" w:type="dxa"/>
              <w:right w:w="67" w:type="dxa"/>
            </w:tcMar>
          </w:tcPr>
          <w:p w14:paraId="1C4F0859"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Agitation/Aggression</w:t>
            </w:r>
          </w:p>
        </w:tc>
        <w:tc>
          <w:tcPr>
            <w:tcW w:w="614" w:type="pct"/>
            <w:tcBorders>
              <w:top w:val="nil"/>
              <w:left w:val="nil"/>
              <w:bottom w:val="nil"/>
              <w:right w:val="nil"/>
            </w:tcBorders>
            <w:shd w:val="clear" w:color="auto" w:fill="FFFFFF"/>
            <w:tcMar>
              <w:left w:w="67" w:type="dxa"/>
              <w:right w:w="67" w:type="dxa"/>
            </w:tcMar>
          </w:tcPr>
          <w:p w14:paraId="1F000537"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4.5 (2.30) 0</w:t>
            </w:r>
          </w:p>
        </w:tc>
        <w:tc>
          <w:tcPr>
            <w:tcW w:w="655" w:type="pct"/>
            <w:tcBorders>
              <w:top w:val="nil"/>
              <w:left w:val="nil"/>
              <w:bottom w:val="nil"/>
              <w:right w:val="nil"/>
            </w:tcBorders>
            <w:shd w:val="clear" w:color="auto" w:fill="FFFFFF"/>
            <w:tcMar>
              <w:left w:w="67" w:type="dxa"/>
              <w:right w:w="67" w:type="dxa"/>
            </w:tcMar>
          </w:tcPr>
          <w:p w14:paraId="5ED4E260"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4.5 (3.00) 0</w:t>
            </w:r>
          </w:p>
        </w:tc>
        <w:tc>
          <w:tcPr>
            <w:tcW w:w="655" w:type="pct"/>
            <w:tcBorders>
              <w:top w:val="nil"/>
              <w:left w:val="nil"/>
              <w:bottom w:val="nil"/>
            </w:tcBorders>
            <w:shd w:val="clear" w:color="auto" w:fill="FFFFFF"/>
            <w:tcMar>
              <w:left w:w="67" w:type="dxa"/>
              <w:right w:w="67" w:type="dxa"/>
            </w:tcMar>
          </w:tcPr>
          <w:p w14:paraId="27FD5D16"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4.5 (2.65) 0</w:t>
            </w:r>
          </w:p>
        </w:tc>
        <w:tc>
          <w:tcPr>
            <w:tcW w:w="653" w:type="pct"/>
            <w:tcBorders>
              <w:top w:val="nil"/>
              <w:left w:val="nil"/>
              <w:bottom w:val="nil"/>
              <w:right w:val="nil"/>
            </w:tcBorders>
            <w:shd w:val="clear" w:color="auto" w:fill="FFFFFF"/>
          </w:tcPr>
          <w:p w14:paraId="3DE8D129"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82 (44.3%) 185</w:t>
            </w:r>
          </w:p>
        </w:tc>
        <w:tc>
          <w:tcPr>
            <w:tcW w:w="653" w:type="pct"/>
            <w:tcBorders>
              <w:top w:val="nil"/>
              <w:left w:val="nil"/>
              <w:bottom w:val="nil"/>
              <w:right w:val="nil"/>
            </w:tcBorders>
            <w:shd w:val="clear" w:color="auto" w:fill="FFFFFF"/>
          </w:tcPr>
          <w:p w14:paraId="27ACE644"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76 (34.2%) 222</w:t>
            </w:r>
          </w:p>
        </w:tc>
        <w:tc>
          <w:tcPr>
            <w:tcW w:w="653" w:type="pct"/>
            <w:tcBorders>
              <w:top w:val="nil"/>
              <w:left w:val="nil"/>
              <w:bottom w:val="nil"/>
            </w:tcBorders>
            <w:shd w:val="clear" w:color="auto" w:fill="FFFFFF"/>
          </w:tcPr>
          <w:p w14:paraId="2F0A8669"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158 (38.8%) 407</w:t>
            </w:r>
          </w:p>
        </w:tc>
      </w:tr>
      <w:tr w:rsidR="009F26C5" w:rsidRPr="009F26C5" w14:paraId="744F0D7F" w14:textId="77777777" w:rsidTr="009F26C5">
        <w:trPr>
          <w:jc w:val="center"/>
        </w:trPr>
        <w:tc>
          <w:tcPr>
            <w:tcW w:w="1117" w:type="pct"/>
            <w:tcBorders>
              <w:top w:val="nil"/>
              <w:bottom w:val="nil"/>
              <w:right w:val="nil"/>
            </w:tcBorders>
            <w:shd w:val="clear" w:color="auto" w:fill="FFFFFF"/>
            <w:tcMar>
              <w:left w:w="67" w:type="dxa"/>
              <w:right w:w="67" w:type="dxa"/>
            </w:tcMar>
          </w:tcPr>
          <w:p w14:paraId="5FE9D778"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Depression/Dysphoria</w:t>
            </w:r>
          </w:p>
        </w:tc>
        <w:tc>
          <w:tcPr>
            <w:tcW w:w="614" w:type="pct"/>
            <w:tcBorders>
              <w:top w:val="nil"/>
              <w:left w:val="nil"/>
              <w:bottom w:val="nil"/>
              <w:right w:val="nil"/>
            </w:tcBorders>
            <w:shd w:val="clear" w:color="auto" w:fill="FFFFFF"/>
            <w:tcMar>
              <w:left w:w="67" w:type="dxa"/>
              <w:right w:w="67" w:type="dxa"/>
            </w:tcMar>
          </w:tcPr>
          <w:p w14:paraId="28FBFD3F"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3.5 (2.09) 1</w:t>
            </w:r>
          </w:p>
        </w:tc>
        <w:tc>
          <w:tcPr>
            <w:tcW w:w="655" w:type="pct"/>
            <w:tcBorders>
              <w:top w:val="nil"/>
              <w:left w:val="nil"/>
              <w:bottom w:val="nil"/>
              <w:right w:val="nil"/>
            </w:tcBorders>
            <w:shd w:val="clear" w:color="auto" w:fill="FFFFFF"/>
            <w:tcMar>
              <w:left w:w="67" w:type="dxa"/>
              <w:right w:w="67" w:type="dxa"/>
            </w:tcMar>
          </w:tcPr>
          <w:p w14:paraId="662F2DE1"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3.1 (1.87) 1</w:t>
            </w:r>
          </w:p>
        </w:tc>
        <w:tc>
          <w:tcPr>
            <w:tcW w:w="655" w:type="pct"/>
            <w:tcBorders>
              <w:top w:val="nil"/>
              <w:left w:val="nil"/>
              <w:bottom w:val="nil"/>
            </w:tcBorders>
            <w:shd w:val="clear" w:color="auto" w:fill="FFFFFF"/>
            <w:tcMar>
              <w:left w:w="67" w:type="dxa"/>
              <w:right w:w="67" w:type="dxa"/>
            </w:tcMar>
          </w:tcPr>
          <w:p w14:paraId="3B000255"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3.3 (1.99) 2</w:t>
            </w:r>
          </w:p>
        </w:tc>
        <w:tc>
          <w:tcPr>
            <w:tcW w:w="653" w:type="pct"/>
            <w:tcBorders>
              <w:top w:val="nil"/>
              <w:left w:val="nil"/>
              <w:bottom w:val="nil"/>
              <w:right w:val="nil"/>
            </w:tcBorders>
            <w:shd w:val="clear" w:color="auto" w:fill="FFFFFF"/>
          </w:tcPr>
          <w:p w14:paraId="0A663872"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63 (34.1%) 185</w:t>
            </w:r>
          </w:p>
        </w:tc>
        <w:tc>
          <w:tcPr>
            <w:tcW w:w="653" w:type="pct"/>
            <w:tcBorders>
              <w:top w:val="nil"/>
              <w:left w:val="nil"/>
              <w:bottom w:val="nil"/>
              <w:right w:val="nil"/>
            </w:tcBorders>
            <w:shd w:val="clear" w:color="auto" w:fill="FFFFFF"/>
          </w:tcPr>
          <w:p w14:paraId="0E901E6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55 (24.8%) 222</w:t>
            </w:r>
          </w:p>
        </w:tc>
        <w:tc>
          <w:tcPr>
            <w:tcW w:w="653" w:type="pct"/>
            <w:tcBorders>
              <w:top w:val="nil"/>
              <w:left w:val="nil"/>
              <w:bottom w:val="nil"/>
            </w:tcBorders>
            <w:shd w:val="clear" w:color="auto" w:fill="FFFFFF"/>
          </w:tcPr>
          <w:p w14:paraId="49EBC0C4"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118 (29.0%) 407</w:t>
            </w:r>
          </w:p>
        </w:tc>
      </w:tr>
      <w:tr w:rsidR="009F26C5" w:rsidRPr="009F26C5" w14:paraId="15CF7B4F" w14:textId="77777777" w:rsidTr="009F26C5">
        <w:trPr>
          <w:jc w:val="center"/>
        </w:trPr>
        <w:tc>
          <w:tcPr>
            <w:tcW w:w="1117" w:type="pct"/>
            <w:tcBorders>
              <w:top w:val="nil"/>
              <w:right w:val="nil"/>
            </w:tcBorders>
            <w:shd w:val="clear" w:color="auto" w:fill="FFFFFF"/>
            <w:tcMar>
              <w:left w:w="67" w:type="dxa"/>
              <w:right w:w="67" w:type="dxa"/>
            </w:tcMar>
          </w:tcPr>
          <w:p w14:paraId="17C5A95D"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Anxiety</w:t>
            </w:r>
          </w:p>
        </w:tc>
        <w:tc>
          <w:tcPr>
            <w:tcW w:w="614" w:type="pct"/>
            <w:tcBorders>
              <w:top w:val="nil"/>
              <w:left w:val="nil"/>
              <w:right w:val="nil"/>
            </w:tcBorders>
            <w:shd w:val="clear" w:color="auto" w:fill="FFFFFF"/>
            <w:tcMar>
              <w:left w:w="67" w:type="dxa"/>
              <w:right w:w="67" w:type="dxa"/>
            </w:tcMar>
          </w:tcPr>
          <w:p w14:paraId="14FF21BD"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4.5 (2.28) 0</w:t>
            </w:r>
          </w:p>
        </w:tc>
        <w:tc>
          <w:tcPr>
            <w:tcW w:w="655" w:type="pct"/>
            <w:tcBorders>
              <w:top w:val="nil"/>
              <w:left w:val="nil"/>
              <w:right w:val="nil"/>
            </w:tcBorders>
            <w:shd w:val="clear" w:color="auto" w:fill="FFFFFF"/>
            <w:tcMar>
              <w:left w:w="67" w:type="dxa"/>
              <w:right w:w="67" w:type="dxa"/>
            </w:tcMar>
          </w:tcPr>
          <w:p w14:paraId="1ABE180B"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4.4 (2.83) 1</w:t>
            </w:r>
          </w:p>
        </w:tc>
        <w:tc>
          <w:tcPr>
            <w:tcW w:w="655" w:type="pct"/>
            <w:tcBorders>
              <w:top w:val="nil"/>
              <w:left w:val="nil"/>
            </w:tcBorders>
            <w:shd w:val="clear" w:color="auto" w:fill="FFFFFF"/>
            <w:tcMar>
              <w:left w:w="67" w:type="dxa"/>
              <w:right w:w="67" w:type="dxa"/>
            </w:tcMar>
          </w:tcPr>
          <w:p w14:paraId="09AD234F"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4.4 (2.56) 1</w:t>
            </w:r>
          </w:p>
        </w:tc>
        <w:tc>
          <w:tcPr>
            <w:tcW w:w="653" w:type="pct"/>
            <w:tcBorders>
              <w:top w:val="nil"/>
              <w:left w:val="nil"/>
              <w:right w:val="nil"/>
            </w:tcBorders>
            <w:shd w:val="clear" w:color="auto" w:fill="FFFFFF"/>
          </w:tcPr>
          <w:p w14:paraId="523041D9"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29 (15.7%) 185</w:t>
            </w:r>
          </w:p>
        </w:tc>
        <w:tc>
          <w:tcPr>
            <w:tcW w:w="653" w:type="pct"/>
            <w:tcBorders>
              <w:top w:val="nil"/>
              <w:left w:val="nil"/>
              <w:right w:val="nil"/>
            </w:tcBorders>
            <w:shd w:val="clear" w:color="auto" w:fill="FFFFFF"/>
          </w:tcPr>
          <w:p w14:paraId="205B0BD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34 (15.3%) 222</w:t>
            </w:r>
          </w:p>
        </w:tc>
        <w:tc>
          <w:tcPr>
            <w:tcW w:w="653" w:type="pct"/>
            <w:tcBorders>
              <w:top w:val="nil"/>
              <w:left w:val="nil"/>
            </w:tcBorders>
            <w:shd w:val="clear" w:color="auto" w:fill="FFFFFF"/>
          </w:tcPr>
          <w:p w14:paraId="5FE2AB38"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63 (15.5%) 407</w:t>
            </w:r>
          </w:p>
        </w:tc>
      </w:tr>
      <w:tr w:rsidR="009F26C5" w:rsidRPr="009F26C5" w14:paraId="65DE9BCD" w14:textId="77777777" w:rsidTr="009F26C5">
        <w:trPr>
          <w:jc w:val="center"/>
        </w:trPr>
        <w:tc>
          <w:tcPr>
            <w:tcW w:w="1117" w:type="pct"/>
            <w:tcBorders>
              <w:top w:val="nil"/>
              <w:right w:val="nil"/>
            </w:tcBorders>
            <w:shd w:val="clear" w:color="auto" w:fill="FFFFFF"/>
            <w:tcMar>
              <w:left w:w="67" w:type="dxa"/>
              <w:right w:w="67" w:type="dxa"/>
            </w:tcMar>
          </w:tcPr>
          <w:p w14:paraId="53BA31C2"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Apathy/Indifference</w:t>
            </w:r>
          </w:p>
        </w:tc>
        <w:tc>
          <w:tcPr>
            <w:tcW w:w="614" w:type="pct"/>
            <w:tcBorders>
              <w:top w:val="nil"/>
              <w:left w:val="nil"/>
              <w:right w:val="nil"/>
            </w:tcBorders>
            <w:shd w:val="clear" w:color="auto" w:fill="FFFFFF"/>
            <w:tcMar>
              <w:left w:w="67" w:type="dxa"/>
              <w:right w:w="67" w:type="dxa"/>
            </w:tcMar>
          </w:tcPr>
          <w:p w14:paraId="2913B1D3"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5.5 (3.33) 0</w:t>
            </w:r>
          </w:p>
        </w:tc>
        <w:tc>
          <w:tcPr>
            <w:tcW w:w="655" w:type="pct"/>
            <w:tcBorders>
              <w:top w:val="nil"/>
              <w:left w:val="nil"/>
              <w:right w:val="nil"/>
            </w:tcBorders>
            <w:shd w:val="clear" w:color="auto" w:fill="FFFFFF"/>
            <w:tcMar>
              <w:left w:w="67" w:type="dxa"/>
              <w:right w:w="67" w:type="dxa"/>
            </w:tcMar>
          </w:tcPr>
          <w:p w14:paraId="7399B707"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5.2 (3.40) 0</w:t>
            </w:r>
          </w:p>
        </w:tc>
        <w:tc>
          <w:tcPr>
            <w:tcW w:w="655" w:type="pct"/>
            <w:tcBorders>
              <w:top w:val="nil"/>
              <w:left w:val="nil"/>
            </w:tcBorders>
            <w:shd w:val="clear" w:color="auto" w:fill="FFFFFF"/>
            <w:tcMar>
              <w:left w:w="67" w:type="dxa"/>
              <w:right w:w="67" w:type="dxa"/>
            </w:tcMar>
          </w:tcPr>
          <w:p w14:paraId="6B0F7D67"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5.3 (3.36) 0</w:t>
            </w:r>
          </w:p>
        </w:tc>
        <w:tc>
          <w:tcPr>
            <w:tcW w:w="653" w:type="pct"/>
            <w:tcBorders>
              <w:top w:val="nil"/>
              <w:left w:val="nil"/>
              <w:right w:val="nil"/>
            </w:tcBorders>
            <w:shd w:val="clear" w:color="auto" w:fill="FFFFFF"/>
          </w:tcPr>
          <w:p w14:paraId="4C4ACDFB"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73 (39.5%) 185</w:t>
            </w:r>
          </w:p>
        </w:tc>
        <w:tc>
          <w:tcPr>
            <w:tcW w:w="653" w:type="pct"/>
            <w:tcBorders>
              <w:top w:val="nil"/>
              <w:left w:val="nil"/>
              <w:right w:val="nil"/>
            </w:tcBorders>
            <w:shd w:val="clear" w:color="auto" w:fill="FFFFFF"/>
          </w:tcPr>
          <w:p w14:paraId="6CCCEFDF"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62 (27.9%) 222</w:t>
            </w:r>
          </w:p>
        </w:tc>
        <w:tc>
          <w:tcPr>
            <w:tcW w:w="653" w:type="pct"/>
            <w:tcBorders>
              <w:top w:val="nil"/>
              <w:left w:val="nil"/>
            </w:tcBorders>
            <w:shd w:val="clear" w:color="auto" w:fill="FFFFFF"/>
          </w:tcPr>
          <w:p w14:paraId="0D1B281D"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135 (33.2%) 407</w:t>
            </w:r>
          </w:p>
        </w:tc>
      </w:tr>
      <w:tr w:rsidR="009F26C5" w:rsidRPr="009F26C5" w14:paraId="03B0BD4A" w14:textId="77777777" w:rsidTr="009F26C5">
        <w:trPr>
          <w:jc w:val="center"/>
        </w:trPr>
        <w:tc>
          <w:tcPr>
            <w:tcW w:w="1117" w:type="pct"/>
            <w:tcBorders>
              <w:top w:val="nil"/>
              <w:right w:val="nil"/>
            </w:tcBorders>
            <w:shd w:val="clear" w:color="auto" w:fill="FFFFFF"/>
            <w:tcMar>
              <w:left w:w="67" w:type="dxa"/>
              <w:right w:w="67" w:type="dxa"/>
            </w:tcMar>
          </w:tcPr>
          <w:p w14:paraId="280BFB50"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Disinhibition</w:t>
            </w:r>
          </w:p>
        </w:tc>
        <w:tc>
          <w:tcPr>
            <w:tcW w:w="614" w:type="pct"/>
            <w:tcBorders>
              <w:top w:val="nil"/>
              <w:left w:val="nil"/>
              <w:right w:val="nil"/>
            </w:tcBorders>
            <w:shd w:val="clear" w:color="auto" w:fill="FFFFFF"/>
            <w:tcMar>
              <w:left w:w="67" w:type="dxa"/>
              <w:right w:w="67" w:type="dxa"/>
            </w:tcMar>
          </w:tcPr>
          <w:p w14:paraId="6EB4FEDB"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3.6 (2.43) 1</w:t>
            </w:r>
          </w:p>
        </w:tc>
        <w:tc>
          <w:tcPr>
            <w:tcW w:w="655" w:type="pct"/>
            <w:tcBorders>
              <w:top w:val="nil"/>
              <w:left w:val="nil"/>
              <w:right w:val="nil"/>
            </w:tcBorders>
            <w:shd w:val="clear" w:color="auto" w:fill="FFFFFF"/>
            <w:tcMar>
              <w:left w:w="67" w:type="dxa"/>
              <w:right w:w="67" w:type="dxa"/>
            </w:tcMar>
          </w:tcPr>
          <w:p w14:paraId="30A20CBF"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3.6 (2.59) 0</w:t>
            </w:r>
          </w:p>
        </w:tc>
        <w:tc>
          <w:tcPr>
            <w:tcW w:w="655" w:type="pct"/>
            <w:tcBorders>
              <w:top w:val="nil"/>
              <w:left w:val="nil"/>
            </w:tcBorders>
            <w:shd w:val="clear" w:color="auto" w:fill="FFFFFF"/>
            <w:tcMar>
              <w:left w:w="67" w:type="dxa"/>
              <w:right w:w="67" w:type="dxa"/>
            </w:tcMar>
          </w:tcPr>
          <w:p w14:paraId="53CFD886"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3.6 (2.48) 1</w:t>
            </w:r>
          </w:p>
        </w:tc>
        <w:tc>
          <w:tcPr>
            <w:tcW w:w="653" w:type="pct"/>
            <w:tcBorders>
              <w:top w:val="nil"/>
              <w:left w:val="nil"/>
              <w:right w:val="nil"/>
            </w:tcBorders>
            <w:shd w:val="clear" w:color="auto" w:fill="FFFFFF"/>
          </w:tcPr>
          <w:p w14:paraId="67B25E0D"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24 (13.0%) 185</w:t>
            </w:r>
          </w:p>
        </w:tc>
        <w:tc>
          <w:tcPr>
            <w:tcW w:w="653" w:type="pct"/>
            <w:tcBorders>
              <w:top w:val="nil"/>
              <w:left w:val="nil"/>
              <w:right w:val="nil"/>
            </w:tcBorders>
            <w:shd w:val="clear" w:color="auto" w:fill="FFFFFF"/>
          </w:tcPr>
          <w:p w14:paraId="40CEFC9A"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24 (10.8%) 222</w:t>
            </w:r>
          </w:p>
        </w:tc>
        <w:tc>
          <w:tcPr>
            <w:tcW w:w="653" w:type="pct"/>
            <w:tcBorders>
              <w:top w:val="nil"/>
              <w:left w:val="nil"/>
            </w:tcBorders>
            <w:shd w:val="clear" w:color="auto" w:fill="FFFFFF"/>
          </w:tcPr>
          <w:p w14:paraId="5FBD7EA7"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48 (11.8%) 407</w:t>
            </w:r>
          </w:p>
        </w:tc>
      </w:tr>
      <w:tr w:rsidR="009F26C5" w:rsidRPr="009F26C5" w14:paraId="5C240EB8" w14:textId="77777777" w:rsidTr="009F26C5">
        <w:trPr>
          <w:jc w:val="center"/>
        </w:trPr>
        <w:tc>
          <w:tcPr>
            <w:tcW w:w="1117" w:type="pct"/>
            <w:tcBorders>
              <w:top w:val="nil"/>
              <w:right w:val="nil"/>
            </w:tcBorders>
            <w:shd w:val="clear" w:color="auto" w:fill="FFFFFF"/>
            <w:tcMar>
              <w:left w:w="67" w:type="dxa"/>
              <w:right w:w="67" w:type="dxa"/>
            </w:tcMar>
          </w:tcPr>
          <w:p w14:paraId="2E5A7396"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Irritability/Lability</w:t>
            </w:r>
          </w:p>
        </w:tc>
        <w:tc>
          <w:tcPr>
            <w:tcW w:w="614" w:type="pct"/>
            <w:tcBorders>
              <w:top w:val="nil"/>
              <w:left w:val="nil"/>
              <w:right w:val="nil"/>
            </w:tcBorders>
            <w:shd w:val="clear" w:color="auto" w:fill="FFFFFF"/>
            <w:tcMar>
              <w:left w:w="67" w:type="dxa"/>
              <w:right w:w="67" w:type="dxa"/>
            </w:tcMar>
          </w:tcPr>
          <w:p w14:paraId="5F1101B4"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4.5 (2.30) 0</w:t>
            </w:r>
          </w:p>
        </w:tc>
        <w:tc>
          <w:tcPr>
            <w:tcW w:w="655" w:type="pct"/>
            <w:tcBorders>
              <w:top w:val="nil"/>
              <w:left w:val="nil"/>
              <w:right w:val="nil"/>
            </w:tcBorders>
            <w:shd w:val="clear" w:color="auto" w:fill="FFFFFF"/>
            <w:tcMar>
              <w:left w:w="67" w:type="dxa"/>
              <w:right w:w="67" w:type="dxa"/>
            </w:tcMar>
          </w:tcPr>
          <w:p w14:paraId="2A7B49C8"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4.0 (2.83) 0</w:t>
            </w:r>
          </w:p>
        </w:tc>
        <w:tc>
          <w:tcPr>
            <w:tcW w:w="655" w:type="pct"/>
            <w:tcBorders>
              <w:top w:val="nil"/>
              <w:left w:val="nil"/>
            </w:tcBorders>
            <w:shd w:val="clear" w:color="auto" w:fill="FFFFFF"/>
            <w:tcMar>
              <w:left w:w="67" w:type="dxa"/>
              <w:right w:w="67" w:type="dxa"/>
            </w:tcMar>
          </w:tcPr>
          <w:p w14:paraId="56CA4D01"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4.2 (2.58) 0</w:t>
            </w:r>
          </w:p>
        </w:tc>
        <w:tc>
          <w:tcPr>
            <w:tcW w:w="653" w:type="pct"/>
            <w:tcBorders>
              <w:top w:val="nil"/>
              <w:left w:val="nil"/>
              <w:right w:val="nil"/>
            </w:tcBorders>
            <w:shd w:val="clear" w:color="auto" w:fill="FFFFFF"/>
          </w:tcPr>
          <w:p w14:paraId="29F906EA"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65 (35.1%) 185</w:t>
            </w:r>
          </w:p>
        </w:tc>
        <w:tc>
          <w:tcPr>
            <w:tcW w:w="653" w:type="pct"/>
            <w:tcBorders>
              <w:top w:val="nil"/>
              <w:left w:val="nil"/>
              <w:right w:val="nil"/>
            </w:tcBorders>
            <w:shd w:val="clear" w:color="auto" w:fill="FFFFFF"/>
          </w:tcPr>
          <w:p w14:paraId="518B19E5"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66 (29.7%) 222</w:t>
            </w:r>
          </w:p>
        </w:tc>
        <w:tc>
          <w:tcPr>
            <w:tcW w:w="653" w:type="pct"/>
            <w:tcBorders>
              <w:top w:val="nil"/>
              <w:left w:val="nil"/>
            </w:tcBorders>
            <w:shd w:val="clear" w:color="auto" w:fill="FFFFFF"/>
          </w:tcPr>
          <w:p w14:paraId="606D4CB1"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131 (32.2%) 407</w:t>
            </w:r>
          </w:p>
        </w:tc>
      </w:tr>
      <w:tr w:rsidR="009F26C5" w:rsidRPr="009F26C5" w14:paraId="245397D6" w14:textId="77777777" w:rsidTr="009F26C5">
        <w:trPr>
          <w:jc w:val="center"/>
        </w:trPr>
        <w:tc>
          <w:tcPr>
            <w:tcW w:w="1117" w:type="pct"/>
            <w:tcBorders>
              <w:top w:val="single" w:sz="4" w:space="0" w:color="auto"/>
              <w:bottom w:val="single" w:sz="4" w:space="0" w:color="auto"/>
              <w:right w:val="nil"/>
            </w:tcBorders>
            <w:shd w:val="clear" w:color="auto" w:fill="F2F2F2"/>
            <w:tcMar>
              <w:left w:w="67" w:type="dxa"/>
              <w:right w:w="67" w:type="dxa"/>
            </w:tcMar>
            <w:vAlign w:val="bottom"/>
          </w:tcPr>
          <w:p w14:paraId="6E55A2AD" w14:textId="77777777" w:rsidR="009F26C5" w:rsidRPr="009F26C5" w:rsidRDefault="009F26C5" w:rsidP="009F26C5">
            <w:pPr>
              <w:keepNext/>
              <w:spacing w:after="0" w:line="240" w:lineRule="auto"/>
              <w:rPr>
                <w:rFonts w:eastAsia="Times New Roman"/>
                <w:b/>
                <w:bCs/>
                <w:color w:val="000000"/>
                <w:sz w:val="16"/>
                <w:szCs w:val="16"/>
              </w:rPr>
            </w:pPr>
            <w:r w:rsidRPr="009F26C5">
              <w:rPr>
                <w:rFonts w:eastAsia="Times New Roman"/>
                <w:b/>
                <w:bCs/>
                <w:color w:val="000000"/>
                <w:sz w:val="16"/>
                <w:szCs w:val="16"/>
              </w:rPr>
              <w:t>CROSS-SECTION</w:t>
            </w:r>
          </w:p>
        </w:tc>
        <w:tc>
          <w:tcPr>
            <w:tcW w:w="614" w:type="pct"/>
            <w:tcBorders>
              <w:top w:val="single" w:sz="4" w:space="0" w:color="auto"/>
              <w:left w:val="nil"/>
              <w:bottom w:val="single" w:sz="4" w:space="0" w:color="auto"/>
              <w:right w:val="nil"/>
            </w:tcBorders>
            <w:shd w:val="clear" w:color="auto" w:fill="F2F2F2"/>
            <w:tcMar>
              <w:left w:w="67" w:type="dxa"/>
              <w:right w:w="67" w:type="dxa"/>
            </w:tcMar>
            <w:vAlign w:val="bottom"/>
          </w:tcPr>
          <w:p w14:paraId="664EAE06"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b/>
                <w:bCs/>
                <w:color w:val="000000"/>
                <w:sz w:val="16"/>
                <w:szCs w:val="16"/>
              </w:rPr>
              <w:t>Control</w:t>
            </w:r>
            <w:r w:rsidRPr="009F26C5">
              <w:rPr>
                <w:rFonts w:eastAsia="Times New Roman"/>
                <w:b/>
                <w:bCs/>
                <w:color w:val="000000"/>
                <w:sz w:val="16"/>
                <w:szCs w:val="16"/>
              </w:rPr>
              <w:br/>
              <w:t>(n = 287)</w:t>
            </w:r>
          </w:p>
        </w:tc>
        <w:tc>
          <w:tcPr>
            <w:tcW w:w="655" w:type="pct"/>
            <w:tcBorders>
              <w:top w:val="single" w:sz="4" w:space="0" w:color="auto"/>
              <w:left w:val="nil"/>
              <w:bottom w:val="single" w:sz="4" w:space="0" w:color="auto"/>
              <w:right w:val="nil"/>
            </w:tcBorders>
            <w:shd w:val="clear" w:color="auto" w:fill="F2F2F2"/>
            <w:tcMar>
              <w:left w:w="67" w:type="dxa"/>
              <w:right w:w="67" w:type="dxa"/>
            </w:tcMar>
            <w:vAlign w:val="bottom"/>
          </w:tcPr>
          <w:p w14:paraId="7376FAA9"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b/>
                <w:bCs/>
                <w:color w:val="000000"/>
                <w:sz w:val="16"/>
                <w:szCs w:val="16"/>
              </w:rPr>
              <w:t>Intervention</w:t>
            </w:r>
            <w:r w:rsidRPr="009F26C5">
              <w:rPr>
                <w:rFonts w:eastAsia="Times New Roman"/>
                <w:b/>
                <w:bCs/>
                <w:color w:val="000000"/>
                <w:sz w:val="16"/>
                <w:szCs w:val="16"/>
              </w:rPr>
              <w:br/>
              <w:t>(n = 388)</w:t>
            </w:r>
          </w:p>
        </w:tc>
        <w:tc>
          <w:tcPr>
            <w:tcW w:w="655" w:type="pct"/>
            <w:tcBorders>
              <w:top w:val="single" w:sz="4" w:space="0" w:color="auto"/>
              <w:left w:val="nil"/>
              <w:bottom w:val="single" w:sz="4" w:space="0" w:color="auto"/>
            </w:tcBorders>
            <w:shd w:val="clear" w:color="auto" w:fill="F2F2F2"/>
            <w:tcMar>
              <w:left w:w="67" w:type="dxa"/>
              <w:right w:w="67" w:type="dxa"/>
            </w:tcMar>
            <w:vAlign w:val="bottom"/>
          </w:tcPr>
          <w:p w14:paraId="367B2779"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b/>
                <w:bCs/>
                <w:color w:val="000000"/>
                <w:sz w:val="16"/>
                <w:szCs w:val="16"/>
              </w:rPr>
              <w:t>Total</w:t>
            </w:r>
            <w:r w:rsidRPr="009F26C5">
              <w:rPr>
                <w:rFonts w:eastAsia="Times New Roman"/>
                <w:b/>
                <w:bCs/>
                <w:color w:val="000000"/>
                <w:sz w:val="16"/>
                <w:szCs w:val="16"/>
              </w:rPr>
              <w:br/>
              <w:t>(n = 675)</w:t>
            </w:r>
          </w:p>
        </w:tc>
        <w:tc>
          <w:tcPr>
            <w:tcW w:w="653" w:type="pct"/>
            <w:tcBorders>
              <w:top w:val="single" w:sz="4" w:space="0" w:color="auto"/>
              <w:left w:val="nil"/>
              <w:bottom w:val="single" w:sz="4" w:space="0" w:color="auto"/>
              <w:right w:val="nil"/>
            </w:tcBorders>
            <w:shd w:val="clear" w:color="auto" w:fill="F2F2F2"/>
            <w:vAlign w:val="bottom"/>
          </w:tcPr>
          <w:p w14:paraId="2DA60D06" w14:textId="77777777" w:rsidR="009F26C5" w:rsidRPr="009F26C5" w:rsidRDefault="009F26C5" w:rsidP="009F26C5">
            <w:pPr>
              <w:keepNext/>
              <w:spacing w:after="0" w:line="240" w:lineRule="auto"/>
              <w:jc w:val="right"/>
              <w:rPr>
                <w:rFonts w:eastAsia="Times New Roman"/>
                <w:b/>
                <w:bCs/>
                <w:color w:val="000000"/>
                <w:sz w:val="16"/>
                <w:szCs w:val="16"/>
              </w:rPr>
            </w:pPr>
            <w:r w:rsidRPr="009F26C5">
              <w:rPr>
                <w:rFonts w:eastAsia="Times New Roman"/>
                <w:b/>
                <w:bCs/>
                <w:color w:val="000000"/>
                <w:sz w:val="16"/>
                <w:szCs w:val="16"/>
              </w:rPr>
              <w:t>Control</w:t>
            </w:r>
            <w:r w:rsidRPr="009F26C5">
              <w:rPr>
                <w:rFonts w:eastAsia="Times New Roman"/>
                <w:b/>
                <w:bCs/>
                <w:color w:val="000000"/>
                <w:sz w:val="16"/>
                <w:szCs w:val="16"/>
              </w:rPr>
              <w:br/>
              <w:t>(n = 287)</w:t>
            </w:r>
          </w:p>
        </w:tc>
        <w:tc>
          <w:tcPr>
            <w:tcW w:w="653" w:type="pct"/>
            <w:tcBorders>
              <w:top w:val="single" w:sz="4" w:space="0" w:color="auto"/>
              <w:left w:val="nil"/>
              <w:bottom w:val="single" w:sz="4" w:space="0" w:color="auto"/>
              <w:right w:val="nil"/>
            </w:tcBorders>
            <w:shd w:val="clear" w:color="auto" w:fill="F2F2F2"/>
            <w:vAlign w:val="bottom"/>
          </w:tcPr>
          <w:p w14:paraId="564E5E45" w14:textId="77777777" w:rsidR="009F26C5" w:rsidRPr="009F26C5" w:rsidRDefault="009F26C5" w:rsidP="009F26C5">
            <w:pPr>
              <w:keepNext/>
              <w:spacing w:after="0" w:line="240" w:lineRule="auto"/>
              <w:jc w:val="right"/>
              <w:rPr>
                <w:rFonts w:eastAsia="Times New Roman"/>
                <w:b/>
                <w:bCs/>
                <w:color w:val="000000"/>
                <w:sz w:val="16"/>
                <w:szCs w:val="16"/>
              </w:rPr>
            </w:pPr>
            <w:r w:rsidRPr="009F26C5">
              <w:rPr>
                <w:rFonts w:eastAsia="Times New Roman"/>
                <w:b/>
                <w:bCs/>
                <w:color w:val="000000"/>
                <w:sz w:val="16"/>
                <w:szCs w:val="16"/>
              </w:rPr>
              <w:t>Intervention</w:t>
            </w:r>
            <w:r w:rsidRPr="009F26C5">
              <w:rPr>
                <w:rFonts w:eastAsia="Times New Roman"/>
                <w:b/>
                <w:bCs/>
                <w:color w:val="000000"/>
                <w:sz w:val="16"/>
                <w:szCs w:val="16"/>
              </w:rPr>
              <w:br/>
              <w:t>(n = 388)</w:t>
            </w:r>
          </w:p>
        </w:tc>
        <w:tc>
          <w:tcPr>
            <w:tcW w:w="653" w:type="pct"/>
            <w:tcBorders>
              <w:top w:val="single" w:sz="4" w:space="0" w:color="auto"/>
              <w:left w:val="nil"/>
              <w:bottom w:val="single" w:sz="4" w:space="0" w:color="auto"/>
            </w:tcBorders>
            <w:shd w:val="clear" w:color="auto" w:fill="F2F2F2"/>
            <w:vAlign w:val="bottom"/>
          </w:tcPr>
          <w:p w14:paraId="178354A9" w14:textId="77777777" w:rsidR="009F26C5" w:rsidRPr="009F26C5" w:rsidRDefault="009F26C5" w:rsidP="009F26C5">
            <w:pPr>
              <w:keepNext/>
              <w:spacing w:after="0" w:line="240" w:lineRule="auto"/>
              <w:jc w:val="right"/>
              <w:rPr>
                <w:rFonts w:eastAsia="Times New Roman"/>
                <w:b/>
                <w:bCs/>
                <w:color w:val="000000"/>
                <w:sz w:val="16"/>
                <w:szCs w:val="16"/>
              </w:rPr>
            </w:pPr>
            <w:r w:rsidRPr="009F26C5">
              <w:rPr>
                <w:rFonts w:eastAsia="Times New Roman"/>
                <w:b/>
                <w:bCs/>
                <w:color w:val="000000"/>
                <w:sz w:val="16"/>
                <w:szCs w:val="16"/>
              </w:rPr>
              <w:t>Total</w:t>
            </w:r>
            <w:r w:rsidRPr="009F26C5">
              <w:rPr>
                <w:rFonts w:eastAsia="Times New Roman"/>
                <w:b/>
                <w:bCs/>
                <w:color w:val="000000"/>
                <w:sz w:val="16"/>
                <w:szCs w:val="16"/>
              </w:rPr>
              <w:br/>
              <w:t>(n = 675)</w:t>
            </w:r>
          </w:p>
        </w:tc>
      </w:tr>
      <w:tr w:rsidR="009F26C5" w:rsidRPr="009F26C5" w14:paraId="030F8DB3" w14:textId="77777777" w:rsidTr="009F26C5">
        <w:trPr>
          <w:jc w:val="center"/>
        </w:trPr>
        <w:tc>
          <w:tcPr>
            <w:tcW w:w="1117" w:type="pct"/>
            <w:tcBorders>
              <w:top w:val="nil"/>
              <w:bottom w:val="nil"/>
              <w:right w:val="nil"/>
            </w:tcBorders>
            <w:shd w:val="clear" w:color="auto" w:fill="FFFFFF"/>
            <w:tcMar>
              <w:left w:w="67" w:type="dxa"/>
              <w:right w:w="67" w:type="dxa"/>
            </w:tcMar>
          </w:tcPr>
          <w:p w14:paraId="35F4A850"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b/>
                <w:bCs/>
                <w:color w:val="000000"/>
                <w:sz w:val="16"/>
                <w:szCs w:val="16"/>
              </w:rPr>
              <w:t>16-months Total NPI score</w:t>
            </w:r>
            <w:r w:rsidRPr="009F26C5">
              <w:rPr>
                <w:rFonts w:eastAsia="Times New Roman"/>
                <w:bCs/>
                <w:color w:val="000000"/>
                <w:sz w:val="16"/>
                <w:szCs w:val="16"/>
              </w:rPr>
              <w:t xml:space="preserve">                          </w:t>
            </w:r>
          </w:p>
        </w:tc>
        <w:tc>
          <w:tcPr>
            <w:tcW w:w="614" w:type="pct"/>
            <w:tcBorders>
              <w:top w:val="nil"/>
              <w:left w:val="nil"/>
              <w:bottom w:val="nil"/>
              <w:right w:val="nil"/>
            </w:tcBorders>
            <w:shd w:val="clear" w:color="auto" w:fill="FFFFFF"/>
            <w:tcMar>
              <w:left w:w="67" w:type="dxa"/>
              <w:right w:w="67" w:type="dxa"/>
            </w:tcMar>
          </w:tcPr>
          <w:p w14:paraId="05E9C80D" w14:textId="77777777" w:rsidR="009F26C5" w:rsidRPr="009F26C5" w:rsidRDefault="009F26C5" w:rsidP="009F26C5">
            <w:pPr>
              <w:keepNext/>
              <w:spacing w:after="0" w:line="240" w:lineRule="auto"/>
              <w:jc w:val="right"/>
              <w:rPr>
                <w:rFonts w:eastAsia="Times New Roman"/>
                <w:b/>
                <w:color w:val="000000"/>
                <w:sz w:val="16"/>
                <w:szCs w:val="16"/>
              </w:rPr>
            </w:pPr>
            <w:r w:rsidRPr="009F26C5">
              <w:rPr>
                <w:rFonts w:eastAsia="Times New Roman"/>
                <w:b/>
                <w:color w:val="000000"/>
                <w:sz w:val="16"/>
                <w:szCs w:val="16"/>
              </w:rPr>
              <w:t>10 (10.46) 0</w:t>
            </w:r>
          </w:p>
        </w:tc>
        <w:tc>
          <w:tcPr>
            <w:tcW w:w="655" w:type="pct"/>
            <w:tcBorders>
              <w:top w:val="single" w:sz="4" w:space="0" w:color="auto"/>
              <w:left w:val="nil"/>
              <w:bottom w:val="nil"/>
              <w:right w:val="nil"/>
            </w:tcBorders>
            <w:shd w:val="clear" w:color="auto" w:fill="FFFFFF"/>
            <w:tcMar>
              <w:left w:w="67" w:type="dxa"/>
              <w:right w:w="67" w:type="dxa"/>
            </w:tcMar>
          </w:tcPr>
          <w:p w14:paraId="74AC5D08" w14:textId="77777777" w:rsidR="009F26C5" w:rsidRPr="009F26C5" w:rsidRDefault="009F26C5" w:rsidP="009F26C5">
            <w:pPr>
              <w:keepNext/>
              <w:spacing w:after="0" w:line="240" w:lineRule="auto"/>
              <w:jc w:val="right"/>
              <w:rPr>
                <w:rFonts w:eastAsia="Times New Roman"/>
                <w:b/>
                <w:color w:val="000000"/>
                <w:sz w:val="16"/>
                <w:szCs w:val="16"/>
              </w:rPr>
            </w:pPr>
            <w:r w:rsidRPr="009F26C5">
              <w:rPr>
                <w:rFonts w:eastAsia="Times New Roman"/>
                <w:b/>
                <w:color w:val="000000"/>
                <w:sz w:val="16"/>
                <w:szCs w:val="16"/>
              </w:rPr>
              <w:t>8.4 (10.25) 0</w:t>
            </w:r>
          </w:p>
        </w:tc>
        <w:tc>
          <w:tcPr>
            <w:tcW w:w="655" w:type="pct"/>
            <w:tcBorders>
              <w:top w:val="single" w:sz="4" w:space="0" w:color="auto"/>
              <w:left w:val="nil"/>
              <w:bottom w:val="nil"/>
            </w:tcBorders>
            <w:shd w:val="clear" w:color="auto" w:fill="FFFFFF"/>
            <w:tcMar>
              <w:left w:w="67" w:type="dxa"/>
              <w:right w:w="67" w:type="dxa"/>
            </w:tcMar>
          </w:tcPr>
          <w:p w14:paraId="1379F299" w14:textId="77777777" w:rsidR="009F26C5" w:rsidRPr="009F26C5" w:rsidRDefault="009F26C5" w:rsidP="009F26C5">
            <w:pPr>
              <w:keepNext/>
              <w:spacing w:after="0" w:line="240" w:lineRule="auto"/>
              <w:jc w:val="right"/>
              <w:rPr>
                <w:rFonts w:eastAsia="Times New Roman"/>
                <w:b/>
                <w:color w:val="000000"/>
                <w:sz w:val="16"/>
                <w:szCs w:val="16"/>
              </w:rPr>
            </w:pPr>
            <w:r w:rsidRPr="009F26C5">
              <w:rPr>
                <w:rFonts w:eastAsia="Times New Roman"/>
                <w:b/>
                <w:color w:val="000000"/>
                <w:sz w:val="16"/>
                <w:szCs w:val="16"/>
              </w:rPr>
              <w:t>9.1 (10.36) 0</w:t>
            </w:r>
          </w:p>
        </w:tc>
        <w:tc>
          <w:tcPr>
            <w:tcW w:w="653" w:type="pct"/>
            <w:tcBorders>
              <w:top w:val="single" w:sz="4" w:space="0" w:color="auto"/>
              <w:left w:val="nil"/>
              <w:bottom w:val="nil"/>
              <w:right w:val="nil"/>
            </w:tcBorders>
            <w:shd w:val="clear" w:color="auto" w:fill="FFFFFF"/>
          </w:tcPr>
          <w:p w14:paraId="485C8045" w14:textId="77777777" w:rsidR="009F26C5" w:rsidRPr="009F26C5" w:rsidRDefault="009F26C5" w:rsidP="009F26C5">
            <w:pPr>
              <w:keepNext/>
              <w:spacing w:after="0" w:line="240" w:lineRule="auto"/>
              <w:jc w:val="right"/>
              <w:rPr>
                <w:rFonts w:eastAsia="Times New Roman"/>
                <w:b/>
                <w:color w:val="000000"/>
                <w:sz w:val="16"/>
                <w:szCs w:val="16"/>
              </w:rPr>
            </w:pPr>
          </w:p>
        </w:tc>
        <w:tc>
          <w:tcPr>
            <w:tcW w:w="653" w:type="pct"/>
            <w:tcBorders>
              <w:top w:val="single" w:sz="4" w:space="0" w:color="auto"/>
              <w:left w:val="nil"/>
              <w:bottom w:val="nil"/>
              <w:right w:val="nil"/>
            </w:tcBorders>
            <w:shd w:val="clear" w:color="auto" w:fill="FFFFFF"/>
          </w:tcPr>
          <w:p w14:paraId="1FB1A2BF" w14:textId="77777777" w:rsidR="009F26C5" w:rsidRPr="009F26C5" w:rsidRDefault="009F26C5" w:rsidP="009F26C5">
            <w:pPr>
              <w:keepNext/>
              <w:spacing w:after="0" w:line="240" w:lineRule="auto"/>
              <w:jc w:val="right"/>
              <w:rPr>
                <w:rFonts w:eastAsia="Times New Roman"/>
                <w:b/>
                <w:color w:val="000000"/>
                <w:sz w:val="16"/>
                <w:szCs w:val="16"/>
              </w:rPr>
            </w:pPr>
          </w:p>
        </w:tc>
        <w:tc>
          <w:tcPr>
            <w:tcW w:w="653" w:type="pct"/>
            <w:tcBorders>
              <w:top w:val="single" w:sz="4" w:space="0" w:color="auto"/>
              <w:left w:val="nil"/>
              <w:bottom w:val="nil"/>
            </w:tcBorders>
            <w:shd w:val="clear" w:color="auto" w:fill="FFFFFF"/>
          </w:tcPr>
          <w:p w14:paraId="7CBD3E64" w14:textId="77777777" w:rsidR="009F26C5" w:rsidRPr="009F26C5" w:rsidRDefault="009F26C5" w:rsidP="009F26C5">
            <w:pPr>
              <w:keepNext/>
              <w:spacing w:after="0" w:line="240" w:lineRule="auto"/>
              <w:jc w:val="right"/>
              <w:rPr>
                <w:rFonts w:eastAsia="Times New Roman"/>
                <w:b/>
                <w:color w:val="000000"/>
                <w:sz w:val="16"/>
                <w:szCs w:val="16"/>
              </w:rPr>
            </w:pPr>
          </w:p>
        </w:tc>
      </w:tr>
      <w:tr w:rsidR="009F26C5" w:rsidRPr="009F26C5" w14:paraId="0CA32DB9" w14:textId="77777777" w:rsidTr="009F26C5">
        <w:trPr>
          <w:jc w:val="center"/>
        </w:trPr>
        <w:tc>
          <w:tcPr>
            <w:tcW w:w="1117" w:type="pct"/>
            <w:tcBorders>
              <w:top w:val="nil"/>
              <w:bottom w:val="nil"/>
              <w:right w:val="nil"/>
            </w:tcBorders>
            <w:shd w:val="clear" w:color="auto" w:fill="FFFFFF"/>
            <w:tcMar>
              <w:left w:w="67" w:type="dxa"/>
              <w:right w:w="67" w:type="dxa"/>
            </w:tcMar>
          </w:tcPr>
          <w:p w14:paraId="06BBB9D0" w14:textId="77777777" w:rsidR="009F26C5" w:rsidRPr="009F26C5" w:rsidRDefault="009F26C5" w:rsidP="009F26C5">
            <w:pPr>
              <w:keepNext/>
              <w:spacing w:after="0" w:line="240" w:lineRule="auto"/>
              <w:rPr>
                <w:rFonts w:eastAsia="Times New Roman"/>
                <w:b/>
                <w:bCs/>
                <w:color w:val="000000"/>
                <w:sz w:val="16"/>
                <w:szCs w:val="16"/>
              </w:rPr>
            </w:pPr>
            <w:r w:rsidRPr="009F26C5">
              <w:rPr>
                <w:rFonts w:eastAsia="Times New Roman"/>
                <w:b/>
                <w:bCs/>
                <w:color w:val="000000"/>
                <w:sz w:val="16"/>
                <w:szCs w:val="16"/>
              </w:rPr>
              <w:t>Subscales*:</w:t>
            </w:r>
          </w:p>
        </w:tc>
        <w:tc>
          <w:tcPr>
            <w:tcW w:w="614" w:type="pct"/>
            <w:tcBorders>
              <w:top w:val="nil"/>
              <w:left w:val="nil"/>
              <w:bottom w:val="nil"/>
              <w:right w:val="nil"/>
            </w:tcBorders>
            <w:shd w:val="clear" w:color="auto" w:fill="FFFFFF"/>
            <w:tcMar>
              <w:left w:w="67" w:type="dxa"/>
              <w:right w:w="67" w:type="dxa"/>
            </w:tcMar>
          </w:tcPr>
          <w:p w14:paraId="6AD4135D" w14:textId="77777777" w:rsidR="009F26C5" w:rsidRPr="009F26C5" w:rsidRDefault="009F26C5" w:rsidP="009F26C5">
            <w:pPr>
              <w:keepNext/>
              <w:spacing w:after="0" w:line="240" w:lineRule="auto"/>
              <w:jc w:val="right"/>
              <w:rPr>
                <w:rFonts w:eastAsia="Times New Roman"/>
                <w:color w:val="000000"/>
                <w:sz w:val="16"/>
                <w:szCs w:val="16"/>
              </w:rPr>
            </w:pPr>
          </w:p>
        </w:tc>
        <w:tc>
          <w:tcPr>
            <w:tcW w:w="655" w:type="pct"/>
            <w:tcBorders>
              <w:top w:val="nil"/>
              <w:left w:val="nil"/>
              <w:bottom w:val="nil"/>
              <w:right w:val="nil"/>
            </w:tcBorders>
            <w:shd w:val="clear" w:color="auto" w:fill="FFFFFF"/>
            <w:tcMar>
              <w:left w:w="67" w:type="dxa"/>
              <w:right w:w="67" w:type="dxa"/>
            </w:tcMar>
          </w:tcPr>
          <w:p w14:paraId="64F7CD76" w14:textId="77777777" w:rsidR="009F26C5" w:rsidRPr="009F26C5" w:rsidRDefault="009F26C5" w:rsidP="009F26C5">
            <w:pPr>
              <w:keepNext/>
              <w:spacing w:after="0" w:line="240" w:lineRule="auto"/>
              <w:jc w:val="right"/>
              <w:rPr>
                <w:rFonts w:eastAsia="Times New Roman"/>
                <w:color w:val="000000"/>
                <w:sz w:val="16"/>
                <w:szCs w:val="16"/>
              </w:rPr>
            </w:pPr>
          </w:p>
        </w:tc>
        <w:tc>
          <w:tcPr>
            <w:tcW w:w="655" w:type="pct"/>
            <w:tcBorders>
              <w:top w:val="nil"/>
              <w:left w:val="nil"/>
              <w:bottom w:val="nil"/>
            </w:tcBorders>
            <w:shd w:val="clear" w:color="auto" w:fill="FFFFFF"/>
            <w:tcMar>
              <w:left w:w="67" w:type="dxa"/>
              <w:right w:w="67" w:type="dxa"/>
            </w:tcMar>
          </w:tcPr>
          <w:p w14:paraId="11920E26" w14:textId="77777777" w:rsidR="009F26C5" w:rsidRPr="009F26C5" w:rsidRDefault="009F26C5" w:rsidP="009F26C5">
            <w:pPr>
              <w:keepNext/>
              <w:spacing w:after="0" w:line="240" w:lineRule="auto"/>
              <w:jc w:val="right"/>
              <w:rPr>
                <w:rFonts w:eastAsia="Times New Roman"/>
                <w:color w:val="000000"/>
                <w:sz w:val="16"/>
                <w:szCs w:val="16"/>
              </w:rPr>
            </w:pPr>
          </w:p>
        </w:tc>
        <w:tc>
          <w:tcPr>
            <w:tcW w:w="653" w:type="pct"/>
            <w:tcBorders>
              <w:top w:val="nil"/>
              <w:left w:val="nil"/>
              <w:bottom w:val="nil"/>
              <w:right w:val="nil"/>
            </w:tcBorders>
            <w:shd w:val="clear" w:color="auto" w:fill="FFFFFF"/>
          </w:tcPr>
          <w:p w14:paraId="2B3578F6"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Calibri"/>
                <w:color w:val="000000"/>
                <w:sz w:val="16"/>
                <w:szCs w:val="16"/>
                <w:lang w:eastAsia="en-US"/>
              </w:rPr>
              <w:t>219 (77.1%) 284</w:t>
            </w:r>
          </w:p>
        </w:tc>
        <w:tc>
          <w:tcPr>
            <w:tcW w:w="653" w:type="pct"/>
            <w:tcBorders>
              <w:top w:val="nil"/>
              <w:left w:val="nil"/>
              <w:bottom w:val="nil"/>
              <w:right w:val="nil"/>
            </w:tcBorders>
            <w:shd w:val="clear" w:color="auto" w:fill="FFFFFF"/>
          </w:tcPr>
          <w:p w14:paraId="3D6E2ED6"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Calibri"/>
                <w:color w:val="000000"/>
                <w:sz w:val="16"/>
                <w:szCs w:val="16"/>
                <w:lang w:eastAsia="en-US"/>
              </w:rPr>
              <w:t>269 (70.1%) 384</w:t>
            </w:r>
          </w:p>
        </w:tc>
        <w:tc>
          <w:tcPr>
            <w:tcW w:w="653" w:type="pct"/>
            <w:tcBorders>
              <w:top w:val="nil"/>
              <w:left w:val="nil"/>
              <w:bottom w:val="nil"/>
            </w:tcBorders>
            <w:shd w:val="clear" w:color="auto" w:fill="FFFFFF"/>
          </w:tcPr>
          <w:p w14:paraId="4707ADCB"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Calibri"/>
                <w:color w:val="000000"/>
                <w:sz w:val="16"/>
                <w:szCs w:val="16"/>
                <w:lang w:eastAsia="en-US"/>
              </w:rPr>
              <w:t>488 (73.1%) 668</w:t>
            </w:r>
          </w:p>
        </w:tc>
      </w:tr>
      <w:tr w:rsidR="009F26C5" w:rsidRPr="009F26C5" w14:paraId="3376D221" w14:textId="77777777" w:rsidTr="009F26C5">
        <w:trPr>
          <w:jc w:val="center"/>
        </w:trPr>
        <w:tc>
          <w:tcPr>
            <w:tcW w:w="1117" w:type="pct"/>
            <w:tcBorders>
              <w:top w:val="nil"/>
              <w:bottom w:val="nil"/>
              <w:right w:val="nil"/>
            </w:tcBorders>
            <w:shd w:val="clear" w:color="auto" w:fill="FFFFFF"/>
            <w:tcMar>
              <w:left w:w="67" w:type="dxa"/>
              <w:right w:w="67" w:type="dxa"/>
            </w:tcMar>
          </w:tcPr>
          <w:p w14:paraId="6B1DD80A"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b/>
                <w:bCs/>
                <w:color w:val="000000"/>
                <w:sz w:val="16"/>
                <w:szCs w:val="16"/>
              </w:rPr>
              <w:t xml:space="preserve"> </w:t>
            </w:r>
            <w:r w:rsidRPr="009F26C5">
              <w:rPr>
                <w:rFonts w:eastAsia="Times New Roman"/>
                <w:color w:val="000000"/>
                <w:sz w:val="16"/>
                <w:szCs w:val="16"/>
              </w:rPr>
              <w:t>Agitation/Aggression</w:t>
            </w:r>
          </w:p>
        </w:tc>
        <w:tc>
          <w:tcPr>
            <w:tcW w:w="614" w:type="pct"/>
            <w:tcBorders>
              <w:top w:val="nil"/>
              <w:left w:val="nil"/>
              <w:bottom w:val="nil"/>
              <w:right w:val="nil"/>
            </w:tcBorders>
            <w:shd w:val="clear" w:color="auto" w:fill="FFFFFF"/>
            <w:tcMar>
              <w:left w:w="67" w:type="dxa"/>
              <w:right w:w="67" w:type="dxa"/>
            </w:tcMar>
          </w:tcPr>
          <w:p w14:paraId="72F5DC8F"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4.7 (2.48) 0</w:t>
            </w:r>
          </w:p>
        </w:tc>
        <w:tc>
          <w:tcPr>
            <w:tcW w:w="655" w:type="pct"/>
            <w:tcBorders>
              <w:top w:val="nil"/>
              <w:left w:val="nil"/>
              <w:bottom w:val="nil"/>
              <w:right w:val="nil"/>
            </w:tcBorders>
            <w:shd w:val="clear" w:color="auto" w:fill="FFFFFF"/>
            <w:tcMar>
              <w:left w:w="67" w:type="dxa"/>
              <w:right w:w="67" w:type="dxa"/>
            </w:tcMar>
          </w:tcPr>
          <w:p w14:paraId="5D1B4D90"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4.7 (2.67) 2</w:t>
            </w:r>
          </w:p>
        </w:tc>
        <w:tc>
          <w:tcPr>
            <w:tcW w:w="655" w:type="pct"/>
            <w:tcBorders>
              <w:top w:val="nil"/>
              <w:left w:val="nil"/>
              <w:bottom w:val="nil"/>
            </w:tcBorders>
            <w:shd w:val="clear" w:color="auto" w:fill="FFFFFF"/>
            <w:tcMar>
              <w:left w:w="67" w:type="dxa"/>
              <w:right w:w="67" w:type="dxa"/>
            </w:tcMar>
          </w:tcPr>
          <w:p w14:paraId="7B7B71A3"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4.7 (2.58) 2</w:t>
            </w:r>
          </w:p>
        </w:tc>
        <w:tc>
          <w:tcPr>
            <w:tcW w:w="653" w:type="pct"/>
            <w:tcBorders>
              <w:top w:val="nil"/>
              <w:left w:val="nil"/>
              <w:bottom w:val="nil"/>
              <w:right w:val="nil"/>
            </w:tcBorders>
            <w:shd w:val="clear" w:color="auto" w:fill="FFFFFF"/>
          </w:tcPr>
          <w:p w14:paraId="49C382B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116 (40.8%) 284</w:t>
            </w:r>
          </w:p>
        </w:tc>
        <w:tc>
          <w:tcPr>
            <w:tcW w:w="653" w:type="pct"/>
            <w:tcBorders>
              <w:top w:val="nil"/>
              <w:left w:val="nil"/>
              <w:bottom w:val="nil"/>
              <w:right w:val="nil"/>
            </w:tcBorders>
            <w:shd w:val="clear" w:color="auto" w:fill="FFFFFF"/>
          </w:tcPr>
          <w:p w14:paraId="6C7B3E56"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141 (36.7%) 384</w:t>
            </w:r>
          </w:p>
        </w:tc>
        <w:tc>
          <w:tcPr>
            <w:tcW w:w="653" w:type="pct"/>
            <w:tcBorders>
              <w:top w:val="nil"/>
              <w:left w:val="nil"/>
              <w:bottom w:val="nil"/>
            </w:tcBorders>
            <w:shd w:val="clear" w:color="auto" w:fill="FFFFFF"/>
          </w:tcPr>
          <w:p w14:paraId="4F13537D"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257 (38.5%) 668</w:t>
            </w:r>
          </w:p>
        </w:tc>
      </w:tr>
      <w:tr w:rsidR="009F26C5" w:rsidRPr="009F26C5" w14:paraId="3F2F484A" w14:textId="77777777" w:rsidTr="009F26C5">
        <w:trPr>
          <w:jc w:val="center"/>
        </w:trPr>
        <w:tc>
          <w:tcPr>
            <w:tcW w:w="1117" w:type="pct"/>
            <w:tcBorders>
              <w:top w:val="nil"/>
              <w:bottom w:val="nil"/>
              <w:right w:val="nil"/>
            </w:tcBorders>
            <w:shd w:val="clear" w:color="auto" w:fill="FFFFFF"/>
            <w:tcMar>
              <w:left w:w="67" w:type="dxa"/>
              <w:right w:w="67" w:type="dxa"/>
            </w:tcMar>
          </w:tcPr>
          <w:p w14:paraId="70680F28"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Depression/Dysphoria</w:t>
            </w:r>
          </w:p>
        </w:tc>
        <w:tc>
          <w:tcPr>
            <w:tcW w:w="614" w:type="pct"/>
            <w:tcBorders>
              <w:top w:val="nil"/>
              <w:left w:val="nil"/>
              <w:bottom w:val="nil"/>
              <w:right w:val="nil"/>
            </w:tcBorders>
            <w:shd w:val="clear" w:color="auto" w:fill="FFFFFF"/>
            <w:tcMar>
              <w:left w:w="67" w:type="dxa"/>
              <w:right w:w="67" w:type="dxa"/>
            </w:tcMar>
          </w:tcPr>
          <w:p w14:paraId="631A6332"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3.5 (2.35) 2</w:t>
            </w:r>
          </w:p>
        </w:tc>
        <w:tc>
          <w:tcPr>
            <w:tcW w:w="655" w:type="pct"/>
            <w:tcBorders>
              <w:top w:val="nil"/>
              <w:left w:val="nil"/>
              <w:bottom w:val="nil"/>
              <w:right w:val="nil"/>
            </w:tcBorders>
            <w:shd w:val="clear" w:color="auto" w:fill="FFFFFF"/>
            <w:tcMar>
              <w:left w:w="67" w:type="dxa"/>
              <w:right w:w="67" w:type="dxa"/>
            </w:tcMar>
          </w:tcPr>
          <w:p w14:paraId="065C6423"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3.2 (2.03) 1</w:t>
            </w:r>
          </w:p>
        </w:tc>
        <w:tc>
          <w:tcPr>
            <w:tcW w:w="655" w:type="pct"/>
            <w:tcBorders>
              <w:top w:val="nil"/>
              <w:left w:val="nil"/>
              <w:bottom w:val="nil"/>
            </w:tcBorders>
            <w:shd w:val="clear" w:color="auto" w:fill="FFFFFF"/>
            <w:tcMar>
              <w:left w:w="67" w:type="dxa"/>
              <w:right w:w="67" w:type="dxa"/>
            </w:tcMar>
          </w:tcPr>
          <w:p w14:paraId="217A4691"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3.3 (2.19) 3</w:t>
            </w:r>
          </w:p>
        </w:tc>
        <w:tc>
          <w:tcPr>
            <w:tcW w:w="653" w:type="pct"/>
            <w:tcBorders>
              <w:top w:val="nil"/>
              <w:left w:val="nil"/>
              <w:bottom w:val="nil"/>
              <w:right w:val="nil"/>
            </w:tcBorders>
            <w:shd w:val="clear" w:color="auto" w:fill="FFFFFF"/>
          </w:tcPr>
          <w:p w14:paraId="6AF1F6D3"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95 (33.5%) 284</w:t>
            </w:r>
          </w:p>
        </w:tc>
        <w:tc>
          <w:tcPr>
            <w:tcW w:w="653" w:type="pct"/>
            <w:tcBorders>
              <w:top w:val="nil"/>
              <w:left w:val="nil"/>
              <w:bottom w:val="nil"/>
              <w:right w:val="nil"/>
            </w:tcBorders>
            <w:shd w:val="clear" w:color="auto" w:fill="FFFFFF"/>
          </w:tcPr>
          <w:p w14:paraId="5F96E7C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105 (27.3%) 384</w:t>
            </w:r>
          </w:p>
        </w:tc>
        <w:tc>
          <w:tcPr>
            <w:tcW w:w="653" w:type="pct"/>
            <w:tcBorders>
              <w:top w:val="nil"/>
              <w:left w:val="nil"/>
              <w:bottom w:val="nil"/>
            </w:tcBorders>
            <w:shd w:val="clear" w:color="auto" w:fill="FFFFFF"/>
          </w:tcPr>
          <w:p w14:paraId="3B4773B9"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200 (29.9%) 668</w:t>
            </w:r>
          </w:p>
        </w:tc>
      </w:tr>
      <w:tr w:rsidR="009F26C5" w:rsidRPr="009F26C5" w14:paraId="52F7C7E3" w14:textId="77777777" w:rsidTr="009F26C5">
        <w:trPr>
          <w:jc w:val="center"/>
        </w:trPr>
        <w:tc>
          <w:tcPr>
            <w:tcW w:w="1117" w:type="pct"/>
            <w:tcBorders>
              <w:top w:val="nil"/>
              <w:bottom w:val="nil"/>
              <w:right w:val="nil"/>
            </w:tcBorders>
            <w:shd w:val="clear" w:color="auto" w:fill="FFFFFF"/>
            <w:tcMar>
              <w:left w:w="67" w:type="dxa"/>
              <w:right w:w="67" w:type="dxa"/>
            </w:tcMar>
          </w:tcPr>
          <w:p w14:paraId="13F50EAF"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Anxiety</w:t>
            </w:r>
          </w:p>
        </w:tc>
        <w:tc>
          <w:tcPr>
            <w:tcW w:w="614" w:type="pct"/>
            <w:tcBorders>
              <w:top w:val="nil"/>
              <w:left w:val="nil"/>
              <w:bottom w:val="nil"/>
              <w:right w:val="nil"/>
            </w:tcBorders>
            <w:shd w:val="clear" w:color="auto" w:fill="FFFFFF"/>
            <w:tcMar>
              <w:left w:w="67" w:type="dxa"/>
              <w:right w:w="67" w:type="dxa"/>
            </w:tcMar>
          </w:tcPr>
          <w:p w14:paraId="3B411436"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4.0 (2.45) 0</w:t>
            </w:r>
          </w:p>
        </w:tc>
        <w:tc>
          <w:tcPr>
            <w:tcW w:w="655" w:type="pct"/>
            <w:tcBorders>
              <w:top w:val="nil"/>
              <w:left w:val="nil"/>
              <w:bottom w:val="nil"/>
              <w:right w:val="nil"/>
            </w:tcBorders>
            <w:shd w:val="clear" w:color="auto" w:fill="FFFFFF"/>
            <w:tcMar>
              <w:left w:w="67" w:type="dxa"/>
              <w:right w:w="67" w:type="dxa"/>
            </w:tcMar>
          </w:tcPr>
          <w:p w14:paraId="4AB11DC7"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4.0 (2.57) 2</w:t>
            </w:r>
          </w:p>
        </w:tc>
        <w:tc>
          <w:tcPr>
            <w:tcW w:w="655" w:type="pct"/>
            <w:tcBorders>
              <w:top w:val="nil"/>
              <w:left w:val="nil"/>
              <w:bottom w:val="nil"/>
            </w:tcBorders>
            <w:shd w:val="clear" w:color="auto" w:fill="FFFFFF"/>
            <w:tcMar>
              <w:left w:w="67" w:type="dxa"/>
              <w:right w:w="67" w:type="dxa"/>
            </w:tcMar>
          </w:tcPr>
          <w:p w14:paraId="07D0440C"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4.0 (2.51) 2</w:t>
            </w:r>
          </w:p>
        </w:tc>
        <w:tc>
          <w:tcPr>
            <w:tcW w:w="653" w:type="pct"/>
            <w:tcBorders>
              <w:top w:val="nil"/>
              <w:left w:val="nil"/>
              <w:bottom w:val="nil"/>
              <w:right w:val="nil"/>
            </w:tcBorders>
            <w:shd w:val="clear" w:color="auto" w:fill="FFFFFF"/>
          </w:tcPr>
          <w:p w14:paraId="5BCF3149"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48 (17.0%) 283</w:t>
            </w:r>
          </w:p>
        </w:tc>
        <w:tc>
          <w:tcPr>
            <w:tcW w:w="653" w:type="pct"/>
            <w:tcBorders>
              <w:top w:val="nil"/>
              <w:left w:val="nil"/>
              <w:bottom w:val="nil"/>
              <w:right w:val="nil"/>
            </w:tcBorders>
            <w:shd w:val="clear" w:color="auto" w:fill="FFFFFF"/>
          </w:tcPr>
          <w:p w14:paraId="36A2AED0"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72 (18.8%) 384</w:t>
            </w:r>
          </w:p>
        </w:tc>
        <w:tc>
          <w:tcPr>
            <w:tcW w:w="653" w:type="pct"/>
            <w:tcBorders>
              <w:top w:val="nil"/>
              <w:left w:val="nil"/>
              <w:bottom w:val="nil"/>
            </w:tcBorders>
            <w:shd w:val="clear" w:color="auto" w:fill="FFFFFF"/>
          </w:tcPr>
          <w:p w14:paraId="1A192D9E"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120 (18.0%) 667</w:t>
            </w:r>
          </w:p>
        </w:tc>
      </w:tr>
      <w:tr w:rsidR="009F26C5" w:rsidRPr="009F26C5" w14:paraId="32085DDD" w14:textId="77777777" w:rsidTr="009F26C5">
        <w:trPr>
          <w:jc w:val="center"/>
        </w:trPr>
        <w:tc>
          <w:tcPr>
            <w:tcW w:w="1117" w:type="pct"/>
            <w:tcBorders>
              <w:top w:val="nil"/>
              <w:bottom w:val="nil"/>
              <w:right w:val="nil"/>
            </w:tcBorders>
            <w:shd w:val="clear" w:color="auto" w:fill="FFFFFF"/>
            <w:tcMar>
              <w:left w:w="67" w:type="dxa"/>
              <w:right w:w="67" w:type="dxa"/>
            </w:tcMar>
          </w:tcPr>
          <w:p w14:paraId="06BC1FDE"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Apathy/Indifference</w:t>
            </w:r>
          </w:p>
        </w:tc>
        <w:tc>
          <w:tcPr>
            <w:tcW w:w="614" w:type="pct"/>
            <w:tcBorders>
              <w:top w:val="nil"/>
              <w:left w:val="nil"/>
              <w:bottom w:val="nil"/>
              <w:right w:val="nil"/>
            </w:tcBorders>
            <w:shd w:val="clear" w:color="auto" w:fill="FFFFFF"/>
            <w:tcMar>
              <w:left w:w="67" w:type="dxa"/>
              <w:right w:w="67" w:type="dxa"/>
            </w:tcMar>
          </w:tcPr>
          <w:p w14:paraId="7A1F374D"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5.5 (3.41) 0</w:t>
            </w:r>
          </w:p>
        </w:tc>
        <w:tc>
          <w:tcPr>
            <w:tcW w:w="655" w:type="pct"/>
            <w:tcBorders>
              <w:top w:val="nil"/>
              <w:left w:val="nil"/>
              <w:bottom w:val="nil"/>
              <w:right w:val="nil"/>
            </w:tcBorders>
            <w:shd w:val="clear" w:color="auto" w:fill="FFFFFF"/>
            <w:tcMar>
              <w:left w:w="67" w:type="dxa"/>
              <w:right w:w="67" w:type="dxa"/>
            </w:tcMar>
          </w:tcPr>
          <w:p w14:paraId="1A9972E5"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4.6 (3.06) 0</w:t>
            </w:r>
          </w:p>
        </w:tc>
        <w:tc>
          <w:tcPr>
            <w:tcW w:w="655" w:type="pct"/>
            <w:tcBorders>
              <w:top w:val="nil"/>
              <w:left w:val="nil"/>
              <w:bottom w:val="nil"/>
            </w:tcBorders>
            <w:shd w:val="clear" w:color="auto" w:fill="FFFFFF"/>
            <w:tcMar>
              <w:left w:w="67" w:type="dxa"/>
              <w:right w:w="67" w:type="dxa"/>
            </w:tcMar>
          </w:tcPr>
          <w:p w14:paraId="0BD980A7"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5.0 (3.25) 0</w:t>
            </w:r>
          </w:p>
        </w:tc>
        <w:tc>
          <w:tcPr>
            <w:tcW w:w="653" w:type="pct"/>
            <w:tcBorders>
              <w:top w:val="nil"/>
              <w:left w:val="nil"/>
              <w:bottom w:val="nil"/>
              <w:right w:val="nil"/>
            </w:tcBorders>
            <w:shd w:val="clear" w:color="auto" w:fill="FFFFFF"/>
          </w:tcPr>
          <w:p w14:paraId="322948C2"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95 (33.5%) 284</w:t>
            </w:r>
          </w:p>
        </w:tc>
        <w:tc>
          <w:tcPr>
            <w:tcW w:w="653" w:type="pct"/>
            <w:tcBorders>
              <w:top w:val="nil"/>
              <w:left w:val="nil"/>
              <w:bottom w:val="nil"/>
              <w:right w:val="nil"/>
            </w:tcBorders>
            <w:shd w:val="clear" w:color="auto" w:fill="FFFFFF"/>
          </w:tcPr>
          <w:p w14:paraId="74D8F5E4"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108 (28.1%) 384</w:t>
            </w:r>
          </w:p>
        </w:tc>
        <w:tc>
          <w:tcPr>
            <w:tcW w:w="653" w:type="pct"/>
            <w:tcBorders>
              <w:top w:val="nil"/>
              <w:left w:val="nil"/>
              <w:bottom w:val="nil"/>
            </w:tcBorders>
            <w:shd w:val="clear" w:color="auto" w:fill="FFFFFF"/>
          </w:tcPr>
          <w:p w14:paraId="425E2D9B"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203 (30.4%) 668</w:t>
            </w:r>
          </w:p>
        </w:tc>
      </w:tr>
      <w:tr w:rsidR="009F26C5" w:rsidRPr="009F26C5" w14:paraId="620F56FF" w14:textId="77777777" w:rsidTr="009F26C5">
        <w:trPr>
          <w:jc w:val="center"/>
        </w:trPr>
        <w:tc>
          <w:tcPr>
            <w:tcW w:w="1117" w:type="pct"/>
            <w:tcBorders>
              <w:top w:val="nil"/>
              <w:bottom w:val="nil"/>
              <w:right w:val="nil"/>
            </w:tcBorders>
            <w:shd w:val="clear" w:color="auto" w:fill="FFFFFF"/>
            <w:tcMar>
              <w:left w:w="67" w:type="dxa"/>
              <w:right w:w="67" w:type="dxa"/>
            </w:tcMar>
          </w:tcPr>
          <w:p w14:paraId="0605B6DD"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Disinhibition</w:t>
            </w:r>
          </w:p>
        </w:tc>
        <w:tc>
          <w:tcPr>
            <w:tcW w:w="614" w:type="pct"/>
            <w:tcBorders>
              <w:top w:val="nil"/>
              <w:left w:val="nil"/>
              <w:bottom w:val="nil"/>
              <w:right w:val="nil"/>
            </w:tcBorders>
            <w:shd w:val="clear" w:color="auto" w:fill="FFFFFF"/>
            <w:tcMar>
              <w:left w:w="67" w:type="dxa"/>
              <w:right w:w="67" w:type="dxa"/>
            </w:tcMar>
          </w:tcPr>
          <w:p w14:paraId="2444EC04"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3.8 (2.70) 1</w:t>
            </w:r>
          </w:p>
        </w:tc>
        <w:tc>
          <w:tcPr>
            <w:tcW w:w="655" w:type="pct"/>
            <w:tcBorders>
              <w:top w:val="nil"/>
              <w:left w:val="nil"/>
              <w:bottom w:val="nil"/>
              <w:right w:val="nil"/>
            </w:tcBorders>
            <w:shd w:val="clear" w:color="auto" w:fill="FFFFFF"/>
            <w:tcMar>
              <w:left w:w="67" w:type="dxa"/>
              <w:right w:w="67" w:type="dxa"/>
            </w:tcMar>
          </w:tcPr>
          <w:p w14:paraId="031F23FB"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4.4 (3.22) 0</w:t>
            </w:r>
          </w:p>
        </w:tc>
        <w:tc>
          <w:tcPr>
            <w:tcW w:w="655" w:type="pct"/>
            <w:tcBorders>
              <w:top w:val="nil"/>
              <w:left w:val="nil"/>
              <w:bottom w:val="nil"/>
            </w:tcBorders>
            <w:shd w:val="clear" w:color="auto" w:fill="FFFFFF"/>
            <w:tcMar>
              <w:left w:w="67" w:type="dxa"/>
              <w:right w:w="67" w:type="dxa"/>
            </w:tcMar>
          </w:tcPr>
          <w:p w14:paraId="5CB41572"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4.1 (2.99) 1</w:t>
            </w:r>
          </w:p>
        </w:tc>
        <w:tc>
          <w:tcPr>
            <w:tcW w:w="653" w:type="pct"/>
            <w:tcBorders>
              <w:top w:val="nil"/>
              <w:left w:val="nil"/>
              <w:bottom w:val="nil"/>
              <w:right w:val="nil"/>
            </w:tcBorders>
            <w:shd w:val="clear" w:color="auto" w:fill="FFFFFF"/>
          </w:tcPr>
          <w:p w14:paraId="03A79847"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35 (12.3%) 284</w:t>
            </w:r>
          </w:p>
        </w:tc>
        <w:tc>
          <w:tcPr>
            <w:tcW w:w="653" w:type="pct"/>
            <w:tcBorders>
              <w:top w:val="nil"/>
              <w:left w:val="nil"/>
              <w:bottom w:val="nil"/>
              <w:right w:val="nil"/>
            </w:tcBorders>
            <w:shd w:val="clear" w:color="auto" w:fill="FFFFFF"/>
          </w:tcPr>
          <w:p w14:paraId="4F898873"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42 (10.9%) 384</w:t>
            </w:r>
          </w:p>
        </w:tc>
        <w:tc>
          <w:tcPr>
            <w:tcW w:w="653" w:type="pct"/>
            <w:tcBorders>
              <w:top w:val="nil"/>
              <w:left w:val="nil"/>
              <w:bottom w:val="nil"/>
            </w:tcBorders>
            <w:shd w:val="clear" w:color="auto" w:fill="FFFFFF"/>
          </w:tcPr>
          <w:p w14:paraId="6A448781"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77 (11.5%) 668</w:t>
            </w:r>
          </w:p>
        </w:tc>
      </w:tr>
      <w:tr w:rsidR="009F26C5" w:rsidRPr="009F26C5" w14:paraId="345941AA" w14:textId="77777777" w:rsidTr="009F26C5">
        <w:trPr>
          <w:jc w:val="center"/>
        </w:trPr>
        <w:tc>
          <w:tcPr>
            <w:tcW w:w="1117" w:type="pct"/>
            <w:tcBorders>
              <w:top w:val="nil"/>
              <w:bottom w:val="single" w:sz="4" w:space="0" w:color="auto"/>
              <w:right w:val="nil"/>
            </w:tcBorders>
            <w:shd w:val="clear" w:color="auto" w:fill="FFFFFF"/>
            <w:tcMar>
              <w:left w:w="67" w:type="dxa"/>
              <w:right w:w="67" w:type="dxa"/>
            </w:tcMar>
          </w:tcPr>
          <w:p w14:paraId="01896D80" w14:textId="77777777" w:rsidR="009F26C5" w:rsidRPr="009F26C5" w:rsidRDefault="009F26C5" w:rsidP="009F26C5">
            <w:pPr>
              <w:keepNext/>
              <w:spacing w:after="0" w:line="240" w:lineRule="auto"/>
              <w:rPr>
                <w:rFonts w:eastAsia="Times New Roman"/>
                <w:color w:val="000000"/>
                <w:sz w:val="16"/>
                <w:szCs w:val="16"/>
              </w:rPr>
            </w:pPr>
            <w:r w:rsidRPr="009F26C5">
              <w:rPr>
                <w:rFonts w:eastAsia="Times New Roman"/>
                <w:color w:val="000000"/>
                <w:sz w:val="16"/>
                <w:szCs w:val="16"/>
              </w:rPr>
              <w:t xml:space="preserve">                  Irritability/Lability</w:t>
            </w:r>
          </w:p>
        </w:tc>
        <w:tc>
          <w:tcPr>
            <w:tcW w:w="614" w:type="pct"/>
            <w:tcBorders>
              <w:top w:val="nil"/>
              <w:left w:val="nil"/>
              <w:bottom w:val="single" w:sz="4" w:space="0" w:color="auto"/>
              <w:right w:val="nil"/>
            </w:tcBorders>
            <w:shd w:val="clear" w:color="auto" w:fill="FFFFFF"/>
            <w:tcMar>
              <w:left w:w="67" w:type="dxa"/>
              <w:right w:w="67" w:type="dxa"/>
            </w:tcMar>
          </w:tcPr>
          <w:p w14:paraId="103A7A74" w14:textId="77777777" w:rsidR="009F26C5" w:rsidRPr="009F26C5" w:rsidRDefault="009F26C5" w:rsidP="009F26C5">
            <w:pPr>
              <w:keepNext/>
              <w:tabs>
                <w:tab w:val="left" w:pos="1515"/>
              </w:tabs>
              <w:spacing w:after="0" w:line="240" w:lineRule="auto"/>
              <w:jc w:val="right"/>
              <w:rPr>
                <w:rFonts w:eastAsia="Times New Roman"/>
                <w:color w:val="000000"/>
                <w:sz w:val="16"/>
                <w:szCs w:val="16"/>
              </w:rPr>
            </w:pPr>
            <w:r w:rsidRPr="009F26C5">
              <w:rPr>
                <w:rFonts w:eastAsia="Times New Roman"/>
                <w:color w:val="000000"/>
                <w:sz w:val="16"/>
                <w:szCs w:val="16"/>
              </w:rPr>
              <w:t>4.5 (2.44) 0</w:t>
            </w:r>
          </w:p>
        </w:tc>
        <w:tc>
          <w:tcPr>
            <w:tcW w:w="655" w:type="pct"/>
            <w:tcBorders>
              <w:top w:val="nil"/>
              <w:left w:val="nil"/>
              <w:bottom w:val="single" w:sz="4" w:space="0" w:color="auto"/>
              <w:right w:val="nil"/>
            </w:tcBorders>
            <w:shd w:val="clear" w:color="auto" w:fill="FFFFFF"/>
            <w:tcMar>
              <w:left w:w="67" w:type="dxa"/>
              <w:right w:w="67" w:type="dxa"/>
            </w:tcMar>
          </w:tcPr>
          <w:p w14:paraId="2E787B66"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4.0 (2.66) 1</w:t>
            </w:r>
          </w:p>
        </w:tc>
        <w:tc>
          <w:tcPr>
            <w:tcW w:w="655" w:type="pct"/>
            <w:tcBorders>
              <w:top w:val="nil"/>
              <w:left w:val="nil"/>
              <w:bottom w:val="single" w:sz="4" w:space="0" w:color="auto"/>
            </w:tcBorders>
            <w:shd w:val="clear" w:color="auto" w:fill="FFFFFF"/>
            <w:tcMar>
              <w:left w:w="67" w:type="dxa"/>
              <w:right w:w="67" w:type="dxa"/>
            </w:tcMar>
          </w:tcPr>
          <w:p w14:paraId="5F22D36E"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4.2 (2.58) 1</w:t>
            </w:r>
          </w:p>
        </w:tc>
        <w:tc>
          <w:tcPr>
            <w:tcW w:w="653" w:type="pct"/>
            <w:tcBorders>
              <w:top w:val="nil"/>
              <w:left w:val="nil"/>
              <w:bottom w:val="single" w:sz="4" w:space="0" w:color="auto"/>
              <w:right w:val="nil"/>
            </w:tcBorders>
            <w:shd w:val="clear" w:color="auto" w:fill="FFFFFF"/>
          </w:tcPr>
          <w:p w14:paraId="5615FD36"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94 (33.1%) 284</w:t>
            </w:r>
          </w:p>
        </w:tc>
        <w:tc>
          <w:tcPr>
            <w:tcW w:w="653" w:type="pct"/>
            <w:tcBorders>
              <w:top w:val="nil"/>
              <w:left w:val="nil"/>
              <w:bottom w:val="single" w:sz="4" w:space="0" w:color="auto"/>
              <w:right w:val="nil"/>
            </w:tcBorders>
            <w:shd w:val="clear" w:color="auto" w:fill="FFFFFF"/>
          </w:tcPr>
          <w:p w14:paraId="249FE579"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127 (33.1%) 384</w:t>
            </w:r>
          </w:p>
        </w:tc>
        <w:tc>
          <w:tcPr>
            <w:tcW w:w="653" w:type="pct"/>
            <w:tcBorders>
              <w:top w:val="nil"/>
              <w:left w:val="nil"/>
              <w:bottom w:val="single" w:sz="4" w:space="0" w:color="auto"/>
            </w:tcBorders>
            <w:shd w:val="clear" w:color="auto" w:fill="FFFFFF"/>
          </w:tcPr>
          <w:p w14:paraId="2533192B" w14:textId="77777777" w:rsidR="009F26C5" w:rsidRPr="009F26C5" w:rsidRDefault="009F26C5" w:rsidP="009F26C5">
            <w:pPr>
              <w:keepNext/>
              <w:spacing w:after="0" w:line="240" w:lineRule="auto"/>
              <w:jc w:val="right"/>
              <w:rPr>
                <w:rFonts w:eastAsia="Times New Roman"/>
                <w:color w:val="000000"/>
                <w:sz w:val="16"/>
                <w:szCs w:val="16"/>
              </w:rPr>
            </w:pPr>
            <w:r w:rsidRPr="009F26C5">
              <w:rPr>
                <w:rFonts w:eastAsia="Times New Roman"/>
                <w:color w:val="000000"/>
                <w:sz w:val="16"/>
                <w:szCs w:val="16"/>
              </w:rPr>
              <w:t>221 (33.1%) 668</w:t>
            </w:r>
          </w:p>
        </w:tc>
      </w:tr>
    </w:tbl>
    <w:bookmarkEnd w:id="174"/>
    <w:p w14:paraId="1CE8E671" w14:textId="7D427432" w:rsidR="00D55420" w:rsidRPr="00563AD3" w:rsidRDefault="00C718B2" w:rsidP="009F26C5">
      <w:pPr>
        <w:keepNext/>
        <w:autoSpaceDE/>
        <w:autoSpaceDN/>
        <w:adjustRightInd/>
        <w:spacing w:before="120" w:after="0"/>
        <w:rPr>
          <w:rFonts w:eastAsia="Calibri"/>
          <w:sz w:val="24"/>
          <w:szCs w:val="24"/>
          <w:lang w:eastAsia="en-US"/>
        </w:rPr>
      </w:pPr>
      <w:r>
        <w:rPr>
          <w:rFonts w:eastAsia="Times New Roman"/>
          <w:color w:val="000000"/>
          <w:sz w:val="16"/>
          <w:szCs w:val="16"/>
          <w:vertAlign w:val="superscript"/>
        </w:rPr>
        <w:t>a</w:t>
      </w:r>
      <w:r w:rsidR="009F26C5" w:rsidRPr="00563AD3">
        <w:rPr>
          <w:rFonts w:eastAsia="Times New Roman"/>
          <w:color w:val="000000"/>
          <w:sz w:val="16"/>
          <w:szCs w:val="16"/>
        </w:rPr>
        <w:t>A total NPI score, calculated by summing the total score for the first 10 domains (excluding Sleep and Appetite domains) together giving the total NPI score a range of 0 to 120. Higher scores on the NPI are indicative of the resident exhibiting more behaviours that staff find challenging *Number experiencing the behaviour staff find challenging means experiencing any of the beha</w:t>
      </w:r>
      <w:r w:rsidR="009F26C5">
        <w:rPr>
          <w:rFonts w:eastAsia="Times New Roman"/>
          <w:color w:val="000000"/>
          <w:sz w:val="16"/>
          <w:szCs w:val="16"/>
        </w:rPr>
        <w:t>viours from the listed subscale</w:t>
      </w:r>
    </w:p>
    <w:p w14:paraId="25830FE8" w14:textId="77777777" w:rsidR="00D55420" w:rsidRDefault="00D55420" w:rsidP="009B13F3">
      <w:pPr>
        <w:rPr>
          <w:rFonts w:eastAsia="Calibri"/>
          <w:lang w:eastAsia="en-US"/>
        </w:rPr>
        <w:sectPr w:rsidR="00D55420" w:rsidSect="009F26C5">
          <w:pgSz w:w="16838" w:h="11906" w:orient="landscape"/>
          <w:pgMar w:top="1440" w:right="1440" w:bottom="1440" w:left="1440" w:header="708" w:footer="708" w:gutter="0"/>
          <w:cols w:space="708"/>
          <w:docGrid w:linePitch="360"/>
        </w:sectPr>
      </w:pPr>
    </w:p>
    <w:p w14:paraId="3CBD271E" w14:textId="1D94EB26" w:rsidR="009F26C5" w:rsidRDefault="009F26C5" w:rsidP="009F26C5">
      <w:r w:rsidRPr="00563AD3">
        <w:t>All 726 residents in the closed-cohort were included in analyses of the resident-level secondary outcomes at 6-months; all 49 care homes where the QUIS was completed were included in the analysis at 6-months (see Table 16). The odds ratio for the presence versus absence of one or more of the six domains of the NPI-NH describing behaviours that staff find challenging is 0.95 (95% CI 0.61 to 1.48), indicating that there was no difference in the odds of residents experiencing these domains across arms (at a population or cluster-specific level</w:t>
      </w:r>
      <w:r w:rsidRPr="00A07B7F">
        <w:t>). The odds of residents being prescribed antipsychotics on a PRN basis in the intervention arm was 0.46 times the odds in the control arm. However, the 95% confidence interval (0.09 to 2.24) was wide, which reflects uncertainty from the small number of prescriptions made.</w:t>
      </w:r>
      <w:r w:rsidRPr="00563AD3">
        <w:t xml:space="preserve"> The odds of experiencing depression/dysphoria and apathy/indifference in the intervention arm were both approximately 1.3</w:t>
      </w:r>
      <w:r>
        <w:t>2</w:t>
      </w:r>
      <w:r w:rsidRPr="00563AD3">
        <w:t xml:space="preserve"> times the odds in the control arm, however the 95% confidence intervals both overlapped one (0.87 to 2.0 and 0.85 to 2.07, respectively) so differences are not statistically significant. The odds ratio for presence or absence of anxiety was 1.01 (95% CI 0.62 to 1.66), indicating that there was no difference in the odds of residents experiencing anxiety across arms. </w:t>
      </w:r>
    </w:p>
    <w:p w14:paraId="6FAA1B99" w14:textId="7EA9EF88" w:rsidR="009F26C5" w:rsidRDefault="009F26C5" w:rsidP="009F26C5">
      <w:r w:rsidRPr="00563AD3">
        <w:t>The mean QUALID staff-proxy score was 0.74 points lower in the intervention compared to the control (95% CI -1.91 to 0.43), indicating no difference in quality of life between arms. As such, no statistically significant differences were found in the closed-cohort between arms on any resident-level secondary outcome at 6-months. Similarly, there was insufficient evidence that proportions of positive staff interactions with residents</w:t>
      </w:r>
      <w:r>
        <w:t>,</w:t>
      </w:r>
      <w:r w:rsidRPr="00563AD3">
        <w:t xml:space="preserve"> observed using the QUIS, differed by treatment arm.</w:t>
      </w:r>
    </w:p>
    <w:p w14:paraId="1B16D856" w14:textId="77777777" w:rsidR="003C2700" w:rsidRDefault="003C2700" w:rsidP="003C2700">
      <w:pPr>
        <w:rPr>
          <w:rFonts w:eastAsia="Calibri"/>
          <w:lang w:eastAsia="en-US"/>
        </w:rPr>
      </w:pPr>
      <w:r w:rsidRPr="00563AD3">
        <w:rPr>
          <w:rFonts w:eastAsia="Calibri"/>
          <w:lang w:eastAsia="en-US"/>
        </w:rPr>
        <w:t>All 675 residents in the cross-sectional sample were included in the primary analyses and all 726 residents in the closed-cohort were included in the supportive analyses of the resident-level secondary outcomes at 16-months. All 49 care homes where the QUIS was completed were included in its analysis at 16-months (see Table 17). In the cross-sectional sample, the odds of residents experiencing one or more of the six domains of the NPI-NH describing BSC in the intervention arm were 0.7</w:t>
      </w:r>
      <w:r>
        <w:rPr>
          <w:rFonts w:eastAsia="Calibri"/>
          <w:lang w:eastAsia="en-US"/>
        </w:rPr>
        <w:t>2</w:t>
      </w:r>
      <w:r w:rsidRPr="00563AD3">
        <w:rPr>
          <w:rFonts w:eastAsia="Calibri"/>
          <w:lang w:eastAsia="en-US"/>
        </w:rPr>
        <w:t xml:space="preserve"> (95% CI 0.48 to 1.08) times the odds in control, indicating that, although there was no statistically significant difference in the odds of residents experiencing these domains across arms (at a population or cluster-specific level), the trend is in favour of the intervention. In the closed-cohort, the odds in the intervention arm were 0.</w:t>
      </w:r>
      <w:r>
        <w:rPr>
          <w:rFonts w:eastAsia="Calibri"/>
          <w:lang w:eastAsia="en-US"/>
        </w:rPr>
        <w:t>57</w:t>
      </w:r>
      <w:r w:rsidRPr="00563AD3">
        <w:rPr>
          <w:rFonts w:eastAsia="Calibri"/>
          <w:lang w:eastAsia="en-US"/>
        </w:rPr>
        <w:t xml:space="preserve"> (95% CI 0.34 to 0.95) times the odds in the control, a result that is statistically significant (at a population or cluster-specific level) at the 5% level. </w:t>
      </w:r>
    </w:p>
    <w:p w14:paraId="58572459" w14:textId="10818FA9" w:rsidR="009F26C5" w:rsidRDefault="009F26C5" w:rsidP="009F26C5"/>
    <w:p w14:paraId="55711093" w14:textId="77777777" w:rsidR="009F26C5" w:rsidRDefault="009F26C5" w:rsidP="009F26C5"/>
    <w:p w14:paraId="6CDFBD64" w14:textId="77777777" w:rsidR="003C2700" w:rsidRDefault="003C2700">
      <w:pPr>
        <w:autoSpaceDE/>
        <w:autoSpaceDN/>
        <w:adjustRightInd/>
        <w:spacing w:line="259" w:lineRule="auto"/>
        <w:rPr>
          <w:rFonts w:eastAsia="Calibri"/>
          <w:b/>
          <w:lang w:eastAsia="en-US"/>
        </w:rPr>
      </w:pPr>
      <w:bookmarkStart w:id="175" w:name="_Ref499122114"/>
      <w:r>
        <w:rPr>
          <w:rFonts w:eastAsia="Calibri"/>
          <w:lang w:eastAsia="en-US"/>
        </w:rPr>
        <w:br w:type="page"/>
      </w:r>
    </w:p>
    <w:p w14:paraId="32AA9070" w14:textId="3D687F12" w:rsidR="009F26C5" w:rsidRPr="00563AD3" w:rsidRDefault="009F26C5" w:rsidP="009F26C5">
      <w:pPr>
        <w:pStyle w:val="Tableheading"/>
        <w:rPr>
          <w:rFonts w:eastAsia="Calibri"/>
          <w:lang w:eastAsia="en-US"/>
        </w:rPr>
      </w:pPr>
      <w:bookmarkStart w:id="176" w:name="_Toc948210"/>
      <w:r w:rsidRPr="0052463D">
        <w:rPr>
          <w:rFonts w:eastAsia="Calibri"/>
          <w:lang w:eastAsia="en-US"/>
        </w:rPr>
        <w:t xml:space="preserve">Table </w:t>
      </w:r>
      <w:bookmarkEnd w:id="175"/>
      <w:r w:rsidRPr="0052463D">
        <w:rPr>
          <w:rFonts w:eastAsia="Calibri"/>
          <w:lang w:eastAsia="en-US"/>
        </w:rPr>
        <w:t>13</w:t>
      </w:r>
      <w:r w:rsidRPr="00563AD3">
        <w:rPr>
          <w:rFonts w:eastAsia="Calibri"/>
          <w:lang w:eastAsia="en-US"/>
        </w:rPr>
        <w:t xml:space="preserve"> Unadjusted PRN prescription medications by resident sample and timepoint</w:t>
      </w:r>
      <w:bookmarkEnd w:id="176"/>
    </w:p>
    <w:tbl>
      <w:tblPr>
        <w:tblW w:w="4479" w:type="pct"/>
        <w:jc w:val="center"/>
        <w:tblCellMar>
          <w:left w:w="0" w:type="dxa"/>
          <w:right w:w="0" w:type="dxa"/>
        </w:tblCellMar>
        <w:tblLook w:val="0000" w:firstRow="0" w:lastRow="0" w:firstColumn="0" w:lastColumn="0" w:noHBand="0" w:noVBand="0"/>
      </w:tblPr>
      <w:tblGrid>
        <w:gridCol w:w="3124"/>
        <w:gridCol w:w="1672"/>
        <w:gridCol w:w="1590"/>
        <w:gridCol w:w="1699"/>
      </w:tblGrid>
      <w:tr w:rsidR="009F26C5" w:rsidRPr="00563AD3" w14:paraId="7C3518DA" w14:textId="77777777" w:rsidTr="00DE6B62">
        <w:trPr>
          <w:cantSplit/>
          <w:tblHeader/>
          <w:jc w:val="center"/>
        </w:trPr>
        <w:tc>
          <w:tcPr>
            <w:tcW w:w="5000" w:type="pct"/>
            <w:gridSpan w:val="4"/>
            <w:tcBorders>
              <w:top w:val="single" w:sz="4" w:space="0" w:color="auto"/>
              <w:bottom w:val="single" w:sz="4" w:space="0" w:color="000000"/>
            </w:tcBorders>
            <w:shd w:val="clear" w:color="auto" w:fill="F2F2F2"/>
            <w:tcMar>
              <w:left w:w="67" w:type="dxa"/>
              <w:right w:w="67" w:type="dxa"/>
            </w:tcMar>
            <w:vAlign w:val="bottom"/>
          </w:tcPr>
          <w:p w14:paraId="5473DEBF" w14:textId="77777777" w:rsidR="009F26C5" w:rsidRPr="00563AD3" w:rsidRDefault="009F26C5" w:rsidP="009F26C5">
            <w:pPr>
              <w:keepNext/>
              <w:spacing w:after="0" w:line="240" w:lineRule="auto"/>
              <w:rPr>
                <w:rFonts w:eastAsia="Times New Roman"/>
                <w:b/>
                <w:bCs/>
                <w:color w:val="000000"/>
                <w:sz w:val="20"/>
                <w:szCs w:val="20"/>
              </w:rPr>
            </w:pPr>
            <w:r w:rsidRPr="00563AD3">
              <w:rPr>
                <w:rFonts w:eastAsia="Times New Roman"/>
                <w:b/>
                <w:bCs/>
                <w:color w:val="000000"/>
                <w:sz w:val="20"/>
                <w:szCs w:val="20"/>
              </w:rPr>
              <w:t>CLOSED-COHORT</w:t>
            </w:r>
          </w:p>
        </w:tc>
      </w:tr>
      <w:tr w:rsidR="009F26C5" w:rsidRPr="00563AD3" w14:paraId="4A3C8EDB" w14:textId="77777777" w:rsidTr="00DE6B62">
        <w:trPr>
          <w:cantSplit/>
          <w:tblHeader/>
          <w:jc w:val="center"/>
        </w:trPr>
        <w:tc>
          <w:tcPr>
            <w:tcW w:w="1932" w:type="pct"/>
            <w:tcBorders>
              <w:top w:val="single" w:sz="4" w:space="0" w:color="auto"/>
              <w:bottom w:val="single" w:sz="4" w:space="0" w:color="000000"/>
              <w:right w:val="nil"/>
            </w:tcBorders>
            <w:shd w:val="clear" w:color="auto" w:fill="FFFFFF"/>
            <w:tcMar>
              <w:left w:w="67" w:type="dxa"/>
              <w:right w:w="67" w:type="dxa"/>
            </w:tcMar>
            <w:vAlign w:val="bottom"/>
          </w:tcPr>
          <w:p w14:paraId="1C0770BD" w14:textId="4EDDE99D" w:rsidR="009F26C5" w:rsidRPr="00563AD3" w:rsidRDefault="009F26C5" w:rsidP="007408B0">
            <w:pPr>
              <w:keepNext/>
              <w:spacing w:after="0" w:line="240" w:lineRule="auto"/>
              <w:rPr>
                <w:rFonts w:eastAsia="Times New Roman"/>
                <w:bCs/>
                <w:color w:val="000000"/>
                <w:sz w:val="20"/>
                <w:szCs w:val="20"/>
              </w:rPr>
            </w:pPr>
            <w:r w:rsidRPr="00563AD3">
              <w:rPr>
                <w:rFonts w:eastAsia="Times New Roman"/>
                <w:bCs/>
                <w:color w:val="000000"/>
                <w:sz w:val="20"/>
                <w:szCs w:val="20"/>
              </w:rPr>
              <w:t xml:space="preserve">N prescribed (%) </w:t>
            </w:r>
          </w:p>
        </w:tc>
        <w:tc>
          <w:tcPr>
            <w:tcW w:w="1034" w:type="pct"/>
            <w:tcBorders>
              <w:top w:val="single" w:sz="4" w:space="0" w:color="auto"/>
              <w:left w:val="nil"/>
              <w:bottom w:val="single" w:sz="4" w:space="0" w:color="000000"/>
              <w:right w:val="nil"/>
            </w:tcBorders>
            <w:shd w:val="clear" w:color="auto" w:fill="FFFFFF"/>
            <w:tcMar>
              <w:left w:w="67" w:type="dxa"/>
              <w:right w:w="67" w:type="dxa"/>
            </w:tcMar>
            <w:vAlign w:val="bottom"/>
          </w:tcPr>
          <w:p w14:paraId="647CBAC8" w14:textId="77777777" w:rsidR="009F26C5" w:rsidRPr="00563AD3" w:rsidRDefault="009F26C5" w:rsidP="009F26C5">
            <w:pPr>
              <w:keepNext/>
              <w:spacing w:after="0" w:line="240" w:lineRule="auto"/>
              <w:jc w:val="center"/>
              <w:rPr>
                <w:rFonts w:eastAsia="Times New Roman"/>
                <w:b/>
                <w:bCs/>
                <w:color w:val="000000"/>
                <w:sz w:val="20"/>
                <w:szCs w:val="20"/>
              </w:rPr>
            </w:pPr>
            <w:r w:rsidRPr="00563AD3">
              <w:rPr>
                <w:rFonts w:eastAsia="Times New Roman"/>
                <w:b/>
                <w:bCs/>
                <w:color w:val="000000"/>
                <w:sz w:val="20"/>
                <w:szCs w:val="20"/>
              </w:rPr>
              <w:t>Control</w:t>
            </w:r>
            <w:r w:rsidRPr="00563AD3">
              <w:rPr>
                <w:rFonts w:eastAsia="Times New Roman"/>
                <w:b/>
                <w:bCs/>
                <w:color w:val="000000"/>
                <w:sz w:val="20"/>
                <w:szCs w:val="20"/>
              </w:rPr>
              <w:br/>
              <w:t>(n = 308)</w:t>
            </w:r>
          </w:p>
        </w:tc>
        <w:tc>
          <w:tcPr>
            <w:tcW w:w="983" w:type="pct"/>
            <w:tcBorders>
              <w:top w:val="single" w:sz="4" w:space="0" w:color="auto"/>
              <w:left w:val="nil"/>
              <w:bottom w:val="single" w:sz="4" w:space="0" w:color="000000"/>
              <w:right w:val="nil"/>
            </w:tcBorders>
            <w:shd w:val="clear" w:color="auto" w:fill="FFFFFF"/>
            <w:tcMar>
              <w:left w:w="67" w:type="dxa"/>
              <w:right w:w="67" w:type="dxa"/>
            </w:tcMar>
            <w:vAlign w:val="bottom"/>
          </w:tcPr>
          <w:p w14:paraId="2016665F" w14:textId="77777777" w:rsidR="009F26C5" w:rsidRPr="00563AD3" w:rsidRDefault="009F26C5" w:rsidP="009F26C5">
            <w:pPr>
              <w:keepNext/>
              <w:spacing w:after="0" w:line="240" w:lineRule="auto"/>
              <w:jc w:val="center"/>
              <w:rPr>
                <w:rFonts w:eastAsia="Times New Roman"/>
                <w:b/>
                <w:bCs/>
                <w:color w:val="000000"/>
                <w:sz w:val="20"/>
                <w:szCs w:val="20"/>
              </w:rPr>
            </w:pPr>
            <w:r w:rsidRPr="00563AD3">
              <w:rPr>
                <w:rFonts w:eastAsia="Times New Roman"/>
                <w:b/>
                <w:bCs/>
                <w:color w:val="000000"/>
                <w:sz w:val="20"/>
                <w:szCs w:val="20"/>
              </w:rPr>
              <w:t>Intervention</w:t>
            </w:r>
            <w:r w:rsidRPr="00563AD3">
              <w:rPr>
                <w:rFonts w:eastAsia="Times New Roman"/>
                <w:b/>
                <w:bCs/>
                <w:color w:val="000000"/>
                <w:sz w:val="20"/>
                <w:szCs w:val="20"/>
              </w:rPr>
              <w:br/>
              <w:t>(n = 418)</w:t>
            </w:r>
          </w:p>
        </w:tc>
        <w:tc>
          <w:tcPr>
            <w:tcW w:w="1051" w:type="pct"/>
            <w:tcBorders>
              <w:top w:val="single" w:sz="4" w:space="0" w:color="auto"/>
              <w:left w:val="nil"/>
              <w:bottom w:val="single" w:sz="4" w:space="0" w:color="000000"/>
            </w:tcBorders>
            <w:shd w:val="clear" w:color="auto" w:fill="FFFFFF"/>
            <w:tcMar>
              <w:left w:w="67" w:type="dxa"/>
              <w:right w:w="67" w:type="dxa"/>
            </w:tcMar>
            <w:vAlign w:val="bottom"/>
          </w:tcPr>
          <w:p w14:paraId="16620A94" w14:textId="77777777" w:rsidR="009F26C5" w:rsidRPr="00563AD3" w:rsidRDefault="009F26C5" w:rsidP="009F26C5">
            <w:pPr>
              <w:keepNext/>
              <w:spacing w:after="0" w:line="240" w:lineRule="auto"/>
              <w:jc w:val="center"/>
              <w:rPr>
                <w:rFonts w:eastAsia="Times New Roman"/>
                <w:b/>
                <w:bCs/>
                <w:color w:val="000000"/>
                <w:sz w:val="20"/>
                <w:szCs w:val="20"/>
              </w:rPr>
            </w:pPr>
            <w:r w:rsidRPr="00563AD3">
              <w:rPr>
                <w:rFonts w:eastAsia="Times New Roman"/>
                <w:b/>
                <w:bCs/>
                <w:color w:val="000000"/>
                <w:sz w:val="20"/>
                <w:szCs w:val="20"/>
              </w:rPr>
              <w:t>Total</w:t>
            </w:r>
            <w:r w:rsidRPr="00563AD3">
              <w:rPr>
                <w:rFonts w:eastAsia="Times New Roman"/>
                <w:b/>
                <w:bCs/>
                <w:color w:val="000000"/>
                <w:sz w:val="20"/>
                <w:szCs w:val="20"/>
              </w:rPr>
              <w:br/>
              <w:t>(n = 726)</w:t>
            </w:r>
          </w:p>
        </w:tc>
      </w:tr>
      <w:tr w:rsidR="009F26C5" w:rsidRPr="00563AD3" w14:paraId="2332CB3E" w14:textId="77777777" w:rsidTr="00DE6B62">
        <w:trPr>
          <w:cantSplit/>
          <w:jc w:val="center"/>
        </w:trPr>
        <w:tc>
          <w:tcPr>
            <w:tcW w:w="1932" w:type="pct"/>
            <w:tcBorders>
              <w:top w:val="single" w:sz="4" w:space="0" w:color="auto"/>
              <w:right w:val="nil"/>
            </w:tcBorders>
            <w:shd w:val="clear" w:color="auto" w:fill="FFFFFF"/>
            <w:tcMar>
              <w:left w:w="67" w:type="dxa"/>
              <w:right w:w="67" w:type="dxa"/>
            </w:tcMar>
          </w:tcPr>
          <w:p w14:paraId="10413F27" w14:textId="77777777" w:rsidR="009F26C5" w:rsidRPr="00563AD3" w:rsidRDefault="009F26C5" w:rsidP="009F26C5">
            <w:pPr>
              <w:spacing w:after="0" w:line="240" w:lineRule="auto"/>
              <w:rPr>
                <w:rFonts w:eastAsia="Times New Roman"/>
                <w:b/>
                <w:bCs/>
                <w:color w:val="000000"/>
                <w:sz w:val="20"/>
                <w:szCs w:val="20"/>
              </w:rPr>
            </w:pPr>
            <w:r w:rsidRPr="00563AD3">
              <w:rPr>
                <w:rFonts w:eastAsia="Times New Roman"/>
                <w:b/>
                <w:bCs/>
                <w:color w:val="000000"/>
                <w:sz w:val="20"/>
                <w:szCs w:val="20"/>
              </w:rPr>
              <w:t>Baseline</w:t>
            </w:r>
          </w:p>
        </w:tc>
        <w:tc>
          <w:tcPr>
            <w:tcW w:w="3068" w:type="pct"/>
            <w:gridSpan w:val="3"/>
            <w:tcBorders>
              <w:top w:val="single" w:sz="4" w:space="0" w:color="auto"/>
              <w:left w:val="nil"/>
              <w:bottom w:val="nil"/>
            </w:tcBorders>
            <w:shd w:val="clear" w:color="auto" w:fill="FFFFFF"/>
            <w:tcMar>
              <w:left w:w="67" w:type="dxa"/>
              <w:right w:w="67" w:type="dxa"/>
            </w:tcMar>
          </w:tcPr>
          <w:p w14:paraId="32207B9C" w14:textId="77777777" w:rsidR="009F26C5" w:rsidRPr="00563AD3" w:rsidRDefault="009F26C5" w:rsidP="009F26C5">
            <w:pPr>
              <w:spacing w:after="0" w:line="240" w:lineRule="auto"/>
              <w:rPr>
                <w:rFonts w:eastAsia="Times New Roman"/>
                <w:b/>
                <w:color w:val="000000"/>
                <w:sz w:val="20"/>
                <w:szCs w:val="20"/>
              </w:rPr>
            </w:pPr>
          </w:p>
        </w:tc>
      </w:tr>
      <w:tr w:rsidR="009F26C5" w:rsidRPr="00563AD3" w14:paraId="7DE92AF8" w14:textId="77777777" w:rsidTr="00DE6B62">
        <w:trPr>
          <w:cantSplit/>
          <w:jc w:val="center"/>
        </w:trPr>
        <w:tc>
          <w:tcPr>
            <w:tcW w:w="1932" w:type="pct"/>
            <w:tcBorders>
              <w:top w:val="nil"/>
              <w:right w:val="nil"/>
            </w:tcBorders>
            <w:shd w:val="clear" w:color="auto" w:fill="FFFFFF"/>
            <w:tcMar>
              <w:left w:w="67" w:type="dxa"/>
              <w:right w:w="67" w:type="dxa"/>
            </w:tcMar>
          </w:tcPr>
          <w:p w14:paraId="6EABCC82" w14:textId="77777777" w:rsidR="009F26C5" w:rsidRPr="00A07B7F" w:rsidRDefault="009F26C5" w:rsidP="009F26C5">
            <w:pPr>
              <w:spacing w:after="0" w:line="240" w:lineRule="auto"/>
              <w:rPr>
                <w:rFonts w:eastAsia="Times New Roman"/>
                <w:bCs/>
                <w:color w:val="000000"/>
                <w:sz w:val="20"/>
                <w:szCs w:val="20"/>
              </w:rPr>
            </w:pPr>
            <w:r w:rsidRPr="00A07B7F">
              <w:rPr>
                <w:rFonts w:eastAsia="Times New Roman"/>
                <w:b/>
                <w:bCs/>
                <w:color w:val="000000"/>
                <w:sz w:val="20"/>
                <w:szCs w:val="20"/>
              </w:rPr>
              <w:t>Antipsychotic</w:t>
            </w:r>
            <w:r w:rsidRPr="00A07B7F">
              <w:rPr>
                <w:rFonts w:eastAsia="Times New Roman"/>
                <w:bCs/>
                <w:color w:val="000000"/>
                <w:sz w:val="20"/>
                <w:szCs w:val="20"/>
              </w:rPr>
              <w:t xml:space="preserve">                          </w:t>
            </w:r>
          </w:p>
        </w:tc>
        <w:tc>
          <w:tcPr>
            <w:tcW w:w="1034" w:type="pct"/>
            <w:tcBorders>
              <w:top w:val="nil"/>
              <w:left w:val="nil"/>
              <w:bottom w:val="nil"/>
              <w:right w:val="nil"/>
            </w:tcBorders>
            <w:shd w:val="clear" w:color="auto" w:fill="FFFFFF"/>
            <w:tcMar>
              <w:left w:w="67" w:type="dxa"/>
              <w:right w:w="67" w:type="dxa"/>
            </w:tcMar>
          </w:tcPr>
          <w:p w14:paraId="4FD17FE7" w14:textId="0BB3F4D0" w:rsidR="009F26C5" w:rsidRPr="00A07B7F" w:rsidRDefault="009F26C5" w:rsidP="009F26C5">
            <w:pPr>
              <w:spacing w:after="0" w:line="240" w:lineRule="auto"/>
              <w:jc w:val="right"/>
              <w:rPr>
                <w:rFonts w:eastAsia="Times New Roman"/>
                <w:b/>
                <w:color w:val="000000"/>
                <w:sz w:val="20"/>
                <w:szCs w:val="20"/>
              </w:rPr>
            </w:pPr>
            <w:r w:rsidRPr="00A07B7F">
              <w:rPr>
                <w:rFonts w:eastAsia="Times New Roman"/>
                <w:b/>
                <w:color w:val="000000"/>
                <w:sz w:val="20"/>
                <w:szCs w:val="20"/>
              </w:rPr>
              <w:t>5 (1.</w:t>
            </w:r>
            <w:r w:rsidR="0052463D">
              <w:rPr>
                <w:rFonts w:eastAsia="Times New Roman"/>
                <w:b/>
                <w:color w:val="000000"/>
                <w:sz w:val="20"/>
                <w:szCs w:val="20"/>
              </w:rPr>
              <w:t>6</w:t>
            </w:r>
            <w:r w:rsidRPr="00A07B7F">
              <w:rPr>
                <w:rFonts w:eastAsia="Times New Roman"/>
                <w:b/>
                <w:color w:val="000000"/>
                <w:sz w:val="20"/>
                <w:szCs w:val="20"/>
              </w:rPr>
              <w:t>%)</w:t>
            </w:r>
          </w:p>
        </w:tc>
        <w:tc>
          <w:tcPr>
            <w:tcW w:w="983" w:type="pct"/>
            <w:tcBorders>
              <w:top w:val="nil"/>
              <w:left w:val="nil"/>
              <w:bottom w:val="nil"/>
              <w:right w:val="nil"/>
            </w:tcBorders>
            <w:shd w:val="clear" w:color="auto" w:fill="FFFFFF"/>
            <w:tcMar>
              <w:left w:w="67" w:type="dxa"/>
              <w:right w:w="67" w:type="dxa"/>
            </w:tcMar>
          </w:tcPr>
          <w:p w14:paraId="33249151" w14:textId="11C39360" w:rsidR="009F26C5" w:rsidRPr="00A07B7F" w:rsidRDefault="009F26C5" w:rsidP="0052463D">
            <w:pPr>
              <w:spacing w:after="0" w:line="240" w:lineRule="auto"/>
              <w:jc w:val="right"/>
              <w:rPr>
                <w:rFonts w:eastAsia="Times New Roman"/>
                <w:b/>
                <w:color w:val="000000"/>
                <w:sz w:val="20"/>
                <w:szCs w:val="20"/>
              </w:rPr>
            </w:pPr>
            <w:r w:rsidRPr="00A07B7F">
              <w:rPr>
                <w:rFonts w:eastAsia="Times New Roman"/>
                <w:b/>
                <w:color w:val="000000"/>
                <w:sz w:val="20"/>
                <w:szCs w:val="20"/>
              </w:rPr>
              <w:t>5 (1.2%)</w:t>
            </w:r>
          </w:p>
        </w:tc>
        <w:tc>
          <w:tcPr>
            <w:tcW w:w="1051" w:type="pct"/>
            <w:tcBorders>
              <w:top w:val="nil"/>
              <w:left w:val="nil"/>
              <w:bottom w:val="nil"/>
            </w:tcBorders>
            <w:shd w:val="clear" w:color="auto" w:fill="FFFFFF"/>
            <w:tcMar>
              <w:left w:w="67" w:type="dxa"/>
              <w:right w:w="67" w:type="dxa"/>
            </w:tcMar>
          </w:tcPr>
          <w:p w14:paraId="1CE7A672" w14:textId="16F98C1D" w:rsidR="009F26C5" w:rsidRPr="00A07B7F" w:rsidRDefault="009F26C5" w:rsidP="0052463D">
            <w:pPr>
              <w:spacing w:after="0" w:line="240" w:lineRule="auto"/>
              <w:jc w:val="right"/>
              <w:rPr>
                <w:rFonts w:eastAsia="Times New Roman"/>
                <w:b/>
                <w:color w:val="000000"/>
                <w:sz w:val="20"/>
                <w:szCs w:val="20"/>
              </w:rPr>
            </w:pPr>
            <w:r w:rsidRPr="00A07B7F">
              <w:rPr>
                <w:rFonts w:eastAsia="Times New Roman"/>
                <w:b/>
                <w:color w:val="000000"/>
                <w:sz w:val="20"/>
                <w:szCs w:val="20"/>
              </w:rPr>
              <w:t>10 (1.4%)</w:t>
            </w:r>
          </w:p>
        </w:tc>
      </w:tr>
      <w:tr w:rsidR="009F26C5" w:rsidRPr="00563AD3" w14:paraId="4DDAAB4E" w14:textId="77777777" w:rsidTr="00DE6B62">
        <w:trPr>
          <w:cantSplit/>
          <w:jc w:val="center"/>
        </w:trPr>
        <w:tc>
          <w:tcPr>
            <w:tcW w:w="1932" w:type="pct"/>
            <w:tcBorders>
              <w:top w:val="nil"/>
              <w:right w:val="nil"/>
            </w:tcBorders>
            <w:shd w:val="clear" w:color="auto" w:fill="FFFFFF"/>
            <w:tcMar>
              <w:left w:w="67" w:type="dxa"/>
              <w:right w:w="67" w:type="dxa"/>
            </w:tcMar>
          </w:tcPr>
          <w:p w14:paraId="752257D6" w14:textId="77777777" w:rsidR="009F26C5" w:rsidRPr="00A07B7F" w:rsidRDefault="009F26C5" w:rsidP="009F26C5">
            <w:pPr>
              <w:spacing w:after="0" w:line="240" w:lineRule="auto"/>
              <w:rPr>
                <w:rFonts w:eastAsia="Times New Roman"/>
                <w:color w:val="000000"/>
                <w:sz w:val="20"/>
                <w:szCs w:val="20"/>
              </w:rPr>
            </w:pPr>
            <w:r w:rsidRPr="00A07B7F">
              <w:rPr>
                <w:rFonts w:eastAsia="Times New Roman"/>
                <w:bCs/>
                <w:color w:val="000000"/>
                <w:sz w:val="20"/>
                <w:szCs w:val="20"/>
              </w:rPr>
              <w:t>Non-benzodiazepine hypnotic</w:t>
            </w:r>
          </w:p>
        </w:tc>
        <w:tc>
          <w:tcPr>
            <w:tcW w:w="1034" w:type="pct"/>
            <w:tcBorders>
              <w:top w:val="nil"/>
              <w:left w:val="nil"/>
              <w:bottom w:val="nil"/>
              <w:right w:val="nil"/>
            </w:tcBorders>
            <w:shd w:val="clear" w:color="auto" w:fill="FFFFFF"/>
            <w:tcMar>
              <w:left w:w="67" w:type="dxa"/>
              <w:right w:w="67" w:type="dxa"/>
            </w:tcMar>
          </w:tcPr>
          <w:p w14:paraId="4190B4BD" w14:textId="45E2B674" w:rsidR="009F26C5" w:rsidRPr="00A07B7F" w:rsidRDefault="00A07B7F" w:rsidP="009F26C5">
            <w:pPr>
              <w:spacing w:after="0" w:line="240" w:lineRule="auto"/>
              <w:jc w:val="right"/>
              <w:rPr>
                <w:rFonts w:eastAsia="Times New Roman"/>
                <w:color w:val="000000"/>
                <w:sz w:val="20"/>
                <w:szCs w:val="20"/>
              </w:rPr>
            </w:pPr>
            <w:r>
              <w:rPr>
                <w:rFonts w:eastAsia="Times New Roman"/>
                <w:color w:val="000000"/>
                <w:sz w:val="20"/>
                <w:szCs w:val="20"/>
              </w:rPr>
              <w:t>2</w:t>
            </w:r>
            <w:r w:rsidR="009F26C5" w:rsidRPr="00A07B7F">
              <w:rPr>
                <w:rFonts w:eastAsia="Times New Roman"/>
                <w:color w:val="000000"/>
                <w:sz w:val="20"/>
                <w:szCs w:val="20"/>
              </w:rPr>
              <w:t xml:space="preserve"> (</w:t>
            </w:r>
            <w:r w:rsidR="0052463D">
              <w:rPr>
                <w:rFonts w:eastAsia="Times New Roman"/>
                <w:color w:val="000000"/>
                <w:sz w:val="20"/>
                <w:szCs w:val="20"/>
              </w:rPr>
              <w:t>0.6</w:t>
            </w:r>
            <w:r w:rsidR="009F26C5" w:rsidRPr="00A07B7F">
              <w:rPr>
                <w:rFonts w:eastAsia="Times New Roman"/>
                <w:color w:val="000000"/>
                <w:sz w:val="20"/>
                <w:szCs w:val="20"/>
              </w:rPr>
              <w:t>%)</w:t>
            </w:r>
          </w:p>
        </w:tc>
        <w:tc>
          <w:tcPr>
            <w:tcW w:w="983" w:type="pct"/>
            <w:tcBorders>
              <w:top w:val="nil"/>
              <w:left w:val="nil"/>
              <w:bottom w:val="nil"/>
              <w:right w:val="nil"/>
            </w:tcBorders>
            <w:shd w:val="clear" w:color="auto" w:fill="FFFFFF"/>
            <w:tcMar>
              <w:left w:w="67" w:type="dxa"/>
              <w:right w:w="67" w:type="dxa"/>
            </w:tcMar>
          </w:tcPr>
          <w:p w14:paraId="67728435" w14:textId="257E569C" w:rsidR="009F26C5" w:rsidRPr="00571DFD" w:rsidRDefault="009F26C5" w:rsidP="0052463D">
            <w:pPr>
              <w:spacing w:after="0" w:line="240" w:lineRule="auto"/>
              <w:jc w:val="right"/>
              <w:rPr>
                <w:rFonts w:eastAsia="Times New Roman"/>
                <w:color w:val="000000"/>
                <w:sz w:val="20"/>
                <w:szCs w:val="20"/>
              </w:rPr>
            </w:pPr>
            <w:r w:rsidRPr="00571DFD">
              <w:rPr>
                <w:rFonts w:eastAsia="Times New Roman"/>
                <w:color w:val="000000"/>
                <w:sz w:val="20"/>
                <w:szCs w:val="20"/>
              </w:rPr>
              <w:t>4 (1.0%)</w:t>
            </w:r>
          </w:p>
        </w:tc>
        <w:tc>
          <w:tcPr>
            <w:tcW w:w="1051" w:type="pct"/>
            <w:tcBorders>
              <w:top w:val="nil"/>
              <w:left w:val="nil"/>
              <w:bottom w:val="nil"/>
            </w:tcBorders>
            <w:shd w:val="clear" w:color="auto" w:fill="FFFFFF"/>
            <w:tcMar>
              <w:left w:w="67" w:type="dxa"/>
              <w:right w:w="67" w:type="dxa"/>
            </w:tcMar>
          </w:tcPr>
          <w:p w14:paraId="2F46E562" w14:textId="2167FC61" w:rsidR="009F26C5" w:rsidRPr="00A07B7F" w:rsidRDefault="00A07B7F" w:rsidP="0052463D">
            <w:pPr>
              <w:spacing w:after="0" w:line="240" w:lineRule="auto"/>
              <w:jc w:val="right"/>
              <w:rPr>
                <w:rFonts w:eastAsia="Times New Roman"/>
                <w:color w:val="000000"/>
                <w:sz w:val="20"/>
                <w:szCs w:val="20"/>
              </w:rPr>
            </w:pPr>
            <w:r>
              <w:rPr>
                <w:rFonts w:eastAsia="Times New Roman"/>
                <w:color w:val="000000"/>
                <w:sz w:val="20"/>
                <w:szCs w:val="20"/>
              </w:rPr>
              <w:t>6</w:t>
            </w:r>
            <w:r w:rsidR="009F26C5" w:rsidRPr="00A07B7F">
              <w:rPr>
                <w:rFonts w:eastAsia="Times New Roman"/>
                <w:color w:val="000000"/>
                <w:sz w:val="20"/>
                <w:szCs w:val="20"/>
              </w:rPr>
              <w:t xml:space="preserve"> (</w:t>
            </w:r>
            <w:r w:rsidR="0052463D">
              <w:rPr>
                <w:rFonts w:eastAsia="Times New Roman"/>
                <w:color w:val="000000"/>
                <w:sz w:val="20"/>
                <w:szCs w:val="20"/>
              </w:rPr>
              <w:t>0.8</w:t>
            </w:r>
            <w:r w:rsidR="009F26C5" w:rsidRPr="00A07B7F">
              <w:rPr>
                <w:rFonts w:eastAsia="Times New Roman"/>
                <w:color w:val="000000"/>
                <w:sz w:val="20"/>
                <w:szCs w:val="20"/>
              </w:rPr>
              <w:t>%)</w:t>
            </w:r>
          </w:p>
        </w:tc>
      </w:tr>
      <w:tr w:rsidR="009F26C5" w:rsidRPr="00563AD3" w14:paraId="5AE2C084" w14:textId="77777777" w:rsidTr="00DE6B62">
        <w:trPr>
          <w:cantSplit/>
          <w:jc w:val="center"/>
        </w:trPr>
        <w:tc>
          <w:tcPr>
            <w:tcW w:w="1932" w:type="pct"/>
            <w:tcBorders>
              <w:top w:val="nil"/>
              <w:right w:val="nil"/>
            </w:tcBorders>
            <w:shd w:val="clear" w:color="auto" w:fill="FFFFFF"/>
            <w:tcMar>
              <w:left w:w="67" w:type="dxa"/>
              <w:right w:w="67" w:type="dxa"/>
            </w:tcMar>
          </w:tcPr>
          <w:p w14:paraId="58EAACD8" w14:textId="2D49E603" w:rsidR="009F26C5" w:rsidRPr="00A07B7F" w:rsidRDefault="009F26C5" w:rsidP="009F26C5">
            <w:pPr>
              <w:spacing w:after="0" w:line="240" w:lineRule="auto"/>
              <w:rPr>
                <w:rFonts w:eastAsia="Times New Roman"/>
                <w:color w:val="000000"/>
                <w:sz w:val="20"/>
                <w:szCs w:val="20"/>
              </w:rPr>
            </w:pPr>
          </w:p>
        </w:tc>
        <w:tc>
          <w:tcPr>
            <w:tcW w:w="1034" w:type="pct"/>
            <w:tcBorders>
              <w:top w:val="nil"/>
              <w:left w:val="nil"/>
              <w:bottom w:val="nil"/>
              <w:right w:val="nil"/>
            </w:tcBorders>
            <w:shd w:val="clear" w:color="auto" w:fill="FFFFFF"/>
            <w:tcMar>
              <w:left w:w="67" w:type="dxa"/>
              <w:right w:w="67" w:type="dxa"/>
            </w:tcMar>
          </w:tcPr>
          <w:p w14:paraId="3DF5CEAF" w14:textId="69D09E74" w:rsidR="009F26C5" w:rsidRPr="00A07B7F" w:rsidRDefault="009F26C5" w:rsidP="0052463D">
            <w:pPr>
              <w:spacing w:after="0" w:line="240" w:lineRule="auto"/>
              <w:jc w:val="right"/>
              <w:rPr>
                <w:rFonts w:eastAsia="Times New Roman"/>
                <w:color w:val="000000"/>
                <w:sz w:val="20"/>
                <w:szCs w:val="20"/>
              </w:rPr>
            </w:pPr>
          </w:p>
        </w:tc>
        <w:tc>
          <w:tcPr>
            <w:tcW w:w="983" w:type="pct"/>
            <w:tcBorders>
              <w:top w:val="nil"/>
              <w:left w:val="nil"/>
              <w:bottom w:val="nil"/>
              <w:right w:val="nil"/>
            </w:tcBorders>
            <w:shd w:val="clear" w:color="auto" w:fill="FFFFFF"/>
            <w:tcMar>
              <w:left w:w="67" w:type="dxa"/>
              <w:right w:w="67" w:type="dxa"/>
            </w:tcMar>
          </w:tcPr>
          <w:p w14:paraId="1A06DEDA" w14:textId="71A35AD7" w:rsidR="009F26C5" w:rsidRPr="00571DFD" w:rsidRDefault="009F26C5" w:rsidP="0052463D">
            <w:pPr>
              <w:spacing w:after="0" w:line="240" w:lineRule="auto"/>
              <w:jc w:val="right"/>
              <w:rPr>
                <w:rFonts w:eastAsia="Times New Roman"/>
                <w:color w:val="000000"/>
                <w:sz w:val="20"/>
                <w:szCs w:val="20"/>
              </w:rPr>
            </w:pPr>
          </w:p>
        </w:tc>
        <w:tc>
          <w:tcPr>
            <w:tcW w:w="1051" w:type="pct"/>
            <w:tcBorders>
              <w:top w:val="nil"/>
              <w:left w:val="nil"/>
              <w:bottom w:val="nil"/>
            </w:tcBorders>
            <w:shd w:val="clear" w:color="auto" w:fill="FFFFFF"/>
            <w:tcMar>
              <w:left w:w="67" w:type="dxa"/>
              <w:right w:w="67" w:type="dxa"/>
            </w:tcMar>
          </w:tcPr>
          <w:p w14:paraId="14A00B6B" w14:textId="514E6277" w:rsidR="009F26C5" w:rsidRPr="00A07B7F" w:rsidRDefault="009F26C5" w:rsidP="0052463D">
            <w:pPr>
              <w:spacing w:after="0" w:line="240" w:lineRule="auto"/>
              <w:jc w:val="right"/>
              <w:rPr>
                <w:rFonts w:eastAsia="Times New Roman"/>
                <w:color w:val="000000"/>
                <w:sz w:val="20"/>
                <w:szCs w:val="20"/>
              </w:rPr>
            </w:pPr>
          </w:p>
        </w:tc>
      </w:tr>
      <w:tr w:rsidR="009F26C5" w:rsidRPr="00563AD3" w14:paraId="75E6CAF1" w14:textId="77777777" w:rsidTr="00DE6B62">
        <w:trPr>
          <w:cantSplit/>
          <w:jc w:val="center"/>
        </w:trPr>
        <w:tc>
          <w:tcPr>
            <w:tcW w:w="1932" w:type="pct"/>
            <w:tcBorders>
              <w:top w:val="nil"/>
              <w:right w:val="nil"/>
            </w:tcBorders>
            <w:shd w:val="clear" w:color="auto" w:fill="FFFFFF"/>
            <w:tcMar>
              <w:left w:w="67" w:type="dxa"/>
              <w:right w:w="67" w:type="dxa"/>
            </w:tcMar>
          </w:tcPr>
          <w:p w14:paraId="48006E15" w14:textId="77777777" w:rsidR="009F26C5" w:rsidRPr="00A07B7F" w:rsidRDefault="009F26C5" w:rsidP="009F26C5">
            <w:pPr>
              <w:keepNext/>
              <w:spacing w:after="0" w:line="240" w:lineRule="auto"/>
              <w:rPr>
                <w:rFonts w:eastAsia="Times New Roman"/>
                <w:color w:val="000000"/>
                <w:sz w:val="20"/>
                <w:szCs w:val="20"/>
              </w:rPr>
            </w:pPr>
            <w:r w:rsidRPr="00A07B7F">
              <w:rPr>
                <w:rFonts w:eastAsia="Times New Roman"/>
                <w:bCs/>
                <w:color w:val="000000"/>
                <w:sz w:val="20"/>
                <w:szCs w:val="20"/>
              </w:rPr>
              <w:t>Pain relief</w:t>
            </w:r>
          </w:p>
        </w:tc>
        <w:tc>
          <w:tcPr>
            <w:tcW w:w="1034" w:type="pct"/>
            <w:tcBorders>
              <w:top w:val="nil"/>
              <w:left w:val="nil"/>
              <w:right w:val="nil"/>
            </w:tcBorders>
            <w:shd w:val="clear" w:color="auto" w:fill="FFFFFF"/>
            <w:tcMar>
              <w:left w:w="67" w:type="dxa"/>
              <w:right w:w="67" w:type="dxa"/>
            </w:tcMar>
          </w:tcPr>
          <w:p w14:paraId="538BE535" w14:textId="3825EDDA" w:rsidR="009F26C5" w:rsidRPr="00A07B7F" w:rsidRDefault="009F26C5" w:rsidP="0052463D">
            <w:pPr>
              <w:keepNext/>
              <w:spacing w:after="0" w:line="240" w:lineRule="auto"/>
              <w:jc w:val="right"/>
              <w:rPr>
                <w:rFonts w:eastAsia="Times New Roman"/>
                <w:color w:val="000000"/>
                <w:sz w:val="20"/>
                <w:szCs w:val="20"/>
              </w:rPr>
            </w:pPr>
            <w:r w:rsidRPr="00A07B7F">
              <w:rPr>
                <w:rFonts w:eastAsia="Times New Roman"/>
                <w:color w:val="000000"/>
                <w:sz w:val="20"/>
                <w:szCs w:val="20"/>
              </w:rPr>
              <w:t>109 (3</w:t>
            </w:r>
            <w:r w:rsidR="00E32FBA">
              <w:rPr>
                <w:rFonts w:eastAsia="Times New Roman"/>
                <w:color w:val="000000"/>
                <w:sz w:val="20"/>
                <w:szCs w:val="20"/>
              </w:rPr>
              <w:t>5</w:t>
            </w:r>
            <w:r w:rsidRPr="00A07B7F">
              <w:rPr>
                <w:rFonts w:eastAsia="Times New Roman"/>
                <w:color w:val="000000"/>
                <w:sz w:val="20"/>
                <w:szCs w:val="20"/>
              </w:rPr>
              <w:t>.</w:t>
            </w:r>
            <w:r w:rsidR="00E32FBA">
              <w:rPr>
                <w:rFonts w:eastAsia="Times New Roman"/>
                <w:color w:val="000000"/>
                <w:sz w:val="20"/>
                <w:szCs w:val="20"/>
              </w:rPr>
              <w:t>4</w:t>
            </w:r>
            <w:r w:rsidRPr="00A07B7F">
              <w:rPr>
                <w:rFonts w:eastAsia="Times New Roman"/>
                <w:color w:val="000000"/>
                <w:sz w:val="20"/>
                <w:szCs w:val="20"/>
              </w:rPr>
              <w:t>%)</w:t>
            </w:r>
          </w:p>
        </w:tc>
        <w:tc>
          <w:tcPr>
            <w:tcW w:w="983" w:type="pct"/>
            <w:tcBorders>
              <w:top w:val="nil"/>
              <w:left w:val="nil"/>
              <w:right w:val="nil"/>
            </w:tcBorders>
            <w:shd w:val="clear" w:color="auto" w:fill="FFFFFF"/>
            <w:tcMar>
              <w:left w:w="67" w:type="dxa"/>
              <w:right w:w="67" w:type="dxa"/>
            </w:tcMar>
          </w:tcPr>
          <w:p w14:paraId="38E50A54" w14:textId="5B06C11D" w:rsidR="009F26C5" w:rsidRPr="00A07B7F" w:rsidRDefault="009F26C5" w:rsidP="0052463D">
            <w:pPr>
              <w:keepNext/>
              <w:spacing w:after="0" w:line="240" w:lineRule="auto"/>
              <w:jc w:val="right"/>
              <w:rPr>
                <w:rFonts w:eastAsia="Times New Roman"/>
                <w:color w:val="000000"/>
                <w:sz w:val="20"/>
                <w:szCs w:val="20"/>
              </w:rPr>
            </w:pPr>
            <w:r w:rsidRPr="00A07B7F">
              <w:rPr>
                <w:rFonts w:eastAsia="Times New Roman"/>
                <w:color w:val="000000"/>
                <w:sz w:val="20"/>
                <w:szCs w:val="20"/>
              </w:rPr>
              <w:t>12</w:t>
            </w:r>
            <w:r w:rsidR="00A07B7F">
              <w:rPr>
                <w:rFonts w:eastAsia="Times New Roman"/>
                <w:color w:val="000000"/>
                <w:sz w:val="20"/>
                <w:szCs w:val="20"/>
              </w:rPr>
              <w:t>3</w:t>
            </w:r>
            <w:r w:rsidRPr="00A07B7F">
              <w:rPr>
                <w:rFonts w:eastAsia="Times New Roman"/>
                <w:color w:val="000000"/>
                <w:sz w:val="20"/>
                <w:szCs w:val="20"/>
              </w:rPr>
              <w:t xml:space="preserve"> (</w:t>
            </w:r>
            <w:r w:rsidR="00E32FBA">
              <w:rPr>
                <w:rFonts w:eastAsia="Times New Roman"/>
                <w:color w:val="000000"/>
                <w:sz w:val="20"/>
                <w:szCs w:val="20"/>
              </w:rPr>
              <w:t>29.4</w:t>
            </w:r>
            <w:r w:rsidRPr="00A07B7F">
              <w:rPr>
                <w:rFonts w:eastAsia="Times New Roman"/>
                <w:color w:val="000000"/>
                <w:sz w:val="20"/>
                <w:szCs w:val="20"/>
              </w:rPr>
              <w:t xml:space="preserve">%) </w:t>
            </w:r>
          </w:p>
        </w:tc>
        <w:tc>
          <w:tcPr>
            <w:tcW w:w="1051" w:type="pct"/>
            <w:tcBorders>
              <w:top w:val="nil"/>
              <w:left w:val="nil"/>
            </w:tcBorders>
            <w:shd w:val="clear" w:color="auto" w:fill="FFFFFF"/>
            <w:tcMar>
              <w:left w:w="67" w:type="dxa"/>
              <w:right w:w="67" w:type="dxa"/>
            </w:tcMar>
          </w:tcPr>
          <w:p w14:paraId="45CA1DD2" w14:textId="7C90050F" w:rsidR="009F26C5" w:rsidRPr="00A07B7F" w:rsidRDefault="009F26C5" w:rsidP="0052463D">
            <w:pPr>
              <w:keepNext/>
              <w:spacing w:after="0" w:line="240" w:lineRule="auto"/>
              <w:jc w:val="right"/>
              <w:rPr>
                <w:rFonts w:eastAsia="Times New Roman"/>
                <w:color w:val="000000"/>
                <w:sz w:val="20"/>
                <w:szCs w:val="20"/>
              </w:rPr>
            </w:pPr>
            <w:r w:rsidRPr="00A07B7F">
              <w:rPr>
                <w:rFonts w:eastAsia="Times New Roman"/>
                <w:color w:val="000000"/>
                <w:sz w:val="20"/>
                <w:szCs w:val="20"/>
              </w:rPr>
              <w:t>23</w:t>
            </w:r>
            <w:r w:rsidR="00A07B7F">
              <w:rPr>
                <w:rFonts w:eastAsia="Times New Roman"/>
                <w:color w:val="000000"/>
                <w:sz w:val="20"/>
                <w:szCs w:val="20"/>
              </w:rPr>
              <w:t>2</w:t>
            </w:r>
            <w:r w:rsidRPr="00A07B7F">
              <w:rPr>
                <w:rFonts w:eastAsia="Times New Roman"/>
                <w:color w:val="000000"/>
                <w:sz w:val="20"/>
                <w:szCs w:val="20"/>
              </w:rPr>
              <w:t xml:space="preserve"> (3</w:t>
            </w:r>
            <w:r w:rsidR="00E32FBA">
              <w:rPr>
                <w:rFonts w:eastAsia="Times New Roman"/>
                <w:color w:val="000000"/>
                <w:sz w:val="20"/>
                <w:szCs w:val="20"/>
              </w:rPr>
              <w:t>2.0</w:t>
            </w:r>
            <w:r w:rsidRPr="00A07B7F">
              <w:rPr>
                <w:rFonts w:eastAsia="Times New Roman"/>
                <w:color w:val="000000"/>
                <w:sz w:val="20"/>
                <w:szCs w:val="20"/>
              </w:rPr>
              <w:t xml:space="preserve">%) </w:t>
            </w:r>
          </w:p>
        </w:tc>
      </w:tr>
      <w:tr w:rsidR="009F26C5" w:rsidRPr="00563AD3" w14:paraId="5EB65F30" w14:textId="77777777" w:rsidTr="00DE6B62">
        <w:trPr>
          <w:cantSplit/>
          <w:jc w:val="center"/>
        </w:trPr>
        <w:tc>
          <w:tcPr>
            <w:tcW w:w="1932" w:type="pct"/>
            <w:tcBorders>
              <w:top w:val="single" w:sz="4" w:space="0" w:color="auto"/>
              <w:bottom w:val="nil"/>
              <w:right w:val="nil"/>
            </w:tcBorders>
            <w:shd w:val="clear" w:color="auto" w:fill="FFFFFF"/>
            <w:tcMar>
              <w:left w:w="67" w:type="dxa"/>
              <w:right w:w="67" w:type="dxa"/>
            </w:tcMar>
          </w:tcPr>
          <w:p w14:paraId="32046E98" w14:textId="77777777" w:rsidR="009F26C5" w:rsidRPr="00A07B7F" w:rsidRDefault="009F26C5" w:rsidP="009F26C5">
            <w:pPr>
              <w:keepNext/>
              <w:spacing w:after="0" w:line="240" w:lineRule="auto"/>
              <w:rPr>
                <w:rFonts w:eastAsia="Times New Roman"/>
                <w:color w:val="000000"/>
                <w:sz w:val="20"/>
                <w:szCs w:val="20"/>
              </w:rPr>
            </w:pPr>
            <w:r w:rsidRPr="00A07B7F">
              <w:rPr>
                <w:rFonts w:eastAsia="Times New Roman"/>
                <w:b/>
                <w:bCs/>
                <w:color w:val="000000"/>
                <w:sz w:val="20"/>
                <w:szCs w:val="20"/>
              </w:rPr>
              <w:t>6-months</w:t>
            </w:r>
          </w:p>
        </w:tc>
        <w:tc>
          <w:tcPr>
            <w:tcW w:w="3068" w:type="pct"/>
            <w:gridSpan w:val="3"/>
            <w:tcBorders>
              <w:top w:val="single" w:sz="4" w:space="0" w:color="auto"/>
              <w:left w:val="nil"/>
              <w:bottom w:val="nil"/>
            </w:tcBorders>
            <w:shd w:val="clear" w:color="auto" w:fill="FFFFFF"/>
            <w:tcMar>
              <w:left w:w="67" w:type="dxa"/>
              <w:right w:w="67" w:type="dxa"/>
            </w:tcMar>
          </w:tcPr>
          <w:p w14:paraId="6F139E8C" w14:textId="77777777" w:rsidR="009F26C5" w:rsidRPr="00571DFD" w:rsidRDefault="009F26C5" w:rsidP="009F26C5">
            <w:pPr>
              <w:keepNext/>
              <w:spacing w:after="0" w:line="240" w:lineRule="auto"/>
              <w:rPr>
                <w:rFonts w:eastAsia="Times New Roman"/>
                <w:color w:val="000000"/>
                <w:sz w:val="20"/>
                <w:szCs w:val="20"/>
              </w:rPr>
            </w:pPr>
          </w:p>
        </w:tc>
      </w:tr>
      <w:tr w:rsidR="009F26C5" w:rsidRPr="00563AD3" w14:paraId="7FA0B6E4" w14:textId="77777777" w:rsidTr="00DE6B62">
        <w:trPr>
          <w:cantSplit/>
          <w:jc w:val="center"/>
        </w:trPr>
        <w:tc>
          <w:tcPr>
            <w:tcW w:w="1932" w:type="pct"/>
            <w:tcBorders>
              <w:top w:val="nil"/>
              <w:bottom w:val="nil"/>
              <w:right w:val="nil"/>
            </w:tcBorders>
            <w:shd w:val="clear" w:color="auto" w:fill="FFFFFF"/>
            <w:tcMar>
              <w:left w:w="67" w:type="dxa"/>
              <w:right w:w="67" w:type="dxa"/>
            </w:tcMar>
          </w:tcPr>
          <w:p w14:paraId="156E97DF" w14:textId="77777777" w:rsidR="009F26C5" w:rsidRPr="00A07B7F" w:rsidRDefault="009F26C5" w:rsidP="009F26C5">
            <w:pPr>
              <w:keepNext/>
              <w:spacing w:after="0" w:line="240" w:lineRule="auto"/>
              <w:rPr>
                <w:rFonts w:eastAsia="Times New Roman"/>
                <w:color w:val="000000"/>
                <w:sz w:val="20"/>
                <w:szCs w:val="20"/>
              </w:rPr>
            </w:pPr>
            <w:r w:rsidRPr="00A07B7F">
              <w:rPr>
                <w:rFonts w:eastAsia="Times New Roman"/>
                <w:b/>
                <w:bCs/>
                <w:color w:val="000000"/>
                <w:sz w:val="20"/>
                <w:szCs w:val="20"/>
              </w:rPr>
              <w:t>Antipsychotic</w:t>
            </w:r>
            <w:r w:rsidRPr="00A07B7F">
              <w:rPr>
                <w:rFonts w:eastAsia="Times New Roman"/>
                <w:bCs/>
                <w:color w:val="000000"/>
                <w:sz w:val="20"/>
                <w:szCs w:val="20"/>
              </w:rPr>
              <w:t xml:space="preserve">                          </w:t>
            </w:r>
          </w:p>
        </w:tc>
        <w:tc>
          <w:tcPr>
            <w:tcW w:w="1034" w:type="pct"/>
            <w:tcBorders>
              <w:top w:val="nil"/>
              <w:left w:val="nil"/>
              <w:bottom w:val="nil"/>
              <w:right w:val="nil"/>
            </w:tcBorders>
            <w:shd w:val="clear" w:color="auto" w:fill="FFFFFF"/>
            <w:tcMar>
              <w:left w:w="67" w:type="dxa"/>
              <w:right w:w="67" w:type="dxa"/>
            </w:tcMar>
          </w:tcPr>
          <w:p w14:paraId="4EC4FAE9" w14:textId="0E336F67" w:rsidR="009F26C5" w:rsidRPr="00A07B7F" w:rsidRDefault="009F26C5" w:rsidP="0052463D">
            <w:pPr>
              <w:keepNext/>
              <w:spacing w:after="0" w:line="240" w:lineRule="auto"/>
              <w:jc w:val="right"/>
              <w:rPr>
                <w:rFonts w:eastAsia="Times New Roman"/>
                <w:b/>
                <w:color w:val="000000"/>
                <w:sz w:val="20"/>
                <w:szCs w:val="20"/>
              </w:rPr>
            </w:pPr>
            <w:r w:rsidRPr="00A07B7F">
              <w:rPr>
                <w:rFonts w:eastAsia="Times New Roman"/>
                <w:b/>
                <w:color w:val="000000"/>
                <w:sz w:val="20"/>
                <w:szCs w:val="20"/>
              </w:rPr>
              <w:t>4 (1.</w:t>
            </w:r>
            <w:r w:rsidR="0052463D">
              <w:rPr>
                <w:rFonts w:eastAsia="Times New Roman"/>
                <w:b/>
                <w:color w:val="000000"/>
                <w:sz w:val="20"/>
                <w:szCs w:val="20"/>
              </w:rPr>
              <w:t>3</w:t>
            </w:r>
            <w:r w:rsidRPr="00A07B7F">
              <w:rPr>
                <w:rFonts w:eastAsia="Times New Roman"/>
                <w:b/>
                <w:color w:val="000000"/>
                <w:sz w:val="20"/>
                <w:szCs w:val="20"/>
              </w:rPr>
              <w:t>%)</w:t>
            </w:r>
          </w:p>
        </w:tc>
        <w:tc>
          <w:tcPr>
            <w:tcW w:w="983" w:type="pct"/>
            <w:tcBorders>
              <w:top w:val="nil"/>
              <w:left w:val="nil"/>
              <w:bottom w:val="nil"/>
              <w:right w:val="nil"/>
            </w:tcBorders>
            <w:shd w:val="clear" w:color="auto" w:fill="FFFFFF"/>
            <w:tcMar>
              <w:left w:w="67" w:type="dxa"/>
              <w:right w:w="67" w:type="dxa"/>
            </w:tcMar>
          </w:tcPr>
          <w:p w14:paraId="75DA9F9F" w14:textId="119D85CE" w:rsidR="009F26C5" w:rsidRPr="00A07B7F" w:rsidRDefault="009F26C5" w:rsidP="0052463D">
            <w:pPr>
              <w:keepNext/>
              <w:spacing w:after="0" w:line="240" w:lineRule="auto"/>
              <w:jc w:val="right"/>
              <w:rPr>
                <w:rFonts w:eastAsia="Times New Roman"/>
                <w:b/>
                <w:color w:val="000000"/>
                <w:sz w:val="20"/>
                <w:szCs w:val="20"/>
              </w:rPr>
            </w:pPr>
            <w:r w:rsidRPr="00A07B7F">
              <w:rPr>
                <w:rFonts w:eastAsia="Times New Roman"/>
                <w:b/>
                <w:color w:val="000000"/>
                <w:sz w:val="20"/>
                <w:szCs w:val="20"/>
              </w:rPr>
              <w:t>2 (0.</w:t>
            </w:r>
            <w:r w:rsidR="0052463D">
              <w:rPr>
                <w:rFonts w:eastAsia="Times New Roman"/>
                <w:b/>
                <w:color w:val="000000"/>
                <w:sz w:val="20"/>
                <w:szCs w:val="20"/>
              </w:rPr>
              <w:t>5</w:t>
            </w:r>
            <w:r w:rsidRPr="00A07B7F">
              <w:rPr>
                <w:rFonts w:eastAsia="Times New Roman"/>
                <w:b/>
                <w:color w:val="000000"/>
                <w:sz w:val="20"/>
                <w:szCs w:val="20"/>
              </w:rPr>
              <w:t>%)</w:t>
            </w:r>
          </w:p>
        </w:tc>
        <w:tc>
          <w:tcPr>
            <w:tcW w:w="1051" w:type="pct"/>
            <w:tcBorders>
              <w:top w:val="nil"/>
              <w:left w:val="nil"/>
              <w:bottom w:val="nil"/>
            </w:tcBorders>
            <w:shd w:val="clear" w:color="auto" w:fill="FFFFFF"/>
            <w:tcMar>
              <w:left w:w="67" w:type="dxa"/>
              <w:right w:w="67" w:type="dxa"/>
            </w:tcMar>
          </w:tcPr>
          <w:p w14:paraId="5F2A94F0" w14:textId="552C131E" w:rsidR="009F26C5" w:rsidRPr="00A07B7F" w:rsidRDefault="009F26C5" w:rsidP="0052463D">
            <w:pPr>
              <w:keepNext/>
              <w:spacing w:after="0" w:line="240" w:lineRule="auto"/>
              <w:jc w:val="right"/>
              <w:rPr>
                <w:rFonts w:eastAsia="Times New Roman"/>
                <w:b/>
                <w:color w:val="000000"/>
                <w:sz w:val="20"/>
                <w:szCs w:val="20"/>
              </w:rPr>
            </w:pPr>
            <w:r w:rsidRPr="00A07B7F">
              <w:rPr>
                <w:rFonts w:eastAsia="Times New Roman"/>
                <w:b/>
                <w:color w:val="000000"/>
                <w:sz w:val="20"/>
                <w:szCs w:val="20"/>
              </w:rPr>
              <w:t>6 (</w:t>
            </w:r>
            <w:r w:rsidR="0052463D">
              <w:rPr>
                <w:rFonts w:eastAsia="Times New Roman"/>
                <w:b/>
                <w:color w:val="000000"/>
                <w:sz w:val="20"/>
                <w:szCs w:val="20"/>
              </w:rPr>
              <w:t>0</w:t>
            </w:r>
            <w:r w:rsidRPr="00A07B7F">
              <w:rPr>
                <w:rFonts w:eastAsia="Times New Roman"/>
                <w:b/>
                <w:color w:val="000000"/>
                <w:sz w:val="20"/>
                <w:szCs w:val="20"/>
              </w:rPr>
              <w:t>.</w:t>
            </w:r>
            <w:r w:rsidR="0052463D">
              <w:rPr>
                <w:rFonts w:eastAsia="Times New Roman"/>
                <w:b/>
                <w:color w:val="000000"/>
                <w:sz w:val="20"/>
                <w:szCs w:val="20"/>
              </w:rPr>
              <w:t>8</w:t>
            </w:r>
            <w:r w:rsidRPr="00A07B7F">
              <w:rPr>
                <w:rFonts w:eastAsia="Times New Roman"/>
                <w:b/>
                <w:color w:val="000000"/>
                <w:sz w:val="20"/>
                <w:szCs w:val="20"/>
              </w:rPr>
              <w:t>%)</w:t>
            </w:r>
          </w:p>
        </w:tc>
      </w:tr>
      <w:tr w:rsidR="009F26C5" w:rsidRPr="00563AD3" w14:paraId="5F5FD29A" w14:textId="77777777" w:rsidTr="00DE6B62">
        <w:trPr>
          <w:cantSplit/>
          <w:jc w:val="center"/>
        </w:trPr>
        <w:tc>
          <w:tcPr>
            <w:tcW w:w="1932" w:type="pct"/>
            <w:tcBorders>
              <w:top w:val="nil"/>
              <w:bottom w:val="nil"/>
              <w:right w:val="nil"/>
            </w:tcBorders>
            <w:shd w:val="clear" w:color="auto" w:fill="FFFFFF"/>
            <w:tcMar>
              <w:left w:w="67" w:type="dxa"/>
              <w:right w:w="67" w:type="dxa"/>
            </w:tcMar>
          </w:tcPr>
          <w:p w14:paraId="539544C2" w14:textId="77777777" w:rsidR="009F26C5" w:rsidRPr="00A07B7F" w:rsidRDefault="009F26C5" w:rsidP="009F26C5">
            <w:pPr>
              <w:keepNext/>
              <w:spacing w:after="0" w:line="240" w:lineRule="auto"/>
              <w:rPr>
                <w:rFonts w:eastAsia="Times New Roman"/>
                <w:color w:val="000000"/>
                <w:sz w:val="20"/>
                <w:szCs w:val="20"/>
              </w:rPr>
            </w:pPr>
            <w:r w:rsidRPr="00A07B7F">
              <w:rPr>
                <w:rFonts w:eastAsia="Times New Roman"/>
                <w:bCs/>
                <w:color w:val="000000"/>
                <w:sz w:val="20"/>
                <w:szCs w:val="20"/>
              </w:rPr>
              <w:t>Non-benzodiazepine hypnotic</w:t>
            </w:r>
          </w:p>
        </w:tc>
        <w:tc>
          <w:tcPr>
            <w:tcW w:w="1034" w:type="pct"/>
            <w:tcBorders>
              <w:top w:val="nil"/>
              <w:left w:val="nil"/>
              <w:bottom w:val="nil"/>
              <w:right w:val="nil"/>
            </w:tcBorders>
            <w:shd w:val="clear" w:color="auto" w:fill="FFFFFF"/>
            <w:tcMar>
              <w:left w:w="67" w:type="dxa"/>
              <w:right w:w="67" w:type="dxa"/>
            </w:tcMar>
          </w:tcPr>
          <w:p w14:paraId="207BB11A" w14:textId="66996258" w:rsidR="009F26C5" w:rsidRPr="00A07B7F" w:rsidRDefault="00A07B7F" w:rsidP="0052463D">
            <w:pPr>
              <w:keepNext/>
              <w:spacing w:after="0" w:line="240" w:lineRule="auto"/>
              <w:jc w:val="right"/>
              <w:rPr>
                <w:rFonts w:eastAsia="Times New Roman"/>
                <w:color w:val="000000"/>
                <w:sz w:val="20"/>
                <w:szCs w:val="20"/>
              </w:rPr>
            </w:pPr>
            <w:r>
              <w:rPr>
                <w:rFonts w:eastAsia="Times New Roman"/>
                <w:color w:val="000000"/>
                <w:sz w:val="20"/>
                <w:szCs w:val="20"/>
              </w:rPr>
              <w:t>1</w:t>
            </w:r>
            <w:r w:rsidR="009F26C5" w:rsidRPr="00A07B7F">
              <w:rPr>
                <w:rFonts w:eastAsia="Times New Roman"/>
                <w:color w:val="000000"/>
                <w:sz w:val="20"/>
                <w:szCs w:val="20"/>
              </w:rPr>
              <w:t xml:space="preserve"> (0.</w:t>
            </w:r>
            <w:r w:rsidR="00E32FBA">
              <w:rPr>
                <w:rFonts w:eastAsia="Times New Roman"/>
                <w:color w:val="000000"/>
                <w:sz w:val="20"/>
                <w:szCs w:val="20"/>
              </w:rPr>
              <w:t>3</w:t>
            </w:r>
            <w:r w:rsidR="009F26C5" w:rsidRPr="00A07B7F">
              <w:rPr>
                <w:rFonts w:eastAsia="Times New Roman"/>
                <w:color w:val="000000"/>
                <w:sz w:val="20"/>
                <w:szCs w:val="20"/>
              </w:rPr>
              <w:t>%)</w:t>
            </w:r>
          </w:p>
        </w:tc>
        <w:tc>
          <w:tcPr>
            <w:tcW w:w="983" w:type="pct"/>
            <w:tcBorders>
              <w:top w:val="nil"/>
              <w:left w:val="nil"/>
              <w:bottom w:val="nil"/>
              <w:right w:val="nil"/>
            </w:tcBorders>
            <w:shd w:val="clear" w:color="auto" w:fill="FFFFFF"/>
            <w:tcMar>
              <w:left w:w="67" w:type="dxa"/>
              <w:right w:w="67" w:type="dxa"/>
            </w:tcMar>
          </w:tcPr>
          <w:p w14:paraId="4445F821" w14:textId="3BBEE25D" w:rsidR="009F26C5" w:rsidRPr="00571DFD" w:rsidRDefault="009F26C5" w:rsidP="0052463D">
            <w:pPr>
              <w:keepNext/>
              <w:spacing w:after="0" w:line="240" w:lineRule="auto"/>
              <w:jc w:val="right"/>
              <w:rPr>
                <w:rFonts w:eastAsia="Times New Roman"/>
                <w:color w:val="000000"/>
                <w:sz w:val="20"/>
                <w:szCs w:val="20"/>
              </w:rPr>
            </w:pPr>
            <w:r w:rsidRPr="00571DFD">
              <w:rPr>
                <w:rFonts w:eastAsia="Times New Roman"/>
                <w:color w:val="000000"/>
                <w:sz w:val="20"/>
                <w:szCs w:val="20"/>
              </w:rPr>
              <w:t>3 (0.</w:t>
            </w:r>
            <w:r w:rsidR="00E32FBA">
              <w:rPr>
                <w:rFonts w:eastAsia="Times New Roman"/>
                <w:color w:val="000000"/>
                <w:sz w:val="20"/>
                <w:szCs w:val="20"/>
              </w:rPr>
              <w:t>7</w:t>
            </w:r>
            <w:r w:rsidRPr="00571DFD">
              <w:rPr>
                <w:rFonts w:eastAsia="Times New Roman"/>
                <w:color w:val="000000"/>
                <w:sz w:val="20"/>
                <w:szCs w:val="20"/>
              </w:rPr>
              <w:t>%)</w:t>
            </w:r>
          </w:p>
        </w:tc>
        <w:tc>
          <w:tcPr>
            <w:tcW w:w="1051" w:type="pct"/>
            <w:tcBorders>
              <w:top w:val="nil"/>
              <w:left w:val="nil"/>
              <w:bottom w:val="nil"/>
            </w:tcBorders>
            <w:shd w:val="clear" w:color="auto" w:fill="FFFFFF"/>
            <w:tcMar>
              <w:left w:w="67" w:type="dxa"/>
              <w:right w:w="67" w:type="dxa"/>
            </w:tcMar>
          </w:tcPr>
          <w:p w14:paraId="4B4CE0FB" w14:textId="4DCB3389" w:rsidR="009F26C5" w:rsidRPr="00A07B7F" w:rsidRDefault="00A07B7F" w:rsidP="0052463D">
            <w:pPr>
              <w:keepNext/>
              <w:spacing w:after="0" w:line="240" w:lineRule="auto"/>
              <w:jc w:val="right"/>
              <w:rPr>
                <w:rFonts w:eastAsia="Times New Roman"/>
                <w:color w:val="000000"/>
                <w:sz w:val="20"/>
                <w:szCs w:val="20"/>
              </w:rPr>
            </w:pPr>
            <w:r>
              <w:rPr>
                <w:rFonts w:eastAsia="Times New Roman"/>
                <w:color w:val="000000"/>
                <w:sz w:val="20"/>
                <w:szCs w:val="20"/>
              </w:rPr>
              <w:t>4</w:t>
            </w:r>
            <w:r w:rsidR="009F26C5" w:rsidRPr="00A07B7F">
              <w:rPr>
                <w:rFonts w:eastAsia="Times New Roman"/>
                <w:color w:val="000000"/>
                <w:sz w:val="20"/>
                <w:szCs w:val="20"/>
              </w:rPr>
              <w:t xml:space="preserve"> (0.</w:t>
            </w:r>
            <w:r w:rsidR="00E32FBA">
              <w:rPr>
                <w:rFonts w:eastAsia="Times New Roman"/>
                <w:color w:val="000000"/>
                <w:sz w:val="20"/>
                <w:szCs w:val="20"/>
              </w:rPr>
              <w:t>6</w:t>
            </w:r>
            <w:r w:rsidR="009F26C5" w:rsidRPr="00A07B7F">
              <w:rPr>
                <w:rFonts w:eastAsia="Times New Roman"/>
                <w:color w:val="000000"/>
                <w:sz w:val="20"/>
                <w:szCs w:val="20"/>
              </w:rPr>
              <w:t>%)</w:t>
            </w:r>
          </w:p>
        </w:tc>
      </w:tr>
      <w:tr w:rsidR="009F26C5" w:rsidRPr="00563AD3" w14:paraId="640DD5DC" w14:textId="77777777" w:rsidTr="00DE6B62">
        <w:trPr>
          <w:cantSplit/>
          <w:jc w:val="center"/>
        </w:trPr>
        <w:tc>
          <w:tcPr>
            <w:tcW w:w="1932" w:type="pct"/>
            <w:tcBorders>
              <w:top w:val="nil"/>
              <w:bottom w:val="nil"/>
              <w:right w:val="nil"/>
            </w:tcBorders>
            <w:shd w:val="clear" w:color="auto" w:fill="FFFFFF"/>
            <w:tcMar>
              <w:left w:w="67" w:type="dxa"/>
              <w:right w:w="67" w:type="dxa"/>
            </w:tcMar>
          </w:tcPr>
          <w:p w14:paraId="7A1F3A7B" w14:textId="0784E251" w:rsidR="009F26C5" w:rsidRPr="00A07B7F" w:rsidRDefault="009F26C5" w:rsidP="009F26C5">
            <w:pPr>
              <w:keepNext/>
              <w:spacing w:after="0" w:line="240" w:lineRule="auto"/>
              <w:rPr>
                <w:rFonts w:eastAsia="Times New Roman"/>
                <w:color w:val="000000"/>
                <w:sz w:val="20"/>
                <w:szCs w:val="20"/>
              </w:rPr>
            </w:pPr>
          </w:p>
        </w:tc>
        <w:tc>
          <w:tcPr>
            <w:tcW w:w="1034" w:type="pct"/>
            <w:tcBorders>
              <w:top w:val="nil"/>
              <w:left w:val="nil"/>
              <w:bottom w:val="nil"/>
              <w:right w:val="nil"/>
            </w:tcBorders>
            <w:shd w:val="clear" w:color="auto" w:fill="FFFFFF"/>
            <w:tcMar>
              <w:left w:w="67" w:type="dxa"/>
              <w:right w:w="67" w:type="dxa"/>
            </w:tcMar>
          </w:tcPr>
          <w:p w14:paraId="1B13670A" w14:textId="4509559D" w:rsidR="009F26C5" w:rsidRPr="00A07B7F" w:rsidRDefault="009F26C5" w:rsidP="0052463D">
            <w:pPr>
              <w:keepNext/>
              <w:tabs>
                <w:tab w:val="left" w:pos="1500"/>
              </w:tabs>
              <w:spacing w:after="0" w:line="240" w:lineRule="auto"/>
              <w:jc w:val="right"/>
              <w:rPr>
                <w:rFonts w:eastAsia="Times New Roman"/>
                <w:color w:val="000000"/>
                <w:sz w:val="20"/>
                <w:szCs w:val="20"/>
              </w:rPr>
            </w:pPr>
          </w:p>
        </w:tc>
        <w:tc>
          <w:tcPr>
            <w:tcW w:w="983" w:type="pct"/>
            <w:tcBorders>
              <w:top w:val="nil"/>
              <w:left w:val="nil"/>
              <w:bottom w:val="nil"/>
              <w:right w:val="nil"/>
            </w:tcBorders>
            <w:shd w:val="clear" w:color="auto" w:fill="FFFFFF"/>
            <w:tcMar>
              <w:left w:w="67" w:type="dxa"/>
              <w:right w:w="67" w:type="dxa"/>
            </w:tcMar>
          </w:tcPr>
          <w:p w14:paraId="5264A2E7" w14:textId="62B3E949" w:rsidR="009F26C5" w:rsidRPr="00571DFD" w:rsidRDefault="009F26C5" w:rsidP="0052463D">
            <w:pPr>
              <w:keepNext/>
              <w:spacing w:after="0" w:line="240" w:lineRule="auto"/>
              <w:jc w:val="right"/>
              <w:rPr>
                <w:rFonts w:eastAsia="Times New Roman"/>
                <w:color w:val="000000"/>
                <w:sz w:val="20"/>
                <w:szCs w:val="20"/>
              </w:rPr>
            </w:pPr>
          </w:p>
        </w:tc>
        <w:tc>
          <w:tcPr>
            <w:tcW w:w="1051" w:type="pct"/>
            <w:tcBorders>
              <w:top w:val="nil"/>
              <w:left w:val="nil"/>
              <w:bottom w:val="nil"/>
            </w:tcBorders>
            <w:shd w:val="clear" w:color="auto" w:fill="FFFFFF"/>
            <w:tcMar>
              <w:left w:w="67" w:type="dxa"/>
              <w:right w:w="67" w:type="dxa"/>
            </w:tcMar>
          </w:tcPr>
          <w:p w14:paraId="79CA6190" w14:textId="10A54785" w:rsidR="009F26C5" w:rsidRPr="00A07B7F" w:rsidRDefault="009F26C5" w:rsidP="0052463D">
            <w:pPr>
              <w:keepNext/>
              <w:spacing w:after="0" w:line="240" w:lineRule="auto"/>
              <w:jc w:val="right"/>
              <w:rPr>
                <w:rFonts w:eastAsia="Times New Roman"/>
                <w:color w:val="000000"/>
                <w:sz w:val="20"/>
                <w:szCs w:val="20"/>
              </w:rPr>
            </w:pPr>
          </w:p>
        </w:tc>
      </w:tr>
      <w:tr w:rsidR="009F26C5" w:rsidRPr="00563AD3" w14:paraId="00FA5474" w14:textId="77777777" w:rsidTr="00DE6B62">
        <w:trPr>
          <w:cantSplit/>
          <w:jc w:val="center"/>
        </w:trPr>
        <w:tc>
          <w:tcPr>
            <w:tcW w:w="1932" w:type="pct"/>
            <w:tcBorders>
              <w:top w:val="nil"/>
              <w:bottom w:val="nil"/>
              <w:right w:val="nil"/>
            </w:tcBorders>
            <w:shd w:val="clear" w:color="auto" w:fill="FFFFFF"/>
            <w:tcMar>
              <w:left w:w="67" w:type="dxa"/>
              <w:right w:w="67" w:type="dxa"/>
            </w:tcMar>
          </w:tcPr>
          <w:p w14:paraId="01D23F34" w14:textId="2FB570EA" w:rsidR="009F26C5" w:rsidRPr="00A07B7F" w:rsidRDefault="009F26C5" w:rsidP="009F26C5">
            <w:pPr>
              <w:keepNext/>
              <w:spacing w:after="0" w:line="240" w:lineRule="auto"/>
              <w:rPr>
                <w:rFonts w:eastAsia="Times New Roman"/>
                <w:color w:val="000000"/>
                <w:sz w:val="20"/>
                <w:szCs w:val="20"/>
              </w:rPr>
            </w:pPr>
          </w:p>
        </w:tc>
        <w:tc>
          <w:tcPr>
            <w:tcW w:w="1034" w:type="pct"/>
            <w:tcBorders>
              <w:top w:val="nil"/>
              <w:left w:val="nil"/>
              <w:bottom w:val="nil"/>
              <w:right w:val="nil"/>
            </w:tcBorders>
            <w:shd w:val="clear" w:color="auto" w:fill="FFFFFF"/>
            <w:tcMar>
              <w:left w:w="67" w:type="dxa"/>
              <w:right w:w="67" w:type="dxa"/>
            </w:tcMar>
          </w:tcPr>
          <w:p w14:paraId="79CF5F0A" w14:textId="666D2EB7" w:rsidR="009F26C5" w:rsidRPr="00A07B7F" w:rsidRDefault="009F26C5" w:rsidP="0052463D">
            <w:pPr>
              <w:keepNext/>
              <w:spacing w:after="0" w:line="240" w:lineRule="auto"/>
              <w:jc w:val="right"/>
              <w:rPr>
                <w:rFonts w:eastAsia="Times New Roman"/>
                <w:color w:val="000000"/>
                <w:sz w:val="20"/>
                <w:szCs w:val="20"/>
              </w:rPr>
            </w:pPr>
          </w:p>
        </w:tc>
        <w:tc>
          <w:tcPr>
            <w:tcW w:w="983" w:type="pct"/>
            <w:tcBorders>
              <w:top w:val="nil"/>
              <w:left w:val="nil"/>
              <w:bottom w:val="nil"/>
              <w:right w:val="nil"/>
            </w:tcBorders>
            <w:shd w:val="clear" w:color="auto" w:fill="FFFFFF"/>
            <w:tcMar>
              <w:left w:w="67" w:type="dxa"/>
              <w:right w:w="67" w:type="dxa"/>
            </w:tcMar>
          </w:tcPr>
          <w:p w14:paraId="237E08D5" w14:textId="4F2920CB" w:rsidR="009F26C5" w:rsidRPr="00571DFD" w:rsidRDefault="009F26C5" w:rsidP="0052463D">
            <w:pPr>
              <w:keepNext/>
              <w:spacing w:after="0" w:line="240" w:lineRule="auto"/>
              <w:jc w:val="right"/>
              <w:rPr>
                <w:rFonts w:eastAsia="Times New Roman"/>
                <w:color w:val="000000"/>
                <w:sz w:val="20"/>
                <w:szCs w:val="20"/>
              </w:rPr>
            </w:pPr>
          </w:p>
        </w:tc>
        <w:tc>
          <w:tcPr>
            <w:tcW w:w="1051" w:type="pct"/>
            <w:tcBorders>
              <w:top w:val="nil"/>
              <w:left w:val="nil"/>
              <w:bottom w:val="nil"/>
            </w:tcBorders>
            <w:shd w:val="clear" w:color="auto" w:fill="FFFFFF"/>
            <w:tcMar>
              <w:left w:w="67" w:type="dxa"/>
              <w:right w:w="67" w:type="dxa"/>
            </w:tcMar>
          </w:tcPr>
          <w:p w14:paraId="3525AA12" w14:textId="2677D70D" w:rsidR="009F26C5" w:rsidRPr="00BF49C1" w:rsidRDefault="009F26C5" w:rsidP="0052463D">
            <w:pPr>
              <w:keepNext/>
              <w:spacing w:after="0" w:line="240" w:lineRule="auto"/>
              <w:jc w:val="right"/>
              <w:rPr>
                <w:rFonts w:eastAsia="Times New Roman"/>
                <w:color w:val="000000"/>
                <w:sz w:val="20"/>
                <w:szCs w:val="20"/>
              </w:rPr>
            </w:pPr>
          </w:p>
        </w:tc>
      </w:tr>
      <w:tr w:rsidR="009F26C5" w:rsidRPr="00563AD3" w14:paraId="05276A73" w14:textId="77777777" w:rsidTr="00DE6B62">
        <w:trPr>
          <w:cantSplit/>
          <w:jc w:val="center"/>
        </w:trPr>
        <w:tc>
          <w:tcPr>
            <w:tcW w:w="1932" w:type="pct"/>
            <w:tcBorders>
              <w:top w:val="nil"/>
              <w:right w:val="nil"/>
            </w:tcBorders>
            <w:shd w:val="clear" w:color="auto" w:fill="FFFFFF"/>
            <w:tcMar>
              <w:left w:w="67" w:type="dxa"/>
              <w:right w:w="67" w:type="dxa"/>
            </w:tcMar>
          </w:tcPr>
          <w:p w14:paraId="1E868670" w14:textId="77777777" w:rsidR="009F26C5" w:rsidRPr="00A07B7F" w:rsidRDefault="009F26C5" w:rsidP="009F26C5">
            <w:pPr>
              <w:keepNext/>
              <w:spacing w:after="0" w:line="240" w:lineRule="auto"/>
              <w:rPr>
                <w:rFonts w:eastAsia="Times New Roman"/>
                <w:color w:val="000000"/>
                <w:sz w:val="20"/>
                <w:szCs w:val="20"/>
              </w:rPr>
            </w:pPr>
            <w:r w:rsidRPr="00A07B7F">
              <w:rPr>
                <w:rFonts w:eastAsia="Times New Roman"/>
                <w:bCs/>
                <w:color w:val="000000"/>
                <w:sz w:val="20"/>
                <w:szCs w:val="20"/>
              </w:rPr>
              <w:t>Pain relief</w:t>
            </w:r>
          </w:p>
        </w:tc>
        <w:tc>
          <w:tcPr>
            <w:tcW w:w="1034" w:type="pct"/>
            <w:tcBorders>
              <w:top w:val="nil"/>
              <w:left w:val="nil"/>
              <w:right w:val="nil"/>
            </w:tcBorders>
            <w:shd w:val="clear" w:color="auto" w:fill="FFFFFF"/>
            <w:tcMar>
              <w:left w:w="67" w:type="dxa"/>
              <w:right w:w="67" w:type="dxa"/>
            </w:tcMar>
          </w:tcPr>
          <w:p w14:paraId="29E0352E" w14:textId="29F6E0EB" w:rsidR="009F26C5" w:rsidRPr="00A07B7F" w:rsidRDefault="00BF49C1" w:rsidP="0052463D">
            <w:pPr>
              <w:keepNext/>
              <w:spacing w:after="0" w:line="240" w:lineRule="auto"/>
              <w:jc w:val="right"/>
              <w:rPr>
                <w:rFonts w:eastAsia="Times New Roman"/>
                <w:color w:val="000000"/>
                <w:sz w:val="20"/>
                <w:szCs w:val="20"/>
              </w:rPr>
            </w:pPr>
            <w:r>
              <w:rPr>
                <w:rFonts w:eastAsia="Times New Roman"/>
                <w:color w:val="000000"/>
                <w:sz w:val="20"/>
                <w:szCs w:val="20"/>
              </w:rPr>
              <w:t>89</w:t>
            </w:r>
            <w:r w:rsidR="009F26C5" w:rsidRPr="00A07B7F">
              <w:rPr>
                <w:rFonts w:eastAsia="Times New Roman"/>
                <w:color w:val="000000"/>
                <w:sz w:val="20"/>
                <w:szCs w:val="20"/>
              </w:rPr>
              <w:t xml:space="preserve"> (</w:t>
            </w:r>
            <w:r w:rsidR="00E32FBA">
              <w:rPr>
                <w:rFonts w:eastAsia="Times New Roman"/>
                <w:color w:val="000000"/>
                <w:sz w:val="20"/>
                <w:szCs w:val="20"/>
              </w:rPr>
              <w:t>2</w:t>
            </w:r>
            <w:r w:rsidR="009F26C5" w:rsidRPr="00A07B7F">
              <w:rPr>
                <w:rFonts w:eastAsia="Times New Roman"/>
                <w:color w:val="000000"/>
                <w:sz w:val="20"/>
                <w:szCs w:val="20"/>
              </w:rPr>
              <w:t>8.</w:t>
            </w:r>
            <w:r w:rsidR="00E32FBA">
              <w:rPr>
                <w:rFonts w:eastAsia="Times New Roman"/>
                <w:color w:val="000000"/>
                <w:sz w:val="20"/>
                <w:szCs w:val="20"/>
              </w:rPr>
              <w:t>9</w:t>
            </w:r>
            <w:r w:rsidR="009F26C5" w:rsidRPr="00A07B7F">
              <w:rPr>
                <w:rFonts w:eastAsia="Times New Roman"/>
                <w:color w:val="000000"/>
                <w:sz w:val="20"/>
                <w:szCs w:val="20"/>
              </w:rPr>
              <w:t xml:space="preserve">%) </w:t>
            </w:r>
          </w:p>
        </w:tc>
        <w:tc>
          <w:tcPr>
            <w:tcW w:w="983" w:type="pct"/>
            <w:tcBorders>
              <w:top w:val="nil"/>
              <w:left w:val="nil"/>
              <w:right w:val="nil"/>
            </w:tcBorders>
            <w:shd w:val="clear" w:color="auto" w:fill="FFFFFF"/>
            <w:tcMar>
              <w:left w:w="67" w:type="dxa"/>
              <w:right w:w="67" w:type="dxa"/>
            </w:tcMar>
          </w:tcPr>
          <w:p w14:paraId="1964F76C" w14:textId="24BC204A" w:rsidR="009F26C5" w:rsidRPr="00571DFD" w:rsidRDefault="009F26C5" w:rsidP="0052463D">
            <w:pPr>
              <w:keepNext/>
              <w:spacing w:after="0" w:line="240" w:lineRule="auto"/>
              <w:jc w:val="right"/>
              <w:rPr>
                <w:rFonts w:eastAsia="Times New Roman"/>
                <w:color w:val="000000"/>
                <w:sz w:val="20"/>
                <w:szCs w:val="20"/>
              </w:rPr>
            </w:pPr>
            <w:r w:rsidRPr="00571DFD">
              <w:rPr>
                <w:rFonts w:eastAsia="Times New Roman"/>
                <w:color w:val="000000"/>
                <w:sz w:val="20"/>
                <w:szCs w:val="20"/>
              </w:rPr>
              <w:t>132 (3</w:t>
            </w:r>
            <w:r w:rsidR="00E32FBA">
              <w:rPr>
                <w:rFonts w:eastAsia="Times New Roman"/>
                <w:color w:val="000000"/>
                <w:sz w:val="20"/>
                <w:szCs w:val="20"/>
              </w:rPr>
              <w:t>1</w:t>
            </w:r>
            <w:r w:rsidRPr="00571DFD">
              <w:rPr>
                <w:rFonts w:eastAsia="Times New Roman"/>
                <w:color w:val="000000"/>
                <w:sz w:val="20"/>
                <w:szCs w:val="20"/>
              </w:rPr>
              <w:t>.</w:t>
            </w:r>
            <w:r w:rsidR="00E32FBA">
              <w:rPr>
                <w:rFonts w:eastAsia="Times New Roman"/>
                <w:color w:val="000000"/>
                <w:sz w:val="20"/>
                <w:szCs w:val="20"/>
              </w:rPr>
              <w:t>6</w:t>
            </w:r>
            <w:r w:rsidRPr="00571DFD">
              <w:rPr>
                <w:rFonts w:eastAsia="Times New Roman"/>
                <w:color w:val="000000"/>
                <w:sz w:val="20"/>
                <w:szCs w:val="20"/>
              </w:rPr>
              <w:t xml:space="preserve">%) </w:t>
            </w:r>
          </w:p>
        </w:tc>
        <w:tc>
          <w:tcPr>
            <w:tcW w:w="1051" w:type="pct"/>
            <w:tcBorders>
              <w:top w:val="nil"/>
              <w:left w:val="nil"/>
            </w:tcBorders>
            <w:shd w:val="clear" w:color="auto" w:fill="FFFFFF"/>
            <w:tcMar>
              <w:left w:w="67" w:type="dxa"/>
              <w:right w:w="67" w:type="dxa"/>
            </w:tcMar>
          </w:tcPr>
          <w:p w14:paraId="5174B3ED" w14:textId="678679F0" w:rsidR="009F26C5" w:rsidRPr="00BF49C1" w:rsidRDefault="009F26C5" w:rsidP="0052463D">
            <w:pPr>
              <w:keepNext/>
              <w:spacing w:after="0" w:line="240" w:lineRule="auto"/>
              <w:jc w:val="right"/>
              <w:rPr>
                <w:rFonts w:eastAsia="Times New Roman"/>
                <w:color w:val="000000"/>
                <w:sz w:val="20"/>
                <w:szCs w:val="20"/>
              </w:rPr>
            </w:pPr>
            <w:r w:rsidRPr="0052463D">
              <w:rPr>
                <w:rFonts w:eastAsia="Times New Roman"/>
                <w:color w:val="000000"/>
                <w:sz w:val="20"/>
                <w:szCs w:val="20"/>
              </w:rPr>
              <w:t>22</w:t>
            </w:r>
            <w:r w:rsidR="00BF49C1">
              <w:rPr>
                <w:rFonts w:eastAsia="Times New Roman"/>
                <w:color w:val="000000"/>
                <w:sz w:val="20"/>
                <w:szCs w:val="20"/>
              </w:rPr>
              <w:t>1</w:t>
            </w:r>
            <w:r w:rsidRPr="00BF49C1">
              <w:rPr>
                <w:rFonts w:eastAsia="Times New Roman"/>
                <w:color w:val="000000"/>
                <w:sz w:val="20"/>
                <w:szCs w:val="20"/>
              </w:rPr>
              <w:t xml:space="preserve"> (3</w:t>
            </w:r>
            <w:r w:rsidR="00E32FBA">
              <w:rPr>
                <w:rFonts w:eastAsia="Times New Roman"/>
                <w:color w:val="000000"/>
                <w:sz w:val="20"/>
                <w:szCs w:val="20"/>
              </w:rPr>
              <w:t>0</w:t>
            </w:r>
            <w:r w:rsidRPr="00BF49C1">
              <w:rPr>
                <w:rFonts w:eastAsia="Times New Roman"/>
                <w:color w:val="000000"/>
                <w:sz w:val="20"/>
                <w:szCs w:val="20"/>
              </w:rPr>
              <w:t>.</w:t>
            </w:r>
            <w:r w:rsidR="00E32FBA">
              <w:rPr>
                <w:rFonts w:eastAsia="Times New Roman"/>
                <w:color w:val="000000"/>
                <w:sz w:val="20"/>
                <w:szCs w:val="20"/>
              </w:rPr>
              <w:t>4</w:t>
            </w:r>
            <w:r w:rsidRPr="00BF49C1">
              <w:rPr>
                <w:rFonts w:eastAsia="Times New Roman"/>
                <w:color w:val="000000"/>
                <w:sz w:val="20"/>
                <w:szCs w:val="20"/>
              </w:rPr>
              <w:t xml:space="preserve">%) </w:t>
            </w:r>
          </w:p>
        </w:tc>
      </w:tr>
      <w:tr w:rsidR="009F26C5" w:rsidRPr="00563AD3" w14:paraId="1229F024" w14:textId="77777777" w:rsidTr="00DE6B62">
        <w:trPr>
          <w:cantSplit/>
          <w:jc w:val="center"/>
        </w:trPr>
        <w:tc>
          <w:tcPr>
            <w:tcW w:w="1932" w:type="pct"/>
            <w:tcBorders>
              <w:top w:val="single" w:sz="4" w:space="0" w:color="auto"/>
              <w:bottom w:val="nil"/>
              <w:right w:val="nil"/>
            </w:tcBorders>
            <w:shd w:val="clear" w:color="auto" w:fill="FFFFFF"/>
            <w:tcMar>
              <w:left w:w="67" w:type="dxa"/>
              <w:right w:w="67" w:type="dxa"/>
            </w:tcMar>
          </w:tcPr>
          <w:p w14:paraId="542B6364" w14:textId="77777777" w:rsidR="009F26C5" w:rsidRPr="00A07B7F" w:rsidRDefault="009F26C5" w:rsidP="009F26C5">
            <w:pPr>
              <w:keepNext/>
              <w:spacing w:after="0" w:line="240" w:lineRule="auto"/>
              <w:rPr>
                <w:rFonts w:eastAsia="Times New Roman"/>
                <w:color w:val="000000"/>
                <w:sz w:val="20"/>
                <w:szCs w:val="20"/>
              </w:rPr>
            </w:pPr>
            <w:r w:rsidRPr="00A07B7F">
              <w:rPr>
                <w:rFonts w:eastAsia="Times New Roman"/>
                <w:b/>
                <w:bCs/>
                <w:color w:val="000000"/>
                <w:sz w:val="20"/>
                <w:szCs w:val="20"/>
              </w:rPr>
              <w:t>16-months</w:t>
            </w:r>
          </w:p>
        </w:tc>
        <w:tc>
          <w:tcPr>
            <w:tcW w:w="3068" w:type="pct"/>
            <w:gridSpan w:val="3"/>
            <w:tcBorders>
              <w:top w:val="single" w:sz="4" w:space="0" w:color="auto"/>
              <w:left w:val="nil"/>
              <w:bottom w:val="nil"/>
            </w:tcBorders>
            <w:shd w:val="clear" w:color="auto" w:fill="FFFFFF"/>
            <w:tcMar>
              <w:left w:w="67" w:type="dxa"/>
              <w:right w:w="67" w:type="dxa"/>
            </w:tcMar>
          </w:tcPr>
          <w:p w14:paraId="1F90D436" w14:textId="77777777" w:rsidR="009F26C5" w:rsidRPr="00571DFD" w:rsidRDefault="009F26C5" w:rsidP="009F26C5">
            <w:pPr>
              <w:keepNext/>
              <w:spacing w:after="0" w:line="240" w:lineRule="auto"/>
              <w:rPr>
                <w:rFonts w:eastAsia="Times New Roman"/>
                <w:color w:val="000000"/>
                <w:sz w:val="20"/>
                <w:szCs w:val="20"/>
              </w:rPr>
            </w:pPr>
            <w:r w:rsidRPr="00571DFD">
              <w:rPr>
                <w:rFonts w:eastAsia="Times New Roman"/>
                <w:b/>
                <w:bCs/>
                <w:color w:val="000000"/>
                <w:sz w:val="20"/>
                <w:szCs w:val="20"/>
              </w:rPr>
              <w:t xml:space="preserve">                </w:t>
            </w:r>
          </w:p>
        </w:tc>
      </w:tr>
      <w:tr w:rsidR="009F26C5" w:rsidRPr="00563AD3" w14:paraId="512C63BF" w14:textId="77777777" w:rsidTr="00DE6B62">
        <w:trPr>
          <w:cantSplit/>
          <w:jc w:val="center"/>
        </w:trPr>
        <w:tc>
          <w:tcPr>
            <w:tcW w:w="1932" w:type="pct"/>
            <w:tcBorders>
              <w:top w:val="nil"/>
              <w:bottom w:val="nil"/>
              <w:right w:val="nil"/>
            </w:tcBorders>
            <w:shd w:val="clear" w:color="auto" w:fill="FFFFFF"/>
            <w:tcMar>
              <w:left w:w="67" w:type="dxa"/>
              <w:right w:w="67" w:type="dxa"/>
            </w:tcMar>
          </w:tcPr>
          <w:p w14:paraId="6DEE445B" w14:textId="77777777" w:rsidR="009F26C5" w:rsidRPr="00A07B7F" w:rsidRDefault="009F26C5" w:rsidP="009F26C5">
            <w:pPr>
              <w:keepNext/>
              <w:spacing w:after="0" w:line="240" w:lineRule="auto"/>
              <w:rPr>
                <w:rFonts w:eastAsia="Times New Roman"/>
                <w:color w:val="000000"/>
                <w:sz w:val="20"/>
                <w:szCs w:val="20"/>
              </w:rPr>
            </w:pPr>
            <w:r w:rsidRPr="00A07B7F">
              <w:rPr>
                <w:rFonts w:eastAsia="Times New Roman"/>
                <w:b/>
                <w:bCs/>
                <w:color w:val="000000"/>
                <w:sz w:val="20"/>
                <w:szCs w:val="20"/>
              </w:rPr>
              <w:t>Antipsychotic</w:t>
            </w:r>
            <w:r w:rsidRPr="00A07B7F">
              <w:rPr>
                <w:rFonts w:eastAsia="Times New Roman"/>
                <w:bCs/>
                <w:color w:val="000000"/>
                <w:sz w:val="20"/>
                <w:szCs w:val="20"/>
              </w:rPr>
              <w:t xml:space="preserve">                          </w:t>
            </w:r>
          </w:p>
        </w:tc>
        <w:tc>
          <w:tcPr>
            <w:tcW w:w="1034" w:type="pct"/>
            <w:tcBorders>
              <w:top w:val="nil"/>
              <w:left w:val="nil"/>
              <w:bottom w:val="nil"/>
              <w:right w:val="nil"/>
            </w:tcBorders>
            <w:shd w:val="clear" w:color="auto" w:fill="FFFFFF"/>
            <w:tcMar>
              <w:left w:w="67" w:type="dxa"/>
              <w:right w:w="67" w:type="dxa"/>
            </w:tcMar>
          </w:tcPr>
          <w:p w14:paraId="68C1487F" w14:textId="16AA9350" w:rsidR="009F26C5" w:rsidRPr="00A07B7F" w:rsidRDefault="009F26C5" w:rsidP="0052463D">
            <w:pPr>
              <w:keepNext/>
              <w:spacing w:after="0" w:line="240" w:lineRule="auto"/>
              <w:jc w:val="right"/>
              <w:rPr>
                <w:rFonts w:eastAsia="Times New Roman"/>
                <w:b/>
                <w:color w:val="000000"/>
                <w:sz w:val="20"/>
                <w:szCs w:val="20"/>
              </w:rPr>
            </w:pPr>
            <w:r w:rsidRPr="00A07B7F">
              <w:rPr>
                <w:rFonts w:eastAsia="Times New Roman"/>
                <w:b/>
                <w:color w:val="000000"/>
                <w:sz w:val="20"/>
                <w:szCs w:val="20"/>
              </w:rPr>
              <w:t>2 (</w:t>
            </w:r>
            <w:r w:rsidR="0052463D">
              <w:rPr>
                <w:rFonts w:eastAsia="Times New Roman"/>
                <w:b/>
                <w:color w:val="000000"/>
                <w:sz w:val="20"/>
                <w:szCs w:val="20"/>
              </w:rPr>
              <w:t>0.6</w:t>
            </w:r>
            <w:r w:rsidRPr="00A07B7F">
              <w:rPr>
                <w:rFonts w:eastAsia="Times New Roman"/>
                <w:b/>
                <w:color w:val="000000"/>
                <w:sz w:val="20"/>
                <w:szCs w:val="20"/>
              </w:rPr>
              <w:t>%)</w:t>
            </w:r>
          </w:p>
        </w:tc>
        <w:tc>
          <w:tcPr>
            <w:tcW w:w="983" w:type="pct"/>
            <w:tcBorders>
              <w:top w:val="nil"/>
              <w:left w:val="nil"/>
              <w:bottom w:val="nil"/>
              <w:right w:val="nil"/>
            </w:tcBorders>
            <w:shd w:val="clear" w:color="auto" w:fill="FFFFFF"/>
            <w:tcMar>
              <w:left w:w="67" w:type="dxa"/>
              <w:right w:w="67" w:type="dxa"/>
            </w:tcMar>
          </w:tcPr>
          <w:p w14:paraId="5A0730A3" w14:textId="08D56AF5" w:rsidR="009F26C5" w:rsidRPr="00A07B7F" w:rsidRDefault="009F26C5" w:rsidP="0052463D">
            <w:pPr>
              <w:keepNext/>
              <w:spacing w:after="0" w:line="240" w:lineRule="auto"/>
              <w:jc w:val="right"/>
              <w:rPr>
                <w:rFonts w:eastAsia="Times New Roman"/>
                <w:b/>
                <w:color w:val="000000"/>
                <w:sz w:val="20"/>
                <w:szCs w:val="20"/>
              </w:rPr>
            </w:pPr>
            <w:r w:rsidRPr="00A07B7F">
              <w:rPr>
                <w:rFonts w:eastAsia="Times New Roman"/>
                <w:b/>
                <w:color w:val="000000"/>
                <w:sz w:val="20"/>
                <w:szCs w:val="20"/>
              </w:rPr>
              <w:t>2 (0.</w:t>
            </w:r>
            <w:r w:rsidR="0052463D">
              <w:rPr>
                <w:rFonts w:eastAsia="Times New Roman"/>
                <w:b/>
                <w:color w:val="000000"/>
                <w:sz w:val="20"/>
                <w:szCs w:val="20"/>
              </w:rPr>
              <w:t>5</w:t>
            </w:r>
            <w:r w:rsidRPr="00A07B7F">
              <w:rPr>
                <w:rFonts w:eastAsia="Times New Roman"/>
                <w:b/>
                <w:color w:val="000000"/>
                <w:sz w:val="20"/>
                <w:szCs w:val="20"/>
              </w:rPr>
              <w:t>%)</w:t>
            </w:r>
          </w:p>
        </w:tc>
        <w:tc>
          <w:tcPr>
            <w:tcW w:w="1051" w:type="pct"/>
            <w:tcBorders>
              <w:top w:val="nil"/>
              <w:left w:val="nil"/>
              <w:bottom w:val="nil"/>
            </w:tcBorders>
            <w:shd w:val="clear" w:color="auto" w:fill="FFFFFF"/>
            <w:tcMar>
              <w:left w:w="67" w:type="dxa"/>
              <w:right w:w="67" w:type="dxa"/>
            </w:tcMar>
          </w:tcPr>
          <w:p w14:paraId="60E1CAC2" w14:textId="68056C51" w:rsidR="009F26C5" w:rsidRPr="00A07B7F" w:rsidRDefault="009F26C5" w:rsidP="0052463D">
            <w:pPr>
              <w:keepNext/>
              <w:spacing w:after="0" w:line="240" w:lineRule="auto"/>
              <w:jc w:val="right"/>
              <w:rPr>
                <w:rFonts w:eastAsia="Times New Roman"/>
                <w:b/>
                <w:color w:val="000000"/>
                <w:sz w:val="20"/>
                <w:szCs w:val="20"/>
              </w:rPr>
            </w:pPr>
            <w:r w:rsidRPr="00A07B7F">
              <w:rPr>
                <w:rFonts w:eastAsia="Times New Roman"/>
                <w:b/>
                <w:color w:val="000000"/>
                <w:sz w:val="20"/>
                <w:szCs w:val="20"/>
              </w:rPr>
              <w:t>4 (</w:t>
            </w:r>
            <w:r w:rsidR="0052463D">
              <w:rPr>
                <w:rFonts w:eastAsia="Times New Roman"/>
                <w:b/>
                <w:color w:val="000000"/>
                <w:sz w:val="20"/>
                <w:szCs w:val="20"/>
              </w:rPr>
              <w:t>0.6</w:t>
            </w:r>
            <w:r w:rsidRPr="00A07B7F">
              <w:rPr>
                <w:rFonts w:eastAsia="Times New Roman"/>
                <w:b/>
                <w:color w:val="000000"/>
                <w:sz w:val="20"/>
                <w:szCs w:val="20"/>
              </w:rPr>
              <w:t>%)</w:t>
            </w:r>
          </w:p>
        </w:tc>
      </w:tr>
      <w:tr w:rsidR="009F26C5" w:rsidRPr="00563AD3" w14:paraId="3B3670FA" w14:textId="77777777" w:rsidTr="00DE6B62">
        <w:trPr>
          <w:cantSplit/>
          <w:jc w:val="center"/>
        </w:trPr>
        <w:tc>
          <w:tcPr>
            <w:tcW w:w="1932" w:type="pct"/>
            <w:tcBorders>
              <w:top w:val="nil"/>
              <w:bottom w:val="nil"/>
              <w:right w:val="nil"/>
            </w:tcBorders>
            <w:shd w:val="clear" w:color="auto" w:fill="FFFFFF"/>
            <w:tcMar>
              <w:left w:w="67" w:type="dxa"/>
              <w:right w:w="67" w:type="dxa"/>
            </w:tcMar>
          </w:tcPr>
          <w:p w14:paraId="2EFB661D" w14:textId="77777777" w:rsidR="009F26C5" w:rsidRPr="00A07B7F" w:rsidRDefault="009F26C5" w:rsidP="009F26C5">
            <w:pPr>
              <w:keepNext/>
              <w:spacing w:after="0" w:line="240" w:lineRule="auto"/>
              <w:rPr>
                <w:rFonts w:eastAsia="Times New Roman"/>
                <w:color w:val="000000"/>
                <w:sz w:val="20"/>
                <w:szCs w:val="20"/>
              </w:rPr>
            </w:pPr>
            <w:r w:rsidRPr="00A07B7F">
              <w:rPr>
                <w:rFonts w:eastAsia="Times New Roman"/>
                <w:bCs/>
                <w:color w:val="000000"/>
                <w:sz w:val="20"/>
                <w:szCs w:val="20"/>
              </w:rPr>
              <w:t>Non-benzodiazepine hypnotic</w:t>
            </w:r>
          </w:p>
        </w:tc>
        <w:tc>
          <w:tcPr>
            <w:tcW w:w="1034" w:type="pct"/>
            <w:tcBorders>
              <w:top w:val="nil"/>
              <w:left w:val="nil"/>
              <w:bottom w:val="nil"/>
              <w:right w:val="nil"/>
            </w:tcBorders>
            <w:shd w:val="clear" w:color="auto" w:fill="FFFFFF"/>
            <w:tcMar>
              <w:left w:w="67" w:type="dxa"/>
              <w:right w:w="67" w:type="dxa"/>
            </w:tcMar>
          </w:tcPr>
          <w:p w14:paraId="7D892433" w14:textId="6D938AE2" w:rsidR="009F26C5" w:rsidRPr="00A07B7F" w:rsidRDefault="009F26C5" w:rsidP="0052463D">
            <w:pPr>
              <w:keepNext/>
              <w:spacing w:after="0" w:line="240" w:lineRule="auto"/>
              <w:jc w:val="right"/>
              <w:rPr>
                <w:rFonts w:eastAsia="Times New Roman"/>
                <w:color w:val="000000"/>
                <w:sz w:val="20"/>
                <w:szCs w:val="20"/>
              </w:rPr>
            </w:pPr>
            <w:r w:rsidRPr="00A07B7F">
              <w:rPr>
                <w:rFonts w:eastAsia="Times New Roman"/>
                <w:color w:val="000000"/>
                <w:sz w:val="20"/>
                <w:szCs w:val="20"/>
              </w:rPr>
              <w:t>4 (</w:t>
            </w:r>
            <w:r w:rsidR="00E32FBA">
              <w:rPr>
                <w:rFonts w:eastAsia="Times New Roman"/>
                <w:color w:val="000000"/>
                <w:sz w:val="20"/>
                <w:szCs w:val="20"/>
              </w:rPr>
              <w:t>1</w:t>
            </w:r>
            <w:r w:rsidRPr="00A07B7F">
              <w:rPr>
                <w:rFonts w:eastAsia="Times New Roman"/>
                <w:color w:val="000000"/>
                <w:sz w:val="20"/>
                <w:szCs w:val="20"/>
              </w:rPr>
              <w:t>.3%)</w:t>
            </w:r>
          </w:p>
        </w:tc>
        <w:tc>
          <w:tcPr>
            <w:tcW w:w="983" w:type="pct"/>
            <w:tcBorders>
              <w:top w:val="nil"/>
              <w:left w:val="nil"/>
              <w:bottom w:val="nil"/>
              <w:right w:val="nil"/>
            </w:tcBorders>
            <w:shd w:val="clear" w:color="auto" w:fill="FFFFFF"/>
            <w:tcMar>
              <w:left w:w="67" w:type="dxa"/>
              <w:right w:w="67" w:type="dxa"/>
            </w:tcMar>
          </w:tcPr>
          <w:p w14:paraId="113EA52D" w14:textId="109AB206" w:rsidR="009F26C5" w:rsidRPr="00BF49C1" w:rsidRDefault="00BF49C1" w:rsidP="0052463D">
            <w:pPr>
              <w:keepNext/>
              <w:spacing w:after="0" w:line="240" w:lineRule="auto"/>
              <w:jc w:val="right"/>
              <w:rPr>
                <w:rFonts w:eastAsia="Times New Roman"/>
                <w:color w:val="000000"/>
                <w:sz w:val="20"/>
                <w:szCs w:val="20"/>
              </w:rPr>
            </w:pPr>
            <w:r>
              <w:rPr>
                <w:rFonts w:eastAsia="Times New Roman"/>
                <w:color w:val="000000"/>
                <w:sz w:val="20"/>
                <w:szCs w:val="20"/>
              </w:rPr>
              <w:t>3</w:t>
            </w:r>
            <w:r w:rsidR="009F26C5" w:rsidRPr="00BF49C1">
              <w:rPr>
                <w:rFonts w:eastAsia="Times New Roman"/>
                <w:color w:val="000000"/>
                <w:sz w:val="20"/>
                <w:szCs w:val="20"/>
              </w:rPr>
              <w:t xml:space="preserve"> (</w:t>
            </w:r>
            <w:r w:rsidR="00E32FBA">
              <w:rPr>
                <w:rFonts w:eastAsia="Times New Roman"/>
                <w:color w:val="000000"/>
                <w:sz w:val="20"/>
                <w:szCs w:val="20"/>
              </w:rPr>
              <w:t>0.7</w:t>
            </w:r>
            <w:r w:rsidR="009F26C5" w:rsidRPr="00BF49C1">
              <w:rPr>
                <w:rFonts w:eastAsia="Times New Roman"/>
                <w:color w:val="000000"/>
                <w:sz w:val="20"/>
                <w:szCs w:val="20"/>
              </w:rPr>
              <w:t>%)</w:t>
            </w:r>
          </w:p>
        </w:tc>
        <w:tc>
          <w:tcPr>
            <w:tcW w:w="1051" w:type="pct"/>
            <w:tcBorders>
              <w:top w:val="nil"/>
              <w:left w:val="nil"/>
              <w:bottom w:val="nil"/>
            </w:tcBorders>
            <w:shd w:val="clear" w:color="auto" w:fill="FFFFFF"/>
            <w:tcMar>
              <w:left w:w="67" w:type="dxa"/>
              <w:right w:w="67" w:type="dxa"/>
            </w:tcMar>
          </w:tcPr>
          <w:p w14:paraId="2B537183" w14:textId="3D5F10E7" w:rsidR="009F26C5" w:rsidRPr="00BF49C1" w:rsidRDefault="00BF49C1" w:rsidP="0052463D">
            <w:pPr>
              <w:keepNext/>
              <w:spacing w:after="0" w:line="240" w:lineRule="auto"/>
              <w:jc w:val="right"/>
              <w:rPr>
                <w:rFonts w:eastAsia="Times New Roman"/>
                <w:color w:val="000000"/>
                <w:sz w:val="20"/>
                <w:szCs w:val="20"/>
              </w:rPr>
            </w:pPr>
            <w:r>
              <w:rPr>
                <w:rFonts w:eastAsia="Times New Roman"/>
                <w:color w:val="000000"/>
                <w:sz w:val="20"/>
                <w:szCs w:val="20"/>
              </w:rPr>
              <w:t>7</w:t>
            </w:r>
            <w:r w:rsidR="009F26C5" w:rsidRPr="00BF49C1">
              <w:rPr>
                <w:rFonts w:eastAsia="Times New Roman"/>
                <w:color w:val="000000"/>
                <w:sz w:val="20"/>
                <w:szCs w:val="20"/>
              </w:rPr>
              <w:t xml:space="preserve"> (</w:t>
            </w:r>
            <w:r w:rsidR="00E32FBA">
              <w:rPr>
                <w:rFonts w:eastAsia="Times New Roman"/>
                <w:color w:val="000000"/>
                <w:sz w:val="20"/>
                <w:szCs w:val="20"/>
              </w:rPr>
              <w:t>1</w:t>
            </w:r>
            <w:r w:rsidR="009F26C5" w:rsidRPr="00BF49C1">
              <w:rPr>
                <w:rFonts w:eastAsia="Times New Roman"/>
                <w:color w:val="000000"/>
                <w:sz w:val="20"/>
                <w:szCs w:val="20"/>
              </w:rPr>
              <w:t>.0%)</w:t>
            </w:r>
          </w:p>
        </w:tc>
      </w:tr>
      <w:tr w:rsidR="009F26C5" w:rsidRPr="00563AD3" w14:paraId="5EC53D20" w14:textId="77777777" w:rsidTr="00DE6B62">
        <w:trPr>
          <w:cantSplit/>
          <w:jc w:val="center"/>
        </w:trPr>
        <w:tc>
          <w:tcPr>
            <w:tcW w:w="1932" w:type="pct"/>
            <w:tcBorders>
              <w:top w:val="nil"/>
              <w:bottom w:val="single" w:sz="4" w:space="0" w:color="auto"/>
              <w:right w:val="nil"/>
            </w:tcBorders>
            <w:shd w:val="clear" w:color="auto" w:fill="FFFFFF"/>
            <w:tcMar>
              <w:left w:w="67" w:type="dxa"/>
              <w:right w:w="67" w:type="dxa"/>
            </w:tcMar>
          </w:tcPr>
          <w:p w14:paraId="3298FE1D" w14:textId="77777777" w:rsidR="009F26C5" w:rsidRPr="00A07B7F" w:rsidRDefault="009F26C5" w:rsidP="009F26C5">
            <w:pPr>
              <w:keepNext/>
              <w:spacing w:after="0" w:line="240" w:lineRule="auto"/>
              <w:rPr>
                <w:rFonts w:eastAsia="Times New Roman"/>
                <w:color w:val="000000"/>
                <w:sz w:val="20"/>
                <w:szCs w:val="20"/>
              </w:rPr>
            </w:pPr>
            <w:r w:rsidRPr="00A07B7F">
              <w:rPr>
                <w:rFonts w:eastAsia="Times New Roman"/>
                <w:bCs/>
                <w:color w:val="000000"/>
                <w:sz w:val="20"/>
                <w:szCs w:val="20"/>
              </w:rPr>
              <w:t>Pain relief</w:t>
            </w:r>
          </w:p>
        </w:tc>
        <w:tc>
          <w:tcPr>
            <w:tcW w:w="1034" w:type="pct"/>
            <w:tcBorders>
              <w:top w:val="nil"/>
              <w:left w:val="nil"/>
              <w:bottom w:val="single" w:sz="4" w:space="0" w:color="auto"/>
              <w:right w:val="nil"/>
            </w:tcBorders>
            <w:shd w:val="clear" w:color="auto" w:fill="FFFFFF"/>
            <w:tcMar>
              <w:left w:w="67" w:type="dxa"/>
              <w:right w:w="67" w:type="dxa"/>
            </w:tcMar>
          </w:tcPr>
          <w:p w14:paraId="32596977" w14:textId="52CE0E72" w:rsidR="009F26C5" w:rsidRPr="00A07B7F" w:rsidRDefault="009F26C5" w:rsidP="00E32FBA">
            <w:pPr>
              <w:keepNext/>
              <w:spacing w:after="0" w:line="240" w:lineRule="auto"/>
              <w:jc w:val="right"/>
              <w:rPr>
                <w:rFonts w:eastAsia="Times New Roman"/>
                <w:color w:val="000000"/>
                <w:sz w:val="20"/>
                <w:szCs w:val="20"/>
              </w:rPr>
            </w:pPr>
            <w:r w:rsidRPr="00A07B7F">
              <w:rPr>
                <w:rFonts w:eastAsia="Times New Roman"/>
                <w:color w:val="000000"/>
                <w:sz w:val="20"/>
                <w:szCs w:val="20"/>
              </w:rPr>
              <w:t>59 (</w:t>
            </w:r>
            <w:r w:rsidR="00E32FBA">
              <w:rPr>
                <w:rFonts w:eastAsia="Times New Roman"/>
                <w:color w:val="000000"/>
                <w:sz w:val="20"/>
                <w:szCs w:val="20"/>
              </w:rPr>
              <w:t>19.2</w:t>
            </w:r>
            <w:r w:rsidRPr="00A07B7F">
              <w:rPr>
                <w:rFonts w:eastAsia="Times New Roman"/>
                <w:color w:val="000000"/>
                <w:sz w:val="20"/>
                <w:szCs w:val="20"/>
              </w:rPr>
              <w:t>%)</w:t>
            </w:r>
          </w:p>
        </w:tc>
        <w:tc>
          <w:tcPr>
            <w:tcW w:w="983" w:type="pct"/>
            <w:tcBorders>
              <w:top w:val="nil"/>
              <w:left w:val="nil"/>
              <w:bottom w:val="single" w:sz="4" w:space="0" w:color="auto"/>
              <w:right w:val="nil"/>
            </w:tcBorders>
            <w:shd w:val="clear" w:color="auto" w:fill="FFFFFF"/>
            <w:tcMar>
              <w:left w:w="67" w:type="dxa"/>
              <w:right w:w="67" w:type="dxa"/>
            </w:tcMar>
          </w:tcPr>
          <w:p w14:paraId="2B2FC649" w14:textId="7C787852" w:rsidR="009F26C5" w:rsidRPr="00571DFD" w:rsidRDefault="009F26C5" w:rsidP="0052463D">
            <w:pPr>
              <w:keepNext/>
              <w:spacing w:after="0" w:line="240" w:lineRule="auto"/>
              <w:jc w:val="right"/>
              <w:rPr>
                <w:rFonts w:eastAsia="Times New Roman"/>
                <w:color w:val="000000"/>
                <w:sz w:val="20"/>
                <w:szCs w:val="20"/>
              </w:rPr>
            </w:pPr>
            <w:r w:rsidRPr="00571DFD">
              <w:rPr>
                <w:rFonts w:eastAsia="Times New Roman"/>
                <w:color w:val="000000"/>
                <w:sz w:val="20"/>
                <w:szCs w:val="20"/>
              </w:rPr>
              <w:t>83 (</w:t>
            </w:r>
            <w:r w:rsidR="00E32FBA">
              <w:rPr>
                <w:rFonts w:eastAsia="Times New Roman"/>
                <w:color w:val="000000"/>
                <w:sz w:val="20"/>
                <w:szCs w:val="20"/>
              </w:rPr>
              <w:t>19.9</w:t>
            </w:r>
            <w:r w:rsidRPr="00571DFD">
              <w:rPr>
                <w:rFonts w:eastAsia="Times New Roman"/>
                <w:color w:val="000000"/>
                <w:sz w:val="20"/>
                <w:szCs w:val="20"/>
              </w:rPr>
              <w:t>%)</w:t>
            </w:r>
          </w:p>
        </w:tc>
        <w:tc>
          <w:tcPr>
            <w:tcW w:w="1051" w:type="pct"/>
            <w:tcBorders>
              <w:top w:val="nil"/>
              <w:left w:val="nil"/>
              <w:bottom w:val="single" w:sz="4" w:space="0" w:color="auto"/>
            </w:tcBorders>
            <w:shd w:val="clear" w:color="auto" w:fill="FFFFFF"/>
            <w:tcMar>
              <w:left w:w="67" w:type="dxa"/>
              <w:right w:w="67" w:type="dxa"/>
            </w:tcMar>
          </w:tcPr>
          <w:p w14:paraId="62D6A001" w14:textId="652A98AE" w:rsidR="009F26C5" w:rsidRPr="0052463D" w:rsidRDefault="009F26C5" w:rsidP="00E32FBA">
            <w:pPr>
              <w:keepNext/>
              <w:spacing w:after="0" w:line="240" w:lineRule="auto"/>
              <w:jc w:val="right"/>
              <w:rPr>
                <w:rFonts w:eastAsia="Times New Roman"/>
                <w:color w:val="000000"/>
                <w:sz w:val="20"/>
                <w:szCs w:val="20"/>
              </w:rPr>
            </w:pPr>
            <w:r w:rsidRPr="0052463D">
              <w:rPr>
                <w:rFonts w:eastAsia="Times New Roman"/>
                <w:color w:val="000000"/>
                <w:sz w:val="20"/>
                <w:szCs w:val="20"/>
              </w:rPr>
              <w:t>142 (</w:t>
            </w:r>
            <w:r w:rsidR="00E32FBA">
              <w:rPr>
                <w:rFonts w:eastAsia="Times New Roman"/>
                <w:color w:val="000000"/>
                <w:sz w:val="20"/>
                <w:szCs w:val="20"/>
              </w:rPr>
              <w:t>19.6</w:t>
            </w:r>
            <w:r w:rsidRPr="0052463D">
              <w:rPr>
                <w:rFonts w:eastAsia="Times New Roman"/>
                <w:color w:val="000000"/>
                <w:sz w:val="20"/>
                <w:szCs w:val="20"/>
              </w:rPr>
              <w:t>%)</w:t>
            </w:r>
          </w:p>
        </w:tc>
      </w:tr>
      <w:tr w:rsidR="009F26C5" w:rsidRPr="00563AD3" w14:paraId="1858E380" w14:textId="77777777" w:rsidTr="00DE6B62">
        <w:trPr>
          <w:cantSplit/>
          <w:jc w:val="center"/>
        </w:trPr>
        <w:tc>
          <w:tcPr>
            <w:tcW w:w="5000" w:type="pct"/>
            <w:gridSpan w:val="4"/>
            <w:tcBorders>
              <w:top w:val="single" w:sz="4" w:space="0" w:color="auto"/>
              <w:bottom w:val="single" w:sz="4" w:space="0" w:color="auto"/>
            </w:tcBorders>
            <w:shd w:val="clear" w:color="auto" w:fill="F2F2F2"/>
            <w:tcMar>
              <w:left w:w="67" w:type="dxa"/>
              <w:right w:w="67" w:type="dxa"/>
            </w:tcMar>
          </w:tcPr>
          <w:p w14:paraId="4FC6CAA4" w14:textId="77777777" w:rsidR="009F26C5" w:rsidRPr="00A07B7F" w:rsidRDefault="009F26C5" w:rsidP="009F26C5">
            <w:pPr>
              <w:keepNext/>
              <w:spacing w:after="0" w:line="240" w:lineRule="auto"/>
              <w:rPr>
                <w:rFonts w:eastAsia="Times New Roman"/>
                <w:color w:val="000000"/>
                <w:sz w:val="20"/>
                <w:szCs w:val="20"/>
              </w:rPr>
            </w:pPr>
            <w:r w:rsidRPr="00A07B7F">
              <w:rPr>
                <w:rFonts w:eastAsia="Times New Roman"/>
                <w:b/>
                <w:bCs/>
                <w:color w:val="000000"/>
                <w:sz w:val="20"/>
                <w:szCs w:val="20"/>
              </w:rPr>
              <w:t>CROSS-SECTION</w:t>
            </w:r>
          </w:p>
        </w:tc>
      </w:tr>
      <w:tr w:rsidR="009F26C5" w:rsidRPr="00563AD3" w14:paraId="10AE99FE" w14:textId="77777777" w:rsidTr="00DE6B62">
        <w:trPr>
          <w:cantSplit/>
          <w:jc w:val="center"/>
        </w:trPr>
        <w:tc>
          <w:tcPr>
            <w:tcW w:w="1932" w:type="pct"/>
            <w:tcBorders>
              <w:top w:val="single" w:sz="4" w:space="0" w:color="auto"/>
              <w:bottom w:val="single" w:sz="4" w:space="0" w:color="auto"/>
              <w:right w:val="nil"/>
            </w:tcBorders>
            <w:shd w:val="clear" w:color="auto" w:fill="FFFFFF"/>
            <w:tcMar>
              <w:left w:w="67" w:type="dxa"/>
              <w:right w:w="67" w:type="dxa"/>
            </w:tcMar>
            <w:vAlign w:val="bottom"/>
          </w:tcPr>
          <w:p w14:paraId="251C6AE3" w14:textId="77777777" w:rsidR="009F26C5" w:rsidRPr="00A07B7F" w:rsidRDefault="009F26C5" w:rsidP="009F26C5">
            <w:pPr>
              <w:keepNext/>
              <w:spacing w:after="0" w:line="240" w:lineRule="auto"/>
              <w:rPr>
                <w:rFonts w:eastAsia="Times New Roman"/>
                <w:b/>
                <w:bCs/>
                <w:color w:val="000000"/>
                <w:sz w:val="20"/>
                <w:szCs w:val="20"/>
              </w:rPr>
            </w:pPr>
            <w:r w:rsidRPr="00A07B7F">
              <w:rPr>
                <w:rFonts w:eastAsia="Times New Roman"/>
                <w:bCs/>
                <w:color w:val="000000"/>
                <w:sz w:val="20"/>
                <w:szCs w:val="20"/>
              </w:rPr>
              <w:t>N prescribed (%) N Completed</w:t>
            </w:r>
          </w:p>
        </w:tc>
        <w:tc>
          <w:tcPr>
            <w:tcW w:w="1034" w:type="pct"/>
            <w:tcBorders>
              <w:top w:val="single" w:sz="4" w:space="0" w:color="auto"/>
              <w:left w:val="nil"/>
              <w:bottom w:val="single" w:sz="4" w:space="0" w:color="auto"/>
              <w:right w:val="nil"/>
            </w:tcBorders>
            <w:shd w:val="clear" w:color="auto" w:fill="FFFFFF"/>
            <w:tcMar>
              <w:left w:w="67" w:type="dxa"/>
              <w:right w:w="67" w:type="dxa"/>
            </w:tcMar>
            <w:vAlign w:val="bottom"/>
          </w:tcPr>
          <w:p w14:paraId="4E3D4195" w14:textId="77777777" w:rsidR="009F26C5" w:rsidRPr="00A07B7F" w:rsidRDefault="009F26C5" w:rsidP="009F26C5">
            <w:pPr>
              <w:keepNext/>
              <w:spacing w:after="0" w:line="240" w:lineRule="auto"/>
              <w:jc w:val="right"/>
              <w:rPr>
                <w:rFonts w:eastAsia="Times New Roman"/>
                <w:color w:val="000000"/>
                <w:sz w:val="20"/>
                <w:szCs w:val="20"/>
              </w:rPr>
            </w:pPr>
            <w:r w:rsidRPr="00A07B7F">
              <w:rPr>
                <w:rFonts w:eastAsia="Times New Roman"/>
                <w:b/>
                <w:bCs/>
                <w:color w:val="000000"/>
                <w:sz w:val="20"/>
                <w:szCs w:val="20"/>
              </w:rPr>
              <w:t>Control</w:t>
            </w:r>
            <w:r w:rsidRPr="00A07B7F">
              <w:rPr>
                <w:rFonts w:eastAsia="Times New Roman"/>
                <w:b/>
                <w:bCs/>
                <w:color w:val="000000"/>
                <w:sz w:val="20"/>
                <w:szCs w:val="20"/>
              </w:rPr>
              <w:br/>
              <w:t>(n = 287)</w:t>
            </w:r>
          </w:p>
        </w:tc>
        <w:tc>
          <w:tcPr>
            <w:tcW w:w="983" w:type="pct"/>
            <w:tcBorders>
              <w:top w:val="single" w:sz="4" w:space="0" w:color="auto"/>
              <w:left w:val="nil"/>
              <w:bottom w:val="single" w:sz="4" w:space="0" w:color="auto"/>
              <w:right w:val="nil"/>
            </w:tcBorders>
            <w:shd w:val="clear" w:color="auto" w:fill="FFFFFF"/>
            <w:tcMar>
              <w:left w:w="67" w:type="dxa"/>
              <w:right w:w="67" w:type="dxa"/>
            </w:tcMar>
            <w:vAlign w:val="bottom"/>
          </w:tcPr>
          <w:p w14:paraId="1F09D709" w14:textId="77777777" w:rsidR="009F26C5" w:rsidRPr="00571DFD" w:rsidRDefault="009F26C5" w:rsidP="009F26C5">
            <w:pPr>
              <w:keepNext/>
              <w:spacing w:after="0" w:line="240" w:lineRule="auto"/>
              <w:jc w:val="right"/>
              <w:rPr>
                <w:rFonts w:eastAsia="Times New Roman"/>
                <w:color w:val="000000"/>
                <w:sz w:val="20"/>
                <w:szCs w:val="20"/>
              </w:rPr>
            </w:pPr>
            <w:r w:rsidRPr="00571DFD">
              <w:rPr>
                <w:rFonts w:eastAsia="Times New Roman"/>
                <w:b/>
                <w:bCs/>
                <w:color w:val="000000"/>
                <w:sz w:val="20"/>
                <w:szCs w:val="20"/>
              </w:rPr>
              <w:t>Intervention</w:t>
            </w:r>
            <w:r w:rsidRPr="00571DFD">
              <w:rPr>
                <w:rFonts w:eastAsia="Times New Roman"/>
                <w:b/>
                <w:bCs/>
                <w:color w:val="000000"/>
                <w:sz w:val="20"/>
                <w:szCs w:val="20"/>
              </w:rPr>
              <w:br/>
              <w:t>(n = 388)</w:t>
            </w:r>
          </w:p>
        </w:tc>
        <w:tc>
          <w:tcPr>
            <w:tcW w:w="1051" w:type="pct"/>
            <w:tcBorders>
              <w:top w:val="single" w:sz="4" w:space="0" w:color="auto"/>
              <w:left w:val="nil"/>
              <w:bottom w:val="nil"/>
            </w:tcBorders>
            <w:shd w:val="clear" w:color="auto" w:fill="FFFFFF"/>
            <w:tcMar>
              <w:left w:w="67" w:type="dxa"/>
              <w:right w:w="67" w:type="dxa"/>
            </w:tcMar>
            <w:vAlign w:val="bottom"/>
          </w:tcPr>
          <w:p w14:paraId="578B28F1" w14:textId="77777777" w:rsidR="009F26C5" w:rsidRPr="00451434" w:rsidRDefault="009F26C5" w:rsidP="009F26C5">
            <w:pPr>
              <w:keepNext/>
              <w:spacing w:after="0" w:line="240" w:lineRule="auto"/>
              <w:jc w:val="right"/>
              <w:rPr>
                <w:rFonts w:eastAsia="Times New Roman"/>
                <w:color w:val="000000"/>
                <w:sz w:val="20"/>
                <w:szCs w:val="20"/>
              </w:rPr>
            </w:pPr>
            <w:r w:rsidRPr="00451434">
              <w:rPr>
                <w:rFonts w:eastAsia="Times New Roman"/>
                <w:b/>
                <w:bCs/>
                <w:color w:val="000000"/>
                <w:sz w:val="20"/>
                <w:szCs w:val="20"/>
              </w:rPr>
              <w:t>Total</w:t>
            </w:r>
            <w:r w:rsidRPr="00451434">
              <w:rPr>
                <w:rFonts w:eastAsia="Times New Roman"/>
                <w:b/>
                <w:bCs/>
                <w:color w:val="000000"/>
                <w:sz w:val="20"/>
                <w:szCs w:val="20"/>
              </w:rPr>
              <w:br/>
              <w:t>(n = 675)</w:t>
            </w:r>
          </w:p>
        </w:tc>
      </w:tr>
      <w:tr w:rsidR="009F26C5" w:rsidRPr="00563AD3" w14:paraId="3F5B1089" w14:textId="77777777" w:rsidTr="00DE6B62">
        <w:trPr>
          <w:cantSplit/>
          <w:jc w:val="center"/>
        </w:trPr>
        <w:tc>
          <w:tcPr>
            <w:tcW w:w="1932" w:type="pct"/>
            <w:tcBorders>
              <w:top w:val="single" w:sz="4" w:space="0" w:color="auto"/>
              <w:bottom w:val="nil"/>
              <w:right w:val="nil"/>
            </w:tcBorders>
            <w:shd w:val="clear" w:color="auto" w:fill="FFFFFF"/>
            <w:tcMar>
              <w:left w:w="67" w:type="dxa"/>
              <w:right w:w="67" w:type="dxa"/>
            </w:tcMar>
          </w:tcPr>
          <w:p w14:paraId="15566318" w14:textId="77777777" w:rsidR="009F26C5" w:rsidRPr="00A07B7F" w:rsidRDefault="009F26C5" w:rsidP="009F26C5">
            <w:pPr>
              <w:keepNext/>
              <w:spacing w:after="0" w:line="240" w:lineRule="auto"/>
              <w:rPr>
                <w:rFonts w:eastAsia="Times New Roman"/>
                <w:b/>
                <w:bCs/>
                <w:color w:val="000000"/>
                <w:sz w:val="20"/>
                <w:szCs w:val="20"/>
              </w:rPr>
            </w:pPr>
            <w:r w:rsidRPr="00A07B7F">
              <w:rPr>
                <w:rFonts w:eastAsia="Times New Roman"/>
                <w:b/>
                <w:bCs/>
                <w:color w:val="000000"/>
                <w:sz w:val="20"/>
                <w:szCs w:val="20"/>
              </w:rPr>
              <w:t>16-months</w:t>
            </w:r>
          </w:p>
        </w:tc>
        <w:tc>
          <w:tcPr>
            <w:tcW w:w="3068" w:type="pct"/>
            <w:gridSpan w:val="3"/>
            <w:tcBorders>
              <w:top w:val="single" w:sz="4" w:space="0" w:color="auto"/>
              <w:left w:val="nil"/>
              <w:bottom w:val="nil"/>
            </w:tcBorders>
            <w:shd w:val="clear" w:color="auto" w:fill="FFFFFF"/>
            <w:tcMar>
              <w:left w:w="67" w:type="dxa"/>
              <w:right w:w="67" w:type="dxa"/>
            </w:tcMar>
          </w:tcPr>
          <w:p w14:paraId="2E243D94" w14:textId="77777777" w:rsidR="009F26C5" w:rsidRPr="00451434" w:rsidRDefault="009F26C5" w:rsidP="009F26C5">
            <w:pPr>
              <w:keepNext/>
              <w:spacing w:after="0" w:line="240" w:lineRule="auto"/>
              <w:rPr>
                <w:rFonts w:eastAsia="Times New Roman"/>
                <w:color w:val="000000"/>
                <w:sz w:val="20"/>
                <w:szCs w:val="20"/>
              </w:rPr>
            </w:pPr>
          </w:p>
        </w:tc>
      </w:tr>
      <w:tr w:rsidR="009F26C5" w:rsidRPr="00563AD3" w14:paraId="55DBEC8B" w14:textId="77777777" w:rsidTr="00DE6B62">
        <w:trPr>
          <w:cantSplit/>
          <w:jc w:val="center"/>
        </w:trPr>
        <w:tc>
          <w:tcPr>
            <w:tcW w:w="1932" w:type="pct"/>
            <w:tcBorders>
              <w:top w:val="nil"/>
              <w:bottom w:val="nil"/>
              <w:right w:val="nil"/>
            </w:tcBorders>
            <w:shd w:val="clear" w:color="auto" w:fill="FFFFFF"/>
            <w:tcMar>
              <w:left w:w="67" w:type="dxa"/>
              <w:right w:w="67" w:type="dxa"/>
            </w:tcMar>
          </w:tcPr>
          <w:p w14:paraId="23963355" w14:textId="77777777" w:rsidR="009F26C5" w:rsidRPr="00A07B7F" w:rsidRDefault="009F26C5" w:rsidP="009F26C5">
            <w:pPr>
              <w:keepNext/>
              <w:spacing w:after="0" w:line="240" w:lineRule="auto"/>
              <w:rPr>
                <w:rFonts w:eastAsia="Times New Roman"/>
                <w:color w:val="000000"/>
                <w:sz w:val="20"/>
                <w:szCs w:val="20"/>
              </w:rPr>
            </w:pPr>
            <w:r w:rsidRPr="00A07B7F">
              <w:rPr>
                <w:rFonts w:eastAsia="Times New Roman"/>
                <w:b/>
                <w:bCs/>
                <w:color w:val="000000"/>
                <w:sz w:val="20"/>
                <w:szCs w:val="20"/>
              </w:rPr>
              <w:t>Antipsychotic</w:t>
            </w:r>
            <w:r w:rsidRPr="00A07B7F">
              <w:rPr>
                <w:rFonts w:eastAsia="Times New Roman"/>
                <w:bCs/>
                <w:color w:val="000000"/>
                <w:sz w:val="20"/>
                <w:szCs w:val="20"/>
              </w:rPr>
              <w:t xml:space="preserve">                          </w:t>
            </w:r>
          </w:p>
        </w:tc>
        <w:tc>
          <w:tcPr>
            <w:tcW w:w="1034" w:type="pct"/>
            <w:tcBorders>
              <w:top w:val="nil"/>
              <w:left w:val="nil"/>
              <w:bottom w:val="nil"/>
              <w:right w:val="nil"/>
            </w:tcBorders>
            <w:shd w:val="clear" w:color="auto" w:fill="FFFFFF"/>
            <w:tcMar>
              <w:left w:w="67" w:type="dxa"/>
              <w:right w:w="67" w:type="dxa"/>
            </w:tcMar>
          </w:tcPr>
          <w:p w14:paraId="543C1C5E" w14:textId="2E303310" w:rsidR="009F26C5" w:rsidRPr="00A07B7F" w:rsidRDefault="009F26C5" w:rsidP="0052463D">
            <w:pPr>
              <w:keepNext/>
              <w:spacing w:after="0" w:line="240" w:lineRule="auto"/>
              <w:jc w:val="right"/>
              <w:rPr>
                <w:rFonts w:eastAsia="Times New Roman"/>
                <w:b/>
                <w:color w:val="000000"/>
                <w:sz w:val="20"/>
                <w:szCs w:val="20"/>
              </w:rPr>
            </w:pPr>
            <w:r w:rsidRPr="00A07B7F">
              <w:rPr>
                <w:rFonts w:eastAsia="Times New Roman"/>
                <w:b/>
                <w:color w:val="000000"/>
                <w:sz w:val="20"/>
                <w:szCs w:val="20"/>
              </w:rPr>
              <w:t>2 (0.7%)</w:t>
            </w:r>
          </w:p>
        </w:tc>
        <w:tc>
          <w:tcPr>
            <w:tcW w:w="983" w:type="pct"/>
            <w:tcBorders>
              <w:top w:val="nil"/>
              <w:left w:val="nil"/>
              <w:bottom w:val="nil"/>
              <w:right w:val="nil"/>
            </w:tcBorders>
            <w:shd w:val="clear" w:color="auto" w:fill="FFFFFF"/>
            <w:tcMar>
              <w:left w:w="67" w:type="dxa"/>
              <w:right w:w="67" w:type="dxa"/>
            </w:tcMar>
          </w:tcPr>
          <w:p w14:paraId="21192FD8" w14:textId="0A23BD37" w:rsidR="009F26C5" w:rsidRPr="00A07B7F" w:rsidRDefault="009F26C5" w:rsidP="0052463D">
            <w:pPr>
              <w:keepNext/>
              <w:spacing w:after="0" w:line="240" w:lineRule="auto"/>
              <w:jc w:val="right"/>
              <w:rPr>
                <w:rFonts w:eastAsia="Times New Roman"/>
                <w:b/>
                <w:color w:val="000000"/>
                <w:sz w:val="20"/>
                <w:szCs w:val="20"/>
              </w:rPr>
            </w:pPr>
            <w:r w:rsidRPr="00A07B7F">
              <w:rPr>
                <w:rFonts w:eastAsia="Times New Roman"/>
                <w:b/>
                <w:color w:val="000000"/>
                <w:sz w:val="20"/>
                <w:szCs w:val="20"/>
              </w:rPr>
              <w:t>4 (1.0%)</w:t>
            </w:r>
          </w:p>
        </w:tc>
        <w:tc>
          <w:tcPr>
            <w:tcW w:w="1051" w:type="pct"/>
            <w:tcBorders>
              <w:top w:val="nil"/>
              <w:left w:val="nil"/>
              <w:bottom w:val="nil"/>
            </w:tcBorders>
            <w:shd w:val="clear" w:color="auto" w:fill="FFFFFF"/>
            <w:tcMar>
              <w:left w:w="67" w:type="dxa"/>
              <w:right w:w="67" w:type="dxa"/>
            </w:tcMar>
          </w:tcPr>
          <w:p w14:paraId="5E4D484F" w14:textId="181E96A3" w:rsidR="009F26C5" w:rsidRPr="00A07B7F" w:rsidRDefault="009F26C5" w:rsidP="0052463D">
            <w:pPr>
              <w:keepNext/>
              <w:spacing w:after="0" w:line="240" w:lineRule="auto"/>
              <w:jc w:val="right"/>
              <w:rPr>
                <w:rFonts w:eastAsia="Times New Roman"/>
                <w:b/>
                <w:color w:val="000000"/>
                <w:sz w:val="20"/>
                <w:szCs w:val="20"/>
              </w:rPr>
            </w:pPr>
            <w:r w:rsidRPr="00A07B7F">
              <w:rPr>
                <w:rFonts w:eastAsia="Times New Roman"/>
                <w:b/>
                <w:color w:val="000000"/>
                <w:sz w:val="20"/>
                <w:szCs w:val="20"/>
              </w:rPr>
              <w:t>6 (0.9%)</w:t>
            </w:r>
          </w:p>
        </w:tc>
      </w:tr>
      <w:tr w:rsidR="009F26C5" w:rsidRPr="00563AD3" w14:paraId="075C8CC9" w14:textId="77777777" w:rsidTr="00DE6B62">
        <w:trPr>
          <w:cantSplit/>
          <w:jc w:val="center"/>
        </w:trPr>
        <w:tc>
          <w:tcPr>
            <w:tcW w:w="1932" w:type="pct"/>
            <w:tcBorders>
              <w:top w:val="nil"/>
              <w:bottom w:val="nil"/>
              <w:right w:val="nil"/>
            </w:tcBorders>
            <w:shd w:val="clear" w:color="auto" w:fill="FFFFFF"/>
            <w:tcMar>
              <w:left w:w="67" w:type="dxa"/>
              <w:right w:w="67" w:type="dxa"/>
            </w:tcMar>
          </w:tcPr>
          <w:p w14:paraId="710E7546" w14:textId="77777777" w:rsidR="009F26C5" w:rsidRPr="00A07B7F" w:rsidRDefault="009F26C5" w:rsidP="009F26C5">
            <w:pPr>
              <w:keepNext/>
              <w:spacing w:after="0" w:line="240" w:lineRule="auto"/>
              <w:rPr>
                <w:rFonts w:eastAsia="Times New Roman"/>
                <w:color w:val="000000"/>
                <w:sz w:val="20"/>
                <w:szCs w:val="20"/>
              </w:rPr>
            </w:pPr>
            <w:r w:rsidRPr="00A07B7F">
              <w:rPr>
                <w:rFonts w:eastAsia="Times New Roman"/>
                <w:bCs/>
                <w:color w:val="000000"/>
                <w:sz w:val="20"/>
                <w:szCs w:val="20"/>
              </w:rPr>
              <w:t>Non-benzodiazepine hypnotic</w:t>
            </w:r>
          </w:p>
        </w:tc>
        <w:tc>
          <w:tcPr>
            <w:tcW w:w="1034" w:type="pct"/>
            <w:tcBorders>
              <w:top w:val="nil"/>
              <w:left w:val="nil"/>
              <w:bottom w:val="nil"/>
              <w:right w:val="nil"/>
            </w:tcBorders>
            <w:shd w:val="clear" w:color="auto" w:fill="FFFFFF"/>
            <w:tcMar>
              <w:left w:w="67" w:type="dxa"/>
              <w:right w:w="67" w:type="dxa"/>
            </w:tcMar>
          </w:tcPr>
          <w:p w14:paraId="52B5E408" w14:textId="59ACAD8B" w:rsidR="009F26C5" w:rsidRPr="00BF49C1" w:rsidRDefault="00BF49C1" w:rsidP="0052463D">
            <w:pPr>
              <w:keepNext/>
              <w:spacing w:after="0" w:line="240" w:lineRule="auto"/>
              <w:jc w:val="right"/>
              <w:rPr>
                <w:rFonts w:eastAsia="Times New Roman"/>
                <w:color w:val="000000"/>
                <w:sz w:val="20"/>
                <w:szCs w:val="20"/>
              </w:rPr>
            </w:pPr>
            <w:r>
              <w:rPr>
                <w:rFonts w:eastAsia="Times New Roman"/>
                <w:color w:val="000000"/>
                <w:sz w:val="20"/>
                <w:szCs w:val="20"/>
              </w:rPr>
              <w:t>6</w:t>
            </w:r>
            <w:r w:rsidR="009F26C5" w:rsidRPr="00BF49C1">
              <w:rPr>
                <w:rFonts w:eastAsia="Times New Roman"/>
                <w:color w:val="000000"/>
                <w:sz w:val="20"/>
                <w:szCs w:val="20"/>
              </w:rPr>
              <w:t xml:space="preserve"> (2.</w:t>
            </w:r>
            <w:r w:rsidR="00E32FBA">
              <w:rPr>
                <w:rFonts w:eastAsia="Times New Roman"/>
                <w:color w:val="000000"/>
                <w:sz w:val="20"/>
                <w:szCs w:val="20"/>
              </w:rPr>
              <w:t>1</w:t>
            </w:r>
            <w:r w:rsidR="009F26C5" w:rsidRPr="00BF49C1">
              <w:rPr>
                <w:rFonts w:eastAsia="Times New Roman"/>
                <w:color w:val="000000"/>
                <w:sz w:val="20"/>
                <w:szCs w:val="20"/>
              </w:rPr>
              <w:t>%)</w:t>
            </w:r>
          </w:p>
        </w:tc>
        <w:tc>
          <w:tcPr>
            <w:tcW w:w="983" w:type="pct"/>
            <w:tcBorders>
              <w:top w:val="nil"/>
              <w:left w:val="nil"/>
              <w:bottom w:val="nil"/>
              <w:right w:val="nil"/>
            </w:tcBorders>
            <w:shd w:val="clear" w:color="auto" w:fill="FFFFFF"/>
            <w:tcMar>
              <w:left w:w="67" w:type="dxa"/>
              <w:right w:w="67" w:type="dxa"/>
            </w:tcMar>
          </w:tcPr>
          <w:p w14:paraId="26F9EC70" w14:textId="483C4FAF" w:rsidR="009F26C5" w:rsidRPr="00BF49C1" w:rsidRDefault="00BF49C1" w:rsidP="0052463D">
            <w:pPr>
              <w:keepNext/>
              <w:spacing w:after="0" w:line="240" w:lineRule="auto"/>
              <w:jc w:val="right"/>
              <w:rPr>
                <w:rFonts w:eastAsia="Times New Roman"/>
                <w:color w:val="000000"/>
                <w:sz w:val="20"/>
                <w:szCs w:val="20"/>
              </w:rPr>
            </w:pPr>
            <w:r>
              <w:rPr>
                <w:rFonts w:eastAsia="Times New Roman"/>
                <w:color w:val="000000"/>
                <w:sz w:val="20"/>
                <w:szCs w:val="20"/>
              </w:rPr>
              <w:t>3</w:t>
            </w:r>
            <w:r w:rsidR="009F26C5" w:rsidRPr="00BF49C1">
              <w:rPr>
                <w:rFonts w:eastAsia="Times New Roman"/>
                <w:color w:val="000000"/>
                <w:sz w:val="20"/>
                <w:szCs w:val="20"/>
              </w:rPr>
              <w:t xml:space="preserve"> (</w:t>
            </w:r>
            <w:r w:rsidR="00E32FBA">
              <w:rPr>
                <w:rFonts w:eastAsia="Times New Roman"/>
                <w:color w:val="000000"/>
                <w:sz w:val="20"/>
                <w:szCs w:val="20"/>
              </w:rPr>
              <w:t>0.8</w:t>
            </w:r>
            <w:r w:rsidR="009F26C5" w:rsidRPr="00BF49C1">
              <w:rPr>
                <w:rFonts w:eastAsia="Times New Roman"/>
                <w:color w:val="000000"/>
                <w:sz w:val="20"/>
                <w:szCs w:val="20"/>
              </w:rPr>
              <w:t>%)</w:t>
            </w:r>
          </w:p>
        </w:tc>
        <w:tc>
          <w:tcPr>
            <w:tcW w:w="1051" w:type="pct"/>
            <w:tcBorders>
              <w:top w:val="nil"/>
              <w:left w:val="nil"/>
              <w:bottom w:val="nil"/>
            </w:tcBorders>
            <w:shd w:val="clear" w:color="auto" w:fill="FFFFFF"/>
            <w:tcMar>
              <w:left w:w="67" w:type="dxa"/>
              <w:right w:w="67" w:type="dxa"/>
            </w:tcMar>
          </w:tcPr>
          <w:p w14:paraId="5CF03CE2" w14:textId="3A6F285B" w:rsidR="009F26C5" w:rsidRPr="00BF49C1" w:rsidRDefault="00BF49C1" w:rsidP="0052463D">
            <w:pPr>
              <w:keepNext/>
              <w:spacing w:after="0" w:line="240" w:lineRule="auto"/>
              <w:jc w:val="right"/>
              <w:rPr>
                <w:rFonts w:eastAsia="Times New Roman"/>
                <w:color w:val="000000"/>
                <w:sz w:val="20"/>
                <w:szCs w:val="20"/>
              </w:rPr>
            </w:pPr>
            <w:r>
              <w:rPr>
                <w:rFonts w:eastAsia="Times New Roman"/>
                <w:color w:val="000000"/>
                <w:sz w:val="20"/>
                <w:szCs w:val="20"/>
              </w:rPr>
              <w:t>9</w:t>
            </w:r>
            <w:r w:rsidR="009F26C5" w:rsidRPr="00BF49C1">
              <w:rPr>
                <w:rFonts w:eastAsia="Times New Roman"/>
                <w:color w:val="000000"/>
                <w:sz w:val="20"/>
                <w:szCs w:val="20"/>
              </w:rPr>
              <w:t xml:space="preserve"> (1.</w:t>
            </w:r>
            <w:r w:rsidR="00E32FBA">
              <w:rPr>
                <w:rFonts w:eastAsia="Times New Roman"/>
                <w:color w:val="000000"/>
                <w:sz w:val="20"/>
                <w:szCs w:val="20"/>
              </w:rPr>
              <w:t>3</w:t>
            </w:r>
            <w:r w:rsidR="009F26C5" w:rsidRPr="00BF49C1">
              <w:rPr>
                <w:rFonts w:eastAsia="Times New Roman"/>
                <w:color w:val="000000"/>
                <w:sz w:val="20"/>
                <w:szCs w:val="20"/>
              </w:rPr>
              <w:t>%)</w:t>
            </w:r>
          </w:p>
        </w:tc>
      </w:tr>
      <w:tr w:rsidR="009F26C5" w:rsidRPr="00563AD3" w14:paraId="5CD7EE14" w14:textId="77777777" w:rsidTr="00DE6B62">
        <w:trPr>
          <w:cantSplit/>
          <w:jc w:val="center"/>
        </w:trPr>
        <w:tc>
          <w:tcPr>
            <w:tcW w:w="1932" w:type="pct"/>
            <w:tcBorders>
              <w:top w:val="nil"/>
              <w:bottom w:val="single" w:sz="4" w:space="0" w:color="auto"/>
              <w:right w:val="nil"/>
            </w:tcBorders>
            <w:shd w:val="clear" w:color="auto" w:fill="FFFFFF"/>
            <w:tcMar>
              <w:left w:w="67" w:type="dxa"/>
              <w:right w:w="67" w:type="dxa"/>
            </w:tcMar>
          </w:tcPr>
          <w:p w14:paraId="0491B6F7" w14:textId="77777777" w:rsidR="009F26C5" w:rsidRPr="00563AD3" w:rsidRDefault="009F26C5" w:rsidP="009F26C5">
            <w:pPr>
              <w:keepNext/>
              <w:spacing w:after="0" w:line="240" w:lineRule="auto"/>
              <w:rPr>
                <w:rFonts w:eastAsia="Times New Roman"/>
                <w:color w:val="000000"/>
                <w:sz w:val="20"/>
                <w:szCs w:val="20"/>
              </w:rPr>
            </w:pPr>
            <w:r w:rsidRPr="00563AD3">
              <w:rPr>
                <w:rFonts w:eastAsia="Times New Roman"/>
                <w:bCs/>
                <w:color w:val="000000"/>
                <w:sz w:val="20"/>
                <w:szCs w:val="20"/>
              </w:rPr>
              <w:t>Pain relief</w:t>
            </w:r>
          </w:p>
        </w:tc>
        <w:tc>
          <w:tcPr>
            <w:tcW w:w="1034" w:type="pct"/>
            <w:tcBorders>
              <w:top w:val="nil"/>
              <w:left w:val="nil"/>
              <w:bottom w:val="single" w:sz="4" w:space="0" w:color="auto"/>
              <w:right w:val="nil"/>
            </w:tcBorders>
            <w:shd w:val="clear" w:color="auto" w:fill="FFFFFF"/>
            <w:tcMar>
              <w:left w:w="67" w:type="dxa"/>
              <w:right w:w="67" w:type="dxa"/>
            </w:tcMar>
          </w:tcPr>
          <w:p w14:paraId="6524E131" w14:textId="2C9FF63F" w:rsidR="009F26C5" w:rsidRPr="00563AD3" w:rsidRDefault="009F26C5" w:rsidP="00CA1821">
            <w:pPr>
              <w:keepNext/>
              <w:spacing w:after="0" w:line="240" w:lineRule="auto"/>
              <w:jc w:val="right"/>
              <w:rPr>
                <w:rFonts w:eastAsia="Times New Roman"/>
                <w:color w:val="000000"/>
                <w:sz w:val="20"/>
                <w:szCs w:val="20"/>
              </w:rPr>
            </w:pPr>
            <w:r w:rsidRPr="00563AD3">
              <w:rPr>
                <w:rFonts w:eastAsia="Times New Roman"/>
                <w:color w:val="000000"/>
                <w:sz w:val="20"/>
                <w:szCs w:val="20"/>
              </w:rPr>
              <w:t>90 (</w:t>
            </w:r>
            <w:r w:rsidR="00CA1821">
              <w:rPr>
                <w:rFonts w:eastAsia="Times New Roman"/>
                <w:color w:val="000000"/>
                <w:sz w:val="20"/>
                <w:szCs w:val="20"/>
              </w:rPr>
              <w:t>31.4</w:t>
            </w:r>
            <w:r w:rsidRPr="00563AD3">
              <w:rPr>
                <w:rFonts w:eastAsia="Times New Roman"/>
                <w:color w:val="000000"/>
                <w:sz w:val="20"/>
                <w:szCs w:val="20"/>
              </w:rPr>
              <w:t>%)</w:t>
            </w:r>
          </w:p>
        </w:tc>
        <w:tc>
          <w:tcPr>
            <w:tcW w:w="983" w:type="pct"/>
            <w:tcBorders>
              <w:top w:val="nil"/>
              <w:left w:val="nil"/>
              <w:bottom w:val="single" w:sz="4" w:space="0" w:color="auto"/>
              <w:right w:val="nil"/>
            </w:tcBorders>
            <w:shd w:val="clear" w:color="auto" w:fill="FFFFFF"/>
            <w:tcMar>
              <w:left w:w="67" w:type="dxa"/>
              <w:right w:w="67" w:type="dxa"/>
            </w:tcMar>
          </w:tcPr>
          <w:p w14:paraId="52E00F3C" w14:textId="592A4665" w:rsidR="009F26C5" w:rsidRPr="00563AD3" w:rsidRDefault="009F26C5" w:rsidP="0052463D">
            <w:pPr>
              <w:keepNext/>
              <w:spacing w:after="0" w:line="240" w:lineRule="auto"/>
              <w:jc w:val="right"/>
              <w:rPr>
                <w:rFonts w:eastAsia="Times New Roman"/>
                <w:color w:val="000000"/>
                <w:sz w:val="20"/>
                <w:szCs w:val="20"/>
              </w:rPr>
            </w:pPr>
            <w:r w:rsidRPr="00563AD3">
              <w:rPr>
                <w:rFonts w:eastAsia="Times New Roman"/>
                <w:color w:val="000000"/>
                <w:sz w:val="20"/>
                <w:szCs w:val="20"/>
              </w:rPr>
              <w:t>13</w:t>
            </w:r>
            <w:r w:rsidR="00BF49C1">
              <w:rPr>
                <w:rFonts w:eastAsia="Times New Roman"/>
                <w:color w:val="000000"/>
                <w:sz w:val="20"/>
                <w:szCs w:val="20"/>
              </w:rPr>
              <w:t>8</w:t>
            </w:r>
            <w:r w:rsidRPr="00563AD3">
              <w:rPr>
                <w:rFonts w:eastAsia="Times New Roman"/>
                <w:color w:val="000000"/>
                <w:sz w:val="20"/>
                <w:szCs w:val="20"/>
              </w:rPr>
              <w:t xml:space="preserve"> (3</w:t>
            </w:r>
            <w:r w:rsidR="00CA1821">
              <w:rPr>
                <w:rFonts w:eastAsia="Times New Roman"/>
                <w:color w:val="000000"/>
                <w:sz w:val="20"/>
                <w:szCs w:val="20"/>
              </w:rPr>
              <w:t>5.6</w:t>
            </w:r>
            <w:r w:rsidRPr="00563AD3">
              <w:rPr>
                <w:rFonts w:eastAsia="Times New Roman"/>
                <w:color w:val="000000"/>
                <w:sz w:val="20"/>
                <w:szCs w:val="20"/>
              </w:rPr>
              <w:t xml:space="preserve">%) </w:t>
            </w:r>
          </w:p>
        </w:tc>
        <w:tc>
          <w:tcPr>
            <w:tcW w:w="1051" w:type="pct"/>
            <w:tcBorders>
              <w:top w:val="nil"/>
              <w:left w:val="nil"/>
              <w:bottom w:val="single" w:sz="4" w:space="0" w:color="auto"/>
            </w:tcBorders>
            <w:shd w:val="clear" w:color="auto" w:fill="FFFFFF"/>
            <w:tcMar>
              <w:left w:w="67" w:type="dxa"/>
              <w:right w:w="67" w:type="dxa"/>
            </w:tcMar>
          </w:tcPr>
          <w:p w14:paraId="78B542FD" w14:textId="4F9E081F" w:rsidR="009F26C5" w:rsidRPr="00563AD3" w:rsidRDefault="009F26C5" w:rsidP="00CA1821">
            <w:pPr>
              <w:keepNext/>
              <w:spacing w:after="0" w:line="240" w:lineRule="auto"/>
              <w:jc w:val="right"/>
              <w:rPr>
                <w:rFonts w:eastAsia="Times New Roman"/>
                <w:color w:val="000000"/>
                <w:sz w:val="20"/>
                <w:szCs w:val="20"/>
              </w:rPr>
            </w:pPr>
            <w:r w:rsidRPr="00563AD3">
              <w:rPr>
                <w:rFonts w:eastAsia="Times New Roman"/>
                <w:color w:val="000000"/>
                <w:sz w:val="20"/>
                <w:szCs w:val="20"/>
              </w:rPr>
              <w:t>22</w:t>
            </w:r>
            <w:r w:rsidR="00BF49C1">
              <w:rPr>
                <w:rFonts w:eastAsia="Times New Roman"/>
                <w:color w:val="000000"/>
                <w:sz w:val="20"/>
                <w:szCs w:val="20"/>
              </w:rPr>
              <w:t>8</w:t>
            </w:r>
            <w:r w:rsidRPr="00563AD3">
              <w:rPr>
                <w:rFonts w:eastAsia="Times New Roman"/>
                <w:color w:val="000000"/>
                <w:sz w:val="20"/>
                <w:szCs w:val="20"/>
              </w:rPr>
              <w:t xml:space="preserve"> (</w:t>
            </w:r>
            <w:r w:rsidR="00CA1821">
              <w:rPr>
                <w:rFonts w:eastAsia="Times New Roman"/>
                <w:color w:val="000000"/>
                <w:sz w:val="20"/>
                <w:szCs w:val="20"/>
              </w:rPr>
              <w:t>33.8</w:t>
            </w:r>
            <w:r w:rsidRPr="00563AD3">
              <w:rPr>
                <w:rFonts w:eastAsia="Times New Roman"/>
                <w:color w:val="000000"/>
                <w:sz w:val="20"/>
                <w:szCs w:val="20"/>
              </w:rPr>
              <w:t xml:space="preserve">%) </w:t>
            </w:r>
          </w:p>
        </w:tc>
      </w:tr>
      <w:tr w:rsidR="009F26C5" w:rsidRPr="00563AD3" w14:paraId="2BF8141A" w14:textId="77777777" w:rsidTr="00DE6B62">
        <w:trPr>
          <w:cantSplit/>
          <w:jc w:val="center"/>
        </w:trPr>
        <w:tc>
          <w:tcPr>
            <w:tcW w:w="5000" w:type="pct"/>
            <w:gridSpan w:val="4"/>
            <w:tcBorders>
              <w:top w:val="single" w:sz="4" w:space="0" w:color="auto"/>
              <w:bottom w:val="nil"/>
            </w:tcBorders>
            <w:shd w:val="clear" w:color="auto" w:fill="FFFFFF"/>
            <w:tcMar>
              <w:left w:w="67" w:type="dxa"/>
              <w:right w:w="67" w:type="dxa"/>
            </w:tcMar>
          </w:tcPr>
          <w:p w14:paraId="6860B6FC" w14:textId="2F846AA7" w:rsidR="009F26C5" w:rsidRDefault="0052463D" w:rsidP="009F26C5">
            <w:pPr>
              <w:keepNext/>
              <w:spacing w:after="0" w:line="240" w:lineRule="auto"/>
              <w:rPr>
                <w:rFonts w:eastAsia="Times New Roman"/>
                <w:bCs/>
                <w:color w:val="000000"/>
                <w:sz w:val="18"/>
                <w:szCs w:val="18"/>
              </w:rPr>
            </w:pPr>
            <w:r>
              <w:rPr>
                <w:rFonts w:eastAsia="Times New Roman"/>
                <w:bCs/>
                <w:color w:val="000000"/>
                <w:sz w:val="18"/>
                <w:szCs w:val="18"/>
              </w:rPr>
              <w:t>Frequencies are given out of those in t</w:t>
            </w:r>
            <w:r w:rsidR="003202D0">
              <w:rPr>
                <w:rFonts w:eastAsia="Times New Roman"/>
                <w:bCs/>
                <w:color w:val="000000"/>
                <w:sz w:val="18"/>
                <w:szCs w:val="18"/>
              </w:rPr>
              <w:t>he respective</w:t>
            </w:r>
            <w:r>
              <w:rPr>
                <w:rFonts w:eastAsia="Times New Roman"/>
                <w:bCs/>
                <w:color w:val="000000"/>
                <w:sz w:val="18"/>
                <w:szCs w:val="18"/>
              </w:rPr>
              <w:t xml:space="preserve"> samples, assuming the missing data reflects no prescriptions. </w:t>
            </w:r>
            <w:r w:rsidR="009F26C5" w:rsidRPr="00563AD3">
              <w:rPr>
                <w:rFonts w:eastAsia="Times New Roman"/>
                <w:bCs/>
                <w:color w:val="000000"/>
                <w:sz w:val="18"/>
                <w:szCs w:val="18"/>
              </w:rPr>
              <w:t>No PRN anticonvulsants, no PRN mood stabilisers and no PRN non-benzodiazepine anxiolytics were prescribed for any residents at any time-points.</w:t>
            </w:r>
          </w:p>
          <w:p w14:paraId="62D54D01" w14:textId="65397595" w:rsidR="00682841" w:rsidRPr="00563AD3" w:rsidRDefault="00682841" w:rsidP="009F26C5">
            <w:pPr>
              <w:keepNext/>
              <w:spacing w:after="0" w:line="240" w:lineRule="auto"/>
              <w:rPr>
                <w:rFonts w:eastAsia="Times New Roman"/>
                <w:color w:val="000000"/>
                <w:sz w:val="18"/>
                <w:szCs w:val="18"/>
              </w:rPr>
            </w:pPr>
          </w:p>
        </w:tc>
      </w:tr>
    </w:tbl>
    <w:p w14:paraId="18EF7DCE" w14:textId="77777777" w:rsidR="003C2700" w:rsidRDefault="003C2700" w:rsidP="00682841">
      <w:pPr>
        <w:pStyle w:val="Tableheading"/>
        <w:rPr>
          <w:rFonts w:eastAsia="Calibri"/>
          <w:lang w:eastAsia="en-US"/>
        </w:rPr>
      </w:pPr>
    </w:p>
    <w:p w14:paraId="17D3FEC6" w14:textId="77777777" w:rsidR="003C2700" w:rsidRDefault="003C2700">
      <w:pPr>
        <w:autoSpaceDE/>
        <w:autoSpaceDN/>
        <w:adjustRightInd/>
        <w:spacing w:line="259" w:lineRule="auto"/>
        <w:rPr>
          <w:rFonts w:eastAsia="Calibri"/>
          <w:b/>
          <w:lang w:eastAsia="en-US"/>
        </w:rPr>
      </w:pPr>
      <w:r>
        <w:rPr>
          <w:rFonts w:eastAsia="Calibri"/>
          <w:lang w:eastAsia="en-US"/>
        </w:rPr>
        <w:br w:type="page"/>
      </w:r>
    </w:p>
    <w:p w14:paraId="4A13096B" w14:textId="36B9FAB7" w:rsidR="00682841" w:rsidRPr="00563AD3" w:rsidRDefault="00682841" w:rsidP="00682841">
      <w:pPr>
        <w:pStyle w:val="Tableheading"/>
        <w:rPr>
          <w:rFonts w:eastAsia="Calibri"/>
          <w:bCs/>
          <w:szCs w:val="18"/>
          <w:lang w:eastAsia="en-US"/>
        </w:rPr>
      </w:pPr>
      <w:bookmarkStart w:id="177" w:name="_Toc948211"/>
      <w:r w:rsidRPr="00563AD3">
        <w:rPr>
          <w:rFonts w:eastAsia="Calibri"/>
          <w:lang w:eastAsia="en-US"/>
        </w:rPr>
        <w:t>Table 14 Unadjusted quality of life scores by resident sample and time-point</w:t>
      </w:r>
      <w:bookmarkEnd w:id="177"/>
    </w:p>
    <w:tbl>
      <w:tblPr>
        <w:tblW w:w="4241" w:type="pct"/>
        <w:jc w:val="center"/>
        <w:tblCellMar>
          <w:left w:w="0" w:type="dxa"/>
          <w:right w:w="0" w:type="dxa"/>
        </w:tblCellMar>
        <w:tblLook w:val="0000" w:firstRow="0" w:lastRow="0" w:firstColumn="0" w:lastColumn="0" w:noHBand="0" w:noVBand="0"/>
      </w:tblPr>
      <w:tblGrid>
        <w:gridCol w:w="2551"/>
        <w:gridCol w:w="1701"/>
        <w:gridCol w:w="1704"/>
        <w:gridCol w:w="1700"/>
      </w:tblGrid>
      <w:tr w:rsidR="00682841" w:rsidRPr="00563AD3" w14:paraId="2B19EAAE" w14:textId="77777777" w:rsidTr="00DE6B62">
        <w:trPr>
          <w:cantSplit/>
          <w:tblHeader/>
          <w:jc w:val="center"/>
        </w:trPr>
        <w:tc>
          <w:tcPr>
            <w:tcW w:w="5000" w:type="pct"/>
            <w:gridSpan w:val="4"/>
            <w:tcBorders>
              <w:top w:val="single" w:sz="4" w:space="0" w:color="auto"/>
              <w:bottom w:val="single" w:sz="4" w:space="0" w:color="000000"/>
            </w:tcBorders>
            <w:shd w:val="clear" w:color="auto" w:fill="F2F2F2"/>
            <w:tcMar>
              <w:left w:w="67" w:type="dxa"/>
              <w:right w:w="67" w:type="dxa"/>
            </w:tcMar>
            <w:vAlign w:val="bottom"/>
          </w:tcPr>
          <w:p w14:paraId="575D2323" w14:textId="77777777" w:rsidR="00682841" w:rsidRPr="00563AD3" w:rsidRDefault="00682841" w:rsidP="00DE6B62">
            <w:pPr>
              <w:keepNext/>
              <w:spacing w:after="0" w:line="240" w:lineRule="auto"/>
              <w:rPr>
                <w:rFonts w:eastAsia="Times New Roman"/>
                <w:b/>
                <w:bCs/>
                <w:color w:val="000000"/>
                <w:sz w:val="20"/>
                <w:szCs w:val="20"/>
              </w:rPr>
            </w:pPr>
            <w:r w:rsidRPr="00563AD3">
              <w:rPr>
                <w:rFonts w:eastAsia="Times New Roman"/>
                <w:b/>
                <w:bCs/>
                <w:color w:val="000000"/>
                <w:sz w:val="20"/>
                <w:szCs w:val="20"/>
              </w:rPr>
              <w:t>CLOSED-COHORT</w:t>
            </w:r>
          </w:p>
        </w:tc>
      </w:tr>
      <w:tr w:rsidR="00682841" w:rsidRPr="00563AD3" w14:paraId="39CBFF99" w14:textId="77777777" w:rsidTr="00DE6B62">
        <w:trPr>
          <w:cantSplit/>
          <w:tblHeader/>
          <w:jc w:val="center"/>
        </w:trPr>
        <w:tc>
          <w:tcPr>
            <w:tcW w:w="1666" w:type="pct"/>
            <w:tcBorders>
              <w:top w:val="single" w:sz="4" w:space="0" w:color="auto"/>
              <w:bottom w:val="single" w:sz="4" w:space="0" w:color="000000"/>
              <w:right w:val="nil"/>
            </w:tcBorders>
            <w:shd w:val="clear" w:color="auto" w:fill="FFFFFF"/>
            <w:tcMar>
              <w:left w:w="67" w:type="dxa"/>
              <w:right w:w="67" w:type="dxa"/>
            </w:tcMar>
            <w:vAlign w:val="bottom"/>
          </w:tcPr>
          <w:p w14:paraId="1C4CDD72" w14:textId="77777777" w:rsidR="00682841" w:rsidRPr="00563AD3" w:rsidRDefault="00682841" w:rsidP="00DE6B62">
            <w:pPr>
              <w:keepNext/>
              <w:spacing w:after="0" w:line="240" w:lineRule="auto"/>
              <w:rPr>
                <w:rFonts w:eastAsia="Times New Roman"/>
                <w:bCs/>
                <w:color w:val="000000"/>
                <w:sz w:val="20"/>
                <w:szCs w:val="20"/>
              </w:rPr>
            </w:pPr>
            <w:r w:rsidRPr="00563AD3">
              <w:rPr>
                <w:rFonts w:eastAsia="Times New Roman"/>
                <w:bCs/>
                <w:color w:val="000000"/>
                <w:sz w:val="20"/>
                <w:szCs w:val="20"/>
              </w:rPr>
              <w:t>Mean (SD) N</w:t>
            </w:r>
          </w:p>
        </w:tc>
        <w:tc>
          <w:tcPr>
            <w:tcW w:w="1111" w:type="pct"/>
            <w:tcBorders>
              <w:top w:val="single" w:sz="4" w:space="0" w:color="auto"/>
              <w:left w:val="nil"/>
              <w:bottom w:val="single" w:sz="4" w:space="0" w:color="000000"/>
              <w:right w:val="nil"/>
            </w:tcBorders>
            <w:shd w:val="clear" w:color="auto" w:fill="FFFFFF"/>
            <w:tcMar>
              <w:left w:w="67" w:type="dxa"/>
              <w:right w:w="67" w:type="dxa"/>
            </w:tcMar>
            <w:vAlign w:val="bottom"/>
          </w:tcPr>
          <w:p w14:paraId="4BD815C9" w14:textId="77777777" w:rsidR="00682841" w:rsidRPr="00563AD3" w:rsidRDefault="00682841" w:rsidP="00DE6B62">
            <w:pPr>
              <w:keepNext/>
              <w:spacing w:after="0" w:line="240" w:lineRule="auto"/>
              <w:jc w:val="center"/>
              <w:rPr>
                <w:rFonts w:eastAsia="Times New Roman"/>
                <w:b/>
                <w:bCs/>
                <w:color w:val="000000"/>
                <w:sz w:val="20"/>
                <w:szCs w:val="20"/>
              </w:rPr>
            </w:pPr>
            <w:r w:rsidRPr="00563AD3">
              <w:rPr>
                <w:rFonts w:eastAsia="Times New Roman"/>
                <w:b/>
                <w:bCs/>
                <w:color w:val="000000"/>
                <w:sz w:val="20"/>
                <w:szCs w:val="20"/>
              </w:rPr>
              <w:t>Control</w:t>
            </w:r>
            <w:r w:rsidRPr="00563AD3">
              <w:rPr>
                <w:rFonts w:eastAsia="Times New Roman"/>
                <w:b/>
                <w:bCs/>
                <w:color w:val="000000"/>
                <w:sz w:val="20"/>
                <w:szCs w:val="20"/>
              </w:rPr>
              <w:br/>
              <w:t>(n = 308)</w:t>
            </w:r>
          </w:p>
        </w:tc>
        <w:tc>
          <w:tcPr>
            <w:tcW w:w="1113" w:type="pct"/>
            <w:tcBorders>
              <w:top w:val="single" w:sz="4" w:space="0" w:color="auto"/>
              <w:left w:val="nil"/>
              <w:bottom w:val="single" w:sz="4" w:space="0" w:color="000000"/>
              <w:right w:val="nil"/>
            </w:tcBorders>
            <w:shd w:val="clear" w:color="auto" w:fill="FFFFFF"/>
            <w:tcMar>
              <w:left w:w="67" w:type="dxa"/>
              <w:right w:w="67" w:type="dxa"/>
            </w:tcMar>
            <w:vAlign w:val="bottom"/>
          </w:tcPr>
          <w:p w14:paraId="3BC8A2C7" w14:textId="77777777" w:rsidR="00682841" w:rsidRPr="00563AD3" w:rsidRDefault="00682841" w:rsidP="00DE6B62">
            <w:pPr>
              <w:keepNext/>
              <w:spacing w:after="0" w:line="240" w:lineRule="auto"/>
              <w:jc w:val="center"/>
              <w:rPr>
                <w:rFonts w:eastAsia="Times New Roman"/>
                <w:b/>
                <w:bCs/>
                <w:color w:val="000000"/>
                <w:sz w:val="20"/>
                <w:szCs w:val="20"/>
              </w:rPr>
            </w:pPr>
            <w:r w:rsidRPr="00563AD3">
              <w:rPr>
                <w:rFonts w:eastAsia="Times New Roman"/>
                <w:b/>
                <w:bCs/>
                <w:color w:val="000000"/>
                <w:sz w:val="20"/>
                <w:szCs w:val="20"/>
              </w:rPr>
              <w:t>Intervention</w:t>
            </w:r>
            <w:r w:rsidRPr="00563AD3">
              <w:rPr>
                <w:rFonts w:eastAsia="Times New Roman"/>
                <w:b/>
                <w:bCs/>
                <w:color w:val="000000"/>
                <w:sz w:val="20"/>
                <w:szCs w:val="20"/>
              </w:rPr>
              <w:br/>
              <w:t>(n = 418)</w:t>
            </w:r>
          </w:p>
        </w:tc>
        <w:tc>
          <w:tcPr>
            <w:tcW w:w="1110" w:type="pct"/>
            <w:tcBorders>
              <w:top w:val="single" w:sz="4" w:space="0" w:color="auto"/>
              <w:left w:val="nil"/>
              <w:bottom w:val="single" w:sz="4" w:space="0" w:color="000000"/>
            </w:tcBorders>
            <w:shd w:val="clear" w:color="auto" w:fill="FFFFFF"/>
            <w:tcMar>
              <w:left w:w="67" w:type="dxa"/>
              <w:right w:w="67" w:type="dxa"/>
            </w:tcMar>
            <w:vAlign w:val="bottom"/>
          </w:tcPr>
          <w:p w14:paraId="1B196F35" w14:textId="77777777" w:rsidR="00682841" w:rsidRPr="00563AD3" w:rsidRDefault="00682841" w:rsidP="00DE6B62">
            <w:pPr>
              <w:keepNext/>
              <w:spacing w:after="0" w:line="240" w:lineRule="auto"/>
              <w:jc w:val="center"/>
              <w:rPr>
                <w:rFonts w:eastAsia="Times New Roman"/>
                <w:b/>
                <w:bCs/>
                <w:color w:val="000000"/>
                <w:sz w:val="20"/>
                <w:szCs w:val="20"/>
              </w:rPr>
            </w:pPr>
            <w:r w:rsidRPr="00563AD3">
              <w:rPr>
                <w:rFonts w:eastAsia="Times New Roman"/>
                <w:b/>
                <w:bCs/>
                <w:color w:val="000000"/>
                <w:sz w:val="20"/>
                <w:szCs w:val="20"/>
              </w:rPr>
              <w:t>Total</w:t>
            </w:r>
            <w:r w:rsidRPr="00563AD3">
              <w:rPr>
                <w:rFonts w:eastAsia="Times New Roman"/>
                <w:b/>
                <w:bCs/>
                <w:color w:val="000000"/>
                <w:sz w:val="20"/>
                <w:szCs w:val="20"/>
              </w:rPr>
              <w:br/>
              <w:t>(n = 726)</w:t>
            </w:r>
          </w:p>
        </w:tc>
      </w:tr>
      <w:tr w:rsidR="00682841" w:rsidRPr="00563AD3" w14:paraId="1E210F8C" w14:textId="77777777" w:rsidTr="00DE6B62">
        <w:trPr>
          <w:cantSplit/>
          <w:jc w:val="center"/>
        </w:trPr>
        <w:tc>
          <w:tcPr>
            <w:tcW w:w="1666" w:type="pct"/>
            <w:tcBorders>
              <w:top w:val="nil"/>
              <w:right w:val="nil"/>
            </w:tcBorders>
            <w:shd w:val="clear" w:color="auto" w:fill="FFFFFF"/>
            <w:tcMar>
              <w:left w:w="67" w:type="dxa"/>
              <w:right w:w="67" w:type="dxa"/>
            </w:tcMar>
          </w:tcPr>
          <w:p w14:paraId="62196506" w14:textId="77777777" w:rsidR="00682841" w:rsidRPr="00563AD3" w:rsidRDefault="00682841" w:rsidP="00DE6B62">
            <w:pPr>
              <w:spacing w:after="0" w:line="240" w:lineRule="auto"/>
              <w:rPr>
                <w:rFonts w:eastAsia="Times New Roman"/>
                <w:b/>
                <w:bCs/>
                <w:color w:val="000000"/>
                <w:sz w:val="20"/>
                <w:szCs w:val="20"/>
              </w:rPr>
            </w:pPr>
            <w:r w:rsidRPr="00563AD3">
              <w:rPr>
                <w:rFonts w:eastAsia="Times New Roman"/>
                <w:b/>
                <w:bCs/>
                <w:color w:val="000000"/>
                <w:sz w:val="20"/>
                <w:szCs w:val="20"/>
              </w:rPr>
              <w:t>Baseline</w:t>
            </w:r>
          </w:p>
        </w:tc>
        <w:tc>
          <w:tcPr>
            <w:tcW w:w="3334" w:type="pct"/>
            <w:gridSpan w:val="3"/>
            <w:tcBorders>
              <w:top w:val="nil"/>
              <w:left w:val="nil"/>
              <w:bottom w:val="nil"/>
            </w:tcBorders>
            <w:shd w:val="clear" w:color="auto" w:fill="FFFFFF"/>
            <w:tcMar>
              <w:left w:w="67" w:type="dxa"/>
              <w:right w:w="67" w:type="dxa"/>
            </w:tcMar>
          </w:tcPr>
          <w:p w14:paraId="03458C39" w14:textId="77777777" w:rsidR="00682841" w:rsidRPr="00563AD3" w:rsidRDefault="00682841" w:rsidP="00DE6B62">
            <w:pPr>
              <w:spacing w:after="0" w:line="240" w:lineRule="auto"/>
              <w:rPr>
                <w:rFonts w:eastAsia="Times New Roman"/>
                <w:b/>
                <w:color w:val="000000"/>
                <w:sz w:val="20"/>
                <w:szCs w:val="20"/>
              </w:rPr>
            </w:pPr>
            <w:r w:rsidRPr="00563AD3">
              <w:rPr>
                <w:rFonts w:eastAsia="Times New Roman"/>
                <w:b/>
                <w:bCs/>
                <w:color w:val="000000"/>
                <w:sz w:val="20"/>
                <w:szCs w:val="20"/>
              </w:rPr>
              <w:t xml:space="preserve">                    </w:t>
            </w:r>
          </w:p>
        </w:tc>
      </w:tr>
      <w:tr w:rsidR="00682841" w:rsidRPr="00563AD3" w14:paraId="74859BD4" w14:textId="77777777" w:rsidTr="00DE6B62">
        <w:trPr>
          <w:cantSplit/>
          <w:jc w:val="center"/>
        </w:trPr>
        <w:tc>
          <w:tcPr>
            <w:tcW w:w="1666" w:type="pct"/>
            <w:tcBorders>
              <w:top w:val="nil"/>
              <w:right w:val="nil"/>
            </w:tcBorders>
            <w:shd w:val="clear" w:color="auto" w:fill="FFFFFF"/>
            <w:tcMar>
              <w:left w:w="67" w:type="dxa"/>
              <w:right w:w="67" w:type="dxa"/>
            </w:tcMar>
          </w:tcPr>
          <w:p w14:paraId="755E211C" w14:textId="7A2F5B18" w:rsidR="00682841" w:rsidRPr="00563AD3" w:rsidRDefault="00682841" w:rsidP="00C718B2">
            <w:pPr>
              <w:spacing w:after="0" w:line="240" w:lineRule="auto"/>
              <w:rPr>
                <w:rFonts w:eastAsia="Times New Roman"/>
                <w:bCs/>
                <w:color w:val="000000"/>
                <w:sz w:val="20"/>
                <w:szCs w:val="20"/>
              </w:rPr>
            </w:pPr>
            <w:r w:rsidRPr="00563AD3">
              <w:rPr>
                <w:rFonts w:eastAsia="Times New Roman"/>
                <w:b/>
                <w:bCs/>
                <w:color w:val="000000"/>
                <w:sz w:val="20"/>
                <w:szCs w:val="20"/>
              </w:rPr>
              <w:t>QUALID</w:t>
            </w:r>
            <w:r w:rsidR="00C718B2">
              <w:rPr>
                <w:rFonts w:eastAsia="Times New Roman"/>
                <w:b/>
                <w:bCs/>
                <w:color w:val="000000"/>
                <w:sz w:val="20"/>
                <w:szCs w:val="20"/>
                <w:vertAlign w:val="superscript"/>
              </w:rPr>
              <w:t>a</w:t>
            </w:r>
            <w:r w:rsidRPr="00563AD3">
              <w:rPr>
                <w:rFonts w:eastAsia="Times New Roman"/>
                <w:b/>
                <w:bCs/>
                <w:color w:val="000000"/>
                <w:sz w:val="20"/>
                <w:szCs w:val="20"/>
              </w:rPr>
              <w:t xml:space="preserve"> Staff-proxy</w:t>
            </w:r>
            <w:r w:rsidRPr="00563AD3">
              <w:rPr>
                <w:rFonts w:eastAsia="Times New Roman"/>
                <w:bCs/>
                <w:color w:val="000000"/>
                <w:sz w:val="20"/>
                <w:szCs w:val="20"/>
              </w:rPr>
              <w:t xml:space="preserve">                          </w:t>
            </w:r>
          </w:p>
        </w:tc>
        <w:tc>
          <w:tcPr>
            <w:tcW w:w="1111" w:type="pct"/>
            <w:tcBorders>
              <w:top w:val="nil"/>
              <w:left w:val="nil"/>
              <w:bottom w:val="nil"/>
              <w:right w:val="nil"/>
            </w:tcBorders>
            <w:shd w:val="clear" w:color="auto" w:fill="FFFFFF"/>
            <w:tcMar>
              <w:left w:w="67" w:type="dxa"/>
              <w:right w:w="67" w:type="dxa"/>
            </w:tcMar>
          </w:tcPr>
          <w:p w14:paraId="3729294E" w14:textId="77777777" w:rsidR="00682841" w:rsidRPr="00563AD3" w:rsidRDefault="00682841" w:rsidP="00DE6B62">
            <w:pPr>
              <w:spacing w:after="0" w:line="240" w:lineRule="auto"/>
              <w:jc w:val="right"/>
              <w:rPr>
                <w:rFonts w:eastAsia="Times New Roman"/>
                <w:b/>
                <w:sz w:val="20"/>
                <w:szCs w:val="20"/>
              </w:rPr>
            </w:pPr>
            <w:r w:rsidRPr="00563AD3">
              <w:rPr>
                <w:rFonts w:eastAsia="Calibri"/>
                <w:b/>
                <w:sz w:val="20"/>
                <w:szCs w:val="20"/>
                <w:lang w:eastAsia="en-US"/>
              </w:rPr>
              <w:t>20.9 (7.19) 308</w:t>
            </w:r>
          </w:p>
        </w:tc>
        <w:tc>
          <w:tcPr>
            <w:tcW w:w="1113" w:type="pct"/>
            <w:tcBorders>
              <w:top w:val="nil"/>
              <w:left w:val="nil"/>
              <w:bottom w:val="nil"/>
              <w:right w:val="nil"/>
            </w:tcBorders>
            <w:shd w:val="clear" w:color="auto" w:fill="FFFFFF"/>
            <w:tcMar>
              <w:left w:w="67" w:type="dxa"/>
              <w:right w:w="67" w:type="dxa"/>
            </w:tcMar>
          </w:tcPr>
          <w:p w14:paraId="4122722C" w14:textId="77777777" w:rsidR="00682841" w:rsidRPr="00563AD3" w:rsidRDefault="00682841" w:rsidP="00DE6B62">
            <w:pPr>
              <w:spacing w:after="0" w:line="240" w:lineRule="auto"/>
              <w:jc w:val="right"/>
              <w:rPr>
                <w:rFonts w:eastAsia="Times New Roman"/>
                <w:b/>
                <w:sz w:val="20"/>
                <w:szCs w:val="20"/>
              </w:rPr>
            </w:pPr>
            <w:r w:rsidRPr="00563AD3">
              <w:rPr>
                <w:rFonts w:eastAsia="Calibri"/>
                <w:b/>
                <w:sz w:val="20"/>
                <w:szCs w:val="20"/>
                <w:lang w:eastAsia="en-US"/>
              </w:rPr>
              <w:t>20.1 (6.76) 418</w:t>
            </w:r>
          </w:p>
        </w:tc>
        <w:tc>
          <w:tcPr>
            <w:tcW w:w="1110" w:type="pct"/>
            <w:tcBorders>
              <w:top w:val="nil"/>
              <w:left w:val="nil"/>
              <w:bottom w:val="nil"/>
            </w:tcBorders>
            <w:shd w:val="clear" w:color="auto" w:fill="FFFFFF"/>
            <w:tcMar>
              <w:left w:w="67" w:type="dxa"/>
              <w:right w:w="67" w:type="dxa"/>
            </w:tcMar>
          </w:tcPr>
          <w:p w14:paraId="6182DDD8" w14:textId="77777777" w:rsidR="00682841" w:rsidRPr="00563AD3" w:rsidRDefault="00682841" w:rsidP="00DE6B62">
            <w:pPr>
              <w:spacing w:after="0" w:line="240" w:lineRule="auto"/>
              <w:jc w:val="right"/>
              <w:rPr>
                <w:rFonts w:eastAsia="Times New Roman"/>
                <w:b/>
                <w:sz w:val="20"/>
                <w:szCs w:val="20"/>
              </w:rPr>
            </w:pPr>
            <w:r w:rsidRPr="00563AD3">
              <w:rPr>
                <w:rFonts w:eastAsia="Calibri"/>
                <w:b/>
                <w:sz w:val="20"/>
                <w:szCs w:val="20"/>
                <w:lang w:eastAsia="en-US"/>
              </w:rPr>
              <w:t>20.5 (6.95) 726</w:t>
            </w:r>
          </w:p>
        </w:tc>
      </w:tr>
      <w:tr w:rsidR="00682841" w:rsidRPr="00563AD3" w14:paraId="58053405" w14:textId="77777777" w:rsidTr="00DE6B62">
        <w:trPr>
          <w:cantSplit/>
          <w:jc w:val="center"/>
        </w:trPr>
        <w:tc>
          <w:tcPr>
            <w:tcW w:w="1666" w:type="pct"/>
            <w:tcBorders>
              <w:top w:val="nil"/>
              <w:bottom w:val="nil"/>
              <w:right w:val="nil"/>
            </w:tcBorders>
            <w:shd w:val="clear" w:color="auto" w:fill="FFFFFF"/>
            <w:tcMar>
              <w:left w:w="67" w:type="dxa"/>
              <w:right w:w="67" w:type="dxa"/>
            </w:tcMar>
          </w:tcPr>
          <w:p w14:paraId="44B81797" w14:textId="77777777" w:rsidR="00682841" w:rsidRPr="00563AD3" w:rsidRDefault="00682841" w:rsidP="00DE6B62">
            <w:pPr>
              <w:spacing w:after="0" w:line="240" w:lineRule="auto"/>
              <w:rPr>
                <w:rFonts w:eastAsia="Times New Roman"/>
                <w:bCs/>
                <w:color w:val="000000"/>
                <w:sz w:val="20"/>
                <w:szCs w:val="20"/>
              </w:rPr>
            </w:pPr>
            <w:r w:rsidRPr="00563AD3">
              <w:rPr>
                <w:rFonts w:eastAsia="Times New Roman"/>
                <w:bCs/>
                <w:color w:val="000000"/>
                <w:sz w:val="20"/>
                <w:szCs w:val="20"/>
              </w:rPr>
              <w:t>QUALID Relative-proxy</w:t>
            </w:r>
          </w:p>
        </w:tc>
        <w:tc>
          <w:tcPr>
            <w:tcW w:w="1111" w:type="pct"/>
            <w:tcBorders>
              <w:top w:val="nil"/>
              <w:left w:val="nil"/>
              <w:bottom w:val="nil"/>
              <w:right w:val="nil"/>
            </w:tcBorders>
            <w:shd w:val="clear" w:color="auto" w:fill="FFFFFF"/>
            <w:tcMar>
              <w:left w:w="67" w:type="dxa"/>
              <w:right w:w="67" w:type="dxa"/>
            </w:tcMar>
          </w:tcPr>
          <w:p w14:paraId="656DD432" w14:textId="77777777" w:rsidR="00682841" w:rsidRPr="00563AD3" w:rsidRDefault="00682841" w:rsidP="00DE6B62">
            <w:pPr>
              <w:spacing w:after="0" w:line="240" w:lineRule="auto"/>
              <w:jc w:val="right"/>
              <w:rPr>
                <w:rFonts w:eastAsia="Times New Roman"/>
                <w:color w:val="000000"/>
                <w:sz w:val="20"/>
                <w:szCs w:val="20"/>
              </w:rPr>
            </w:pPr>
            <w:r w:rsidRPr="00563AD3">
              <w:rPr>
                <w:rFonts w:eastAsia="Calibri"/>
                <w:color w:val="000000"/>
                <w:sz w:val="20"/>
                <w:szCs w:val="20"/>
                <w:lang w:eastAsia="en-US"/>
              </w:rPr>
              <w:t>22.5 (7.49)   82</w:t>
            </w:r>
          </w:p>
        </w:tc>
        <w:tc>
          <w:tcPr>
            <w:tcW w:w="1113" w:type="pct"/>
            <w:tcBorders>
              <w:top w:val="nil"/>
              <w:left w:val="nil"/>
              <w:bottom w:val="nil"/>
              <w:right w:val="nil"/>
            </w:tcBorders>
            <w:shd w:val="clear" w:color="auto" w:fill="FFFFFF"/>
            <w:tcMar>
              <w:left w:w="67" w:type="dxa"/>
              <w:right w:w="67" w:type="dxa"/>
            </w:tcMar>
          </w:tcPr>
          <w:p w14:paraId="417261EC" w14:textId="77777777" w:rsidR="00682841" w:rsidRPr="00563AD3" w:rsidRDefault="00682841" w:rsidP="00DE6B62">
            <w:pPr>
              <w:spacing w:after="0" w:line="240" w:lineRule="auto"/>
              <w:jc w:val="right"/>
              <w:rPr>
                <w:rFonts w:eastAsia="Times New Roman"/>
                <w:color w:val="000000"/>
                <w:sz w:val="20"/>
                <w:szCs w:val="20"/>
              </w:rPr>
            </w:pPr>
            <w:r w:rsidRPr="00563AD3">
              <w:rPr>
                <w:rFonts w:eastAsia="Calibri"/>
                <w:color w:val="000000"/>
                <w:sz w:val="20"/>
                <w:szCs w:val="20"/>
                <w:lang w:eastAsia="en-US"/>
              </w:rPr>
              <w:t>21.6 (6.86)   81</w:t>
            </w:r>
          </w:p>
        </w:tc>
        <w:tc>
          <w:tcPr>
            <w:tcW w:w="1110" w:type="pct"/>
            <w:tcBorders>
              <w:top w:val="nil"/>
              <w:left w:val="nil"/>
              <w:bottom w:val="nil"/>
            </w:tcBorders>
            <w:shd w:val="clear" w:color="auto" w:fill="FFFFFF"/>
            <w:tcMar>
              <w:left w:w="67" w:type="dxa"/>
              <w:right w:w="67" w:type="dxa"/>
            </w:tcMar>
          </w:tcPr>
          <w:p w14:paraId="5C2379D1" w14:textId="77777777" w:rsidR="00682841" w:rsidRPr="00563AD3" w:rsidRDefault="00682841" w:rsidP="00DE6B62">
            <w:pPr>
              <w:spacing w:after="0" w:line="240" w:lineRule="auto"/>
              <w:jc w:val="right"/>
              <w:rPr>
                <w:rFonts w:eastAsia="Times New Roman"/>
                <w:color w:val="000000"/>
                <w:sz w:val="20"/>
                <w:szCs w:val="20"/>
              </w:rPr>
            </w:pPr>
            <w:r w:rsidRPr="00563AD3">
              <w:rPr>
                <w:rFonts w:eastAsia="Calibri"/>
                <w:color w:val="000000"/>
                <w:sz w:val="20"/>
                <w:szCs w:val="20"/>
                <w:lang w:eastAsia="en-US"/>
              </w:rPr>
              <w:t>22.0 (7.18) 163</w:t>
            </w:r>
          </w:p>
        </w:tc>
      </w:tr>
      <w:tr w:rsidR="00682841" w:rsidRPr="00563AD3" w14:paraId="560C6569" w14:textId="77777777" w:rsidTr="00DE6B62">
        <w:trPr>
          <w:cantSplit/>
          <w:jc w:val="center"/>
        </w:trPr>
        <w:tc>
          <w:tcPr>
            <w:tcW w:w="1666" w:type="pct"/>
            <w:tcBorders>
              <w:top w:val="nil"/>
              <w:right w:val="nil"/>
            </w:tcBorders>
            <w:shd w:val="clear" w:color="auto" w:fill="FFFFFF"/>
            <w:tcMar>
              <w:left w:w="67" w:type="dxa"/>
              <w:right w:w="67" w:type="dxa"/>
            </w:tcMar>
          </w:tcPr>
          <w:p w14:paraId="5AA98FA3" w14:textId="7B2C7A19" w:rsidR="00682841" w:rsidRPr="00563AD3" w:rsidRDefault="00682841" w:rsidP="00C718B2">
            <w:pPr>
              <w:spacing w:after="0" w:line="240" w:lineRule="auto"/>
              <w:rPr>
                <w:rFonts w:eastAsia="Times New Roman"/>
                <w:color w:val="000000"/>
                <w:sz w:val="20"/>
                <w:szCs w:val="20"/>
              </w:rPr>
            </w:pPr>
            <w:r w:rsidRPr="00563AD3">
              <w:rPr>
                <w:rFonts w:eastAsia="Times New Roman"/>
                <w:color w:val="000000"/>
                <w:sz w:val="20"/>
                <w:szCs w:val="20"/>
              </w:rPr>
              <w:t>QOL-AD</w:t>
            </w:r>
            <w:r w:rsidR="00C718B2">
              <w:rPr>
                <w:rFonts w:eastAsia="Times New Roman"/>
                <w:color w:val="000000"/>
                <w:sz w:val="20"/>
                <w:szCs w:val="20"/>
                <w:vertAlign w:val="superscript"/>
              </w:rPr>
              <w:t>b</w:t>
            </w:r>
            <w:r w:rsidRPr="00563AD3">
              <w:rPr>
                <w:rFonts w:eastAsia="Times New Roman"/>
                <w:color w:val="000000"/>
                <w:sz w:val="20"/>
                <w:szCs w:val="20"/>
              </w:rPr>
              <w:t xml:space="preserve"> Resident</w:t>
            </w:r>
          </w:p>
        </w:tc>
        <w:tc>
          <w:tcPr>
            <w:tcW w:w="1111" w:type="pct"/>
            <w:tcBorders>
              <w:top w:val="nil"/>
              <w:left w:val="nil"/>
              <w:bottom w:val="nil"/>
              <w:right w:val="nil"/>
            </w:tcBorders>
            <w:shd w:val="clear" w:color="auto" w:fill="FFFFFF"/>
            <w:tcMar>
              <w:left w:w="67" w:type="dxa"/>
              <w:right w:w="67" w:type="dxa"/>
            </w:tcMar>
          </w:tcPr>
          <w:p w14:paraId="35F848AA" w14:textId="77777777" w:rsidR="00682841" w:rsidRPr="00563AD3" w:rsidRDefault="00682841" w:rsidP="00DE6B62">
            <w:pPr>
              <w:spacing w:after="0" w:line="240" w:lineRule="auto"/>
              <w:jc w:val="right"/>
              <w:rPr>
                <w:rFonts w:eastAsia="Times New Roman"/>
                <w:color w:val="000000"/>
                <w:sz w:val="20"/>
                <w:szCs w:val="20"/>
              </w:rPr>
            </w:pPr>
            <w:r w:rsidRPr="00563AD3">
              <w:rPr>
                <w:rFonts w:eastAsia="Times New Roman"/>
                <w:color w:val="000000"/>
                <w:sz w:val="20"/>
                <w:szCs w:val="20"/>
              </w:rPr>
              <w:t>42.7 (5.13) 155</w:t>
            </w:r>
          </w:p>
        </w:tc>
        <w:tc>
          <w:tcPr>
            <w:tcW w:w="1113" w:type="pct"/>
            <w:tcBorders>
              <w:top w:val="nil"/>
              <w:left w:val="nil"/>
              <w:bottom w:val="nil"/>
              <w:right w:val="nil"/>
            </w:tcBorders>
            <w:shd w:val="clear" w:color="auto" w:fill="FFFFFF"/>
            <w:tcMar>
              <w:left w:w="67" w:type="dxa"/>
              <w:right w:w="67" w:type="dxa"/>
            </w:tcMar>
          </w:tcPr>
          <w:p w14:paraId="1108838B" w14:textId="77777777" w:rsidR="00682841" w:rsidRPr="00563AD3" w:rsidRDefault="00682841" w:rsidP="00DE6B62">
            <w:pPr>
              <w:spacing w:after="0" w:line="240" w:lineRule="auto"/>
              <w:jc w:val="right"/>
              <w:rPr>
                <w:rFonts w:eastAsia="Times New Roman"/>
                <w:color w:val="000000"/>
                <w:sz w:val="20"/>
                <w:szCs w:val="20"/>
              </w:rPr>
            </w:pPr>
            <w:r w:rsidRPr="00563AD3">
              <w:rPr>
                <w:rFonts w:eastAsia="Times New Roman"/>
                <w:color w:val="000000"/>
                <w:sz w:val="20"/>
                <w:szCs w:val="20"/>
              </w:rPr>
              <w:t>41.7 (7.11) 189</w:t>
            </w:r>
          </w:p>
        </w:tc>
        <w:tc>
          <w:tcPr>
            <w:tcW w:w="1110" w:type="pct"/>
            <w:tcBorders>
              <w:top w:val="nil"/>
              <w:left w:val="nil"/>
              <w:bottom w:val="nil"/>
            </w:tcBorders>
            <w:shd w:val="clear" w:color="auto" w:fill="FFFFFF"/>
            <w:tcMar>
              <w:left w:w="67" w:type="dxa"/>
              <w:right w:w="67" w:type="dxa"/>
            </w:tcMar>
          </w:tcPr>
          <w:p w14:paraId="0EAB208C" w14:textId="77777777" w:rsidR="00682841" w:rsidRPr="00563AD3" w:rsidRDefault="00682841" w:rsidP="00DE6B62">
            <w:pPr>
              <w:spacing w:after="0" w:line="240" w:lineRule="auto"/>
              <w:jc w:val="right"/>
              <w:rPr>
                <w:rFonts w:eastAsia="Times New Roman"/>
                <w:color w:val="000000"/>
                <w:sz w:val="20"/>
                <w:szCs w:val="20"/>
              </w:rPr>
            </w:pPr>
            <w:r w:rsidRPr="00563AD3">
              <w:rPr>
                <w:rFonts w:eastAsia="Times New Roman"/>
                <w:color w:val="000000"/>
                <w:sz w:val="20"/>
                <w:szCs w:val="20"/>
              </w:rPr>
              <w:t>42.1 (6.31) 344</w:t>
            </w:r>
          </w:p>
        </w:tc>
      </w:tr>
      <w:tr w:rsidR="00682841" w:rsidRPr="00563AD3" w14:paraId="325071BC" w14:textId="77777777" w:rsidTr="00DE6B62">
        <w:trPr>
          <w:cantSplit/>
          <w:jc w:val="center"/>
        </w:trPr>
        <w:tc>
          <w:tcPr>
            <w:tcW w:w="1666" w:type="pct"/>
            <w:tcBorders>
              <w:top w:val="single" w:sz="4" w:space="0" w:color="auto"/>
              <w:bottom w:val="nil"/>
              <w:right w:val="nil"/>
            </w:tcBorders>
            <w:shd w:val="clear" w:color="auto" w:fill="FFFFFF"/>
            <w:tcMar>
              <w:left w:w="67" w:type="dxa"/>
              <w:right w:w="67" w:type="dxa"/>
            </w:tcMar>
          </w:tcPr>
          <w:p w14:paraId="349B6315" w14:textId="77777777" w:rsidR="00682841" w:rsidRPr="00563AD3" w:rsidRDefault="00682841" w:rsidP="00DE6B62">
            <w:pPr>
              <w:keepNext/>
              <w:spacing w:after="0" w:line="240" w:lineRule="auto"/>
              <w:rPr>
                <w:rFonts w:eastAsia="Times New Roman"/>
                <w:color w:val="000000"/>
                <w:sz w:val="20"/>
                <w:szCs w:val="20"/>
              </w:rPr>
            </w:pPr>
            <w:r w:rsidRPr="00563AD3">
              <w:rPr>
                <w:rFonts w:eastAsia="Times New Roman"/>
                <w:b/>
                <w:bCs/>
                <w:color w:val="000000"/>
                <w:sz w:val="20"/>
                <w:szCs w:val="20"/>
              </w:rPr>
              <w:t>6</w:t>
            </w:r>
            <w:r>
              <w:rPr>
                <w:rFonts w:eastAsia="Times New Roman"/>
                <w:b/>
                <w:bCs/>
                <w:color w:val="000000"/>
                <w:sz w:val="20"/>
                <w:szCs w:val="20"/>
              </w:rPr>
              <w:t>-months</w:t>
            </w:r>
          </w:p>
        </w:tc>
        <w:tc>
          <w:tcPr>
            <w:tcW w:w="3334" w:type="pct"/>
            <w:gridSpan w:val="3"/>
            <w:tcBorders>
              <w:top w:val="single" w:sz="4" w:space="0" w:color="auto"/>
              <w:left w:val="nil"/>
              <w:bottom w:val="nil"/>
            </w:tcBorders>
            <w:shd w:val="clear" w:color="auto" w:fill="FFFFFF"/>
            <w:tcMar>
              <w:left w:w="67" w:type="dxa"/>
              <w:right w:w="67" w:type="dxa"/>
            </w:tcMar>
          </w:tcPr>
          <w:p w14:paraId="4834F2B9" w14:textId="77777777" w:rsidR="00682841" w:rsidRPr="00563AD3" w:rsidRDefault="00682841" w:rsidP="00DE6B62">
            <w:pPr>
              <w:keepNext/>
              <w:spacing w:after="0" w:line="240" w:lineRule="auto"/>
              <w:rPr>
                <w:rFonts w:eastAsia="Times New Roman"/>
                <w:color w:val="000000"/>
                <w:sz w:val="20"/>
                <w:szCs w:val="20"/>
              </w:rPr>
            </w:pPr>
            <w:r w:rsidRPr="00563AD3">
              <w:rPr>
                <w:rFonts w:eastAsia="Times New Roman"/>
                <w:b/>
                <w:bCs/>
                <w:color w:val="000000"/>
                <w:sz w:val="20"/>
                <w:szCs w:val="20"/>
              </w:rPr>
              <w:t xml:space="preserve">                   </w:t>
            </w:r>
          </w:p>
        </w:tc>
      </w:tr>
      <w:tr w:rsidR="00682841" w:rsidRPr="00563AD3" w14:paraId="638B123D" w14:textId="77777777" w:rsidTr="00DE6B62">
        <w:trPr>
          <w:cantSplit/>
          <w:jc w:val="center"/>
        </w:trPr>
        <w:tc>
          <w:tcPr>
            <w:tcW w:w="1666" w:type="pct"/>
            <w:tcBorders>
              <w:top w:val="nil"/>
              <w:bottom w:val="nil"/>
              <w:right w:val="nil"/>
            </w:tcBorders>
            <w:shd w:val="clear" w:color="auto" w:fill="FFFFFF"/>
            <w:tcMar>
              <w:left w:w="67" w:type="dxa"/>
              <w:right w:w="67" w:type="dxa"/>
            </w:tcMar>
          </w:tcPr>
          <w:p w14:paraId="5327FA8F" w14:textId="77777777" w:rsidR="00682841" w:rsidRPr="00563AD3" w:rsidRDefault="00682841" w:rsidP="00DE6B62">
            <w:pPr>
              <w:keepNext/>
              <w:spacing w:after="0" w:line="240" w:lineRule="auto"/>
              <w:rPr>
                <w:rFonts w:eastAsia="Times New Roman"/>
                <w:color w:val="000000"/>
                <w:sz w:val="20"/>
                <w:szCs w:val="20"/>
              </w:rPr>
            </w:pPr>
            <w:r w:rsidRPr="00563AD3">
              <w:rPr>
                <w:rFonts w:eastAsia="Times New Roman"/>
                <w:b/>
                <w:bCs/>
                <w:color w:val="000000"/>
                <w:sz w:val="20"/>
                <w:szCs w:val="20"/>
              </w:rPr>
              <w:t>QUALID Staff-proxy</w:t>
            </w:r>
            <w:r w:rsidRPr="00563AD3">
              <w:rPr>
                <w:rFonts w:eastAsia="Times New Roman"/>
                <w:bCs/>
                <w:color w:val="000000"/>
                <w:sz w:val="20"/>
                <w:szCs w:val="20"/>
              </w:rPr>
              <w:t xml:space="preserve">                          </w:t>
            </w:r>
          </w:p>
        </w:tc>
        <w:tc>
          <w:tcPr>
            <w:tcW w:w="1111" w:type="pct"/>
            <w:tcBorders>
              <w:top w:val="nil"/>
              <w:left w:val="nil"/>
              <w:bottom w:val="nil"/>
              <w:right w:val="nil"/>
            </w:tcBorders>
            <w:shd w:val="clear" w:color="auto" w:fill="FFFFFF"/>
            <w:tcMar>
              <w:left w:w="67" w:type="dxa"/>
              <w:right w:w="67" w:type="dxa"/>
            </w:tcMar>
          </w:tcPr>
          <w:p w14:paraId="3FC421CE" w14:textId="77777777" w:rsidR="00682841" w:rsidRPr="00563AD3" w:rsidRDefault="00682841" w:rsidP="00DE6B62">
            <w:pPr>
              <w:keepNext/>
              <w:spacing w:after="0" w:line="240" w:lineRule="auto"/>
              <w:jc w:val="right"/>
              <w:rPr>
                <w:rFonts w:eastAsia="Times New Roman"/>
                <w:b/>
                <w:sz w:val="20"/>
                <w:szCs w:val="20"/>
              </w:rPr>
            </w:pPr>
            <w:r w:rsidRPr="00563AD3">
              <w:rPr>
                <w:rFonts w:eastAsia="Calibri"/>
                <w:b/>
                <w:sz w:val="20"/>
                <w:szCs w:val="20"/>
                <w:lang w:eastAsia="en-US"/>
              </w:rPr>
              <w:t>20.7 (6.88) 245</w:t>
            </w:r>
          </w:p>
        </w:tc>
        <w:tc>
          <w:tcPr>
            <w:tcW w:w="1113" w:type="pct"/>
            <w:tcBorders>
              <w:top w:val="nil"/>
              <w:left w:val="nil"/>
              <w:bottom w:val="nil"/>
              <w:right w:val="nil"/>
            </w:tcBorders>
            <w:shd w:val="clear" w:color="auto" w:fill="FFFFFF"/>
            <w:tcMar>
              <w:left w:w="67" w:type="dxa"/>
              <w:right w:w="67" w:type="dxa"/>
            </w:tcMar>
          </w:tcPr>
          <w:p w14:paraId="6251BE37" w14:textId="77777777" w:rsidR="00682841" w:rsidRPr="00563AD3" w:rsidRDefault="00682841" w:rsidP="00DE6B62">
            <w:pPr>
              <w:keepNext/>
              <w:spacing w:after="0" w:line="240" w:lineRule="auto"/>
              <w:jc w:val="right"/>
              <w:rPr>
                <w:rFonts w:eastAsia="Times New Roman"/>
                <w:b/>
                <w:sz w:val="20"/>
                <w:szCs w:val="20"/>
              </w:rPr>
            </w:pPr>
            <w:r w:rsidRPr="00563AD3">
              <w:rPr>
                <w:rFonts w:eastAsia="Calibri"/>
                <w:b/>
                <w:sz w:val="20"/>
                <w:szCs w:val="20"/>
                <w:lang w:eastAsia="en-US"/>
              </w:rPr>
              <w:t>19.3 (6.04) 319</w:t>
            </w:r>
          </w:p>
        </w:tc>
        <w:tc>
          <w:tcPr>
            <w:tcW w:w="1110" w:type="pct"/>
            <w:tcBorders>
              <w:top w:val="nil"/>
              <w:left w:val="nil"/>
              <w:bottom w:val="nil"/>
            </w:tcBorders>
            <w:shd w:val="clear" w:color="auto" w:fill="FFFFFF"/>
            <w:tcMar>
              <w:left w:w="67" w:type="dxa"/>
              <w:right w:w="67" w:type="dxa"/>
            </w:tcMar>
          </w:tcPr>
          <w:p w14:paraId="74FB30C6" w14:textId="77777777" w:rsidR="00682841" w:rsidRPr="00563AD3" w:rsidRDefault="00682841" w:rsidP="00DE6B62">
            <w:pPr>
              <w:keepNext/>
              <w:spacing w:after="0" w:line="240" w:lineRule="auto"/>
              <w:jc w:val="right"/>
              <w:rPr>
                <w:rFonts w:eastAsia="Times New Roman"/>
                <w:b/>
                <w:sz w:val="20"/>
                <w:szCs w:val="20"/>
              </w:rPr>
            </w:pPr>
            <w:r w:rsidRPr="00563AD3">
              <w:rPr>
                <w:rFonts w:eastAsia="Calibri"/>
                <w:b/>
                <w:sz w:val="20"/>
                <w:szCs w:val="20"/>
                <w:lang w:eastAsia="en-US"/>
              </w:rPr>
              <w:t>19.9 (6.45) 564</w:t>
            </w:r>
          </w:p>
        </w:tc>
      </w:tr>
      <w:tr w:rsidR="00682841" w:rsidRPr="00563AD3" w14:paraId="20D33026" w14:textId="77777777" w:rsidTr="00DE6B62">
        <w:trPr>
          <w:cantSplit/>
          <w:jc w:val="center"/>
        </w:trPr>
        <w:tc>
          <w:tcPr>
            <w:tcW w:w="1666" w:type="pct"/>
            <w:tcBorders>
              <w:top w:val="nil"/>
              <w:bottom w:val="nil"/>
              <w:right w:val="nil"/>
            </w:tcBorders>
            <w:shd w:val="clear" w:color="auto" w:fill="FFFFFF"/>
            <w:tcMar>
              <w:left w:w="67" w:type="dxa"/>
              <w:right w:w="67" w:type="dxa"/>
            </w:tcMar>
          </w:tcPr>
          <w:p w14:paraId="6947A72B" w14:textId="77777777" w:rsidR="00682841" w:rsidRPr="00563AD3" w:rsidRDefault="00682841" w:rsidP="00DE6B62">
            <w:pPr>
              <w:keepNext/>
              <w:spacing w:after="0" w:line="240" w:lineRule="auto"/>
              <w:rPr>
                <w:rFonts w:eastAsia="Times New Roman"/>
                <w:color w:val="000000"/>
                <w:sz w:val="20"/>
                <w:szCs w:val="20"/>
              </w:rPr>
            </w:pPr>
            <w:r w:rsidRPr="00563AD3">
              <w:rPr>
                <w:rFonts w:eastAsia="Times New Roman"/>
                <w:bCs/>
                <w:color w:val="000000"/>
                <w:sz w:val="20"/>
                <w:szCs w:val="20"/>
              </w:rPr>
              <w:t>QUALID Relative-proxy</w:t>
            </w:r>
          </w:p>
        </w:tc>
        <w:tc>
          <w:tcPr>
            <w:tcW w:w="1111" w:type="pct"/>
            <w:tcBorders>
              <w:top w:val="nil"/>
              <w:left w:val="nil"/>
              <w:bottom w:val="nil"/>
              <w:right w:val="nil"/>
            </w:tcBorders>
            <w:shd w:val="clear" w:color="auto" w:fill="FFFFFF"/>
            <w:tcMar>
              <w:left w:w="67" w:type="dxa"/>
              <w:right w:w="67" w:type="dxa"/>
            </w:tcMar>
          </w:tcPr>
          <w:p w14:paraId="7CE503DE"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Calibri"/>
                <w:color w:val="000000"/>
                <w:sz w:val="20"/>
                <w:szCs w:val="20"/>
                <w:lang w:eastAsia="en-US"/>
              </w:rPr>
              <w:t>21.6 (7.18)   62</w:t>
            </w:r>
          </w:p>
        </w:tc>
        <w:tc>
          <w:tcPr>
            <w:tcW w:w="1113" w:type="pct"/>
            <w:tcBorders>
              <w:top w:val="nil"/>
              <w:left w:val="nil"/>
              <w:bottom w:val="nil"/>
              <w:right w:val="nil"/>
            </w:tcBorders>
            <w:shd w:val="clear" w:color="auto" w:fill="FFFFFF"/>
            <w:tcMar>
              <w:left w:w="67" w:type="dxa"/>
              <w:right w:w="67" w:type="dxa"/>
            </w:tcMar>
          </w:tcPr>
          <w:p w14:paraId="78D26763"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Calibri"/>
                <w:color w:val="000000"/>
                <w:sz w:val="20"/>
                <w:szCs w:val="20"/>
                <w:lang w:eastAsia="en-US"/>
              </w:rPr>
              <w:t>22.1 (8.89)   65</w:t>
            </w:r>
          </w:p>
        </w:tc>
        <w:tc>
          <w:tcPr>
            <w:tcW w:w="1110" w:type="pct"/>
            <w:tcBorders>
              <w:top w:val="nil"/>
              <w:left w:val="nil"/>
              <w:bottom w:val="nil"/>
            </w:tcBorders>
            <w:shd w:val="clear" w:color="auto" w:fill="FFFFFF"/>
            <w:tcMar>
              <w:left w:w="67" w:type="dxa"/>
              <w:right w:w="67" w:type="dxa"/>
            </w:tcMar>
          </w:tcPr>
          <w:p w14:paraId="3AD53807"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Calibri"/>
                <w:color w:val="000000"/>
                <w:sz w:val="20"/>
                <w:szCs w:val="20"/>
                <w:lang w:eastAsia="en-US"/>
              </w:rPr>
              <w:t>21.8 (8.07) 127</w:t>
            </w:r>
          </w:p>
        </w:tc>
      </w:tr>
      <w:tr w:rsidR="00682841" w:rsidRPr="00563AD3" w14:paraId="6F730581" w14:textId="77777777" w:rsidTr="00DE6B62">
        <w:trPr>
          <w:cantSplit/>
          <w:jc w:val="center"/>
        </w:trPr>
        <w:tc>
          <w:tcPr>
            <w:tcW w:w="1666" w:type="pct"/>
            <w:tcBorders>
              <w:top w:val="nil"/>
              <w:bottom w:val="nil"/>
              <w:right w:val="nil"/>
            </w:tcBorders>
            <w:shd w:val="clear" w:color="auto" w:fill="FFFFFF"/>
            <w:tcMar>
              <w:left w:w="67" w:type="dxa"/>
              <w:right w:w="67" w:type="dxa"/>
            </w:tcMar>
          </w:tcPr>
          <w:p w14:paraId="60EADFD8" w14:textId="77777777" w:rsidR="00682841" w:rsidRPr="00563AD3" w:rsidRDefault="00682841" w:rsidP="00DE6B62">
            <w:pPr>
              <w:keepNext/>
              <w:spacing w:after="0" w:line="240" w:lineRule="auto"/>
              <w:rPr>
                <w:rFonts w:eastAsia="Times New Roman"/>
                <w:color w:val="000000"/>
                <w:sz w:val="20"/>
                <w:szCs w:val="20"/>
              </w:rPr>
            </w:pPr>
            <w:r w:rsidRPr="00563AD3">
              <w:rPr>
                <w:rFonts w:eastAsia="Times New Roman"/>
                <w:color w:val="000000"/>
                <w:sz w:val="20"/>
                <w:szCs w:val="20"/>
              </w:rPr>
              <w:t>QOL-AD Resident</w:t>
            </w:r>
          </w:p>
        </w:tc>
        <w:tc>
          <w:tcPr>
            <w:tcW w:w="1111" w:type="pct"/>
            <w:tcBorders>
              <w:top w:val="nil"/>
              <w:left w:val="nil"/>
              <w:bottom w:val="nil"/>
              <w:right w:val="nil"/>
            </w:tcBorders>
            <w:shd w:val="clear" w:color="auto" w:fill="FFFFFF"/>
            <w:tcMar>
              <w:left w:w="67" w:type="dxa"/>
              <w:right w:w="67" w:type="dxa"/>
            </w:tcMar>
          </w:tcPr>
          <w:p w14:paraId="2D9A4A98"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Times New Roman"/>
                <w:color w:val="000000"/>
                <w:sz w:val="20"/>
                <w:szCs w:val="20"/>
              </w:rPr>
              <w:t>43.0 (5.09)   92</w:t>
            </w:r>
          </w:p>
        </w:tc>
        <w:tc>
          <w:tcPr>
            <w:tcW w:w="1113" w:type="pct"/>
            <w:tcBorders>
              <w:top w:val="nil"/>
              <w:left w:val="nil"/>
              <w:bottom w:val="nil"/>
              <w:right w:val="nil"/>
            </w:tcBorders>
            <w:shd w:val="clear" w:color="auto" w:fill="FFFFFF"/>
            <w:tcMar>
              <w:left w:w="67" w:type="dxa"/>
              <w:right w:w="67" w:type="dxa"/>
            </w:tcMar>
          </w:tcPr>
          <w:p w14:paraId="132C7CFE"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Times New Roman"/>
                <w:color w:val="000000"/>
                <w:sz w:val="20"/>
                <w:szCs w:val="20"/>
              </w:rPr>
              <w:t>41.3 (5.97) 137</w:t>
            </w:r>
          </w:p>
        </w:tc>
        <w:tc>
          <w:tcPr>
            <w:tcW w:w="1110" w:type="pct"/>
            <w:tcBorders>
              <w:top w:val="nil"/>
              <w:left w:val="nil"/>
              <w:bottom w:val="nil"/>
            </w:tcBorders>
            <w:shd w:val="clear" w:color="auto" w:fill="FFFFFF"/>
            <w:tcMar>
              <w:left w:w="67" w:type="dxa"/>
              <w:right w:w="67" w:type="dxa"/>
            </w:tcMar>
          </w:tcPr>
          <w:p w14:paraId="2CC3D299"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Times New Roman"/>
                <w:color w:val="000000"/>
                <w:sz w:val="20"/>
                <w:szCs w:val="20"/>
              </w:rPr>
              <w:t>42.0 (5.68) 229</w:t>
            </w:r>
          </w:p>
        </w:tc>
      </w:tr>
      <w:tr w:rsidR="00682841" w:rsidRPr="00563AD3" w14:paraId="48AA0257" w14:textId="77777777" w:rsidTr="00DE6B62">
        <w:trPr>
          <w:cantSplit/>
          <w:jc w:val="center"/>
        </w:trPr>
        <w:tc>
          <w:tcPr>
            <w:tcW w:w="1666" w:type="pct"/>
            <w:tcBorders>
              <w:top w:val="single" w:sz="4" w:space="0" w:color="auto"/>
              <w:bottom w:val="nil"/>
              <w:right w:val="nil"/>
            </w:tcBorders>
            <w:shd w:val="clear" w:color="auto" w:fill="FFFFFF"/>
            <w:tcMar>
              <w:left w:w="67" w:type="dxa"/>
              <w:right w:w="67" w:type="dxa"/>
            </w:tcMar>
          </w:tcPr>
          <w:p w14:paraId="2AA72278" w14:textId="77777777" w:rsidR="00682841" w:rsidRPr="00563AD3" w:rsidRDefault="00682841" w:rsidP="00DE6B62">
            <w:pPr>
              <w:keepNext/>
              <w:spacing w:after="0" w:line="240" w:lineRule="auto"/>
              <w:rPr>
                <w:rFonts w:eastAsia="Times New Roman"/>
                <w:color w:val="000000"/>
                <w:sz w:val="20"/>
                <w:szCs w:val="20"/>
              </w:rPr>
            </w:pPr>
            <w:r w:rsidRPr="00563AD3">
              <w:rPr>
                <w:rFonts w:eastAsia="Times New Roman"/>
                <w:b/>
                <w:bCs/>
                <w:color w:val="000000"/>
                <w:sz w:val="20"/>
                <w:szCs w:val="20"/>
              </w:rPr>
              <w:t>16</w:t>
            </w:r>
            <w:r>
              <w:rPr>
                <w:rFonts w:eastAsia="Times New Roman"/>
                <w:b/>
                <w:bCs/>
                <w:color w:val="000000"/>
                <w:sz w:val="20"/>
                <w:szCs w:val="20"/>
              </w:rPr>
              <w:t>-months</w:t>
            </w:r>
          </w:p>
        </w:tc>
        <w:tc>
          <w:tcPr>
            <w:tcW w:w="3334" w:type="pct"/>
            <w:gridSpan w:val="3"/>
            <w:tcBorders>
              <w:top w:val="single" w:sz="4" w:space="0" w:color="auto"/>
              <w:left w:val="nil"/>
              <w:bottom w:val="nil"/>
            </w:tcBorders>
            <w:shd w:val="clear" w:color="auto" w:fill="FFFFFF"/>
            <w:tcMar>
              <w:left w:w="67" w:type="dxa"/>
              <w:right w:w="67" w:type="dxa"/>
            </w:tcMar>
          </w:tcPr>
          <w:p w14:paraId="68E23221" w14:textId="77777777" w:rsidR="00682841" w:rsidRPr="00563AD3" w:rsidRDefault="00682841" w:rsidP="00DE6B62">
            <w:pPr>
              <w:keepNext/>
              <w:spacing w:after="0" w:line="240" w:lineRule="auto"/>
              <w:rPr>
                <w:rFonts w:eastAsia="Times New Roman"/>
                <w:color w:val="000000"/>
                <w:sz w:val="20"/>
                <w:szCs w:val="20"/>
              </w:rPr>
            </w:pPr>
            <w:r w:rsidRPr="00563AD3">
              <w:rPr>
                <w:rFonts w:eastAsia="Times New Roman"/>
                <w:b/>
                <w:bCs/>
                <w:color w:val="000000"/>
                <w:sz w:val="20"/>
                <w:szCs w:val="20"/>
              </w:rPr>
              <w:t xml:space="preserve">                </w:t>
            </w:r>
          </w:p>
        </w:tc>
      </w:tr>
      <w:tr w:rsidR="00682841" w:rsidRPr="00563AD3" w14:paraId="1809DFA6" w14:textId="77777777" w:rsidTr="00DE6B62">
        <w:trPr>
          <w:cantSplit/>
          <w:jc w:val="center"/>
        </w:trPr>
        <w:tc>
          <w:tcPr>
            <w:tcW w:w="1666" w:type="pct"/>
            <w:tcBorders>
              <w:top w:val="nil"/>
              <w:bottom w:val="nil"/>
              <w:right w:val="nil"/>
            </w:tcBorders>
            <w:shd w:val="clear" w:color="auto" w:fill="FFFFFF"/>
            <w:tcMar>
              <w:left w:w="67" w:type="dxa"/>
              <w:right w:w="67" w:type="dxa"/>
            </w:tcMar>
          </w:tcPr>
          <w:p w14:paraId="3D28A217" w14:textId="77777777" w:rsidR="00682841" w:rsidRPr="00563AD3" w:rsidRDefault="00682841" w:rsidP="00DE6B62">
            <w:pPr>
              <w:keepNext/>
              <w:spacing w:after="0" w:line="240" w:lineRule="auto"/>
              <w:rPr>
                <w:rFonts w:eastAsia="Times New Roman"/>
                <w:color w:val="000000"/>
                <w:sz w:val="20"/>
                <w:szCs w:val="20"/>
              </w:rPr>
            </w:pPr>
            <w:r w:rsidRPr="00563AD3">
              <w:rPr>
                <w:rFonts w:eastAsia="Times New Roman"/>
                <w:b/>
                <w:bCs/>
                <w:color w:val="000000"/>
                <w:sz w:val="20"/>
                <w:szCs w:val="20"/>
              </w:rPr>
              <w:t>QUALID Staff-proxy</w:t>
            </w:r>
            <w:r w:rsidRPr="00563AD3">
              <w:rPr>
                <w:rFonts w:eastAsia="Times New Roman"/>
                <w:bCs/>
                <w:color w:val="000000"/>
                <w:sz w:val="20"/>
                <w:szCs w:val="20"/>
              </w:rPr>
              <w:t xml:space="preserve">                          </w:t>
            </w:r>
          </w:p>
        </w:tc>
        <w:tc>
          <w:tcPr>
            <w:tcW w:w="1111" w:type="pct"/>
            <w:tcBorders>
              <w:top w:val="nil"/>
              <w:left w:val="nil"/>
              <w:bottom w:val="nil"/>
              <w:right w:val="nil"/>
            </w:tcBorders>
            <w:shd w:val="clear" w:color="auto" w:fill="FFFFFF"/>
            <w:tcMar>
              <w:left w:w="67" w:type="dxa"/>
              <w:right w:w="67" w:type="dxa"/>
            </w:tcMar>
          </w:tcPr>
          <w:p w14:paraId="5ADF2811" w14:textId="77777777" w:rsidR="00682841" w:rsidRPr="00563AD3" w:rsidRDefault="00682841" w:rsidP="00DE6B62">
            <w:pPr>
              <w:keepNext/>
              <w:spacing w:after="0" w:line="240" w:lineRule="auto"/>
              <w:jc w:val="right"/>
              <w:rPr>
                <w:rFonts w:eastAsia="Times New Roman"/>
                <w:b/>
                <w:sz w:val="20"/>
                <w:szCs w:val="20"/>
              </w:rPr>
            </w:pPr>
            <w:r w:rsidRPr="00563AD3">
              <w:rPr>
                <w:rFonts w:eastAsia="Calibri"/>
                <w:b/>
                <w:sz w:val="20"/>
                <w:szCs w:val="20"/>
                <w:lang w:eastAsia="en-US"/>
              </w:rPr>
              <w:t>19.9 (6.38) 185</w:t>
            </w:r>
          </w:p>
        </w:tc>
        <w:tc>
          <w:tcPr>
            <w:tcW w:w="1113" w:type="pct"/>
            <w:tcBorders>
              <w:top w:val="nil"/>
              <w:left w:val="nil"/>
              <w:bottom w:val="nil"/>
              <w:right w:val="nil"/>
            </w:tcBorders>
            <w:shd w:val="clear" w:color="auto" w:fill="FFFFFF"/>
            <w:tcMar>
              <w:left w:w="67" w:type="dxa"/>
              <w:right w:w="67" w:type="dxa"/>
            </w:tcMar>
          </w:tcPr>
          <w:p w14:paraId="3E10FA9A" w14:textId="77777777" w:rsidR="00682841" w:rsidRPr="00563AD3" w:rsidRDefault="00682841" w:rsidP="00DE6B62">
            <w:pPr>
              <w:keepNext/>
              <w:spacing w:after="0" w:line="240" w:lineRule="auto"/>
              <w:jc w:val="right"/>
              <w:rPr>
                <w:rFonts w:eastAsia="Times New Roman"/>
                <w:b/>
                <w:sz w:val="20"/>
                <w:szCs w:val="20"/>
              </w:rPr>
            </w:pPr>
            <w:r w:rsidRPr="00563AD3">
              <w:rPr>
                <w:rFonts w:eastAsia="Calibri"/>
                <w:b/>
                <w:sz w:val="20"/>
                <w:szCs w:val="20"/>
                <w:lang w:eastAsia="en-US"/>
              </w:rPr>
              <w:t>19.5 (6.06) 222</w:t>
            </w:r>
          </w:p>
        </w:tc>
        <w:tc>
          <w:tcPr>
            <w:tcW w:w="1110" w:type="pct"/>
            <w:tcBorders>
              <w:top w:val="nil"/>
              <w:left w:val="nil"/>
              <w:bottom w:val="nil"/>
            </w:tcBorders>
            <w:shd w:val="clear" w:color="auto" w:fill="FFFFFF"/>
            <w:tcMar>
              <w:left w:w="67" w:type="dxa"/>
              <w:right w:w="67" w:type="dxa"/>
            </w:tcMar>
          </w:tcPr>
          <w:p w14:paraId="2C6ACB66" w14:textId="77777777" w:rsidR="00682841" w:rsidRPr="00563AD3" w:rsidRDefault="00682841" w:rsidP="00DE6B62">
            <w:pPr>
              <w:keepNext/>
              <w:spacing w:after="0" w:line="240" w:lineRule="auto"/>
              <w:jc w:val="right"/>
              <w:rPr>
                <w:rFonts w:eastAsia="Times New Roman"/>
                <w:b/>
                <w:sz w:val="20"/>
                <w:szCs w:val="20"/>
              </w:rPr>
            </w:pPr>
            <w:r w:rsidRPr="00563AD3">
              <w:rPr>
                <w:rFonts w:eastAsia="Calibri"/>
                <w:b/>
                <w:sz w:val="20"/>
                <w:szCs w:val="20"/>
                <w:lang w:eastAsia="en-US"/>
              </w:rPr>
              <w:t>19.7 (6.20) 407</w:t>
            </w:r>
          </w:p>
        </w:tc>
      </w:tr>
      <w:tr w:rsidR="00682841" w:rsidRPr="00563AD3" w14:paraId="13106AD2" w14:textId="77777777" w:rsidTr="00DE6B62">
        <w:trPr>
          <w:cantSplit/>
          <w:jc w:val="center"/>
        </w:trPr>
        <w:tc>
          <w:tcPr>
            <w:tcW w:w="1666" w:type="pct"/>
            <w:tcBorders>
              <w:top w:val="nil"/>
              <w:bottom w:val="nil"/>
              <w:right w:val="nil"/>
            </w:tcBorders>
            <w:shd w:val="clear" w:color="auto" w:fill="FFFFFF"/>
            <w:tcMar>
              <w:left w:w="67" w:type="dxa"/>
              <w:right w:w="67" w:type="dxa"/>
            </w:tcMar>
          </w:tcPr>
          <w:p w14:paraId="4DD5A3BE" w14:textId="77777777" w:rsidR="00682841" w:rsidRPr="00563AD3" w:rsidRDefault="00682841" w:rsidP="00DE6B62">
            <w:pPr>
              <w:keepNext/>
              <w:spacing w:after="0" w:line="240" w:lineRule="auto"/>
              <w:rPr>
                <w:rFonts w:eastAsia="Times New Roman"/>
                <w:color w:val="000000"/>
                <w:sz w:val="20"/>
                <w:szCs w:val="20"/>
              </w:rPr>
            </w:pPr>
            <w:r w:rsidRPr="00563AD3">
              <w:rPr>
                <w:rFonts w:eastAsia="Times New Roman"/>
                <w:bCs/>
                <w:color w:val="000000"/>
                <w:sz w:val="20"/>
                <w:szCs w:val="20"/>
              </w:rPr>
              <w:t>QUALID Relative-proxy</w:t>
            </w:r>
          </w:p>
        </w:tc>
        <w:tc>
          <w:tcPr>
            <w:tcW w:w="1111" w:type="pct"/>
            <w:tcBorders>
              <w:top w:val="nil"/>
              <w:left w:val="nil"/>
              <w:bottom w:val="nil"/>
              <w:right w:val="nil"/>
            </w:tcBorders>
            <w:shd w:val="clear" w:color="auto" w:fill="FFFFFF"/>
            <w:tcMar>
              <w:left w:w="67" w:type="dxa"/>
              <w:right w:w="67" w:type="dxa"/>
            </w:tcMar>
          </w:tcPr>
          <w:p w14:paraId="17F791F5"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Calibri"/>
                <w:color w:val="000000"/>
                <w:sz w:val="20"/>
                <w:szCs w:val="20"/>
                <w:lang w:eastAsia="en-US"/>
              </w:rPr>
              <w:t>23.0 (6.24)   38</w:t>
            </w:r>
          </w:p>
        </w:tc>
        <w:tc>
          <w:tcPr>
            <w:tcW w:w="1113" w:type="pct"/>
            <w:tcBorders>
              <w:top w:val="nil"/>
              <w:left w:val="nil"/>
              <w:bottom w:val="nil"/>
              <w:right w:val="nil"/>
            </w:tcBorders>
            <w:shd w:val="clear" w:color="auto" w:fill="FFFFFF"/>
            <w:tcMar>
              <w:left w:w="67" w:type="dxa"/>
              <w:right w:w="67" w:type="dxa"/>
            </w:tcMar>
          </w:tcPr>
          <w:p w14:paraId="0FA726FE"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Calibri"/>
                <w:color w:val="000000"/>
                <w:sz w:val="20"/>
                <w:szCs w:val="20"/>
                <w:lang w:eastAsia="en-US"/>
              </w:rPr>
              <w:t>23.1 (8.41)   31</w:t>
            </w:r>
          </w:p>
        </w:tc>
        <w:tc>
          <w:tcPr>
            <w:tcW w:w="1110" w:type="pct"/>
            <w:tcBorders>
              <w:top w:val="nil"/>
              <w:left w:val="nil"/>
              <w:bottom w:val="nil"/>
            </w:tcBorders>
            <w:shd w:val="clear" w:color="auto" w:fill="FFFFFF"/>
            <w:tcMar>
              <w:left w:w="67" w:type="dxa"/>
              <w:right w:w="67" w:type="dxa"/>
            </w:tcMar>
          </w:tcPr>
          <w:p w14:paraId="1A8FA096"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Calibri"/>
                <w:color w:val="000000"/>
                <w:sz w:val="20"/>
                <w:szCs w:val="20"/>
                <w:lang w:eastAsia="en-US"/>
              </w:rPr>
              <w:t>23.0 (7.24)   69</w:t>
            </w:r>
          </w:p>
        </w:tc>
      </w:tr>
      <w:tr w:rsidR="00682841" w:rsidRPr="00563AD3" w14:paraId="319DB65C" w14:textId="77777777" w:rsidTr="00DE6B62">
        <w:trPr>
          <w:cantSplit/>
          <w:jc w:val="center"/>
        </w:trPr>
        <w:tc>
          <w:tcPr>
            <w:tcW w:w="1666" w:type="pct"/>
            <w:tcBorders>
              <w:top w:val="nil"/>
              <w:bottom w:val="single" w:sz="4" w:space="0" w:color="auto"/>
              <w:right w:val="nil"/>
            </w:tcBorders>
            <w:shd w:val="clear" w:color="auto" w:fill="FFFFFF"/>
            <w:tcMar>
              <w:left w:w="67" w:type="dxa"/>
              <w:right w:w="67" w:type="dxa"/>
            </w:tcMar>
          </w:tcPr>
          <w:p w14:paraId="77DEA2F9" w14:textId="77777777" w:rsidR="00682841" w:rsidRPr="00563AD3" w:rsidRDefault="00682841" w:rsidP="00DE6B62">
            <w:pPr>
              <w:keepNext/>
              <w:spacing w:after="0" w:line="240" w:lineRule="auto"/>
              <w:rPr>
                <w:rFonts w:eastAsia="Times New Roman"/>
                <w:color w:val="000000"/>
                <w:sz w:val="20"/>
                <w:szCs w:val="20"/>
              </w:rPr>
            </w:pPr>
            <w:r w:rsidRPr="00563AD3">
              <w:rPr>
                <w:rFonts w:eastAsia="Times New Roman"/>
                <w:color w:val="000000"/>
                <w:sz w:val="20"/>
                <w:szCs w:val="20"/>
              </w:rPr>
              <w:t>QOL-AD Resident</w:t>
            </w:r>
          </w:p>
        </w:tc>
        <w:tc>
          <w:tcPr>
            <w:tcW w:w="1111" w:type="pct"/>
            <w:tcBorders>
              <w:top w:val="nil"/>
              <w:left w:val="nil"/>
              <w:bottom w:val="single" w:sz="4" w:space="0" w:color="auto"/>
              <w:right w:val="nil"/>
            </w:tcBorders>
            <w:shd w:val="clear" w:color="auto" w:fill="FFFFFF"/>
            <w:tcMar>
              <w:left w:w="67" w:type="dxa"/>
              <w:right w:w="67" w:type="dxa"/>
            </w:tcMar>
          </w:tcPr>
          <w:p w14:paraId="331F1C80"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Times New Roman"/>
                <w:color w:val="000000"/>
                <w:sz w:val="20"/>
                <w:szCs w:val="20"/>
              </w:rPr>
              <w:t>43.2 (6.17)   65</w:t>
            </w:r>
          </w:p>
        </w:tc>
        <w:tc>
          <w:tcPr>
            <w:tcW w:w="1113" w:type="pct"/>
            <w:tcBorders>
              <w:top w:val="nil"/>
              <w:left w:val="nil"/>
              <w:bottom w:val="single" w:sz="4" w:space="0" w:color="auto"/>
              <w:right w:val="nil"/>
            </w:tcBorders>
            <w:shd w:val="clear" w:color="auto" w:fill="FFFFFF"/>
            <w:tcMar>
              <w:left w:w="67" w:type="dxa"/>
              <w:right w:w="67" w:type="dxa"/>
            </w:tcMar>
          </w:tcPr>
          <w:p w14:paraId="4B951FA9"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Times New Roman"/>
                <w:color w:val="000000"/>
                <w:sz w:val="20"/>
                <w:szCs w:val="20"/>
              </w:rPr>
              <w:t>42.8 (5.47)   81</w:t>
            </w:r>
          </w:p>
        </w:tc>
        <w:tc>
          <w:tcPr>
            <w:tcW w:w="1110" w:type="pct"/>
            <w:tcBorders>
              <w:top w:val="nil"/>
              <w:left w:val="nil"/>
              <w:bottom w:val="single" w:sz="4" w:space="0" w:color="auto"/>
            </w:tcBorders>
            <w:shd w:val="clear" w:color="auto" w:fill="FFFFFF"/>
            <w:tcMar>
              <w:left w:w="67" w:type="dxa"/>
              <w:right w:w="67" w:type="dxa"/>
            </w:tcMar>
          </w:tcPr>
          <w:p w14:paraId="32EC62F9"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Times New Roman"/>
                <w:color w:val="000000"/>
                <w:sz w:val="20"/>
                <w:szCs w:val="20"/>
              </w:rPr>
              <w:t>43.0 (5.77) 146</w:t>
            </w:r>
          </w:p>
        </w:tc>
      </w:tr>
      <w:tr w:rsidR="00682841" w:rsidRPr="00563AD3" w14:paraId="162AD8E3" w14:textId="77777777" w:rsidTr="00DE6B62">
        <w:trPr>
          <w:cantSplit/>
          <w:jc w:val="center"/>
        </w:trPr>
        <w:tc>
          <w:tcPr>
            <w:tcW w:w="5000" w:type="pct"/>
            <w:gridSpan w:val="4"/>
            <w:tcBorders>
              <w:top w:val="single" w:sz="4" w:space="0" w:color="auto"/>
              <w:bottom w:val="single" w:sz="4" w:space="0" w:color="auto"/>
            </w:tcBorders>
            <w:shd w:val="clear" w:color="auto" w:fill="F2F2F2"/>
            <w:tcMar>
              <w:left w:w="67" w:type="dxa"/>
              <w:right w:w="67" w:type="dxa"/>
            </w:tcMar>
          </w:tcPr>
          <w:p w14:paraId="0A69C157" w14:textId="77777777" w:rsidR="00682841" w:rsidRPr="00563AD3" w:rsidRDefault="00682841" w:rsidP="00DE6B62">
            <w:pPr>
              <w:keepNext/>
              <w:spacing w:after="0" w:line="240" w:lineRule="auto"/>
              <w:rPr>
                <w:rFonts w:eastAsia="Times New Roman"/>
                <w:color w:val="000000"/>
                <w:sz w:val="20"/>
                <w:szCs w:val="20"/>
              </w:rPr>
            </w:pPr>
            <w:r w:rsidRPr="00563AD3">
              <w:rPr>
                <w:rFonts w:eastAsia="Times New Roman"/>
                <w:b/>
                <w:bCs/>
                <w:color w:val="000000"/>
                <w:sz w:val="20"/>
                <w:szCs w:val="20"/>
              </w:rPr>
              <w:t>CROSS-SECTION</w:t>
            </w:r>
          </w:p>
        </w:tc>
      </w:tr>
      <w:tr w:rsidR="00682841" w:rsidRPr="00563AD3" w14:paraId="641117F1" w14:textId="77777777" w:rsidTr="00DE6B62">
        <w:trPr>
          <w:cantSplit/>
          <w:jc w:val="center"/>
        </w:trPr>
        <w:tc>
          <w:tcPr>
            <w:tcW w:w="1666" w:type="pct"/>
            <w:tcBorders>
              <w:top w:val="single" w:sz="4" w:space="0" w:color="auto"/>
              <w:bottom w:val="single" w:sz="4" w:space="0" w:color="auto"/>
              <w:right w:val="nil"/>
            </w:tcBorders>
            <w:shd w:val="clear" w:color="auto" w:fill="FFFFFF"/>
            <w:tcMar>
              <w:left w:w="67" w:type="dxa"/>
              <w:right w:w="67" w:type="dxa"/>
            </w:tcMar>
            <w:vAlign w:val="bottom"/>
          </w:tcPr>
          <w:p w14:paraId="04CF2B60" w14:textId="77777777" w:rsidR="00682841" w:rsidRPr="00563AD3" w:rsidRDefault="00682841" w:rsidP="00DE6B62">
            <w:pPr>
              <w:keepNext/>
              <w:spacing w:after="0" w:line="240" w:lineRule="auto"/>
              <w:rPr>
                <w:rFonts w:eastAsia="Times New Roman"/>
                <w:b/>
                <w:bCs/>
                <w:color w:val="000000"/>
                <w:sz w:val="20"/>
                <w:szCs w:val="20"/>
              </w:rPr>
            </w:pPr>
            <w:r w:rsidRPr="00563AD3">
              <w:rPr>
                <w:rFonts w:eastAsia="Times New Roman"/>
                <w:bCs/>
                <w:color w:val="000000"/>
                <w:sz w:val="20"/>
                <w:szCs w:val="20"/>
              </w:rPr>
              <w:t>Mean (SD) N</w:t>
            </w:r>
          </w:p>
        </w:tc>
        <w:tc>
          <w:tcPr>
            <w:tcW w:w="1111" w:type="pct"/>
            <w:tcBorders>
              <w:top w:val="single" w:sz="4" w:space="0" w:color="auto"/>
              <w:left w:val="nil"/>
              <w:bottom w:val="single" w:sz="4" w:space="0" w:color="auto"/>
              <w:right w:val="nil"/>
            </w:tcBorders>
            <w:shd w:val="clear" w:color="auto" w:fill="FFFFFF"/>
            <w:tcMar>
              <w:left w:w="67" w:type="dxa"/>
              <w:right w:w="67" w:type="dxa"/>
            </w:tcMar>
            <w:vAlign w:val="bottom"/>
          </w:tcPr>
          <w:p w14:paraId="1ABFAA1D" w14:textId="77777777" w:rsidR="00682841" w:rsidRPr="00563AD3" w:rsidRDefault="00682841" w:rsidP="00DE6B62">
            <w:pPr>
              <w:keepNext/>
              <w:spacing w:after="0" w:line="240" w:lineRule="auto"/>
              <w:jc w:val="center"/>
              <w:rPr>
                <w:rFonts w:eastAsia="Times New Roman"/>
                <w:color w:val="000000"/>
                <w:sz w:val="20"/>
                <w:szCs w:val="20"/>
              </w:rPr>
            </w:pPr>
            <w:r w:rsidRPr="00563AD3">
              <w:rPr>
                <w:rFonts w:eastAsia="Times New Roman"/>
                <w:b/>
                <w:bCs/>
                <w:color w:val="000000"/>
                <w:sz w:val="20"/>
                <w:szCs w:val="20"/>
              </w:rPr>
              <w:t>Control</w:t>
            </w:r>
            <w:r w:rsidRPr="00563AD3">
              <w:rPr>
                <w:rFonts w:eastAsia="Times New Roman"/>
                <w:b/>
                <w:bCs/>
                <w:color w:val="000000"/>
                <w:sz w:val="20"/>
                <w:szCs w:val="20"/>
              </w:rPr>
              <w:br/>
              <w:t>(n = 287)</w:t>
            </w:r>
          </w:p>
        </w:tc>
        <w:tc>
          <w:tcPr>
            <w:tcW w:w="1113" w:type="pct"/>
            <w:tcBorders>
              <w:top w:val="single" w:sz="4" w:space="0" w:color="auto"/>
              <w:left w:val="nil"/>
              <w:bottom w:val="single" w:sz="4" w:space="0" w:color="auto"/>
              <w:right w:val="nil"/>
            </w:tcBorders>
            <w:shd w:val="clear" w:color="auto" w:fill="FFFFFF"/>
            <w:tcMar>
              <w:left w:w="67" w:type="dxa"/>
              <w:right w:w="67" w:type="dxa"/>
            </w:tcMar>
            <w:vAlign w:val="bottom"/>
          </w:tcPr>
          <w:p w14:paraId="45EDE2C4" w14:textId="77777777" w:rsidR="00682841" w:rsidRPr="00563AD3" w:rsidRDefault="00682841" w:rsidP="00DE6B62">
            <w:pPr>
              <w:keepNext/>
              <w:spacing w:after="0" w:line="240" w:lineRule="auto"/>
              <w:jc w:val="center"/>
              <w:rPr>
                <w:rFonts w:eastAsia="Times New Roman"/>
                <w:color w:val="000000"/>
                <w:sz w:val="20"/>
                <w:szCs w:val="20"/>
              </w:rPr>
            </w:pPr>
            <w:r w:rsidRPr="00563AD3">
              <w:rPr>
                <w:rFonts w:eastAsia="Times New Roman"/>
                <w:b/>
                <w:bCs/>
                <w:color w:val="000000"/>
                <w:sz w:val="20"/>
                <w:szCs w:val="20"/>
              </w:rPr>
              <w:t>Intervention</w:t>
            </w:r>
            <w:r w:rsidRPr="00563AD3">
              <w:rPr>
                <w:rFonts w:eastAsia="Times New Roman"/>
                <w:b/>
                <w:bCs/>
                <w:color w:val="000000"/>
                <w:sz w:val="20"/>
                <w:szCs w:val="20"/>
              </w:rPr>
              <w:br/>
              <w:t>(n = 388)</w:t>
            </w:r>
          </w:p>
        </w:tc>
        <w:tc>
          <w:tcPr>
            <w:tcW w:w="1110" w:type="pct"/>
            <w:tcBorders>
              <w:top w:val="single" w:sz="4" w:space="0" w:color="auto"/>
              <w:left w:val="nil"/>
              <w:bottom w:val="nil"/>
            </w:tcBorders>
            <w:shd w:val="clear" w:color="auto" w:fill="FFFFFF"/>
            <w:tcMar>
              <w:left w:w="67" w:type="dxa"/>
              <w:right w:w="67" w:type="dxa"/>
            </w:tcMar>
            <w:vAlign w:val="bottom"/>
          </w:tcPr>
          <w:p w14:paraId="522156F0" w14:textId="77777777" w:rsidR="00682841" w:rsidRPr="00563AD3" w:rsidRDefault="00682841" w:rsidP="00DE6B62">
            <w:pPr>
              <w:keepNext/>
              <w:spacing w:after="0" w:line="240" w:lineRule="auto"/>
              <w:jc w:val="center"/>
              <w:rPr>
                <w:rFonts w:eastAsia="Times New Roman"/>
                <w:color w:val="000000"/>
                <w:sz w:val="20"/>
                <w:szCs w:val="20"/>
              </w:rPr>
            </w:pPr>
            <w:r w:rsidRPr="00563AD3">
              <w:rPr>
                <w:rFonts w:eastAsia="Times New Roman"/>
                <w:b/>
                <w:bCs/>
                <w:color w:val="000000"/>
                <w:sz w:val="20"/>
                <w:szCs w:val="20"/>
              </w:rPr>
              <w:t>Total</w:t>
            </w:r>
            <w:r w:rsidRPr="00563AD3">
              <w:rPr>
                <w:rFonts w:eastAsia="Times New Roman"/>
                <w:b/>
                <w:bCs/>
                <w:color w:val="000000"/>
                <w:sz w:val="20"/>
                <w:szCs w:val="20"/>
              </w:rPr>
              <w:br/>
              <w:t>(n = 675)</w:t>
            </w:r>
          </w:p>
        </w:tc>
      </w:tr>
      <w:tr w:rsidR="00682841" w:rsidRPr="00563AD3" w14:paraId="5D7E46DD" w14:textId="77777777" w:rsidTr="00DE6B62">
        <w:trPr>
          <w:cantSplit/>
          <w:jc w:val="center"/>
        </w:trPr>
        <w:tc>
          <w:tcPr>
            <w:tcW w:w="1666" w:type="pct"/>
            <w:tcBorders>
              <w:top w:val="single" w:sz="4" w:space="0" w:color="auto"/>
              <w:bottom w:val="nil"/>
              <w:right w:val="nil"/>
            </w:tcBorders>
            <w:shd w:val="clear" w:color="auto" w:fill="FFFFFF"/>
            <w:tcMar>
              <w:left w:w="67" w:type="dxa"/>
              <w:right w:w="67" w:type="dxa"/>
            </w:tcMar>
          </w:tcPr>
          <w:p w14:paraId="7ED061D2" w14:textId="77777777" w:rsidR="00682841" w:rsidRPr="00563AD3" w:rsidRDefault="00682841" w:rsidP="00DE6B62">
            <w:pPr>
              <w:keepNext/>
              <w:spacing w:after="0" w:line="240" w:lineRule="auto"/>
              <w:rPr>
                <w:rFonts w:eastAsia="Times New Roman"/>
                <w:b/>
                <w:bCs/>
                <w:color w:val="000000"/>
                <w:sz w:val="20"/>
                <w:szCs w:val="20"/>
              </w:rPr>
            </w:pPr>
            <w:r w:rsidRPr="00563AD3">
              <w:rPr>
                <w:rFonts w:eastAsia="Times New Roman"/>
                <w:b/>
                <w:bCs/>
                <w:color w:val="000000"/>
                <w:sz w:val="20"/>
                <w:szCs w:val="20"/>
              </w:rPr>
              <w:t>16</w:t>
            </w:r>
            <w:r>
              <w:rPr>
                <w:rFonts w:eastAsia="Times New Roman"/>
                <w:b/>
                <w:bCs/>
                <w:color w:val="000000"/>
                <w:sz w:val="20"/>
                <w:szCs w:val="20"/>
              </w:rPr>
              <w:t>-months</w:t>
            </w:r>
          </w:p>
        </w:tc>
        <w:tc>
          <w:tcPr>
            <w:tcW w:w="3334" w:type="pct"/>
            <w:gridSpan w:val="3"/>
            <w:tcBorders>
              <w:top w:val="single" w:sz="4" w:space="0" w:color="auto"/>
              <w:left w:val="nil"/>
              <w:bottom w:val="nil"/>
            </w:tcBorders>
            <w:shd w:val="clear" w:color="auto" w:fill="FFFFFF"/>
            <w:tcMar>
              <w:left w:w="67" w:type="dxa"/>
              <w:right w:w="67" w:type="dxa"/>
            </w:tcMar>
          </w:tcPr>
          <w:p w14:paraId="1B45BD5D" w14:textId="77777777" w:rsidR="00682841" w:rsidRPr="00563AD3" w:rsidRDefault="00682841" w:rsidP="00DE6B62">
            <w:pPr>
              <w:keepNext/>
              <w:spacing w:after="0" w:line="240" w:lineRule="auto"/>
              <w:rPr>
                <w:rFonts w:eastAsia="Times New Roman"/>
                <w:color w:val="000000"/>
                <w:sz w:val="20"/>
                <w:szCs w:val="20"/>
              </w:rPr>
            </w:pPr>
          </w:p>
        </w:tc>
      </w:tr>
      <w:tr w:rsidR="00682841" w:rsidRPr="00563AD3" w14:paraId="2710F1C5" w14:textId="77777777" w:rsidTr="00DE6B62">
        <w:trPr>
          <w:cantSplit/>
          <w:jc w:val="center"/>
        </w:trPr>
        <w:tc>
          <w:tcPr>
            <w:tcW w:w="1666" w:type="pct"/>
            <w:tcBorders>
              <w:top w:val="nil"/>
              <w:bottom w:val="nil"/>
              <w:right w:val="nil"/>
            </w:tcBorders>
            <w:shd w:val="clear" w:color="auto" w:fill="FFFFFF"/>
            <w:tcMar>
              <w:left w:w="67" w:type="dxa"/>
              <w:right w:w="67" w:type="dxa"/>
            </w:tcMar>
          </w:tcPr>
          <w:p w14:paraId="50718153" w14:textId="77777777" w:rsidR="00682841" w:rsidRPr="00563AD3" w:rsidRDefault="00682841" w:rsidP="00DE6B62">
            <w:pPr>
              <w:keepNext/>
              <w:spacing w:after="0" w:line="240" w:lineRule="auto"/>
              <w:rPr>
                <w:rFonts w:eastAsia="Times New Roman"/>
                <w:color w:val="000000"/>
                <w:sz w:val="20"/>
                <w:szCs w:val="20"/>
              </w:rPr>
            </w:pPr>
            <w:r w:rsidRPr="00563AD3">
              <w:rPr>
                <w:rFonts w:eastAsia="Times New Roman"/>
                <w:b/>
                <w:bCs/>
                <w:color w:val="000000"/>
                <w:sz w:val="20"/>
                <w:szCs w:val="20"/>
              </w:rPr>
              <w:t>QUALID Staff-proxy</w:t>
            </w:r>
            <w:r w:rsidRPr="00563AD3">
              <w:rPr>
                <w:rFonts w:eastAsia="Times New Roman"/>
                <w:bCs/>
                <w:color w:val="000000"/>
                <w:sz w:val="20"/>
                <w:szCs w:val="20"/>
              </w:rPr>
              <w:t xml:space="preserve">                          </w:t>
            </w:r>
          </w:p>
        </w:tc>
        <w:tc>
          <w:tcPr>
            <w:tcW w:w="1111" w:type="pct"/>
            <w:tcBorders>
              <w:top w:val="nil"/>
              <w:left w:val="nil"/>
              <w:bottom w:val="nil"/>
              <w:right w:val="nil"/>
            </w:tcBorders>
            <w:shd w:val="clear" w:color="auto" w:fill="FFFFFF"/>
            <w:tcMar>
              <w:left w:w="67" w:type="dxa"/>
              <w:right w:w="67" w:type="dxa"/>
            </w:tcMar>
          </w:tcPr>
          <w:p w14:paraId="2D7B1C5A" w14:textId="77777777" w:rsidR="00682841" w:rsidRPr="00563AD3" w:rsidRDefault="00682841" w:rsidP="00DE6B62">
            <w:pPr>
              <w:keepNext/>
              <w:spacing w:after="0" w:line="240" w:lineRule="auto"/>
              <w:jc w:val="right"/>
              <w:rPr>
                <w:rFonts w:eastAsia="Times New Roman"/>
                <w:b/>
                <w:sz w:val="20"/>
                <w:szCs w:val="20"/>
              </w:rPr>
            </w:pPr>
            <w:r w:rsidRPr="00563AD3">
              <w:rPr>
                <w:rFonts w:eastAsia="Calibri"/>
                <w:b/>
                <w:sz w:val="20"/>
                <w:szCs w:val="20"/>
                <w:lang w:eastAsia="en-US"/>
              </w:rPr>
              <w:t>19.5 (6.44) 284</w:t>
            </w:r>
          </w:p>
        </w:tc>
        <w:tc>
          <w:tcPr>
            <w:tcW w:w="1113" w:type="pct"/>
            <w:tcBorders>
              <w:top w:val="nil"/>
              <w:left w:val="nil"/>
              <w:bottom w:val="nil"/>
              <w:right w:val="nil"/>
            </w:tcBorders>
            <w:shd w:val="clear" w:color="auto" w:fill="FFFFFF"/>
            <w:tcMar>
              <w:left w:w="67" w:type="dxa"/>
              <w:right w:w="67" w:type="dxa"/>
            </w:tcMar>
          </w:tcPr>
          <w:p w14:paraId="66FB824F" w14:textId="77777777" w:rsidR="00682841" w:rsidRPr="00563AD3" w:rsidRDefault="00682841" w:rsidP="00DE6B62">
            <w:pPr>
              <w:keepNext/>
              <w:spacing w:after="0" w:line="240" w:lineRule="auto"/>
              <w:jc w:val="right"/>
              <w:rPr>
                <w:rFonts w:eastAsia="Times New Roman"/>
                <w:b/>
                <w:sz w:val="20"/>
                <w:szCs w:val="20"/>
              </w:rPr>
            </w:pPr>
            <w:r w:rsidRPr="00563AD3">
              <w:rPr>
                <w:rFonts w:eastAsia="Calibri"/>
                <w:b/>
                <w:sz w:val="20"/>
                <w:szCs w:val="20"/>
                <w:lang w:eastAsia="en-US"/>
              </w:rPr>
              <w:t>19.5 (6.20) 384</w:t>
            </w:r>
          </w:p>
        </w:tc>
        <w:tc>
          <w:tcPr>
            <w:tcW w:w="1110" w:type="pct"/>
            <w:tcBorders>
              <w:top w:val="nil"/>
              <w:left w:val="nil"/>
              <w:bottom w:val="nil"/>
            </w:tcBorders>
            <w:shd w:val="clear" w:color="auto" w:fill="FFFFFF"/>
            <w:tcMar>
              <w:left w:w="67" w:type="dxa"/>
              <w:right w:w="67" w:type="dxa"/>
            </w:tcMar>
          </w:tcPr>
          <w:p w14:paraId="59C2F3D4" w14:textId="77777777" w:rsidR="00682841" w:rsidRPr="00563AD3" w:rsidRDefault="00682841" w:rsidP="00DE6B62">
            <w:pPr>
              <w:keepNext/>
              <w:spacing w:after="0" w:line="240" w:lineRule="auto"/>
              <w:jc w:val="right"/>
              <w:rPr>
                <w:rFonts w:eastAsia="Times New Roman"/>
                <w:b/>
                <w:sz w:val="20"/>
                <w:szCs w:val="20"/>
              </w:rPr>
            </w:pPr>
            <w:r w:rsidRPr="00563AD3">
              <w:rPr>
                <w:rFonts w:eastAsia="Calibri"/>
                <w:b/>
                <w:sz w:val="20"/>
                <w:szCs w:val="20"/>
                <w:lang w:eastAsia="en-US"/>
              </w:rPr>
              <w:t>19.5 (6.30) 668</w:t>
            </w:r>
          </w:p>
        </w:tc>
      </w:tr>
      <w:tr w:rsidR="00682841" w:rsidRPr="00563AD3" w14:paraId="3E2B22E0" w14:textId="77777777" w:rsidTr="00DE6B62">
        <w:trPr>
          <w:cantSplit/>
          <w:jc w:val="center"/>
        </w:trPr>
        <w:tc>
          <w:tcPr>
            <w:tcW w:w="1666" w:type="pct"/>
            <w:tcBorders>
              <w:top w:val="nil"/>
              <w:bottom w:val="nil"/>
              <w:right w:val="nil"/>
            </w:tcBorders>
            <w:shd w:val="clear" w:color="auto" w:fill="FFFFFF"/>
            <w:tcMar>
              <w:left w:w="67" w:type="dxa"/>
              <w:right w:w="67" w:type="dxa"/>
            </w:tcMar>
          </w:tcPr>
          <w:p w14:paraId="5017DFAB" w14:textId="77777777" w:rsidR="00682841" w:rsidRPr="00563AD3" w:rsidRDefault="00682841" w:rsidP="00DE6B62">
            <w:pPr>
              <w:keepNext/>
              <w:spacing w:after="0" w:line="240" w:lineRule="auto"/>
              <w:rPr>
                <w:rFonts w:eastAsia="Times New Roman"/>
                <w:color w:val="000000"/>
                <w:sz w:val="20"/>
                <w:szCs w:val="20"/>
              </w:rPr>
            </w:pPr>
            <w:r w:rsidRPr="00563AD3">
              <w:rPr>
                <w:rFonts w:eastAsia="Times New Roman"/>
                <w:bCs/>
                <w:color w:val="000000"/>
                <w:sz w:val="20"/>
                <w:szCs w:val="20"/>
              </w:rPr>
              <w:t>QUALID Relative-proxy</w:t>
            </w:r>
          </w:p>
        </w:tc>
        <w:tc>
          <w:tcPr>
            <w:tcW w:w="1111" w:type="pct"/>
            <w:tcBorders>
              <w:top w:val="nil"/>
              <w:left w:val="nil"/>
              <w:bottom w:val="nil"/>
              <w:right w:val="nil"/>
            </w:tcBorders>
            <w:shd w:val="clear" w:color="auto" w:fill="FFFFFF"/>
            <w:tcMar>
              <w:left w:w="67" w:type="dxa"/>
              <w:right w:w="67" w:type="dxa"/>
            </w:tcMar>
          </w:tcPr>
          <w:p w14:paraId="3EEC7970"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Calibri"/>
                <w:color w:val="000000"/>
                <w:sz w:val="20"/>
                <w:szCs w:val="20"/>
                <w:lang w:eastAsia="en-US"/>
              </w:rPr>
              <w:t>23.0 (6.15)   39</w:t>
            </w:r>
          </w:p>
        </w:tc>
        <w:tc>
          <w:tcPr>
            <w:tcW w:w="1113" w:type="pct"/>
            <w:tcBorders>
              <w:top w:val="nil"/>
              <w:left w:val="nil"/>
              <w:bottom w:val="nil"/>
              <w:right w:val="nil"/>
            </w:tcBorders>
            <w:shd w:val="clear" w:color="auto" w:fill="FFFFFF"/>
            <w:tcMar>
              <w:left w:w="67" w:type="dxa"/>
              <w:right w:w="67" w:type="dxa"/>
            </w:tcMar>
          </w:tcPr>
          <w:p w14:paraId="10FBA11F"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Calibri"/>
                <w:color w:val="000000"/>
                <w:sz w:val="20"/>
                <w:szCs w:val="20"/>
                <w:lang w:eastAsia="en-US"/>
              </w:rPr>
              <w:t>23.1 (8.41)   31</w:t>
            </w:r>
          </w:p>
        </w:tc>
        <w:tc>
          <w:tcPr>
            <w:tcW w:w="1110" w:type="pct"/>
            <w:tcBorders>
              <w:top w:val="nil"/>
              <w:left w:val="nil"/>
              <w:bottom w:val="nil"/>
            </w:tcBorders>
            <w:shd w:val="clear" w:color="auto" w:fill="FFFFFF"/>
            <w:tcMar>
              <w:left w:w="67" w:type="dxa"/>
              <w:right w:w="67" w:type="dxa"/>
            </w:tcMar>
          </w:tcPr>
          <w:p w14:paraId="2060D72A" w14:textId="77777777" w:rsidR="00682841" w:rsidRPr="00563AD3" w:rsidRDefault="00682841" w:rsidP="00DE6B62">
            <w:pPr>
              <w:keepNext/>
              <w:spacing w:after="0" w:line="240" w:lineRule="auto"/>
              <w:jc w:val="right"/>
              <w:rPr>
                <w:rFonts w:eastAsia="Times New Roman"/>
                <w:color w:val="000000"/>
                <w:sz w:val="20"/>
                <w:szCs w:val="20"/>
              </w:rPr>
            </w:pPr>
            <w:r w:rsidRPr="00563AD3">
              <w:rPr>
                <w:rFonts w:eastAsia="Calibri"/>
                <w:color w:val="000000"/>
                <w:sz w:val="20"/>
                <w:szCs w:val="20"/>
                <w:lang w:eastAsia="en-US"/>
              </w:rPr>
              <w:t>23.0 (7.18)   70</w:t>
            </w:r>
          </w:p>
        </w:tc>
      </w:tr>
      <w:tr w:rsidR="00682841" w:rsidRPr="00563AD3" w14:paraId="4CACBAA3" w14:textId="77777777" w:rsidTr="00DE6B62">
        <w:trPr>
          <w:cantSplit/>
          <w:jc w:val="center"/>
        </w:trPr>
        <w:tc>
          <w:tcPr>
            <w:tcW w:w="1666" w:type="pct"/>
            <w:tcBorders>
              <w:top w:val="nil"/>
              <w:bottom w:val="single" w:sz="4" w:space="0" w:color="auto"/>
              <w:right w:val="nil"/>
            </w:tcBorders>
            <w:shd w:val="clear" w:color="auto" w:fill="FFFFFF"/>
            <w:tcMar>
              <w:left w:w="67" w:type="dxa"/>
              <w:right w:w="67" w:type="dxa"/>
            </w:tcMar>
          </w:tcPr>
          <w:p w14:paraId="17E5C332" w14:textId="77777777" w:rsidR="00682841" w:rsidRPr="00563AD3" w:rsidRDefault="00682841" w:rsidP="00DE6B62">
            <w:pPr>
              <w:autoSpaceDE/>
              <w:autoSpaceDN/>
              <w:adjustRightInd/>
              <w:spacing w:after="0" w:line="240" w:lineRule="auto"/>
              <w:rPr>
                <w:rFonts w:eastAsia="Calibri"/>
                <w:sz w:val="20"/>
                <w:szCs w:val="20"/>
              </w:rPr>
            </w:pPr>
            <w:r w:rsidRPr="00563AD3">
              <w:rPr>
                <w:rFonts w:eastAsia="Calibri"/>
                <w:sz w:val="20"/>
                <w:szCs w:val="20"/>
              </w:rPr>
              <w:t>QOL-AD Resident</w:t>
            </w:r>
          </w:p>
        </w:tc>
        <w:tc>
          <w:tcPr>
            <w:tcW w:w="1111" w:type="pct"/>
            <w:tcBorders>
              <w:top w:val="nil"/>
              <w:left w:val="nil"/>
              <w:bottom w:val="single" w:sz="4" w:space="0" w:color="auto"/>
              <w:right w:val="nil"/>
            </w:tcBorders>
            <w:shd w:val="clear" w:color="auto" w:fill="FFFFFF"/>
            <w:tcMar>
              <w:left w:w="67" w:type="dxa"/>
              <w:right w:w="67" w:type="dxa"/>
            </w:tcMar>
          </w:tcPr>
          <w:p w14:paraId="647E0424" w14:textId="77777777" w:rsidR="00682841" w:rsidRPr="00563AD3" w:rsidRDefault="00682841" w:rsidP="00DE6B62">
            <w:pPr>
              <w:autoSpaceDE/>
              <w:autoSpaceDN/>
              <w:adjustRightInd/>
              <w:spacing w:after="0" w:line="240" w:lineRule="auto"/>
              <w:jc w:val="right"/>
              <w:rPr>
                <w:rFonts w:eastAsia="Calibri"/>
                <w:sz w:val="20"/>
                <w:szCs w:val="20"/>
              </w:rPr>
            </w:pPr>
            <w:r w:rsidRPr="00563AD3">
              <w:rPr>
                <w:rFonts w:eastAsia="Calibri"/>
                <w:sz w:val="20"/>
                <w:szCs w:val="20"/>
              </w:rPr>
              <w:t>43.4 (5.69) 113</w:t>
            </w:r>
          </w:p>
        </w:tc>
        <w:tc>
          <w:tcPr>
            <w:tcW w:w="1113" w:type="pct"/>
            <w:tcBorders>
              <w:top w:val="nil"/>
              <w:left w:val="nil"/>
              <w:bottom w:val="single" w:sz="4" w:space="0" w:color="auto"/>
              <w:right w:val="nil"/>
            </w:tcBorders>
            <w:shd w:val="clear" w:color="auto" w:fill="FFFFFF"/>
            <w:tcMar>
              <w:left w:w="67" w:type="dxa"/>
              <w:right w:w="67" w:type="dxa"/>
            </w:tcMar>
          </w:tcPr>
          <w:p w14:paraId="5171D502" w14:textId="77777777" w:rsidR="00682841" w:rsidRPr="00563AD3" w:rsidRDefault="00682841" w:rsidP="00DE6B62">
            <w:pPr>
              <w:autoSpaceDE/>
              <w:autoSpaceDN/>
              <w:adjustRightInd/>
              <w:spacing w:after="0" w:line="240" w:lineRule="auto"/>
              <w:jc w:val="right"/>
              <w:rPr>
                <w:rFonts w:eastAsia="Calibri"/>
                <w:sz w:val="20"/>
                <w:szCs w:val="20"/>
              </w:rPr>
            </w:pPr>
            <w:r w:rsidRPr="00563AD3">
              <w:rPr>
                <w:rFonts w:eastAsia="Calibri"/>
                <w:sz w:val="20"/>
                <w:szCs w:val="20"/>
              </w:rPr>
              <w:t>42.2 (6.61) 156</w:t>
            </w:r>
          </w:p>
        </w:tc>
        <w:tc>
          <w:tcPr>
            <w:tcW w:w="1110" w:type="pct"/>
            <w:tcBorders>
              <w:top w:val="nil"/>
              <w:left w:val="nil"/>
              <w:bottom w:val="single" w:sz="4" w:space="0" w:color="auto"/>
            </w:tcBorders>
            <w:shd w:val="clear" w:color="auto" w:fill="FFFFFF"/>
            <w:tcMar>
              <w:left w:w="67" w:type="dxa"/>
              <w:right w:w="67" w:type="dxa"/>
            </w:tcMar>
          </w:tcPr>
          <w:p w14:paraId="17059834" w14:textId="77777777" w:rsidR="00682841" w:rsidRPr="00563AD3" w:rsidRDefault="00682841" w:rsidP="00DE6B62">
            <w:pPr>
              <w:autoSpaceDE/>
              <w:autoSpaceDN/>
              <w:adjustRightInd/>
              <w:spacing w:after="0" w:line="240" w:lineRule="auto"/>
              <w:jc w:val="right"/>
              <w:rPr>
                <w:rFonts w:eastAsia="Calibri"/>
                <w:sz w:val="20"/>
                <w:szCs w:val="20"/>
              </w:rPr>
            </w:pPr>
            <w:r w:rsidRPr="00563AD3">
              <w:rPr>
                <w:rFonts w:eastAsia="Calibri"/>
                <w:sz w:val="20"/>
                <w:szCs w:val="20"/>
              </w:rPr>
              <w:t>42.7 (6.25) 269</w:t>
            </w:r>
          </w:p>
        </w:tc>
      </w:tr>
    </w:tbl>
    <w:p w14:paraId="1980DE74" w14:textId="77777777" w:rsidR="00682841" w:rsidRPr="00563AD3" w:rsidRDefault="00682841" w:rsidP="00682841">
      <w:pPr>
        <w:autoSpaceDE/>
        <w:autoSpaceDN/>
        <w:adjustRightInd/>
        <w:spacing w:before="120" w:after="0"/>
        <w:rPr>
          <w:rFonts w:eastAsia="Calibri"/>
          <w:sz w:val="2"/>
          <w:szCs w:val="24"/>
          <w:lang w:eastAsia="en-US"/>
        </w:rPr>
      </w:pPr>
    </w:p>
    <w:p w14:paraId="26B02362" w14:textId="77777777" w:rsidR="003C2700" w:rsidRDefault="00C718B2" w:rsidP="00682841">
      <w:pPr>
        <w:autoSpaceDE/>
        <w:autoSpaceDN/>
        <w:adjustRightInd/>
        <w:spacing w:line="259" w:lineRule="auto"/>
        <w:rPr>
          <w:sz w:val="16"/>
          <w:szCs w:val="16"/>
        </w:rPr>
      </w:pPr>
      <w:r>
        <w:rPr>
          <w:rFonts w:eastAsia="Calibri"/>
          <w:sz w:val="16"/>
          <w:szCs w:val="16"/>
          <w:vertAlign w:val="superscript"/>
          <w:lang w:eastAsia="en-US"/>
        </w:rPr>
        <w:t>a</w:t>
      </w:r>
      <w:r w:rsidR="00682841" w:rsidRPr="00563AD3">
        <w:rPr>
          <w:sz w:val="16"/>
          <w:szCs w:val="16"/>
        </w:rPr>
        <w:t>QUALID: range 11 to 55, with 11 representing the highest quality of life;</w:t>
      </w:r>
      <w:r w:rsidR="00682841" w:rsidRPr="00563AD3">
        <w:rPr>
          <w:rFonts w:eastAsia="Calibri"/>
          <w:sz w:val="16"/>
          <w:szCs w:val="16"/>
          <w:lang w:eastAsia="en-US"/>
        </w:rPr>
        <w:t xml:space="preserve"> </w:t>
      </w:r>
      <w:r>
        <w:rPr>
          <w:rFonts w:eastAsia="Calibri"/>
          <w:sz w:val="16"/>
          <w:szCs w:val="16"/>
          <w:vertAlign w:val="superscript"/>
          <w:lang w:eastAsia="en-US"/>
        </w:rPr>
        <w:t>b</w:t>
      </w:r>
      <w:r w:rsidR="00682841" w:rsidRPr="00563AD3">
        <w:rPr>
          <w:sz w:val="16"/>
          <w:szCs w:val="16"/>
        </w:rPr>
        <w:t>QOL-AD: 13 to 52, with higher scores reflecting greater quality of life.</w:t>
      </w:r>
    </w:p>
    <w:p w14:paraId="5E61A76C" w14:textId="15072A49" w:rsidR="009F26C5" w:rsidRDefault="009F26C5" w:rsidP="00682841">
      <w:pPr>
        <w:autoSpaceDE/>
        <w:autoSpaceDN/>
        <w:adjustRightInd/>
        <w:spacing w:line="259" w:lineRule="auto"/>
        <w:rPr>
          <w:rFonts w:eastAsia="Calibri"/>
          <w:lang w:eastAsia="en-US"/>
        </w:rPr>
      </w:pPr>
    </w:p>
    <w:p w14:paraId="09A32ABF" w14:textId="77777777" w:rsidR="003C2700" w:rsidRDefault="003C2700" w:rsidP="00682841">
      <w:pPr>
        <w:pStyle w:val="Tableheading"/>
        <w:rPr>
          <w:rFonts w:eastAsia="Calibri"/>
          <w:lang w:eastAsia="en-US"/>
        </w:rPr>
      </w:pPr>
      <w:bookmarkStart w:id="178" w:name="_Ref500504019"/>
    </w:p>
    <w:p w14:paraId="72076052" w14:textId="77777777" w:rsidR="003C2700" w:rsidRDefault="003C2700" w:rsidP="00682841">
      <w:pPr>
        <w:pStyle w:val="Tableheading"/>
        <w:rPr>
          <w:rFonts w:eastAsia="Calibri"/>
          <w:lang w:eastAsia="en-US"/>
        </w:rPr>
      </w:pPr>
    </w:p>
    <w:p w14:paraId="229E55E5" w14:textId="67DBB04D" w:rsidR="00682841" w:rsidRPr="00563AD3" w:rsidRDefault="00682841" w:rsidP="00682841">
      <w:pPr>
        <w:pStyle w:val="Tableheading"/>
        <w:rPr>
          <w:rFonts w:eastAsia="Calibri"/>
          <w:lang w:eastAsia="en-US"/>
        </w:rPr>
      </w:pPr>
      <w:bookmarkStart w:id="179" w:name="_Toc948212"/>
      <w:r w:rsidRPr="00563AD3">
        <w:rPr>
          <w:rFonts w:eastAsia="Calibri"/>
          <w:lang w:eastAsia="en-US"/>
        </w:rPr>
        <w:t xml:space="preserve">Table </w:t>
      </w:r>
      <w:bookmarkEnd w:id="178"/>
      <w:r w:rsidRPr="00563AD3">
        <w:rPr>
          <w:rFonts w:eastAsia="Calibri"/>
          <w:lang w:eastAsia="en-US"/>
        </w:rPr>
        <w:t>15 Unadjusted QUIS interactions by resident sample and timepoint</w:t>
      </w:r>
      <w:bookmarkEnd w:id="179"/>
    </w:p>
    <w:tbl>
      <w:tblPr>
        <w:tblW w:w="4921" w:type="pct"/>
        <w:jc w:val="center"/>
        <w:tblCellMar>
          <w:left w:w="0" w:type="dxa"/>
          <w:right w:w="0" w:type="dxa"/>
        </w:tblCellMar>
        <w:tblLook w:val="0000" w:firstRow="0" w:lastRow="0" w:firstColumn="0" w:lastColumn="0" w:noHBand="0" w:noVBand="0"/>
      </w:tblPr>
      <w:tblGrid>
        <w:gridCol w:w="3808"/>
        <w:gridCol w:w="1691"/>
        <w:gridCol w:w="1691"/>
        <w:gridCol w:w="1693"/>
      </w:tblGrid>
      <w:tr w:rsidR="00682841" w:rsidRPr="00563AD3" w14:paraId="270A70F3" w14:textId="77777777" w:rsidTr="00DE6B62">
        <w:trPr>
          <w:cantSplit/>
          <w:tblHeader/>
          <w:jc w:val="center"/>
        </w:trPr>
        <w:tc>
          <w:tcPr>
            <w:tcW w:w="2143" w:type="pct"/>
            <w:tcBorders>
              <w:top w:val="single" w:sz="4" w:space="0" w:color="auto"/>
              <w:bottom w:val="single" w:sz="4" w:space="0" w:color="000000"/>
              <w:right w:val="nil"/>
            </w:tcBorders>
            <w:shd w:val="clear" w:color="auto" w:fill="FFFFFF"/>
            <w:tcMar>
              <w:left w:w="67" w:type="dxa"/>
              <w:right w:w="67" w:type="dxa"/>
            </w:tcMar>
            <w:vAlign w:val="bottom"/>
          </w:tcPr>
          <w:p w14:paraId="2F51F81A" w14:textId="77777777" w:rsidR="00682841" w:rsidRPr="00563AD3" w:rsidRDefault="00682841" w:rsidP="00682841">
            <w:pPr>
              <w:keepNext/>
              <w:spacing w:after="0" w:line="240" w:lineRule="auto"/>
              <w:rPr>
                <w:rFonts w:eastAsia="Times New Roman"/>
                <w:bCs/>
                <w:color w:val="000000"/>
                <w:sz w:val="20"/>
                <w:szCs w:val="20"/>
              </w:rPr>
            </w:pPr>
            <w:r w:rsidRPr="00563AD3">
              <w:rPr>
                <w:rFonts w:eastAsia="Times New Roman"/>
                <w:b/>
                <w:bCs/>
                <w:color w:val="000000"/>
                <w:sz w:val="20"/>
                <w:szCs w:val="20"/>
              </w:rPr>
              <w:t>Total interactions (% positive)</w:t>
            </w:r>
            <w:r w:rsidRPr="00563AD3">
              <w:rPr>
                <w:rFonts w:eastAsia="Times New Roman"/>
                <w:bCs/>
                <w:color w:val="000000"/>
                <w:sz w:val="20"/>
                <w:szCs w:val="20"/>
              </w:rPr>
              <w:t xml:space="preserve"> Missing</w:t>
            </w:r>
          </w:p>
        </w:tc>
        <w:tc>
          <w:tcPr>
            <w:tcW w:w="952" w:type="pct"/>
            <w:tcBorders>
              <w:top w:val="single" w:sz="4" w:space="0" w:color="auto"/>
              <w:left w:val="nil"/>
              <w:bottom w:val="single" w:sz="4" w:space="0" w:color="000000"/>
              <w:right w:val="nil"/>
            </w:tcBorders>
            <w:shd w:val="clear" w:color="auto" w:fill="FFFFFF"/>
            <w:tcMar>
              <w:left w:w="67" w:type="dxa"/>
              <w:right w:w="67" w:type="dxa"/>
            </w:tcMar>
            <w:vAlign w:val="bottom"/>
          </w:tcPr>
          <w:p w14:paraId="76A7C2FA" w14:textId="77777777" w:rsidR="00682841" w:rsidRPr="00563AD3" w:rsidRDefault="00682841" w:rsidP="00682841">
            <w:pPr>
              <w:keepNext/>
              <w:spacing w:after="0" w:line="240" w:lineRule="auto"/>
              <w:jc w:val="center"/>
              <w:rPr>
                <w:rFonts w:eastAsia="Times New Roman"/>
                <w:b/>
                <w:bCs/>
                <w:color w:val="000000"/>
                <w:sz w:val="20"/>
                <w:szCs w:val="20"/>
              </w:rPr>
            </w:pPr>
            <w:r w:rsidRPr="00563AD3">
              <w:rPr>
                <w:rFonts w:eastAsia="Times New Roman"/>
                <w:b/>
                <w:bCs/>
                <w:color w:val="000000"/>
                <w:sz w:val="20"/>
                <w:szCs w:val="20"/>
              </w:rPr>
              <w:t>Control</w:t>
            </w:r>
            <w:r w:rsidRPr="00563AD3">
              <w:rPr>
                <w:rFonts w:eastAsia="Times New Roman"/>
                <w:b/>
                <w:bCs/>
                <w:color w:val="000000"/>
                <w:sz w:val="20"/>
                <w:szCs w:val="20"/>
              </w:rPr>
              <w:br/>
              <w:t>(n = 19)</w:t>
            </w:r>
          </w:p>
        </w:tc>
        <w:tc>
          <w:tcPr>
            <w:tcW w:w="952" w:type="pct"/>
            <w:tcBorders>
              <w:top w:val="single" w:sz="4" w:space="0" w:color="auto"/>
              <w:left w:val="nil"/>
              <w:bottom w:val="single" w:sz="4" w:space="0" w:color="000000"/>
              <w:right w:val="nil"/>
            </w:tcBorders>
            <w:shd w:val="clear" w:color="auto" w:fill="FFFFFF"/>
            <w:tcMar>
              <w:left w:w="67" w:type="dxa"/>
              <w:right w:w="67" w:type="dxa"/>
            </w:tcMar>
            <w:vAlign w:val="bottom"/>
          </w:tcPr>
          <w:p w14:paraId="1CEFE03E" w14:textId="77777777" w:rsidR="00682841" w:rsidRPr="00563AD3" w:rsidRDefault="00682841" w:rsidP="00682841">
            <w:pPr>
              <w:keepNext/>
              <w:spacing w:after="0" w:line="240" w:lineRule="auto"/>
              <w:jc w:val="center"/>
              <w:rPr>
                <w:rFonts w:eastAsia="Times New Roman"/>
                <w:b/>
                <w:bCs/>
                <w:color w:val="000000"/>
                <w:sz w:val="20"/>
                <w:szCs w:val="20"/>
              </w:rPr>
            </w:pPr>
            <w:r w:rsidRPr="00563AD3">
              <w:rPr>
                <w:rFonts w:eastAsia="Times New Roman"/>
                <w:b/>
                <w:bCs/>
                <w:color w:val="000000"/>
                <w:sz w:val="20"/>
                <w:szCs w:val="20"/>
              </w:rPr>
              <w:t>Intervention</w:t>
            </w:r>
            <w:r w:rsidRPr="00563AD3">
              <w:rPr>
                <w:rFonts w:eastAsia="Times New Roman"/>
                <w:b/>
                <w:bCs/>
                <w:color w:val="000000"/>
                <w:sz w:val="20"/>
                <w:szCs w:val="20"/>
              </w:rPr>
              <w:br/>
              <w:t>(n = 31)</w:t>
            </w:r>
          </w:p>
        </w:tc>
        <w:tc>
          <w:tcPr>
            <w:tcW w:w="953" w:type="pct"/>
            <w:tcBorders>
              <w:top w:val="single" w:sz="4" w:space="0" w:color="auto"/>
              <w:left w:val="nil"/>
              <w:bottom w:val="single" w:sz="4" w:space="0" w:color="000000"/>
            </w:tcBorders>
            <w:shd w:val="clear" w:color="auto" w:fill="FFFFFF"/>
            <w:tcMar>
              <w:left w:w="67" w:type="dxa"/>
              <w:right w:w="67" w:type="dxa"/>
            </w:tcMar>
            <w:vAlign w:val="bottom"/>
          </w:tcPr>
          <w:p w14:paraId="397A61E5" w14:textId="77777777" w:rsidR="00682841" w:rsidRPr="00563AD3" w:rsidRDefault="00682841" w:rsidP="00682841">
            <w:pPr>
              <w:keepNext/>
              <w:spacing w:after="0" w:line="240" w:lineRule="auto"/>
              <w:jc w:val="center"/>
              <w:rPr>
                <w:rFonts w:eastAsia="Times New Roman"/>
                <w:b/>
                <w:bCs/>
                <w:color w:val="000000"/>
                <w:sz w:val="20"/>
                <w:szCs w:val="20"/>
              </w:rPr>
            </w:pPr>
            <w:r w:rsidRPr="00563AD3">
              <w:rPr>
                <w:rFonts w:eastAsia="Times New Roman"/>
                <w:b/>
                <w:bCs/>
                <w:color w:val="000000"/>
                <w:sz w:val="20"/>
                <w:szCs w:val="20"/>
              </w:rPr>
              <w:t>Total</w:t>
            </w:r>
            <w:r w:rsidRPr="00563AD3">
              <w:rPr>
                <w:rFonts w:eastAsia="Times New Roman"/>
                <w:b/>
                <w:bCs/>
                <w:color w:val="000000"/>
                <w:sz w:val="20"/>
                <w:szCs w:val="20"/>
              </w:rPr>
              <w:br/>
              <w:t>(n = 50)</w:t>
            </w:r>
          </w:p>
        </w:tc>
      </w:tr>
      <w:tr w:rsidR="00682841" w:rsidRPr="00563AD3" w14:paraId="0B5D3E48" w14:textId="77777777" w:rsidTr="00DE6B62">
        <w:trPr>
          <w:cantSplit/>
          <w:jc w:val="center"/>
        </w:trPr>
        <w:tc>
          <w:tcPr>
            <w:tcW w:w="2143" w:type="pct"/>
            <w:tcBorders>
              <w:top w:val="nil"/>
              <w:right w:val="nil"/>
            </w:tcBorders>
            <w:shd w:val="clear" w:color="auto" w:fill="FFFFFF"/>
            <w:tcMar>
              <w:left w:w="67" w:type="dxa"/>
              <w:right w:w="67" w:type="dxa"/>
            </w:tcMar>
          </w:tcPr>
          <w:p w14:paraId="569BDD30" w14:textId="77777777" w:rsidR="00682841" w:rsidRPr="00563AD3" w:rsidRDefault="00682841" w:rsidP="00682841">
            <w:pPr>
              <w:spacing w:after="0" w:line="240" w:lineRule="auto"/>
              <w:rPr>
                <w:rFonts w:eastAsia="Times New Roman"/>
                <w:bCs/>
                <w:color w:val="000000"/>
                <w:sz w:val="20"/>
                <w:szCs w:val="20"/>
              </w:rPr>
            </w:pPr>
            <w:r w:rsidRPr="00563AD3">
              <w:rPr>
                <w:rFonts w:eastAsia="Times New Roman"/>
                <w:bCs/>
                <w:color w:val="000000"/>
                <w:sz w:val="20"/>
                <w:szCs w:val="20"/>
              </w:rPr>
              <w:t xml:space="preserve">Baseline                      </w:t>
            </w:r>
          </w:p>
        </w:tc>
        <w:tc>
          <w:tcPr>
            <w:tcW w:w="952" w:type="pct"/>
            <w:tcBorders>
              <w:top w:val="nil"/>
              <w:left w:val="nil"/>
              <w:bottom w:val="nil"/>
              <w:right w:val="nil"/>
            </w:tcBorders>
            <w:shd w:val="clear" w:color="auto" w:fill="FFFFFF"/>
            <w:tcMar>
              <w:left w:w="67" w:type="dxa"/>
              <w:right w:w="67" w:type="dxa"/>
            </w:tcMar>
          </w:tcPr>
          <w:p w14:paraId="34815C25" w14:textId="77777777" w:rsidR="00682841" w:rsidRPr="00563AD3" w:rsidRDefault="00682841" w:rsidP="00682841">
            <w:pPr>
              <w:spacing w:after="0" w:line="240" w:lineRule="auto"/>
              <w:jc w:val="right"/>
              <w:rPr>
                <w:rFonts w:eastAsia="Times New Roman"/>
                <w:b/>
                <w:sz w:val="20"/>
                <w:szCs w:val="20"/>
              </w:rPr>
            </w:pPr>
            <w:r w:rsidRPr="00563AD3">
              <w:rPr>
                <w:rFonts w:eastAsia="Calibri"/>
                <w:color w:val="000000"/>
                <w:sz w:val="20"/>
                <w:szCs w:val="20"/>
                <w:lang w:eastAsia="en-US"/>
              </w:rPr>
              <w:t>2065 (74.9%) 0</w:t>
            </w:r>
          </w:p>
        </w:tc>
        <w:tc>
          <w:tcPr>
            <w:tcW w:w="952" w:type="pct"/>
            <w:tcBorders>
              <w:top w:val="nil"/>
              <w:left w:val="nil"/>
              <w:bottom w:val="nil"/>
              <w:right w:val="nil"/>
            </w:tcBorders>
            <w:shd w:val="clear" w:color="auto" w:fill="FFFFFF"/>
            <w:tcMar>
              <w:left w:w="67" w:type="dxa"/>
              <w:right w:w="67" w:type="dxa"/>
            </w:tcMar>
          </w:tcPr>
          <w:p w14:paraId="61B8CBE2" w14:textId="77777777" w:rsidR="00682841" w:rsidRPr="00563AD3" w:rsidRDefault="00682841" w:rsidP="00682841">
            <w:pPr>
              <w:spacing w:after="0" w:line="240" w:lineRule="auto"/>
              <w:jc w:val="right"/>
              <w:rPr>
                <w:rFonts w:eastAsia="Times New Roman"/>
                <w:b/>
                <w:sz w:val="20"/>
                <w:szCs w:val="20"/>
              </w:rPr>
            </w:pPr>
            <w:r w:rsidRPr="00563AD3">
              <w:rPr>
                <w:rFonts w:eastAsia="Calibri"/>
                <w:color w:val="000000"/>
                <w:sz w:val="20"/>
                <w:szCs w:val="20"/>
                <w:lang w:eastAsia="en-US"/>
              </w:rPr>
              <w:t>2405 (81.7%) 1</w:t>
            </w:r>
          </w:p>
        </w:tc>
        <w:tc>
          <w:tcPr>
            <w:tcW w:w="953" w:type="pct"/>
            <w:tcBorders>
              <w:top w:val="nil"/>
              <w:left w:val="nil"/>
              <w:bottom w:val="nil"/>
            </w:tcBorders>
            <w:shd w:val="clear" w:color="auto" w:fill="FFFFFF"/>
            <w:tcMar>
              <w:left w:w="67" w:type="dxa"/>
              <w:right w:w="67" w:type="dxa"/>
            </w:tcMar>
          </w:tcPr>
          <w:p w14:paraId="09729225" w14:textId="77777777" w:rsidR="00682841" w:rsidRPr="00563AD3" w:rsidRDefault="00682841" w:rsidP="00682841">
            <w:pPr>
              <w:spacing w:after="0" w:line="240" w:lineRule="auto"/>
              <w:jc w:val="right"/>
              <w:rPr>
                <w:rFonts w:eastAsia="Times New Roman"/>
                <w:b/>
                <w:sz w:val="20"/>
                <w:szCs w:val="20"/>
              </w:rPr>
            </w:pPr>
            <w:r w:rsidRPr="00563AD3">
              <w:rPr>
                <w:rFonts w:eastAsia="Calibri"/>
                <w:color w:val="000000"/>
                <w:sz w:val="20"/>
                <w:szCs w:val="20"/>
                <w:lang w:eastAsia="en-US"/>
              </w:rPr>
              <w:t>4470 (78.6%) 1</w:t>
            </w:r>
          </w:p>
        </w:tc>
      </w:tr>
      <w:tr w:rsidR="00682841" w:rsidRPr="00563AD3" w14:paraId="764BAD96" w14:textId="77777777" w:rsidTr="00DE6B62">
        <w:trPr>
          <w:cantSplit/>
          <w:jc w:val="center"/>
        </w:trPr>
        <w:tc>
          <w:tcPr>
            <w:tcW w:w="2143" w:type="pct"/>
            <w:tcBorders>
              <w:top w:val="nil"/>
              <w:bottom w:val="nil"/>
              <w:right w:val="nil"/>
            </w:tcBorders>
            <w:shd w:val="clear" w:color="auto" w:fill="FFFFFF"/>
            <w:tcMar>
              <w:left w:w="67" w:type="dxa"/>
              <w:right w:w="67" w:type="dxa"/>
            </w:tcMar>
          </w:tcPr>
          <w:p w14:paraId="132B0369" w14:textId="77777777" w:rsidR="00682841" w:rsidRPr="00563AD3" w:rsidRDefault="00682841" w:rsidP="00682841">
            <w:pPr>
              <w:keepNext/>
              <w:spacing w:after="0" w:line="240" w:lineRule="auto"/>
              <w:rPr>
                <w:rFonts w:eastAsia="Times New Roman"/>
                <w:color w:val="000000"/>
                <w:sz w:val="20"/>
                <w:szCs w:val="20"/>
              </w:rPr>
            </w:pPr>
            <w:r w:rsidRPr="00563AD3">
              <w:rPr>
                <w:rFonts w:eastAsia="Times New Roman"/>
                <w:bCs/>
                <w:color w:val="000000"/>
                <w:sz w:val="20"/>
                <w:szCs w:val="20"/>
              </w:rPr>
              <w:t>6</w:t>
            </w:r>
            <w:r>
              <w:rPr>
                <w:rFonts w:eastAsia="Times New Roman"/>
                <w:bCs/>
                <w:color w:val="000000"/>
                <w:sz w:val="20"/>
                <w:szCs w:val="20"/>
              </w:rPr>
              <w:t>-months</w:t>
            </w:r>
          </w:p>
        </w:tc>
        <w:tc>
          <w:tcPr>
            <w:tcW w:w="952" w:type="pct"/>
            <w:tcBorders>
              <w:top w:val="nil"/>
              <w:left w:val="nil"/>
              <w:bottom w:val="nil"/>
              <w:right w:val="nil"/>
            </w:tcBorders>
            <w:shd w:val="clear" w:color="auto" w:fill="FFFFFF"/>
            <w:tcMar>
              <w:left w:w="67" w:type="dxa"/>
              <w:right w:w="67" w:type="dxa"/>
            </w:tcMar>
          </w:tcPr>
          <w:p w14:paraId="742E8FE9" w14:textId="77777777" w:rsidR="00682841" w:rsidRPr="00563AD3" w:rsidRDefault="00682841" w:rsidP="00682841">
            <w:pPr>
              <w:keepNext/>
              <w:spacing w:after="0" w:line="240" w:lineRule="auto"/>
              <w:jc w:val="right"/>
              <w:rPr>
                <w:rFonts w:eastAsia="Times New Roman"/>
                <w:b/>
                <w:sz w:val="20"/>
                <w:szCs w:val="20"/>
              </w:rPr>
            </w:pPr>
            <w:r w:rsidRPr="00563AD3">
              <w:rPr>
                <w:rFonts w:eastAsia="Calibri"/>
                <w:color w:val="000000"/>
                <w:sz w:val="20"/>
                <w:szCs w:val="20"/>
                <w:lang w:eastAsia="en-US"/>
              </w:rPr>
              <w:t>1766 (81.7%) 0</w:t>
            </w:r>
          </w:p>
        </w:tc>
        <w:tc>
          <w:tcPr>
            <w:tcW w:w="952" w:type="pct"/>
            <w:tcBorders>
              <w:top w:val="nil"/>
              <w:left w:val="nil"/>
              <w:bottom w:val="nil"/>
              <w:right w:val="nil"/>
            </w:tcBorders>
            <w:shd w:val="clear" w:color="auto" w:fill="FFFFFF"/>
            <w:tcMar>
              <w:left w:w="67" w:type="dxa"/>
              <w:right w:w="67" w:type="dxa"/>
            </w:tcMar>
          </w:tcPr>
          <w:p w14:paraId="3953C366" w14:textId="77777777" w:rsidR="00682841" w:rsidRPr="00563AD3" w:rsidRDefault="00682841" w:rsidP="00682841">
            <w:pPr>
              <w:keepNext/>
              <w:spacing w:after="0" w:line="240" w:lineRule="auto"/>
              <w:jc w:val="right"/>
              <w:rPr>
                <w:rFonts w:eastAsia="Times New Roman"/>
                <w:b/>
                <w:sz w:val="20"/>
                <w:szCs w:val="20"/>
              </w:rPr>
            </w:pPr>
            <w:r w:rsidRPr="00563AD3">
              <w:rPr>
                <w:rFonts w:eastAsia="Calibri"/>
                <w:color w:val="000000"/>
                <w:sz w:val="20"/>
                <w:szCs w:val="20"/>
                <w:lang w:eastAsia="en-US"/>
              </w:rPr>
              <w:t>2291 (88.6%) 0</w:t>
            </w:r>
          </w:p>
        </w:tc>
        <w:tc>
          <w:tcPr>
            <w:tcW w:w="953" w:type="pct"/>
            <w:tcBorders>
              <w:top w:val="nil"/>
              <w:left w:val="nil"/>
              <w:bottom w:val="nil"/>
            </w:tcBorders>
            <w:shd w:val="clear" w:color="auto" w:fill="FFFFFF"/>
            <w:tcMar>
              <w:left w:w="67" w:type="dxa"/>
              <w:right w:w="67" w:type="dxa"/>
            </w:tcMar>
          </w:tcPr>
          <w:p w14:paraId="5D7BED4E" w14:textId="77777777" w:rsidR="00682841" w:rsidRPr="00563AD3" w:rsidRDefault="00682841" w:rsidP="00682841">
            <w:pPr>
              <w:keepNext/>
              <w:spacing w:after="0" w:line="240" w:lineRule="auto"/>
              <w:jc w:val="right"/>
              <w:rPr>
                <w:rFonts w:eastAsia="Times New Roman"/>
                <w:b/>
                <w:sz w:val="20"/>
                <w:szCs w:val="20"/>
              </w:rPr>
            </w:pPr>
            <w:r w:rsidRPr="00563AD3">
              <w:rPr>
                <w:rFonts w:eastAsia="Calibri"/>
                <w:color w:val="000000"/>
                <w:sz w:val="20"/>
                <w:szCs w:val="20"/>
                <w:lang w:eastAsia="en-US"/>
              </w:rPr>
              <w:t>4057 (85.6%) 0</w:t>
            </w:r>
          </w:p>
        </w:tc>
      </w:tr>
      <w:tr w:rsidR="00682841" w:rsidRPr="00563AD3" w14:paraId="159FB5DE" w14:textId="77777777" w:rsidTr="00DE6B62">
        <w:trPr>
          <w:cantSplit/>
          <w:jc w:val="center"/>
        </w:trPr>
        <w:tc>
          <w:tcPr>
            <w:tcW w:w="2143" w:type="pct"/>
            <w:tcBorders>
              <w:top w:val="nil"/>
              <w:bottom w:val="single" w:sz="4" w:space="0" w:color="auto"/>
              <w:right w:val="nil"/>
            </w:tcBorders>
            <w:shd w:val="clear" w:color="auto" w:fill="FFFFFF"/>
            <w:tcMar>
              <w:left w:w="67" w:type="dxa"/>
              <w:right w:w="67" w:type="dxa"/>
            </w:tcMar>
          </w:tcPr>
          <w:p w14:paraId="504F550B" w14:textId="77777777" w:rsidR="00682841" w:rsidRPr="00563AD3" w:rsidRDefault="00682841" w:rsidP="00682841">
            <w:pPr>
              <w:keepNext/>
              <w:spacing w:after="0" w:line="240" w:lineRule="auto"/>
              <w:rPr>
                <w:rFonts w:eastAsia="Times New Roman"/>
                <w:color w:val="000000"/>
                <w:sz w:val="20"/>
                <w:szCs w:val="20"/>
              </w:rPr>
            </w:pPr>
            <w:r w:rsidRPr="00563AD3">
              <w:rPr>
                <w:rFonts w:eastAsia="Times New Roman"/>
                <w:bCs/>
                <w:color w:val="000000"/>
                <w:sz w:val="20"/>
                <w:szCs w:val="20"/>
              </w:rPr>
              <w:t>16</w:t>
            </w:r>
            <w:r>
              <w:rPr>
                <w:rFonts w:eastAsia="Times New Roman"/>
                <w:bCs/>
                <w:color w:val="000000"/>
                <w:sz w:val="20"/>
                <w:szCs w:val="20"/>
              </w:rPr>
              <w:t>-months</w:t>
            </w:r>
          </w:p>
        </w:tc>
        <w:tc>
          <w:tcPr>
            <w:tcW w:w="952" w:type="pct"/>
            <w:tcBorders>
              <w:top w:val="nil"/>
              <w:left w:val="nil"/>
              <w:bottom w:val="single" w:sz="4" w:space="0" w:color="auto"/>
              <w:right w:val="nil"/>
            </w:tcBorders>
            <w:shd w:val="clear" w:color="auto" w:fill="FFFFFF"/>
            <w:tcMar>
              <w:left w:w="67" w:type="dxa"/>
              <w:right w:w="67" w:type="dxa"/>
            </w:tcMar>
          </w:tcPr>
          <w:p w14:paraId="0E7E6316" w14:textId="77777777" w:rsidR="00682841" w:rsidRPr="00563AD3" w:rsidRDefault="00682841" w:rsidP="00682841">
            <w:pPr>
              <w:keepNext/>
              <w:spacing w:after="0" w:line="240" w:lineRule="auto"/>
              <w:jc w:val="right"/>
              <w:rPr>
                <w:rFonts w:eastAsia="Times New Roman"/>
                <w:b/>
                <w:sz w:val="20"/>
                <w:szCs w:val="20"/>
              </w:rPr>
            </w:pPr>
            <w:r w:rsidRPr="00563AD3">
              <w:rPr>
                <w:rFonts w:eastAsia="Calibri"/>
                <w:color w:val="000000"/>
                <w:sz w:val="20"/>
                <w:szCs w:val="20"/>
                <w:lang w:eastAsia="en-US"/>
              </w:rPr>
              <w:t>1578 (83.7%) 0</w:t>
            </w:r>
          </w:p>
        </w:tc>
        <w:tc>
          <w:tcPr>
            <w:tcW w:w="952" w:type="pct"/>
            <w:tcBorders>
              <w:top w:val="nil"/>
              <w:left w:val="nil"/>
              <w:bottom w:val="single" w:sz="4" w:space="0" w:color="auto"/>
              <w:right w:val="nil"/>
            </w:tcBorders>
            <w:shd w:val="clear" w:color="auto" w:fill="FFFFFF"/>
            <w:tcMar>
              <w:left w:w="67" w:type="dxa"/>
              <w:right w:w="67" w:type="dxa"/>
            </w:tcMar>
          </w:tcPr>
          <w:p w14:paraId="21ABFF89" w14:textId="77777777" w:rsidR="00682841" w:rsidRPr="00563AD3" w:rsidRDefault="00682841" w:rsidP="00682841">
            <w:pPr>
              <w:keepNext/>
              <w:spacing w:after="0" w:line="240" w:lineRule="auto"/>
              <w:jc w:val="right"/>
              <w:rPr>
                <w:rFonts w:eastAsia="Times New Roman"/>
                <w:b/>
                <w:sz w:val="20"/>
                <w:szCs w:val="20"/>
              </w:rPr>
            </w:pPr>
            <w:r w:rsidRPr="00563AD3">
              <w:rPr>
                <w:rFonts w:eastAsia="Calibri"/>
                <w:color w:val="000000"/>
                <w:sz w:val="20"/>
                <w:szCs w:val="20"/>
                <w:lang w:eastAsia="en-US"/>
              </w:rPr>
              <w:t>2320 (83.7%) 0</w:t>
            </w:r>
          </w:p>
        </w:tc>
        <w:tc>
          <w:tcPr>
            <w:tcW w:w="953" w:type="pct"/>
            <w:tcBorders>
              <w:top w:val="nil"/>
              <w:left w:val="nil"/>
              <w:bottom w:val="single" w:sz="4" w:space="0" w:color="auto"/>
            </w:tcBorders>
            <w:shd w:val="clear" w:color="auto" w:fill="FFFFFF"/>
            <w:tcMar>
              <w:left w:w="67" w:type="dxa"/>
              <w:right w:w="67" w:type="dxa"/>
            </w:tcMar>
          </w:tcPr>
          <w:p w14:paraId="5E76FB9E" w14:textId="77777777" w:rsidR="00682841" w:rsidRPr="00563AD3" w:rsidRDefault="00682841" w:rsidP="00682841">
            <w:pPr>
              <w:keepNext/>
              <w:spacing w:after="0" w:line="240" w:lineRule="auto"/>
              <w:jc w:val="right"/>
              <w:rPr>
                <w:rFonts w:eastAsia="Times New Roman"/>
                <w:b/>
                <w:sz w:val="20"/>
                <w:szCs w:val="20"/>
              </w:rPr>
            </w:pPr>
            <w:r w:rsidRPr="00563AD3">
              <w:rPr>
                <w:rFonts w:eastAsia="Calibri"/>
                <w:color w:val="000000"/>
                <w:sz w:val="20"/>
                <w:szCs w:val="20"/>
                <w:lang w:eastAsia="en-US"/>
              </w:rPr>
              <w:t>3898 (83.7%) 0</w:t>
            </w:r>
          </w:p>
        </w:tc>
      </w:tr>
    </w:tbl>
    <w:p w14:paraId="2B10B47B" w14:textId="77777777" w:rsidR="00682841" w:rsidRPr="00563AD3" w:rsidRDefault="00682841" w:rsidP="00682841">
      <w:pPr>
        <w:autoSpaceDE/>
        <w:autoSpaceDN/>
        <w:adjustRightInd/>
        <w:spacing w:before="120" w:after="0"/>
        <w:rPr>
          <w:rFonts w:eastAsia="Calibri"/>
          <w:sz w:val="24"/>
          <w:szCs w:val="24"/>
          <w:lang w:eastAsia="en-US"/>
        </w:rPr>
      </w:pPr>
      <w:bookmarkStart w:id="180" w:name="_Ref500505550"/>
    </w:p>
    <w:p w14:paraId="7F3EB938" w14:textId="77777777" w:rsidR="003C2700" w:rsidRDefault="003C2700">
      <w:pPr>
        <w:autoSpaceDE/>
        <w:autoSpaceDN/>
        <w:adjustRightInd/>
        <w:spacing w:line="259" w:lineRule="auto"/>
        <w:rPr>
          <w:rFonts w:eastAsia="Calibri"/>
          <w:b/>
          <w:lang w:eastAsia="en-US"/>
        </w:rPr>
      </w:pPr>
      <w:r>
        <w:rPr>
          <w:rFonts w:eastAsia="Calibri"/>
          <w:lang w:eastAsia="en-US"/>
        </w:rPr>
        <w:br w:type="page"/>
      </w:r>
    </w:p>
    <w:p w14:paraId="3AE89A51" w14:textId="71AC6F82" w:rsidR="00682841" w:rsidRPr="00563AD3" w:rsidRDefault="00682841" w:rsidP="00682841">
      <w:pPr>
        <w:pStyle w:val="Tableheading"/>
        <w:rPr>
          <w:rFonts w:eastAsia="Calibri"/>
          <w:lang w:eastAsia="en-US"/>
        </w:rPr>
      </w:pPr>
      <w:bookmarkStart w:id="181" w:name="_Toc948213"/>
      <w:r w:rsidRPr="00563AD3">
        <w:rPr>
          <w:rFonts w:eastAsia="Calibri"/>
          <w:lang w:eastAsia="en-US"/>
        </w:rPr>
        <w:t xml:space="preserve">Table </w:t>
      </w:r>
      <w:bookmarkEnd w:id="180"/>
      <w:r w:rsidRPr="00563AD3">
        <w:rPr>
          <w:rFonts w:eastAsia="Calibri"/>
          <w:lang w:eastAsia="en-US"/>
        </w:rPr>
        <w:t>16 Secondary outcomes at 6-months (closed-cohort)</w:t>
      </w:r>
      <w:bookmarkEnd w:id="181"/>
    </w:p>
    <w:tbl>
      <w:tblPr>
        <w:tblW w:w="9918" w:type="dxa"/>
        <w:jc w:val="center"/>
        <w:tblLayout w:type="fixed"/>
        <w:tblCellMar>
          <w:left w:w="0" w:type="dxa"/>
          <w:right w:w="0" w:type="dxa"/>
        </w:tblCellMar>
        <w:tblLook w:val="0000" w:firstRow="0" w:lastRow="0" w:firstColumn="0" w:lastColumn="0" w:noHBand="0" w:noVBand="0"/>
      </w:tblPr>
      <w:tblGrid>
        <w:gridCol w:w="2405"/>
        <w:gridCol w:w="2552"/>
        <w:gridCol w:w="1275"/>
        <w:gridCol w:w="1134"/>
        <w:gridCol w:w="1134"/>
        <w:gridCol w:w="851"/>
        <w:gridCol w:w="567"/>
      </w:tblGrid>
      <w:tr w:rsidR="00682841" w:rsidRPr="00563AD3" w14:paraId="3F0E1781" w14:textId="77777777" w:rsidTr="00DE6B62">
        <w:trPr>
          <w:cantSplit/>
          <w:tblHeader/>
          <w:jc w:val="center"/>
        </w:trPr>
        <w:tc>
          <w:tcPr>
            <w:tcW w:w="2405" w:type="dxa"/>
            <w:tcBorders>
              <w:top w:val="single" w:sz="4" w:space="0" w:color="auto"/>
              <w:bottom w:val="single" w:sz="4" w:space="0" w:color="000000"/>
              <w:right w:val="nil"/>
            </w:tcBorders>
            <w:shd w:val="clear" w:color="auto" w:fill="FFFFFF"/>
            <w:tcMar>
              <w:left w:w="67" w:type="dxa"/>
              <w:right w:w="67" w:type="dxa"/>
            </w:tcMar>
            <w:vAlign w:val="bottom"/>
          </w:tcPr>
          <w:p w14:paraId="0874E1C8" w14:textId="77777777" w:rsidR="00682841" w:rsidRPr="00563AD3" w:rsidRDefault="00682841" w:rsidP="00682841">
            <w:pPr>
              <w:keepNext/>
              <w:spacing w:after="0" w:line="240" w:lineRule="auto"/>
              <w:rPr>
                <w:rFonts w:eastAsia="Times New Roman"/>
                <w:b/>
                <w:bCs/>
                <w:color w:val="000000"/>
                <w:sz w:val="20"/>
                <w:szCs w:val="20"/>
              </w:rPr>
            </w:pPr>
            <w:r w:rsidRPr="00563AD3">
              <w:rPr>
                <w:rFonts w:eastAsia="Times New Roman"/>
                <w:b/>
                <w:bCs/>
                <w:color w:val="000000"/>
                <w:sz w:val="20"/>
                <w:szCs w:val="20"/>
              </w:rPr>
              <w:t>Secondary Outcome</w:t>
            </w:r>
          </w:p>
        </w:tc>
        <w:tc>
          <w:tcPr>
            <w:tcW w:w="2552" w:type="dxa"/>
            <w:tcBorders>
              <w:top w:val="single" w:sz="4" w:space="0" w:color="auto"/>
              <w:left w:val="nil"/>
              <w:bottom w:val="single" w:sz="4" w:space="0" w:color="000000"/>
              <w:right w:val="nil"/>
            </w:tcBorders>
            <w:shd w:val="clear" w:color="auto" w:fill="FFFFFF"/>
          </w:tcPr>
          <w:p w14:paraId="07066CA8" w14:textId="77777777" w:rsidR="00682841" w:rsidRPr="00563AD3" w:rsidRDefault="00682841" w:rsidP="00682841">
            <w:pPr>
              <w:keepNext/>
              <w:spacing w:after="0" w:line="240" w:lineRule="auto"/>
              <w:rPr>
                <w:rFonts w:eastAsia="Times New Roman"/>
                <w:b/>
                <w:bCs/>
                <w:color w:val="000000"/>
                <w:sz w:val="20"/>
                <w:szCs w:val="20"/>
              </w:rPr>
            </w:pPr>
          </w:p>
          <w:p w14:paraId="1C8328F3" w14:textId="77777777" w:rsidR="00682841" w:rsidRPr="00563AD3" w:rsidRDefault="00682841" w:rsidP="00682841">
            <w:pPr>
              <w:keepNext/>
              <w:spacing w:after="0" w:line="240" w:lineRule="auto"/>
              <w:rPr>
                <w:rFonts w:eastAsia="Times New Roman"/>
                <w:b/>
                <w:bCs/>
                <w:color w:val="000000"/>
                <w:sz w:val="20"/>
                <w:szCs w:val="20"/>
              </w:rPr>
            </w:pPr>
          </w:p>
          <w:p w14:paraId="6EC6A36E" w14:textId="77777777" w:rsidR="00682841" w:rsidRPr="00563AD3" w:rsidRDefault="00682841" w:rsidP="00682841">
            <w:pPr>
              <w:keepNext/>
              <w:spacing w:after="0" w:line="240" w:lineRule="auto"/>
              <w:rPr>
                <w:rFonts w:eastAsia="Times New Roman"/>
                <w:b/>
                <w:bCs/>
                <w:color w:val="000000"/>
                <w:sz w:val="20"/>
                <w:szCs w:val="20"/>
              </w:rPr>
            </w:pPr>
          </w:p>
          <w:p w14:paraId="557892CB" w14:textId="77777777" w:rsidR="00682841" w:rsidRPr="00563AD3" w:rsidRDefault="00682841" w:rsidP="00682841">
            <w:pPr>
              <w:keepNext/>
              <w:spacing w:after="0" w:line="240" w:lineRule="auto"/>
              <w:rPr>
                <w:rFonts w:eastAsia="Times New Roman"/>
                <w:b/>
                <w:bCs/>
                <w:color w:val="000000"/>
                <w:sz w:val="20"/>
                <w:szCs w:val="20"/>
              </w:rPr>
            </w:pPr>
            <w:r w:rsidRPr="00563AD3">
              <w:rPr>
                <w:rFonts w:eastAsia="Times New Roman"/>
                <w:b/>
                <w:bCs/>
                <w:color w:val="000000"/>
                <w:sz w:val="20"/>
                <w:szCs w:val="20"/>
              </w:rPr>
              <w:t>Analysis</w:t>
            </w:r>
          </w:p>
        </w:tc>
        <w:tc>
          <w:tcPr>
            <w:tcW w:w="1275" w:type="dxa"/>
            <w:tcBorders>
              <w:top w:val="single" w:sz="4" w:space="0" w:color="auto"/>
              <w:left w:val="nil"/>
              <w:bottom w:val="single" w:sz="4" w:space="0" w:color="000000"/>
              <w:right w:val="nil"/>
            </w:tcBorders>
            <w:shd w:val="clear" w:color="auto" w:fill="FFFFFF"/>
            <w:tcMar>
              <w:left w:w="67" w:type="dxa"/>
              <w:right w:w="67" w:type="dxa"/>
            </w:tcMar>
            <w:vAlign w:val="bottom"/>
          </w:tcPr>
          <w:p w14:paraId="0DA45BE0" w14:textId="77777777" w:rsidR="00682841" w:rsidRPr="00563AD3" w:rsidRDefault="00682841" w:rsidP="0068284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Treatment Effect (Intervention</w:t>
            </w:r>
            <w:r w:rsidRPr="00563AD3">
              <w:rPr>
                <w:rFonts w:eastAsia="Times New Roman"/>
                <w:b/>
                <w:bCs/>
                <w:color w:val="000000"/>
                <w:sz w:val="20"/>
                <w:szCs w:val="20"/>
              </w:rPr>
              <w:br/>
              <w:t>- Control)</w:t>
            </w:r>
          </w:p>
        </w:tc>
        <w:tc>
          <w:tcPr>
            <w:tcW w:w="1134" w:type="dxa"/>
            <w:tcBorders>
              <w:top w:val="single" w:sz="4" w:space="0" w:color="auto"/>
              <w:left w:val="nil"/>
              <w:bottom w:val="single" w:sz="4" w:space="0" w:color="000000"/>
              <w:right w:val="nil"/>
            </w:tcBorders>
            <w:shd w:val="clear" w:color="auto" w:fill="FFFFFF"/>
            <w:tcMar>
              <w:left w:w="67" w:type="dxa"/>
              <w:right w:w="67" w:type="dxa"/>
            </w:tcMar>
            <w:vAlign w:val="bottom"/>
          </w:tcPr>
          <w:p w14:paraId="756569F4" w14:textId="77777777" w:rsidR="00682841" w:rsidRPr="00563AD3" w:rsidRDefault="00682841" w:rsidP="0068284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Lower 95% Confidence Limit</w:t>
            </w:r>
          </w:p>
        </w:tc>
        <w:tc>
          <w:tcPr>
            <w:tcW w:w="1134" w:type="dxa"/>
            <w:tcBorders>
              <w:top w:val="single" w:sz="4" w:space="0" w:color="auto"/>
              <w:left w:val="nil"/>
              <w:bottom w:val="single" w:sz="4" w:space="0" w:color="000000"/>
              <w:right w:val="nil"/>
            </w:tcBorders>
            <w:shd w:val="clear" w:color="auto" w:fill="FFFFFF"/>
            <w:tcMar>
              <w:left w:w="67" w:type="dxa"/>
              <w:right w:w="67" w:type="dxa"/>
            </w:tcMar>
            <w:vAlign w:val="bottom"/>
          </w:tcPr>
          <w:p w14:paraId="4E9E9DB7" w14:textId="77777777" w:rsidR="00682841" w:rsidRPr="00563AD3" w:rsidRDefault="00682841" w:rsidP="0068284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 xml:space="preserve">Upper </w:t>
            </w:r>
          </w:p>
          <w:p w14:paraId="36155ADC" w14:textId="77777777" w:rsidR="00682841" w:rsidRPr="00563AD3" w:rsidRDefault="00682841" w:rsidP="0068284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95% Confidence Limit</w:t>
            </w:r>
          </w:p>
        </w:tc>
        <w:tc>
          <w:tcPr>
            <w:tcW w:w="851" w:type="dxa"/>
            <w:tcBorders>
              <w:top w:val="single" w:sz="4" w:space="0" w:color="auto"/>
              <w:left w:val="nil"/>
              <w:bottom w:val="single" w:sz="4" w:space="0" w:color="000000"/>
              <w:right w:val="nil"/>
            </w:tcBorders>
            <w:shd w:val="clear" w:color="auto" w:fill="FFFFFF"/>
            <w:tcMar>
              <w:left w:w="67" w:type="dxa"/>
              <w:right w:w="67" w:type="dxa"/>
            </w:tcMar>
            <w:vAlign w:val="bottom"/>
          </w:tcPr>
          <w:p w14:paraId="6C4B7A8B" w14:textId="77777777" w:rsidR="00682841" w:rsidRPr="00563AD3" w:rsidRDefault="00682841" w:rsidP="0068284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p-value</w:t>
            </w:r>
          </w:p>
        </w:tc>
        <w:tc>
          <w:tcPr>
            <w:tcW w:w="567" w:type="dxa"/>
            <w:tcBorders>
              <w:top w:val="single" w:sz="4" w:space="0" w:color="auto"/>
              <w:left w:val="nil"/>
              <w:bottom w:val="single" w:sz="4" w:space="0" w:color="000000"/>
            </w:tcBorders>
            <w:shd w:val="clear" w:color="auto" w:fill="FFFFFF"/>
            <w:tcMar>
              <w:left w:w="67" w:type="dxa"/>
              <w:right w:w="67" w:type="dxa"/>
            </w:tcMar>
            <w:vAlign w:val="bottom"/>
          </w:tcPr>
          <w:p w14:paraId="26A9116C" w14:textId="77777777" w:rsidR="00682841" w:rsidRPr="00563AD3" w:rsidRDefault="00682841" w:rsidP="00682841">
            <w:pPr>
              <w:keepNext/>
              <w:spacing w:after="0" w:line="240" w:lineRule="auto"/>
              <w:jc w:val="right"/>
              <w:rPr>
                <w:rFonts w:eastAsia="Times New Roman"/>
                <w:b/>
                <w:bCs/>
                <w:color w:val="000000"/>
                <w:sz w:val="20"/>
                <w:szCs w:val="20"/>
              </w:rPr>
            </w:pPr>
            <w:r w:rsidRPr="00563AD3">
              <w:rPr>
                <w:rFonts w:eastAsia="Times New Roman"/>
                <w:b/>
                <w:bCs/>
                <w:color w:val="000000"/>
                <w:sz w:val="20"/>
                <w:szCs w:val="20"/>
              </w:rPr>
              <w:t>N</w:t>
            </w:r>
          </w:p>
        </w:tc>
      </w:tr>
      <w:tr w:rsidR="00682841" w:rsidRPr="00563AD3" w14:paraId="592790DC" w14:textId="77777777" w:rsidTr="00DE6B62">
        <w:trPr>
          <w:cantSplit/>
          <w:jc w:val="center"/>
        </w:trPr>
        <w:tc>
          <w:tcPr>
            <w:tcW w:w="2405" w:type="dxa"/>
            <w:tcBorders>
              <w:top w:val="nil"/>
              <w:bottom w:val="single" w:sz="4" w:space="0" w:color="auto"/>
              <w:right w:val="nil"/>
            </w:tcBorders>
            <w:shd w:val="clear" w:color="auto" w:fill="FFFFFF"/>
            <w:tcMar>
              <w:left w:w="67" w:type="dxa"/>
              <w:right w:w="67" w:type="dxa"/>
            </w:tcMar>
          </w:tcPr>
          <w:p w14:paraId="1AA87D57" w14:textId="77777777" w:rsidR="00682841" w:rsidRPr="00563AD3" w:rsidRDefault="00682841" w:rsidP="00682841">
            <w:pPr>
              <w:spacing w:after="0" w:line="240" w:lineRule="auto"/>
              <w:rPr>
                <w:rFonts w:eastAsia="Times New Roman"/>
                <w:b/>
                <w:color w:val="000000"/>
                <w:sz w:val="20"/>
                <w:szCs w:val="20"/>
              </w:rPr>
            </w:pPr>
            <w:r w:rsidRPr="00563AD3">
              <w:rPr>
                <w:rFonts w:eastAsia="Times New Roman"/>
                <w:b/>
                <w:color w:val="000000"/>
                <w:sz w:val="20"/>
                <w:szCs w:val="20"/>
              </w:rPr>
              <w:t>RESIDENT RELATED</w:t>
            </w:r>
          </w:p>
        </w:tc>
        <w:tc>
          <w:tcPr>
            <w:tcW w:w="2552" w:type="dxa"/>
            <w:tcBorders>
              <w:top w:val="nil"/>
              <w:left w:val="nil"/>
              <w:bottom w:val="single" w:sz="4" w:space="0" w:color="auto"/>
              <w:right w:val="nil"/>
            </w:tcBorders>
            <w:shd w:val="clear" w:color="auto" w:fill="FFFFFF"/>
          </w:tcPr>
          <w:p w14:paraId="4CDD4567" w14:textId="77777777" w:rsidR="00682841" w:rsidRPr="00563AD3" w:rsidRDefault="00682841" w:rsidP="00682841">
            <w:pPr>
              <w:spacing w:after="0" w:line="240" w:lineRule="auto"/>
              <w:rPr>
                <w:rFonts w:eastAsia="Times New Roman"/>
                <w:color w:val="000000"/>
                <w:sz w:val="20"/>
                <w:szCs w:val="20"/>
              </w:rPr>
            </w:pPr>
          </w:p>
        </w:tc>
        <w:tc>
          <w:tcPr>
            <w:tcW w:w="1275" w:type="dxa"/>
            <w:tcBorders>
              <w:top w:val="nil"/>
              <w:left w:val="nil"/>
              <w:bottom w:val="single" w:sz="4" w:space="0" w:color="auto"/>
              <w:right w:val="nil"/>
            </w:tcBorders>
            <w:shd w:val="clear" w:color="auto" w:fill="FFFFFF"/>
            <w:tcMar>
              <w:left w:w="67" w:type="dxa"/>
              <w:right w:w="67" w:type="dxa"/>
            </w:tcMar>
          </w:tcPr>
          <w:p w14:paraId="5FBC4F3E" w14:textId="77777777" w:rsidR="00682841" w:rsidRPr="00563AD3" w:rsidRDefault="00682841" w:rsidP="00682841">
            <w:pPr>
              <w:spacing w:after="0" w:line="240" w:lineRule="auto"/>
              <w:jc w:val="right"/>
              <w:rPr>
                <w:rFonts w:eastAsia="Times New Roman"/>
                <w:color w:val="000000"/>
                <w:sz w:val="20"/>
                <w:szCs w:val="20"/>
              </w:rPr>
            </w:pPr>
          </w:p>
        </w:tc>
        <w:tc>
          <w:tcPr>
            <w:tcW w:w="1134" w:type="dxa"/>
            <w:tcBorders>
              <w:top w:val="nil"/>
              <w:left w:val="nil"/>
              <w:bottom w:val="single" w:sz="4" w:space="0" w:color="auto"/>
              <w:right w:val="nil"/>
            </w:tcBorders>
            <w:shd w:val="clear" w:color="auto" w:fill="FFFFFF"/>
            <w:tcMar>
              <w:left w:w="67" w:type="dxa"/>
              <w:right w:w="67" w:type="dxa"/>
            </w:tcMar>
          </w:tcPr>
          <w:p w14:paraId="5638DAA9" w14:textId="77777777" w:rsidR="00682841" w:rsidRPr="00563AD3" w:rsidRDefault="00682841" w:rsidP="00682841">
            <w:pPr>
              <w:spacing w:after="0" w:line="240" w:lineRule="auto"/>
              <w:jc w:val="right"/>
              <w:rPr>
                <w:rFonts w:eastAsia="Times New Roman"/>
                <w:color w:val="000000"/>
                <w:sz w:val="20"/>
                <w:szCs w:val="20"/>
              </w:rPr>
            </w:pPr>
          </w:p>
        </w:tc>
        <w:tc>
          <w:tcPr>
            <w:tcW w:w="1134" w:type="dxa"/>
            <w:tcBorders>
              <w:top w:val="nil"/>
              <w:left w:val="nil"/>
              <w:bottom w:val="single" w:sz="4" w:space="0" w:color="auto"/>
              <w:right w:val="nil"/>
            </w:tcBorders>
            <w:shd w:val="clear" w:color="auto" w:fill="FFFFFF"/>
            <w:tcMar>
              <w:left w:w="67" w:type="dxa"/>
              <w:right w:w="67" w:type="dxa"/>
            </w:tcMar>
          </w:tcPr>
          <w:p w14:paraId="5E2956C4" w14:textId="77777777" w:rsidR="00682841" w:rsidRPr="00563AD3" w:rsidRDefault="00682841" w:rsidP="00682841">
            <w:pPr>
              <w:spacing w:after="0" w:line="240" w:lineRule="auto"/>
              <w:jc w:val="right"/>
              <w:rPr>
                <w:rFonts w:eastAsia="Times New Roman"/>
                <w:color w:val="000000"/>
                <w:sz w:val="20"/>
                <w:szCs w:val="20"/>
              </w:rPr>
            </w:pPr>
          </w:p>
        </w:tc>
        <w:tc>
          <w:tcPr>
            <w:tcW w:w="851" w:type="dxa"/>
            <w:tcBorders>
              <w:top w:val="nil"/>
              <w:left w:val="nil"/>
              <w:bottom w:val="single" w:sz="4" w:space="0" w:color="auto"/>
              <w:right w:val="nil"/>
            </w:tcBorders>
            <w:shd w:val="clear" w:color="auto" w:fill="FFFFFF"/>
            <w:tcMar>
              <w:left w:w="67" w:type="dxa"/>
              <w:right w:w="67" w:type="dxa"/>
            </w:tcMar>
          </w:tcPr>
          <w:p w14:paraId="72F28114" w14:textId="77777777" w:rsidR="00682841" w:rsidRPr="00563AD3" w:rsidRDefault="00682841" w:rsidP="00682841">
            <w:pPr>
              <w:spacing w:after="0" w:line="240" w:lineRule="auto"/>
              <w:jc w:val="right"/>
              <w:rPr>
                <w:rFonts w:eastAsia="Times New Roman"/>
                <w:color w:val="000000"/>
                <w:sz w:val="20"/>
                <w:szCs w:val="20"/>
              </w:rPr>
            </w:pPr>
          </w:p>
        </w:tc>
        <w:tc>
          <w:tcPr>
            <w:tcW w:w="567" w:type="dxa"/>
            <w:tcBorders>
              <w:top w:val="nil"/>
              <w:left w:val="nil"/>
              <w:bottom w:val="single" w:sz="4" w:space="0" w:color="auto"/>
            </w:tcBorders>
            <w:shd w:val="clear" w:color="auto" w:fill="FFFFFF"/>
            <w:tcMar>
              <w:left w:w="67" w:type="dxa"/>
              <w:right w:w="67" w:type="dxa"/>
            </w:tcMar>
          </w:tcPr>
          <w:p w14:paraId="5C4EE156" w14:textId="77777777" w:rsidR="00682841" w:rsidRPr="00563AD3" w:rsidRDefault="00682841" w:rsidP="00682841">
            <w:pPr>
              <w:spacing w:after="0" w:line="240" w:lineRule="auto"/>
              <w:jc w:val="right"/>
              <w:rPr>
                <w:rFonts w:eastAsia="Times New Roman"/>
                <w:color w:val="000000"/>
                <w:sz w:val="20"/>
                <w:szCs w:val="20"/>
              </w:rPr>
            </w:pPr>
          </w:p>
        </w:tc>
      </w:tr>
      <w:tr w:rsidR="00682841" w:rsidRPr="00563AD3" w14:paraId="41786107" w14:textId="77777777" w:rsidTr="00DE6B62">
        <w:trPr>
          <w:cantSplit/>
          <w:jc w:val="center"/>
        </w:trPr>
        <w:tc>
          <w:tcPr>
            <w:tcW w:w="2405" w:type="dxa"/>
            <w:vMerge w:val="restart"/>
            <w:tcBorders>
              <w:top w:val="single" w:sz="4" w:space="0" w:color="auto"/>
              <w:right w:val="nil"/>
            </w:tcBorders>
            <w:shd w:val="clear" w:color="auto" w:fill="FFFFFF"/>
            <w:tcMar>
              <w:left w:w="67" w:type="dxa"/>
              <w:right w:w="67" w:type="dxa"/>
            </w:tcMar>
          </w:tcPr>
          <w:p w14:paraId="5DED21FC" w14:textId="77777777" w:rsidR="00682841" w:rsidRPr="00563AD3" w:rsidRDefault="00682841" w:rsidP="00682841">
            <w:pPr>
              <w:spacing w:after="0" w:line="240" w:lineRule="auto"/>
              <w:rPr>
                <w:rFonts w:eastAsia="Times New Roman"/>
                <w:b/>
                <w:color w:val="000000"/>
                <w:sz w:val="20"/>
                <w:szCs w:val="20"/>
              </w:rPr>
            </w:pPr>
            <w:r w:rsidRPr="00563AD3">
              <w:rPr>
                <w:rFonts w:eastAsia="Times New Roman"/>
                <w:b/>
                <w:color w:val="000000"/>
                <w:sz w:val="20"/>
                <w:szCs w:val="20"/>
              </w:rPr>
              <w:t xml:space="preserve">Behaviours staff find challenging </w:t>
            </w:r>
          </w:p>
          <w:p w14:paraId="6D3DA71F" w14:textId="77777777" w:rsidR="00682841" w:rsidRPr="00563AD3" w:rsidRDefault="00682841" w:rsidP="00682841">
            <w:pPr>
              <w:spacing w:after="0" w:line="240" w:lineRule="auto"/>
              <w:rPr>
                <w:rFonts w:eastAsia="Times New Roman"/>
                <w:color w:val="000000"/>
                <w:sz w:val="20"/>
                <w:szCs w:val="20"/>
              </w:rPr>
            </w:pPr>
          </w:p>
        </w:tc>
        <w:tc>
          <w:tcPr>
            <w:tcW w:w="2552" w:type="dxa"/>
            <w:tcBorders>
              <w:top w:val="single" w:sz="4" w:space="0" w:color="auto"/>
              <w:left w:val="nil"/>
              <w:bottom w:val="nil"/>
              <w:right w:val="nil"/>
            </w:tcBorders>
            <w:shd w:val="clear" w:color="auto" w:fill="FFFFFF"/>
          </w:tcPr>
          <w:p w14:paraId="714143A6" w14:textId="77777777" w:rsidR="00682841" w:rsidRPr="00563AD3" w:rsidRDefault="00682841" w:rsidP="00682841">
            <w:pPr>
              <w:spacing w:after="0" w:line="240" w:lineRule="auto"/>
              <w:rPr>
                <w:rFonts w:eastAsia="Times New Roman"/>
                <w:color w:val="000000"/>
                <w:sz w:val="20"/>
                <w:szCs w:val="20"/>
              </w:rPr>
            </w:pPr>
            <w:r w:rsidRPr="00563AD3">
              <w:rPr>
                <w:rFonts w:eastAsia="Times New Roman"/>
                <w:color w:val="000000"/>
                <w:sz w:val="20"/>
                <w:szCs w:val="20"/>
              </w:rPr>
              <w:t>Population-Average Logistic Model (GEE)</w:t>
            </w:r>
          </w:p>
        </w:tc>
        <w:tc>
          <w:tcPr>
            <w:tcW w:w="1275" w:type="dxa"/>
            <w:tcBorders>
              <w:top w:val="single" w:sz="4" w:space="0" w:color="auto"/>
              <w:left w:val="nil"/>
              <w:bottom w:val="nil"/>
              <w:right w:val="nil"/>
            </w:tcBorders>
            <w:shd w:val="clear" w:color="auto" w:fill="FFFFFF"/>
            <w:tcMar>
              <w:left w:w="67" w:type="dxa"/>
              <w:right w:w="67" w:type="dxa"/>
            </w:tcMar>
          </w:tcPr>
          <w:p w14:paraId="6FCD2D04"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0.950</w:t>
            </w:r>
          </w:p>
        </w:tc>
        <w:tc>
          <w:tcPr>
            <w:tcW w:w="1134" w:type="dxa"/>
            <w:tcBorders>
              <w:top w:val="single" w:sz="4" w:space="0" w:color="auto"/>
              <w:left w:val="nil"/>
              <w:bottom w:val="nil"/>
              <w:right w:val="nil"/>
            </w:tcBorders>
            <w:shd w:val="clear" w:color="auto" w:fill="FFFFFF"/>
            <w:tcMar>
              <w:left w:w="67" w:type="dxa"/>
              <w:right w:w="67" w:type="dxa"/>
            </w:tcMar>
          </w:tcPr>
          <w:p w14:paraId="2D44DA15"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0.612</w:t>
            </w:r>
          </w:p>
        </w:tc>
        <w:tc>
          <w:tcPr>
            <w:tcW w:w="1134" w:type="dxa"/>
            <w:tcBorders>
              <w:top w:val="single" w:sz="4" w:space="0" w:color="auto"/>
              <w:left w:val="nil"/>
              <w:bottom w:val="nil"/>
              <w:right w:val="nil"/>
            </w:tcBorders>
            <w:shd w:val="clear" w:color="auto" w:fill="FFFFFF"/>
            <w:tcMar>
              <w:left w:w="67" w:type="dxa"/>
              <w:right w:w="67" w:type="dxa"/>
            </w:tcMar>
          </w:tcPr>
          <w:p w14:paraId="456F1332"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1.476</w:t>
            </w:r>
          </w:p>
        </w:tc>
        <w:tc>
          <w:tcPr>
            <w:tcW w:w="851" w:type="dxa"/>
            <w:tcBorders>
              <w:top w:val="single" w:sz="4" w:space="0" w:color="auto"/>
              <w:left w:val="nil"/>
              <w:bottom w:val="nil"/>
              <w:right w:val="nil"/>
            </w:tcBorders>
            <w:shd w:val="clear" w:color="auto" w:fill="FFFFFF"/>
            <w:tcMar>
              <w:left w:w="67" w:type="dxa"/>
              <w:right w:w="67" w:type="dxa"/>
            </w:tcMar>
          </w:tcPr>
          <w:p w14:paraId="51404E83"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0.820</w:t>
            </w:r>
          </w:p>
        </w:tc>
        <w:tc>
          <w:tcPr>
            <w:tcW w:w="567" w:type="dxa"/>
            <w:tcBorders>
              <w:top w:val="single" w:sz="4" w:space="0" w:color="auto"/>
              <w:left w:val="nil"/>
              <w:bottom w:val="nil"/>
            </w:tcBorders>
            <w:shd w:val="clear" w:color="auto" w:fill="FFFFFF"/>
            <w:tcMar>
              <w:left w:w="67" w:type="dxa"/>
              <w:right w:w="67" w:type="dxa"/>
            </w:tcMar>
          </w:tcPr>
          <w:p w14:paraId="2B10E044"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726</w:t>
            </w:r>
          </w:p>
        </w:tc>
      </w:tr>
      <w:tr w:rsidR="00682841" w:rsidRPr="00563AD3" w14:paraId="7DE80D97" w14:textId="77777777" w:rsidTr="00DE6B62">
        <w:trPr>
          <w:cantSplit/>
          <w:jc w:val="center"/>
        </w:trPr>
        <w:tc>
          <w:tcPr>
            <w:tcW w:w="2405" w:type="dxa"/>
            <w:vMerge/>
            <w:tcBorders>
              <w:bottom w:val="single" w:sz="4" w:space="0" w:color="auto"/>
              <w:right w:val="nil"/>
            </w:tcBorders>
            <w:shd w:val="clear" w:color="auto" w:fill="FFFFFF"/>
            <w:tcMar>
              <w:left w:w="67" w:type="dxa"/>
              <w:right w:w="67" w:type="dxa"/>
            </w:tcMar>
          </w:tcPr>
          <w:p w14:paraId="422F1898" w14:textId="77777777" w:rsidR="00682841" w:rsidRPr="00563AD3" w:rsidRDefault="00682841" w:rsidP="00682841">
            <w:pPr>
              <w:spacing w:after="0" w:line="240" w:lineRule="auto"/>
              <w:rPr>
                <w:rFonts w:eastAsia="Times New Roman"/>
                <w:color w:val="000000"/>
                <w:sz w:val="20"/>
                <w:szCs w:val="20"/>
              </w:rPr>
            </w:pPr>
          </w:p>
        </w:tc>
        <w:tc>
          <w:tcPr>
            <w:tcW w:w="2552" w:type="dxa"/>
            <w:tcBorders>
              <w:top w:val="nil"/>
              <w:left w:val="nil"/>
              <w:bottom w:val="single" w:sz="4" w:space="0" w:color="auto"/>
              <w:right w:val="nil"/>
            </w:tcBorders>
            <w:shd w:val="clear" w:color="auto" w:fill="FFFFFF"/>
          </w:tcPr>
          <w:p w14:paraId="23CF4AE6" w14:textId="77777777" w:rsidR="00682841" w:rsidRPr="00563AD3" w:rsidRDefault="00682841" w:rsidP="00682841">
            <w:pPr>
              <w:spacing w:after="0" w:line="240" w:lineRule="auto"/>
              <w:rPr>
                <w:rFonts w:eastAsia="Times New Roman"/>
                <w:color w:val="000000"/>
                <w:sz w:val="20"/>
                <w:szCs w:val="20"/>
              </w:rPr>
            </w:pPr>
            <w:r w:rsidRPr="00563AD3">
              <w:rPr>
                <w:rFonts w:eastAsia="Times New Roman"/>
                <w:color w:val="000000"/>
                <w:sz w:val="20"/>
                <w:szCs w:val="20"/>
              </w:rPr>
              <w:t>Cluster-Specific Logistic Model (REML)</w:t>
            </w:r>
          </w:p>
        </w:tc>
        <w:tc>
          <w:tcPr>
            <w:tcW w:w="1275" w:type="dxa"/>
            <w:tcBorders>
              <w:top w:val="nil"/>
              <w:left w:val="nil"/>
              <w:bottom w:val="single" w:sz="4" w:space="0" w:color="auto"/>
              <w:right w:val="nil"/>
            </w:tcBorders>
            <w:shd w:val="clear" w:color="auto" w:fill="FFFFFF"/>
            <w:tcMar>
              <w:left w:w="67" w:type="dxa"/>
              <w:right w:w="67" w:type="dxa"/>
            </w:tcMar>
          </w:tcPr>
          <w:p w14:paraId="62791E90"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0.951</w:t>
            </w:r>
          </w:p>
        </w:tc>
        <w:tc>
          <w:tcPr>
            <w:tcW w:w="1134" w:type="dxa"/>
            <w:tcBorders>
              <w:top w:val="nil"/>
              <w:left w:val="nil"/>
              <w:bottom w:val="single" w:sz="4" w:space="0" w:color="auto"/>
              <w:right w:val="nil"/>
            </w:tcBorders>
            <w:shd w:val="clear" w:color="auto" w:fill="FFFFFF"/>
            <w:tcMar>
              <w:left w:w="67" w:type="dxa"/>
              <w:right w:w="67" w:type="dxa"/>
            </w:tcMar>
          </w:tcPr>
          <w:p w14:paraId="5B965F51"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0.584</w:t>
            </w:r>
          </w:p>
        </w:tc>
        <w:tc>
          <w:tcPr>
            <w:tcW w:w="1134" w:type="dxa"/>
            <w:tcBorders>
              <w:top w:val="nil"/>
              <w:left w:val="nil"/>
              <w:bottom w:val="single" w:sz="4" w:space="0" w:color="auto"/>
              <w:right w:val="nil"/>
            </w:tcBorders>
            <w:shd w:val="clear" w:color="auto" w:fill="FFFFFF"/>
            <w:tcMar>
              <w:left w:w="67" w:type="dxa"/>
              <w:right w:w="67" w:type="dxa"/>
            </w:tcMar>
          </w:tcPr>
          <w:p w14:paraId="32D37A92"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1.547</w:t>
            </w:r>
          </w:p>
        </w:tc>
        <w:tc>
          <w:tcPr>
            <w:tcW w:w="851" w:type="dxa"/>
            <w:tcBorders>
              <w:top w:val="nil"/>
              <w:left w:val="nil"/>
              <w:bottom w:val="single" w:sz="4" w:space="0" w:color="auto"/>
              <w:right w:val="nil"/>
            </w:tcBorders>
            <w:shd w:val="clear" w:color="auto" w:fill="FFFFFF"/>
            <w:tcMar>
              <w:left w:w="67" w:type="dxa"/>
              <w:right w:w="67" w:type="dxa"/>
            </w:tcMar>
          </w:tcPr>
          <w:p w14:paraId="76120C33"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0.838</w:t>
            </w:r>
          </w:p>
        </w:tc>
        <w:tc>
          <w:tcPr>
            <w:tcW w:w="567" w:type="dxa"/>
            <w:tcBorders>
              <w:top w:val="nil"/>
              <w:left w:val="nil"/>
              <w:bottom w:val="single" w:sz="4" w:space="0" w:color="auto"/>
            </w:tcBorders>
            <w:shd w:val="clear" w:color="auto" w:fill="FFFFFF"/>
            <w:tcMar>
              <w:left w:w="67" w:type="dxa"/>
              <w:right w:w="67" w:type="dxa"/>
            </w:tcMar>
          </w:tcPr>
          <w:p w14:paraId="2D6B0693"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726</w:t>
            </w:r>
          </w:p>
        </w:tc>
      </w:tr>
      <w:tr w:rsidR="00682841" w:rsidRPr="00563AD3" w14:paraId="206AEADE" w14:textId="77777777" w:rsidTr="00DE6B62">
        <w:trPr>
          <w:cantSplit/>
          <w:jc w:val="center"/>
        </w:trPr>
        <w:tc>
          <w:tcPr>
            <w:tcW w:w="2405" w:type="dxa"/>
            <w:tcBorders>
              <w:top w:val="single" w:sz="4" w:space="0" w:color="auto"/>
              <w:bottom w:val="single" w:sz="4" w:space="0" w:color="auto"/>
              <w:right w:val="nil"/>
            </w:tcBorders>
            <w:shd w:val="clear" w:color="auto" w:fill="FFFFFF"/>
            <w:tcMar>
              <w:left w:w="67" w:type="dxa"/>
              <w:right w:w="67" w:type="dxa"/>
            </w:tcMar>
          </w:tcPr>
          <w:p w14:paraId="4A5E520A" w14:textId="77777777" w:rsidR="00682841" w:rsidRPr="00571DFD" w:rsidRDefault="00682841" w:rsidP="00682841">
            <w:pPr>
              <w:spacing w:after="0" w:line="240" w:lineRule="auto"/>
              <w:rPr>
                <w:rFonts w:eastAsia="Times New Roman"/>
                <w:b/>
                <w:color w:val="000000"/>
                <w:sz w:val="20"/>
                <w:szCs w:val="20"/>
              </w:rPr>
            </w:pPr>
            <w:r w:rsidRPr="00571DFD">
              <w:rPr>
                <w:rFonts w:eastAsia="Times New Roman"/>
                <w:b/>
                <w:color w:val="000000"/>
                <w:sz w:val="20"/>
                <w:szCs w:val="20"/>
              </w:rPr>
              <w:t>Antipsychotic medication</w:t>
            </w:r>
          </w:p>
        </w:tc>
        <w:tc>
          <w:tcPr>
            <w:tcW w:w="2552" w:type="dxa"/>
            <w:tcBorders>
              <w:top w:val="single" w:sz="4" w:space="0" w:color="auto"/>
              <w:left w:val="nil"/>
              <w:bottom w:val="single" w:sz="4" w:space="0" w:color="auto"/>
              <w:right w:val="nil"/>
            </w:tcBorders>
            <w:shd w:val="clear" w:color="auto" w:fill="FFFFFF"/>
          </w:tcPr>
          <w:p w14:paraId="1F7E30F6" w14:textId="77777777" w:rsidR="00682841" w:rsidRPr="00571DFD" w:rsidRDefault="00682841" w:rsidP="00682841">
            <w:pPr>
              <w:spacing w:after="0" w:line="240" w:lineRule="auto"/>
              <w:rPr>
                <w:rFonts w:eastAsia="Times New Roman"/>
                <w:color w:val="000000"/>
                <w:sz w:val="20"/>
                <w:szCs w:val="20"/>
              </w:rPr>
            </w:pPr>
            <w:r w:rsidRPr="00571DFD">
              <w:rPr>
                <w:rFonts w:eastAsia="Times New Roman"/>
                <w:color w:val="000000"/>
                <w:sz w:val="20"/>
                <w:szCs w:val="20"/>
              </w:rPr>
              <w:t>Population-Average Logistic Model (GEE)</w:t>
            </w:r>
          </w:p>
        </w:tc>
        <w:tc>
          <w:tcPr>
            <w:tcW w:w="1275" w:type="dxa"/>
            <w:tcBorders>
              <w:top w:val="single" w:sz="4" w:space="0" w:color="auto"/>
              <w:left w:val="nil"/>
              <w:bottom w:val="single" w:sz="4" w:space="0" w:color="auto"/>
              <w:right w:val="nil"/>
            </w:tcBorders>
            <w:shd w:val="clear" w:color="auto" w:fill="FFFFFF"/>
            <w:tcMar>
              <w:left w:w="67" w:type="dxa"/>
              <w:right w:w="67" w:type="dxa"/>
            </w:tcMar>
          </w:tcPr>
          <w:p w14:paraId="4729135A" w14:textId="77777777" w:rsidR="00682841" w:rsidRPr="00571DFD" w:rsidRDefault="00682841" w:rsidP="00682841">
            <w:pPr>
              <w:spacing w:after="0" w:line="240" w:lineRule="auto"/>
              <w:jc w:val="right"/>
              <w:rPr>
                <w:rFonts w:eastAsia="Times New Roman"/>
                <w:color w:val="000000"/>
                <w:sz w:val="20"/>
                <w:szCs w:val="20"/>
              </w:rPr>
            </w:pPr>
            <w:r w:rsidRPr="00571DFD">
              <w:rPr>
                <w:rFonts w:eastAsia="Calibri"/>
                <w:color w:val="000000"/>
                <w:sz w:val="20"/>
                <w:szCs w:val="20"/>
                <w:lang w:eastAsia="en-US"/>
              </w:rPr>
              <w:t>0.455</w:t>
            </w:r>
          </w:p>
        </w:tc>
        <w:tc>
          <w:tcPr>
            <w:tcW w:w="1134" w:type="dxa"/>
            <w:tcBorders>
              <w:top w:val="single" w:sz="4" w:space="0" w:color="auto"/>
              <w:left w:val="nil"/>
              <w:bottom w:val="single" w:sz="4" w:space="0" w:color="auto"/>
              <w:right w:val="nil"/>
            </w:tcBorders>
            <w:shd w:val="clear" w:color="auto" w:fill="FFFFFF"/>
            <w:tcMar>
              <w:left w:w="67" w:type="dxa"/>
              <w:right w:w="67" w:type="dxa"/>
            </w:tcMar>
          </w:tcPr>
          <w:p w14:paraId="0DD83033" w14:textId="77777777" w:rsidR="00682841" w:rsidRPr="00571DFD" w:rsidRDefault="00682841" w:rsidP="00682841">
            <w:pPr>
              <w:spacing w:after="0" w:line="240" w:lineRule="auto"/>
              <w:jc w:val="right"/>
              <w:rPr>
                <w:rFonts w:eastAsia="Times New Roman"/>
                <w:color w:val="000000"/>
                <w:sz w:val="20"/>
                <w:szCs w:val="20"/>
              </w:rPr>
            </w:pPr>
            <w:r w:rsidRPr="00571DFD">
              <w:rPr>
                <w:rFonts w:eastAsia="Calibri"/>
                <w:color w:val="000000"/>
                <w:sz w:val="20"/>
                <w:szCs w:val="20"/>
                <w:lang w:eastAsia="en-US"/>
              </w:rPr>
              <w:t>0.093</w:t>
            </w:r>
          </w:p>
        </w:tc>
        <w:tc>
          <w:tcPr>
            <w:tcW w:w="1134" w:type="dxa"/>
            <w:tcBorders>
              <w:top w:val="single" w:sz="4" w:space="0" w:color="auto"/>
              <w:left w:val="nil"/>
              <w:bottom w:val="single" w:sz="4" w:space="0" w:color="auto"/>
              <w:right w:val="nil"/>
            </w:tcBorders>
            <w:shd w:val="clear" w:color="auto" w:fill="FFFFFF"/>
            <w:tcMar>
              <w:left w:w="67" w:type="dxa"/>
              <w:right w:w="67" w:type="dxa"/>
            </w:tcMar>
          </w:tcPr>
          <w:p w14:paraId="39BDD976" w14:textId="77777777" w:rsidR="00682841" w:rsidRPr="00571DFD" w:rsidRDefault="00682841" w:rsidP="00682841">
            <w:pPr>
              <w:spacing w:after="0" w:line="240" w:lineRule="auto"/>
              <w:jc w:val="right"/>
              <w:rPr>
                <w:rFonts w:eastAsia="Times New Roman"/>
                <w:color w:val="000000"/>
                <w:sz w:val="20"/>
                <w:szCs w:val="20"/>
              </w:rPr>
            </w:pPr>
            <w:r w:rsidRPr="00571DFD">
              <w:rPr>
                <w:rFonts w:eastAsia="Calibri"/>
                <w:color w:val="000000"/>
                <w:sz w:val="20"/>
                <w:szCs w:val="20"/>
                <w:lang w:eastAsia="en-US"/>
              </w:rPr>
              <w:t>2.236</w:t>
            </w:r>
          </w:p>
        </w:tc>
        <w:tc>
          <w:tcPr>
            <w:tcW w:w="851" w:type="dxa"/>
            <w:tcBorders>
              <w:top w:val="single" w:sz="4" w:space="0" w:color="auto"/>
              <w:left w:val="nil"/>
              <w:bottom w:val="single" w:sz="4" w:space="0" w:color="auto"/>
              <w:right w:val="nil"/>
            </w:tcBorders>
            <w:shd w:val="clear" w:color="auto" w:fill="FFFFFF"/>
            <w:tcMar>
              <w:left w:w="67" w:type="dxa"/>
              <w:right w:w="67" w:type="dxa"/>
            </w:tcMar>
          </w:tcPr>
          <w:p w14:paraId="434C61E7" w14:textId="77777777" w:rsidR="00682841" w:rsidRPr="00571DFD" w:rsidRDefault="00682841" w:rsidP="00682841">
            <w:pPr>
              <w:spacing w:after="0" w:line="240" w:lineRule="auto"/>
              <w:jc w:val="right"/>
              <w:rPr>
                <w:rFonts w:eastAsia="Times New Roman"/>
                <w:color w:val="000000"/>
                <w:sz w:val="20"/>
                <w:szCs w:val="20"/>
              </w:rPr>
            </w:pPr>
            <w:r w:rsidRPr="00571DFD">
              <w:rPr>
                <w:rFonts w:eastAsia="Calibri"/>
                <w:color w:val="000000"/>
                <w:sz w:val="20"/>
                <w:szCs w:val="20"/>
                <w:lang w:eastAsia="en-US"/>
              </w:rPr>
              <w:t>0.331</w:t>
            </w:r>
          </w:p>
        </w:tc>
        <w:tc>
          <w:tcPr>
            <w:tcW w:w="567" w:type="dxa"/>
            <w:tcBorders>
              <w:top w:val="single" w:sz="4" w:space="0" w:color="auto"/>
              <w:left w:val="nil"/>
              <w:bottom w:val="single" w:sz="4" w:space="0" w:color="auto"/>
            </w:tcBorders>
            <w:shd w:val="clear" w:color="auto" w:fill="FFFFFF"/>
            <w:tcMar>
              <w:left w:w="67" w:type="dxa"/>
              <w:right w:w="67" w:type="dxa"/>
            </w:tcMar>
          </w:tcPr>
          <w:p w14:paraId="6454B32E" w14:textId="77777777" w:rsidR="00682841" w:rsidRPr="00571DFD" w:rsidRDefault="00682841" w:rsidP="00682841">
            <w:pPr>
              <w:spacing w:after="0" w:line="240" w:lineRule="auto"/>
              <w:jc w:val="right"/>
              <w:rPr>
                <w:rFonts w:eastAsia="Times New Roman"/>
                <w:color w:val="000000"/>
                <w:sz w:val="20"/>
                <w:szCs w:val="20"/>
              </w:rPr>
            </w:pPr>
            <w:r w:rsidRPr="00571DFD">
              <w:rPr>
                <w:rFonts w:eastAsia="Calibri"/>
                <w:color w:val="000000"/>
                <w:sz w:val="20"/>
                <w:szCs w:val="20"/>
                <w:lang w:eastAsia="en-US"/>
              </w:rPr>
              <w:t>726</w:t>
            </w:r>
          </w:p>
        </w:tc>
      </w:tr>
      <w:tr w:rsidR="00682841" w:rsidRPr="00563AD3" w14:paraId="0D9C016C" w14:textId="77777777" w:rsidTr="00DE6B62">
        <w:trPr>
          <w:cantSplit/>
          <w:jc w:val="center"/>
        </w:trPr>
        <w:tc>
          <w:tcPr>
            <w:tcW w:w="2405" w:type="dxa"/>
            <w:tcBorders>
              <w:top w:val="single" w:sz="4" w:space="0" w:color="auto"/>
              <w:right w:val="nil"/>
            </w:tcBorders>
            <w:shd w:val="clear" w:color="auto" w:fill="FFFFFF"/>
            <w:tcMar>
              <w:left w:w="67" w:type="dxa"/>
              <w:right w:w="67" w:type="dxa"/>
            </w:tcMar>
          </w:tcPr>
          <w:p w14:paraId="40C1037E" w14:textId="77777777" w:rsidR="00682841" w:rsidRPr="00563AD3" w:rsidRDefault="00682841" w:rsidP="00682841">
            <w:pPr>
              <w:spacing w:after="0" w:line="240" w:lineRule="auto"/>
              <w:rPr>
                <w:rFonts w:eastAsia="Times New Roman"/>
                <w:b/>
                <w:color w:val="000000"/>
                <w:sz w:val="20"/>
                <w:szCs w:val="20"/>
              </w:rPr>
            </w:pPr>
            <w:r w:rsidRPr="00563AD3">
              <w:rPr>
                <w:rFonts w:eastAsia="Times New Roman"/>
                <w:b/>
                <w:color w:val="000000"/>
                <w:sz w:val="20"/>
                <w:szCs w:val="20"/>
              </w:rPr>
              <w:t>Mood (NPI Domain)</w:t>
            </w:r>
          </w:p>
        </w:tc>
        <w:tc>
          <w:tcPr>
            <w:tcW w:w="2552" w:type="dxa"/>
            <w:tcBorders>
              <w:top w:val="single" w:sz="4" w:space="0" w:color="auto"/>
              <w:left w:val="nil"/>
              <w:bottom w:val="nil"/>
              <w:right w:val="nil"/>
            </w:tcBorders>
            <w:shd w:val="clear" w:color="auto" w:fill="FFFFFF"/>
          </w:tcPr>
          <w:p w14:paraId="47AFBF22" w14:textId="77777777" w:rsidR="00682841" w:rsidRPr="00563AD3" w:rsidRDefault="00682841" w:rsidP="00682841">
            <w:pPr>
              <w:spacing w:after="0" w:line="240" w:lineRule="auto"/>
              <w:rPr>
                <w:rFonts w:eastAsia="Times New Roman"/>
                <w:color w:val="000000"/>
                <w:sz w:val="20"/>
                <w:szCs w:val="20"/>
              </w:rPr>
            </w:pPr>
          </w:p>
        </w:tc>
        <w:tc>
          <w:tcPr>
            <w:tcW w:w="1275" w:type="dxa"/>
            <w:tcBorders>
              <w:top w:val="single" w:sz="4" w:space="0" w:color="auto"/>
              <w:left w:val="nil"/>
              <w:bottom w:val="nil"/>
              <w:right w:val="nil"/>
            </w:tcBorders>
            <w:shd w:val="clear" w:color="auto" w:fill="FFFFFF"/>
            <w:tcMar>
              <w:left w:w="67" w:type="dxa"/>
              <w:right w:w="67" w:type="dxa"/>
            </w:tcMar>
          </w:tcPr>
          <w:p w14:paraId="3C444455" w14:textId="77777777" w:rsidR="00682841" w:rsidRPr="00563AD3" w:rsidRDefault="00682841" w:rsidP="00682841">
            <w:pPr>
              <w:spacing w:after="0" w:line="240" w:lineRule="auto"/>
              <w:jc w:val="right"/>
              <w:rPr>
                <w:rFonts w:eastAsia="Times New Roman"/>
                <w:color w:val="000000"/>
                <w:sz w:val="20"/>
                <w:szCs w:val="20"/>
              </w:rPr>
            </w:pPr>
          </w:p>
        </w:tc>
        <w:tc>
          <w:tcPr>
            <w:tcW w:w="1134" w:type="dxa"/>
            <w:tcBorders>
              <w:top w:val="single" w:sz="4" w:space="0" w:color="auto"/>
              <w:left w:val="nil"/>
              <w:bottom w:val="nil"/>
              <w:right w:val="nil"/>
            </w:tcBorders>
            <w:shd w:val="clear" w:color="auto" w:fill="FFFFFF"/>
            <w:tcMar>
              <w:left w:w="67" w:type="dxa"/>
              <w:right w:w="67" w:type="dxa"/>
            </w:tcMar>
          </w:tcPr>
          <w:p w14:paraId="21FE4793" w14:textId="77777777" w:rsidR="00682841" w:rsidRPr="00563AD3" w:rsidRDefault="00682841" w:rsidP="00682841">
            <w:pPr>
              <w:spacing w:after="0" w:line="240" w:lineRule="auto"/>
              <w:jc w:val="right"/>
              <w:rPr>
                <w:rFonts w:eastAsia="Times New Roman"/>
                <w:color w:val="000000"/>
                <w:sz w:val="20"/>
                <w:szCs w:val="20"/>
              </w:rPr>
            </w:pPr>
          </w:p>
        </w:tc>
        <w:tc>
          <w:tcPr>
            <w:tcW w:w="1134" w:type="dxa"/>
            <w:tcBorders>
              <w:top w:val="single" w:sz="4" w:space="0" w:color="auto"/>
              <w:left w:val="nil"/>
              <w:bottom w:val="nil"/>
              <w:right w:val="nil"/>
            </w:tcBorders>
            <w:shd w:val="clear" w:color="auto" w:fill="FFFFFF"/>
            <w:tcMar>
              <w:left w:w="67" w:type="dxa"/>
              <w:right w:w="67" w:type="dxa"/>
            </w:tcMar>
          </w:tcPr>
          <w:p w14:paraId="330C8BF3" w14:textId="77777777" w:rsidR="00682841" w:rsidRPr="00563AD3" w:rsidRDefault="00682841" w:rsidP="00682841">
            <w:pPr>
              <w:spacing w:after="0" w:line="240" w:lineRule="auto"/>
              <w:jc w:val="right"/>
              <w:rPr>
                <w:rFonts w:eastAsia="Times New Roman"/>
                <w:color w:val="000000"/>
                <w:sz w:val="20"/>
                <w:szCs w:val="20"/>
              </w:rPr>
            </w:pPr>
          </w:p>
        </w:tc>
        <w:tc>
          <w:tcPr>
            <w:tcW w:w="851" w:type="dxa"/>
            <w:tcBorders>
              <w:top w:val="single" w:sz="4" w:space="0" w:color="auto"/>
              <w:left w:val="nil"/>
              <w:bottom w:val="nil"/>
              <w:right w:val="nil"/>
            </w:tcBorders>
            <w:shd w:val="clear" w:color="auto" w:fill="FFFFFF"/>
            <w:tcMar>
              <w:left w:w="67" w:type="dxa"/>
              <w:right w:w="67" w:type="dxa"/>
            </w:tcMar>
          </w:tcPr>
          <w:p w14:paraId="0361AFF0" w14:textId="77777777" w:rsidR="00682841" w:rsidRPr="00563AD3" w:rsidRDefault="00682841" w:rsidP="00682841">
            <w:pPr>
              <w:spacing w:after="0" w:line="240" w:lineRule="auto"/>
              <w:jc w:val="right"/>
              <w:rPr>
                <w:rFonts w:eastAsia="Times New Roman"/>
                <w:color w:val="000000"/>
                <w:sz w:val="20"/>
                <w:szCs w:val="20"/>
              </w:rPr>
            </w:pPr>
          </w:p>
        </w:tc>
        <w:tc>
          <w:tcPr>
            <w:tcW w:w="567" w:type="dxa"/>
            <w:tcBorders>
              <w:top w:val="single" w:sz="4" w:space="0" w:color="auto"/>
              <w:left w:val="nil"/>
              <w:bottom w:val="nil"/>
            </w:tcBorders>
            <w:shd w:val="clear" w:color="auto" w:fill="FFFFFF"/>
            <w:tcMar>
              <w:left w:w="67" w:type="dxa"/>
              <w:right w:w="67" w:type="dxa"/>
            </w:tcMar>
          </w:tcPr>
          <w:p w14:paraId="55A748AD" w14:textId="77777777" w:rsidR="00682841" w:rsidRPr="00563AD3" w:rsidRDefault="00682841" w:rsidP="00682841">
            <w:pPr>
              <w:spacing w:after="0" w:line="240" w:lineRule="auto"/>
              <w:jc w:val="right"/>
              <w:rPr>
                <w:rFonts w:eastAsia="Times New Roman"/>
                <w:color w:val="000000"/>
                <w:sz w:val="20"/>
                <w:szCs w:val="20"/>
              </w:rPr>
            </w:pPr>
          </w:p>
        </w:tc>
      </w:tr>
      <w:tr w:rsidR="00682841" w:rsidRPr="00563AD3" w14:paraId="2468CA92" w14:textId="77777777" w:rsidTr="00DE6B62">
        <w:trPr>
          <w:cantSplit/>
          <w:jc w:val="center"/>
        </w:trPr>
        <w:tc>
          <w:tcPr>
            <w:tcW w:w="2405" w:type="dxa"/>
            <w:tcBorders>
              <w:top w:val="nil"/>
              <w:right w:val="nil"/>
            </w:tcBorders>
            <w:shd w:val="clear" w:color="auto" w:fill="FFFFFF"/>
            <w:tcMar>
              <w:left w:w="67" w:type="dxa"/>
              <w:right w:w="67" w:type="dxa"/>
            </w:tcMar>
          </w:tcPr>
          <w:p w14:paraId="34EF4747" w14:textId="77777777" w:rsidR="00682841" w:rsidRPr="00563AD3" w:rsidRDefault="00682841" w:rsidP="00682841">
            <w:pPr>
              <w:spacing w:after="0" w:line="240" w:lineRule="auto"/>
              <w:rPr>
                <w:rFonts w:eastAsia="Times New Roman"/>
                <w:color w:val="000000"/>
                <w:sz w:val="20"/>
                <w:szCs w:val="20"/>
              </w:rPr>
            </w:pPr>
            <w:r w:rsidRPr="00563AD3">
              <w:rPr>
                <w:rFonts w:eastAsia="Times New Roman"/>
                <w:color w:val="000000"/>
                <w:sz w:val="20"/>
                <w:szCs w:val="20"/>
              </w:rPr>
              <w:t xml:space="preserve">    Depression/Dysphoria</w:t>
            </w:r>
          </w:p>
        </w:tc>
        <w:tc>
          <w:tcPr>
            <w:tcW w:w="2552" w:type="dxa"/>
            <w:tcBorders>
              <w:top w:val="nil"/>
              <w:left w:val="nil"/>
              <w:bottom w:val="nil"/>
              <w:right w:val="nil"/>
            </w:tcBorders>
            <w:shd w:val="clear" w:color="auto" w:fill="FFFFFF"/>
          </w:tcPr>
          <w:p w14:paraId="5A8E4DBA" w14:textId="77777777" w:rsidR="00682841" w:rsidRPr="00563AD3" w:rsidRDefault="00682841" w:rsidP="00682841">
            <w:pPr>
              <w:spacing w:after="0" w:line="240" w:lineRule="auto"/>
              <w:rPr>
                <w:rFonts w:eastAsia="Times New Roman"/>
                <w:color w:val="000000"/>
                <w:sz w:val="20"/>
                <w:szCs w:val="20"/>
              </w:rPr>
            </w:pPr>
            <w:r w:rsidRPr="00563AD3">
              <w:rPr>
                <w:rFonts w:eastAsia="Times New Roman"/>
                <w:color w:val="000000"/>
                <w:sz w:val="20"/>
                <w:szCs w:val="20"/>
              </w:rPr>
              <w:t>Population-Average Logistic Model (GEE)</w:t>
            </w:r>
          </w:p>
        </w:tc>
        <w:tc>
          <w:tcPr>
            <w:tcW w:w="1275" w:type="dxa"/>
            <w:tcBorders>
              <w:top w:val="nil"/>
              <w:left w:val="nil"/>
              <w:bottom w:val="nil"/>
              <w:right w:val="nil"/>
            </w:tcBorders>
            <w:shd w:val="clear" w:color="auto" w:fill="FFFFFF"/>
            <w:tcMar>
              <w:left w:w="67" w:type="dxa"/>
              <w:right w:w="67" w:type="dxa"/>
            </w:tcMar>
          </w:tcPr>
          <w:p w14:paraId="2048B7BB"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1.320</w:t>
            </w:r>
          </w:p>
        </w:tc>
        <w:tc>
          <w:tcPr>
            <w:tcW w:w="1134" w:type="dxa"/>
            <w:tcBorders>
              <w:top w:val="nil"/>
              <w:left w:val="nil"/>
              <w:bottom w:val="nil"/>
              <w:right w:val="nil"/>
            </w:tcBorders>
            <w:shd w:val="clear" w:color="auto" w:fill="FFFFFF"/>
            <w:tcMar>
              <w:left w:w="67" w:type="dxa"/>
              <w:right w:w="67" w:type="dxa"/>
            </w:tcMar>
          </w:tcPr>
          <w:p w14:paraId="20BD4EA3"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0.872</w:t>
            </w:r>
          </w:p>
        </w:tc>
        <w:tc>
          <w:tcPr>
            <w:tcW w:w="1134" w:type="dxa"/>
            <w:tcBorders>
              <w:top w:val="nil"/>
              <w:left w:val="nil"/>
              <w:bottom w:val="nil"/>
              <w:right w:val="nil"/>
            </w:tcBorders>
            <w:shd w:val="clear" w:color="auto" w:fill="FFFFFF"/>
            <w:tcMar>
              <w:left w:w="67" w:type="dxa"/>
              <w:right w:w="67" w:type="dxa"/>
            </w:tcMar>
          </w:tcPr>
          <w:p w14:paraId="197E848E"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1.999</w:t>
            </w:r>
          </w:p>
        </w:tc>
        <w:tc>
          <w:tcPr>
            <w:tcW w:w="851" w:type="dxa"/>
            <w:tcBorders>
              <w:top w:val="nil"/>
              <w:left w:val="nil"/>
              <w:bottom w:val="nil"/>
              <w:right w:val="nil"/>
            </w:tcBorders>
            <w:shd w:val="clear" w:color="auto" w:fill="FFFFFF"/>
            <w:tcMar>
              <w:left w:w="67" w:type="dxa"/>
              <w:right w:w="67" w:type="dxa"/>
            </w:tcMar>
          </w:tcPr>
          <w:p w14:paraId="25AFFE0D"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0.190</w:t>
            </w:r>
          </w:p>
        </w:tc>
        <w:tc>
          <w:tcPr>
            <w:tcW w:w="567" w:type="dxa"/>
            <w:tcBorders>
              <w:top w:val="nil"/>
              <w:left w:val="nil"/>
              <w:bottom w:val="nil"/>
            </w:tcBorders>
            <w:shd w:val="clear" w:color="auto" w:fill="FFFFFF"/>
            <w:tcMar>
              <w:left w:w="67" w:type="dxa"/>
              <w:right w:w="67" w:type="dxa"/>
            </w:tcMar>
          </w:tcPr>
          <w:p w14:paraId="6BB1F09E"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726</w:t>
            </w:r>
          </w:p>
        </w:tc>
      </w:tr>
      <w:tr w:rsidR="00682841" w:rsidRPr="00563AD3" w14:paraId="3F23469E" w14:textId="77777777" w:rsidTr="00DE6B62">
        <w:trPr>
          <w:cantSplit/>
          <w:jc w:val="center"/>
        </w:trPr>
        <w:tc>
          <w:tcPr>
            <w:tcW w:w="2405" w:type="dxa"/>
            <w:vMerge w:val="restart"/>
            <w:tcBorders>
              <w:top w:val="nil"/>
              <w:right w:val="nil"/>
            </w:tcBorders>
            <w:shd w:val="clear" w:color="auto" w:fill="FFFFFF"/>
            <w:tcMar>
              <w:left w:w="67" w:type="dxa"/>
              <w:right w:w="67" w:type="dxa"/>
            </w:tcMar>
          </w:tcPr>
          <w:p w14:paraId="63300F8A" w14:textId="77777777" w:rsidR="00682841" w:rsidRPr="00563AD3" w:rsidRDefault="00682841" w:rsidP="00682841">
            <w:pPr>
              <w:spacing w:after="0" w:line="240" w:lineRule="auto"/>
              <w:rPr>
                <w:rFonts w:eastAsia="Times New Roman"/>
                <w:color w:val="000000"/>
                <w:sz w:val="20"/>
                <w:szCs w:val="20"/>
              </w:rPr>
            </w:pPr>
            <w:r w:rsidRPr="00563AD3">
              <w:rPr>
                <w:rFonts w:eastAsia="Times New Roman"/>
                <w:color w:val="000000"/>
                <w:sz w:val="20"/>
                <w:szCs w:val="20"/>
              </w:rPr>
              <w:t xml:space="preserve">    Anxiety </w:t>
            </w:r>
          </w:p>
          <w:p w14:paraId="45D10C6E" w14:textId="77777777" w:rsidR="00682841" w:rsidRPr="00563AD3" w:rsidRDefault="00682841" w:rsidP="00682841">
            <w:pPr>
              <w:spacing w:after="0" w:line="240" w:lineRule="auto"/>
              <w:rPr>
                <w:rFonts w:eastAsia="Times New Roman"/>
                <w:color w:val="000000"/>
                <w:sz w:val="20"/>
                <w:szCs w:val="20"/>
              </w:rPr>
            </w:pPr>
            <w:r w:rsidRPr="00563AD3">
              <w:rPr>
                <w:rFonts w:eastAsia="Times New Roman"/>
                <w:color w:val="000000"/>
                <w:sz w:val="20"/>
                <w:szCs w:val="20"/>
              </w:rPr>
              <w:t xml:space="preserve">    Apathy/Indifference</w:t>
            </w:r>
          </w:p>
        </w:tc>
        <w:tc>
          <w:tcPr>
            <w:tcW w:w="2552" w:type="dxa"/>
            <w:tcBorders>
              <w:top w:val="nil"/>
              <w:left w:val="nil"/>
              <w:bottom w:val="nil"/>
              <w:right w:val="nil"/>
            </w:tcBorders>
            <w:shd w:val="clear" w:color="auto" w:fill="FFFFFF"/>
          </w:tcPr>
          <w:p w14:paraId="7FD6B5FE" w14:textId="77777777" w:rsidR="00682841" w:rsidRPr="00563AD3" w:rsidRDefault="00682841" w:rsidP="00682841">
            <w:pPr>
              <w:spacing w:after="0" w:line="240" w:lineRule="auto"/>
              <w:rPr>
                <w:rFonts w:eastAsia="Times New Roman"/>
                <w:color w:val="000000"/>
                <w:sz w:val="20"/>
                <w:szCs w:val="20"/>
              </w:rPr>
            </w:pPr>
            <w:r w:rsidRPr="00563AD3">
              <w:rPr>
                <w:rFonts w:eastAsia="Times New Roman"/>
                <w:color w:val="000000"/>
                <w:sz w:val="20"/>
                <w:szCs w:val="20"/>
              </w:rPr>
              <w:t>Population-Average Logistic Model (GEE)</w:t>
            </w:r>
          </w:p>
        </w:tc>
        <w:tc>
          <w:tcPr>
            <w:tcW w:w="1275" w:type="dxa"/>
            <w:tcBorders>
              <w:top w:val="nil"/>
              <w:left w:val="nil"/>
              <w:bottom w:val="nil"/>
              <w:right w:val="nil"/>
            </w:tcBorders>
            <w:shd w:val="clear" w:color="auto" w:fill="FFFFFF"/>
            <w:tcMar>
              <w:left w:w="67" w:type="dxa"/>
              <w:right w:w="67" w:type="dxa"/>
            </w:tcMar>
          </w:tcPr>
          <w:p w14:paraId="6B10CFE6"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1.011</w:t>
            </w:r>
          </w:p>
        </w:tc>
        <w:tc>
          <w:tcPr>
            <w:tcW w:w="1134" w:type="dxa"/>
            <w:tcBorders>
              <w:top w:val="nil"/>
              <w:left w:val="nil"/>
              <w:bottom w:val="nil"/>
              <w:right w:val="nil"/>
            </w:tcBorders>
            <w:shd w:val="clear" w:color="auto" w:fill="FFFFFF"/>
            <w:tcMar>
              <w:left w:w="67" w:type="dxa"/>
              <w:right w:w="67" w:type="dxa"/>
            </w:tcMar>
          </w:tcPr>
          <w:p w14:paraId="7F04A9DB"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0.617</w:t>
            </w:r>
          </w:p>
        </w:tc>
        <w:tc>
          <w:tcPr>
            <w:tcW w:w="1134" w:type="dxa"/>
            <w:tcBorders>
              <w:top w:val="nil"/>
              <w:left w:val="nil"/>
              <w:bottom w:val="nil"/>
              <w:right w:val="nil"/>
            </w:tcBorders>
            <w:shd w:val="clear" w:color="auto" w:fill="FFFFFF"/>
            <w:tcMar>
              <w:left w:w="67" w:type="dxa"/>
              <w:right w:w="67" w:type="dxa"/>
            </w:tcMar>
          </w:tcPr>
          <w:p w14:paraId="70F527C6"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1.656</w:t>
            </w:r>
          </w:p>
        </w:tc>
        <w:tc>
          <w:tcPr>
            <w:tcW w:w="851" w:type="dxa"/>
            <w:tcBorders>
              <w:top w:val="nil"/>
              <w:left w:val="nil"/>
              <w:bottom w:val="nil"/>
              <w:right w:val="nil"/>
            </w:tcBorders>
            <w:shd w:val="clear" w:color="auto" w:fill="FFFFFF"/>
            <w:tcMar>
              <w:left w:w="67" w:type="dxa"/>
              <w:right w:w="67" w:type="dxa"/>
            </w:tcMar>
          </w:tcPr>
          <w:p w14:paraId="0803C275"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0.967</w:t>
            </w:r>
          </w:p>
        </w:tc>
        <w:tc>
          <w:tcPr>
            <w:tcW w:w="567" w:type="dxa"/>
            <w:tcBorders>
              <w:top w:val="nil"/>
              <w:left w:val="nil"/>
              <w:bottom w:val="nil"/>
            </w:tcBorders>
            <w:shd w:val="clear" w:color="auto" w:fill="FFFFFF"/>
            <w:tcMar>
              <w:left w:w="67" w:type="dxa"/>
              <w:right w:w="67" w:type="dxa"/>
            </w:tcMar>
          </w:tcPr>
          <w:p w14:paraId="1347A8CC"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726</w:t>
            </w:r>
          </w:p>
        </w:tc>
      </w:tr>
      <w:tr w:rsidR="00682841" w:rsidRPr="00563AD3" w14:paraId="3CB444F8" w14:textId="77777777" w:rsidTr="00DE6B62">
        <w:trPr>
          <w:cantSplit/>
          <w:jc w:val="center"/>
        </w:trPr>
        <w:tc>
          <w:tcPr>
            <w:tcW w:w="2405" w:type="dxa"/>
            <w:vMerge/>
            <w:tcBorders>
              <w:bottom w:val="single" w:sz="4" w:space="0" w:color="auto"/>
              <w:right w:val="nil"/>
            </w:tcBorders>
            <w:shd w:val="clear" w:color="auto" w:fill="FFFFFF"/>
            <w:tcMar>
              <w:left w:w="67" w:type="dxa"/>
              <w:right w:w="67" w:type="dxa"/>
            </w:tcMar>
          </w:tcPr>
          <w:p w14:paraId="4758F131" w14:textId="77777777" w:rsidR="00682841" w:rsidRPr="00563AD3" w:rsidRDefault="00682841" w:rsidP="00682841">
            <w:pPr>
              <w:spacing w:after="0" w:line="240" w:lineRule="auto"/>
              <w:rPr>
                <w:rFonts w:eastAsia="Times New Roman"/>
                <w:color w:val="000000"/>
                <w:sz w:val="20"/>
                <w:szCs w:val="20"/>
              </w:rPr>
            </w:pPr>
          </w:p>
        </w:tc>
        <w:tc>
          <w:tcPr>
            <w:tcW w:w="2552" w:type="dxa"/>
            <w:tcBorders>
              <w:top w:val="nil"/>
              <w:left w:val="nil"/>
              <w:bottom w:val="single" w:sz="4" w:space="0" w:color="auto"/>
              <w:right w:val="nil"/>
            </w:tcBorders>
            <w:shd w:val="clear" w:color="auto" w:fill="FFFFFF"/>
          </w:tcPr>
          <w:p w14:paraId="3A29BDD1" w14:textId="77777777" w:rsidR="00682841" w:rsidRPr="00563AD3" w:rsidRDefault="00682841" w:rsidP="00682841">
            <w:pPr>
              <w:spacing w:after="0" w:line="240" w:lineRule="auto"/>
              <w:rPr>
                <w:rFonts w:eastAsia="Times New Roman"/>
                <w:color w:val="000000"/>
                <w:sz w:val="20"/>
                <w:szCs w:val="20"/>
              </w:rPr>
            </w:pPr>
            <w:r w:rsidRPr="00563AD3">
              <w:rPr>
                <w:rFonts w:eastAsia="Times New Roman"/>
                <w:color w:val="000000"/>
                <w:sz w:val="20"/>
                <w:szCs w:val="20"/>
              </w:rPr>
              <w:t>Population-Average Logistic Model (GEE)</w:t>
            </w:r>
          </w:p>
        </w:tc>
        <w:tc>
          <w:tcPr>
            <w:tcW w:w="1275" w:type="dxa"/>
            <w:tcBorders>
              <w:top w:val="nil"/>
              <w:left w:val="nil"/>
              <w:bottom w:val="single" w:sz="4" w:space="0" w:color="auto"/>
              <w:right w:val="nil"/>
            </w:tcBorders>
            <w:shd w:val="clear" w:color="auto" w:fill="FFFFFF"/>
            <w:tcMar>
              <w:left w:w="67" w:type="dxa"/>
              <w:right w:w="67" w:type="dxa"/>
            </w:tcMar>
          </w:tcPr>
          <w:p w14:paraId="6E63CCAC"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1.330</w:t>
            </w:r>
          </w:p>
        </w:tc>
        <w:tc>
          <w:tcPr>
            <w:tcW w:w="1134" w:type="dxa"/>
            <w:tcBorders>
              <w:top w:val="nil"/>
              <w:left w:val="nil"/>
              <w:bottom w:val="single" w:sz="4" w:space="0" w:color="auto"/>
              <w:right w:val="nil"/>
            </w:tcBorders>
            <w:shd w:val="clear" w:color="auto" w:fill="FFFFFF"/>
            <w:tcMar>
              <w:left w:w="67" w:type="dxa"/>
              <w:right w:w="67" w:type="dxa"/>
            </w:tcMar>
          </w:tcPr>
          <w:p w14:paraId="05AFC2D9"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0.853</w:t>
            </w:r>
          </w:p>
        </w:tc>
        <w:tc>
          <w:tcPr>
            <w:tcW w:w="1134" w:type="dxa"/>
            <w:tcBorders>
              <w:top w:val="nil"/>
              <w:left w:val="nil"/>
              <w:bottom w:val="single" w:sz="4" w:space="0" w:color="auto"/>
              <w:right w:val="nil"/>
            </w:tcBorders>
            <w:shd w:val="clear" w:color="auto" w:fill="FFFFFF"/>
            <w:tcMar>
              <w:left w:w="67" w:type="dxa"/>
              <w:right w:w="67" w:type="dxa"/>
            </w:tcMar>
          </w:tcPr>
          <w:p w14:paraId="42D2A2B9"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2.073</w:t>
            </w:r>
          </w:p>
        </w:tc>
        <w:tc>
          <w:tcPr>
            <w:tcW w:w="851" w:type="dxa"/>
            <w:tcBorders>
              <w:top w:val="nil"/>
              <w:left w:val="nil"/>
              <w:bottom w:val="single" w:sz="4" w:space="0" w:color="auto"/>
              <w:right w:val="nil"/>
            </w:tcBorders>
            <w:shd w:val="clear" w:color="auto" w:fill="FFFFFF"/>
            <w:tcMar>
              <w:left w:w="67" w:type="dxa"/>
              <w:right w:w="67" w:type="dxa"/>
            </w:tcMar>
          </w:tcPr>
          <w:p w14:paraId="25B96D46"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0.208</w:t>
            </w:r>
          </w:p>
        </w:tc>
        <w:tc>
          <w:tcPr>
            <w:tcW w:w="567" w:type="dxa"/>
            <w:tcBorders>
              <w:top w:val="nil"/>
              <w:left w:val="nil"/>
              <w:bottom w:val="single" w:sz="4" w:space="0" w:color="auto"/>
            </w:tcBorders>
            <w:shd w:val="clear" w:color="auto" w:fill="FFFFFF"/>
            <w:tcMar>
              <w:left w:w="67" w:type="dxa"/>
              <w:right w:w="67" w:type="dxa"/>
            </w:tcMar>
          </w:tcPr>
          <w:p w14:paraId="55A1D6A4" w14:textId="77777777" w:rsidR="00682841" w:rsidRPr="00563AD3" w:rsidRDefault="00682841" w:rsidP="00682841">
            <w:pPr>
              <w:spacing w:after="0" w:line="240" w:lineRule="auto"/>
              <w:jc w:val="right"/>
              <w:rPr>
                <w:rFonts w:eastAsia="Times New Roman"/>
                <w:color w:val="000000"/>
                <w:sz w:val="20"/>
                <w:szCs w:val="20"/>
              </w:rPr>
            </w:pPr>
            <w:r w:rsidRPr="00563AD3">
              <w:rPr>
                <w:rFonts w:eastAsia="Times New Roman"/>
                <w:color w:val="000000"/>
                <w:sz w:val="20"/>
                <w:szCs w:val="20"/>
              </w:rPr>
              <w:t>726</w:t>
            </w:r>
          </w:p>
        </w:tc>
      </w:tr>
      <w:tr w:rsidR="00682841" w:rsidRPr="00563AD3" w14:paraId="385299FF" w14:textId="77777777" w:rsidTr="00DE6B62">
        <w:trPr>
          <w:cantSplit/>
          <w:jc w:val="center"/>
        </w:trPr>
        <w:tc>
          <w:tcPr>
            <w:tcW w:w="2405" w:type="dxa"/>
            <w:tcBorders>
              <w:top w:val="single" w:sz="4" w:space="0" w:color="auto"/>
              <w:right w:val="nil"/>
            </w:tcBorders>
            <w:shd w:val="clear" w:color="auto" w:fill="FFFFFF"/>
            <w:tcMar>
              <w:left w:w="67" w:type="dxa"/>
              <w:right w:w="67" w:type="dxa"/>
            </w:tcMar>
          </w:tcPr>
          <w:p w14:paraId="6AC6AD71" w14:textId="77777777" w:rsidR="00682841" w:rsidRPr="00563AD3" w:rsidRDefault="00682841" w:rsidP="00682841">
            <w:pPr>
              <w:spacing w:after="0" w:line="240" w:lineRule="auto"/>
              <w:rPr>
                <w:rFonts w:eastAsia="Times New Roman"/>
                <w:b/>
                <w:color w:val="000000"/>
                <w:sz w:val="20"/>
                <w:szCs w:val="20"/>
              </w:rPr>
            </w:pPr>
            <w:r w:rsidRPr="00563AD3">
              <w:rPr>
                <w:rFonts w:eastAsia="Times New Roman"/>
                <w:b/>
                <w:color w:val="000000"/>
                <w:sz w:val="20"/>
                <w:szCs w:val="20"/>
              </w:rPr>
              <w:t>Quality of Life</w:t>
            </w:r>
          </w:p>
        </w:tc>
        <w:tc>
          <w:tcPr>
            <w:tcW w:w="2552" w:type="dxa"/>
            <w:tcBorders>
              <w:top w:val="single" w:sz="4" w:space="0" w:color="auto"/>
              <w:left w:val="nil"/>
              <w:bottom w:val="nil"/>
              <w:right w:val="nil"/>
            </w:tcBorders>
            <w:shd w:val="clear" w:color="auto" w:fill="FFFFFF"/>
          </w:tcPr>
          <w:p w14:paraId="62F8AF9A" w14:textId="77777777" w:rsidR="00682841" w:rsidRPr="00563AD3" w:rsidRDefault="00682841" w:rsidP="00682841">
            <w:pPr>
              <w:spacing w:after="0" w:line="240" w:lineRule="auto"/>
              <w:rPr>
                <w:rFonts w:eastAsia="Times New Roman"/>
                <w:color w:val="000000"/>
                <w:sz w:val="20"/>
                <w:szCs w:val="20"/>
              </w:rPr>
            </w:pPr>
          </w:p>
        </w:tc>
        <w:tc>
          <w:tcPr>
            <w:tcW w:w="1275" w:type="dxa"/>
            <w:tcBorders>
              <w:top w:val="single" w:sz="4" w:space="0" w:color="auto"/>
              <w:left w:val="nil"/>
              <w:bottom w:val="nil"/>
              <w:right w:val="nil"/>
            </w:tcBorders>
            <w:shd w:val="clear" w:color="auto" w:fill="FFFFFF"/>
            <w:tcMar>
              <w:left w:w="67" w:type="dxa"/>
              <w:right w:w="67" w:type="dxa"/>
            </w:tcMar>
          </w:tcPr>
          <w:p w14:paraId="797581FB" w14:textId="77777777" w:rsidR="00682841" w:rsidRPr="00563AD3" w:rsidRDefault="00682841" w:rsidP="00682841">
            <w:pPr>
              <w:spacing w:after="0" w:line="240" w:lineRule="auto"/>
              <w:jc w:val="right"/>
              <w:rPr>
                <w:rFonts w:eastAsia="Times New Roman"/>
                <w:color w:val="000000"/>
                <w:sz w:val="20"/>
                <w:szCs w:val="20"/>
              </w:rPr>
            </w:pPr>
          </w:p>
        </w:tc>
        <w:tc>
          <w:tcPr>
            <w:tcW w:w="1134" w:type="dxa"/>
            <w:tcBorders>
              <w:top w:val="single" w:sz="4" w:space="0" w:color="auto"/>
              <w:left w:val="nil"/>
              <w:bottom w:val="nil"/>
              <w:right w:val="nil"/>
            </w:tcBorders>
            <w:shd w:val="clear" w:color="auto" w:fill="FFFFFF"/>
            <w:tcMar>
              <w:left w:w="67" w:type="dxa"/>
              <w:right w:w="67" w:type="dxa"/>
            </w:tcMar>
          </w:tcPr>
          <w:p w14:paraId="2C086EA0" w14:textId="77777777" w:rsidR="00682841" w:rsidRPr="00563AD3" w:rsidRDefault="00682841" w:rsidP="00682841">
            <w:pPr>
              <w:spacing w:after="0" w:line="240" w:lineRule="auto"/>
              <w:jc w:val="right"/>
              <w:rPr>
                <w:rFonts w:eastAsia="Times New Roman"/>
                <w:color w:val="000000"/>
                <w:sz w:val="20"/>
                <w:szCs w:val="20"/>
              </w:rPr>
            </w:pPr>
          </w:p>
        </w:tc>
        <w:tc>
          <w:tcPr>
            <w:tcW w:w="1134" w:type="dxa"/>
            <w:tcBorders>
              <w:top w:val="single" w:sz="4" w:space="0" w:color="auto"/>
              <w:left w:val="nil"/>
              <w:bottom w:val="nil"/>
              <w:right w:val="nil"/>
            </w:tcBorders>
            <w:shd w:val="clear" w:color="auto" w:fill="FFFFFF"/>
            <w:tcMar>
              <w:left w:w="67" w:type="dxa"/>
              <w:right w:w="67" w:type="dxa"/>
            </w:tcMar>
          </w:tcPr>
          <w:p w14:paraId="5A88AE17" w14:textId="77777777" w:rsidR="00682841" w:rsidRPr="00563AD3" w:rsidRDefault="00682841" w:rsidP="00682841">
            <w:pPr>
              <w:spacing w:after="0" w:line="240" w:lineRule="auto"/>
              <w:jc w:val="right"/>
              <w:rPr>
                <w:rFonts w:eastAsia="Times New Roman"/>
                <w:color w:val="000000"/>
                <w:sz w:val="20"/>
                <w:szCs w:val="20"/>
              </w:rPr>
            </w:pPr>
          </w:p>
        </w:tc>
        <w:tc>
          <w:tcPr>
            <w:tcW w:w="851" w:type="dxa"/>
            <w:tcBorders>
              <w:top w:val="single" w:sz="4" w:space="0" w:color="auto"/>
              <w:left w:val="nil"/>
              <w:bottom w:val="nil"/>
              <w:right w:val="nil"/>
            </w:tcBorders>
            <w:shd w:val="clear" w:color="auto" w:fill="FFFFFF"/>
            <w:tcMar>
              <w:left w:w="67" w:type="dxa"/>
              <w:right w:w="67" w:type="dxa"/>
            </w:tcMar>
          </w:tcPr>
          <w:p w14:paraId="488B8A83" w14:textId="77777777" w:rsidR="00682841" w:rsidRPr="00563AD3" w:rsidRDefault="00682841" w:rsidP="00682841">
            <w:pPr>
              <w:spacing w:after="0" w:line="240" w:lineRule="auto"/>
              <w:jc w:val="right"/>
              <w:rPr>
                <w:rFonts w:eastAsia="Times New Roman"/>
                <w:color w:val="000000"/>
                <w:sz w:val="20"/>
                <w:szCs w:val="20"/>
              </w:rPr>
            </w:pPr>
          </w:p>
        </w:tc>
        <w:tc>
          <w:tcPr>
            <w:tcW w:w="567" w:type="dxa"/>
            <w:tcBorders>
              <w:top w:val="single" w:sz="4" w:space="0" w:color="auto"/>
              <w:left w:val="nil"/>
              <w:bottom w:val="nil"/>
            </w:tcBorders>
            <w:shd w:val="clear" w:color="auto" w:fill="FFFFFF"/>
            <w:tcMar>
              <w:left w:w="67" w:type="dxa"/>
              <w:right w:w="67" w:type="dxa"/>
            </w:tcMar>
          </w:tcPr>
          <w:p w14:paraId="2C4D9B7B" w14:textId="77777777" w:rsidR="00682841" w:rsidRPr="00563AD3" w:rsidRDefault="00682841" w:rsidP="00682841">
            <w:pPr>
              <w:spacing w:after="0" w:line="240" w:lineRule="auto"/>
              <w:jc w:val="right"/>
              <w:rPr>
                <w:rFonts w:eastAsia="Times New Roman"/>
                <w:color w:val="000000"/>
                <w:sz w:val="20"/>
                <w:szCs w:val="20"/>
              </w:rPr>
            </w:pPr>
          </w:p>
        </w:tc>
      </w:tr>
      <w:tr w:rsidR="00682841" w:rsidRPr="00563AD3" w14:paraId="03AB346C" w14:textId="77777777" w:rsidTr="00DE6B62">
        <w:trPr>
          <w:cantSplit/>
          <w:jc w:val="center"/>
        </w:trPr>
        <w:tc>
          <w:tcPr>
            <w:tcW w:w="2405" w:type="dxa"/>
            <w:tcBorders>
              <w:bottom w:val="single" w:sz="4" w:space="0" w:color="auto"/>
              <w:right w:val="nil"/>
            </w:tcBorders>
            <w:shd w:val="clear" w:color="auto" w:fill="FFFFFF"/>
            <w:tcMar>
              <w:left w:w="67" w:type="dxa"/>
              <w:right w:w="67" w:type="dxa"/>
            </w:tcMar>
          </w:tcPr>
          <w:p w14:paraId="53EA9D15" w14:textId="77777777" w:rsidR="00682841" w:rsidRPr="00563AD3" w:rsidRDefault="00682841" w:rsidP="00682841">
            <w:pPr>
              <w:spacing w:after="0" w:line="240" w:lineRule="auto"/>
              <w:rPr>
                <w:rFonts w:eastAsia="Times New Roman"/>
                <w:color w:val="000000"/>
                <w:sz w:val="20"/>
                <w:szCs w:val="20"/>
              </w:rPr>
            </w:pPr>
            <w:r w:rsidRPr="00563AD3">
              <w:rPr>
                <w:rFonts w:eastAsia="Times New Roman"/>
                <w:color w:val="000000"/>
                <w:sz w:val="20"/>
                <w:szCs w:val="20"/>
              </w:rPr>
              <w:t xml:space="preserve">    QUALID (staff-proxy)</w:t>
            </w:r>
          </w:p>
        </w:tc>
        <w:tc>
          <w:tcPr>
            <w:tcW w:w="2552" w:type="dxa"/>
            <w:tcBorders>
              <w:top w:val="nil"/>
              <w:left w:val="nil"/>
              <w:bottom w:val="single" w:sz="4" w:space="0" w:color="auto"/>
              <w:right w:val="nil"/>
            </w:tcBorders>
            <w:shd w:val="clear" w:color="auto" w:fill="FFFFFF"/>
          </w:tcPr>
          <w:p w14:paraId="6A991979" w14:textId="77777777" w:rsidR="00682841" w:rsidRPr="00563AD3" w:rsidRDefault="00682841" w:rsidP="00682841">
            <w:pPr>
              <w:spacing w:after="0" w:line="240" w:lineRule="auto"/>
              <w:rPr>
                <w:rFonts w:eastAsia="Times New Roman"/>
                <w:color w:val="000000"/>
                <w:sz w:val="20"/>
                <w:szCs w:val="20"/>
              </w:rPr>
            </w:pPr>
            <w:r w:rsidRPr="00563AD3">
              <w:rPr>
                <w:rFonts w:eastAsia="Times New Roman"/>
                <w:color w:val="000000"/>
                <w:sz w:val="20"/>
                <w:szCs w:val="20"/>
              </w:rPr>
              <w:t>Linear Model (REML)</w:t>
            </w:r>
          </w:p>
        </w:tc>
        <w:tc>
          <w:tcPr>
            <w:tcW w:w="1275" w:type="dxa"/>
            <w:tcBorders>
              <w:top w:val="nil"/>
              <w:left w:val="nil"/>
              <w:bottom w:val="single" w:sz="4" w:space="0" w:color="auto"/>
              <w:right w:val="nil"/>
            </w:tcBorders>
            <w:shd w:val="clear" w:color="auto" w:fill="FFFFFF"/>
            <w:tcMar>
              <w:left w:w="67" w:type="dxa"/>
              <w:right w:w="67" w:type="dxa"/>
            </w:tcMar>
          </w:tcPr>
          <w:p w14:paraId="0E7337E9" w14:textId="77777777" w:rsidR="00682841" w:rsidRPr="00563AD3" w:rsidRDefault="00682841" w:rsidP="00682841">
            <w:pPr>
              <w:spacing w:after="0" w:line="240" w:lineRule="auto"/>
              <w:jc w:val="right"/>
              <w:rPr>
                <w:rFonts w:eastAsia="Times New Roman"/>
                <w:color w:val="000000"/>
                <w:sz w:val="20"/>
                <w:szCs w:val="20"/>
              </w:rPr>
            </w:pPr>
            <w:r w:rsidRPr="00563AD3">
              <w:rPr>
                <w:rFonts w:eastAsia="Calibri"/>
                <w:color w:val="000000"/>
                <w:sz w:val="20"/>
                <w:szCs w:val="20"/>
                <w:lang w:eastAsia="en-US"/>
              </w:rPr>
              <w:t>-0.740</w:t>
            </w:r>
          </w:p>
        </w:tc>
        <w:tc>
          <w:tcPr>
            <w:tcW w:w="1134" w:type="dxa"/>
            <w:tcBorders>
              <w:top w:val="nil"/>
              <w:left w:val="nil"/>
              <w:bottom w:val="single" w:sz="4" w:space="0" w:color="auto"/>
              <w:right w:val="nil"/>
            </w:tcBorders>
            <w:shd w:val="clear" w:color="auto" w:fill="FFFFFF"/>
            <w:tcMar>
              <w:left w:w="67" w:type="dxa"/>
              <w:right w:w="67" w:type="dxa"/>
            </w:tcMar>
          </w:tcPr>
          <w:p w14:paraId="7534B045" w14:textId="77777777" w:rsidR="00682841" w:rsidRPr="00563AD3" w:rsidRDefault="00682841" w:rsidP="00682841">
            <w:pPr>
              <w:spacing w:after="0" w:line="240" w:lineRule="auto"/>
              <w:jc w:val="right"/>
              <w:rPr>
                <w:rFonts w:eastAsia="Times New Roman"/>
                <w:color w:val="000000"/>
                <w:sz w:val="20"/>
                <w:szCs w:val="20"/>
              </w:rPr>
            </w:pPr>
            <w:r w:rsidRPr="00563AD3">
              <w:rPr>
                <w:rFonts w:eastAsia="Calibri"/>
                <w:color w:val="000000"/>
                <w:sz w:val="20"/>
                <w:szCs w:val="20"/>
                <w:lang w:eastAsia="en-US"/>
              </w:rPr>
              <w:t>-1.910</w:t>
            </w:r>
          </w:p>
        </w:tc>
        <w:tc>
          <w:tcPr>
            <w:tcW w:w="1134" w:type="dxa"/>
            <w:tcBorders>
              <w:top w:val="nil"/>
              <w:left w:val="nil"/>
              <w:bottom w:val="single" w:sz="4" w:space="0" w:color="auto"/>
              <w:right w:val="nil"/>
            </w:tcBorders>
            <w:shd w:val="clear" w:color="auto" w:fill="FFFFFF"/>
            <w:tcMar>
              <w:left w:w="67" w:type="dxa"/>
              <w:right w:w="67" w:type="dxa"/>
            </w:tcMar>
          </w:tcPr>
          <w:p w14:paraId="015B43FA" w14:textId="77777777" w:rsidR="00682841" w:rsidRPr="00563AD3" w:rsidRDefault="00682841" w:rsidP="00682841">
            <w:pPr>
              <w:spacing w:after="0" w:line="240" w:lineRule="auto"/>
              <w:jc w:val="right"/>
              <w:rPr>
                <w:rFonts w:eastAsia="Times New Roman"/>
                <w:color w:val="000000"/>
                <w:sz w:val="20"/>
                <w:szCs w:val="20"/>
              </w:rPr>
            </w:pPr>
            <w:r w:rsidRPr="00563AD3">
              <w:rPr>
                <w:rFonts w:eastAsia="Calibri"/>
                <w:color w:val="000000"/>
                <w:sz w:val="20"/>
                <w:szCs w:val="20"/>
                <w:lang w:eastAsia="en-US"/>
              </w:rPr>
              <w:t>0.430</w:t>
            </w:r>
          </w:p>
        </w:tc>
        <w:tc>
          <w:tcPr>
            <w:tcW w:w="851" w:type="dxa"/>
            <w:tcBorders>
              <w:top w:val="nil"/>
              <w:left w:val="nil"/>
              <w:bottom w:val="single" w:sz="4" w:space="0" w:color="auto"/>
              <w:right w:val="nil"/>
            </w:tcBorders>
            <w:shd w:val="clear" w:color="auto" w:fill="FFFFFF"/>
            <w:tcMar>
              <w:left w:w="67" w:type="dxa"/>
              <w:right w:w="67" w:type="dxa"/>
            </w:tcMar>
          </w:tcPr>
          <w:p w14:paraId="254B7981" w14:textId="77777777" w:rsidR="00682841" w:rsidRPr="00563AD3" w:rsidRDefault="00682841" w:rsidP="00682841">
            <w:pPr>
              <w:spacing w:after="0" w:line="240" w:lineRule="auto"/>
              <w:jc w:val="right"/>
              <w:rPr>
                <w:rFonts w:eastAsia="Times New Roman"/>
                <w:color w:val="000000"/>
                <w:sz w:val="20"/>
                <w:szCs w:val="20"/>
              </w:rPr>
            </w:pPr>
            <w:r w:rsidRPr="00563AD3">
              <w:rPr>
                <w:rFonts w:eastAsia="Calibri"/>
                <w:color w:val="000000"/>
                <w:sz w:val="20"/>
                <w:szCs w:val="20"/>
                <w:lang w:eastAsia="en-US"/>
              </w:rPr>
              <w:t>0.214</w:t>
            </w:r>
          </w:p>
        </w:tc>
        <w:tc>
          <w:tcPr>
            <w:tcW w:w="567" w:type="dxa"/>
            <w:tcBorders>
              <w:top w:val="nil"/>
              <w:left w:val="nil"/>
              <w:bottom w:val="single" w:sz="4" w:space="0" w:color="auto"/>
            </w:tcBorders>
            <w:shd w:val="clear" w:color="auto" w:fill="FFFFFF"/>
            <w:tcMar>
              <w:left w:w="67" w:type="dxa"/>
              <w:right w:w="67" w:type="dxa"/>
            </w:tcMar>
          </w:tcPr>
          <w:p w14:paraId="5B811FBB" w14:textId="77777777" w:rsidR="00682841" w:rsidRPr="00563AD3" w:rsidRDefault="00682841" w:rsidP="00682841">
            <w:pPr>
              <w:spacing w:after="0" w:line="240" w:lineRule="auto"/>
              <w:jc w:val="right"/>
              <w:rPr>
                <w:rFonts w:eastAsia="Times New Roman"/>
                <w:color w:val="000000"/>
                <w:sz w:val="20"/>
                <w:szCs w:val="20"/>
              </w:rPr>
            </w:pPr>
            <w:r w:rsidRPr="00563AD3">
              <w:rPr>
                <w:rFonts w:eastAsia="Calibri"/>
                <w:color w:val="000000"/>
                <w:sz w:val="20"/>
                <w:szCs w:val="20"/>
                <w:lang w:eastAsia="en-US"/>
              </w:rPr>
              <w:t>726</w:t>
            </w:r>
          </w:p>
        </w:tc>
      </w:tr>
      <w:tr w:rsidR="00682841" w:rsidRPr="00563AD3" w14:paraId="01D8CEAC" w14:textId="77777777" w:rsidTr="00DE6B62">
        <w:trPr>
          <w:cantSplit/>
          <w:jc w:val="center"/>
        </w:trPr>
        <w:tc>
          <w:tcPr>
            <w:tcW w:w="2405" w:type="dxa"/>
            <w:tcBorders>
              <w:top w:val="single" w:sz="4" w:space="0" w:color="auto"/>
              <w:bottom w:val="single" w:sz="4" w:space="0" w:color="auto"/>
              <w:right w:val="nil"/>
            </w:tcBorders>
            <w:shd w:val="clear" w:color="auto" w:fill="FFFFFF"/>
            <w:tcMar>
              <w:left w:w="67" w:type="dxa"/>
              <w:right w:w="67" w:type="dxa"/>
            </w:tcMar>
          </w:tcPr>
          <w:p w14:paraId="5A06C92E" w14:textId="77777777" w:rsidR="00682841" w:rsidRPr="00563AD3" w:rsidRDefault="00682841" w:rsidP="00682841">
            <w:pPr>
              <w:spacing w:after="0" w:line="240" w:lineRule="auto"/>
              <w:rPr>
                <w:rFonts w:eastAsia="Times New Roman"/>
                <w:b/>
                <w:color w:val="000000"/>
                <w:sz w:val="20"/>
                <w:szCs w:val="20"/>
              </w:rPr>
            </w:pPr>
            <w:r w:rsidRPr="00563AD3">
              <w:rPr>
                <w:rFonts w:eastAsia="Times New Roman"/>
                <w:b/>
                <w:color w:val="000000"/>
                <w:sz w:val="20"/>
                <w:szCs w:val="20"/>
              </w:rPr>
              <w:t>CARE HOME RELATED</w:t>
            </w:r>
          </w:p>
        </w:tc>
        <w:tc>
          <w:tcPr>
            <w:tcW w:w="2552" w:type="dxa"/>
            <w:tcBorders>
              <w:top w:val="single" w:sz="4" w:space="0" w:color="auto"/>
              <w:left w:val="nil"/>
              <w:bottom w:val="single" w:sz="4" w:space="0" w:color="auto"/>
              <w:right w:val="nil"/>
            </w:tcBorders>
            <w:shd w:val="clear" w:color="auto" w:fill="FFFFFF"/>
          </w:tcPr>
          <w:p w14:paraId="5160E185" w14:textId="77777777" w:rsidR="00682841" w:rsidRPr="00563AD3" w:rsidRDefault="00682841" w:rsidP="00682841">
            <w:pPr>
              <w:spacing w:after="0" w:line="240" w:lineRule="auto"/>
              <w:rPr>
                <w:rFonts w:eastAsia="Times New Roman"/>
                <w:color w:val="000000"/>
                <w:sz w:val="20"/>
                <w:szCs w:val="20"/>
              </w:rPr>
            </w:pPr>
          </w:p>
        </w:tc>
        <w:tc>
          <w:tcPr>
            <w:tcW w:w="1275" w:type="dxa"/>
            <w:tcBorders>
              <w:top w:val="single" w:sz="4" w:space="0" w:color="auto"/>
              <w:left w:val="nil"/>
              <w:bottom w:val="single" w:sz="4" w:space="0" w:color="auto"/>
              <w:right w:val="nil"/>
            </w:tcBorders>
            <w:shd w:val="clear" w:color="auto" w:fill="FFFFFF"/>
            <w:tcMar>
              <w:left w:w="67" w:type="dxa"/>
              <w:right w:w="67" w:type="dxa"/>
            </w:tcMar>
          </w:tcPr>
          <w:p w14:paraId="0CB8962B" w14:textId="77777777" w:rsidR="00682841" w:rsidRPr="00563AD3" w:rsidRDefault="00682841" w:rsidP="00682841">
            <w:pPr>
              <w:spacing w:after="0" w:line="240" w:lineRule="auto"/>
              <w:jc w:val="right"/>
              <w:rPr>
                <w:rFonts w:eastAsia="Calibri"/>
                <w:color w:val="000000"/>
                <w:sz w:val="20"/>
                <w:szCs w:val="20"/>
                <w:lang w:eastAsia="en-US"/>
              </w:rPr>
            </w:pPr>
          </w:p>
        </w:tc>
        <w:tc>
          <w:tcPr>
            <w:tcW w:w="1134" w:type="dxa"/>
            <w:tcBorders>
              <w:top w:val="single" w:sz="4" w:space="0" w:color="auto"/>
              <w:left w:val="nil"/>
              <w:bottom w:val="single" w:sz="4" w:space="0" w:color="auto"/>
              <w:right w:val="nil"/>
            </w:tcBorders>
            <w:shd w:val="clear" w:color="auto" w:fill="FFFFFF"/>
            <w:tcMar>
              <w:left w:w="67" w:type="dxa"/>
              <w:right w:w="67" w:type="dxa"/>
            </w:tcMar>
          </w:tcPr>
          <w:p w14:paraId="2065A3D9" w14:textId="77777777" w:rsidR="00682841" w:rsidRPr="00563AD3" w:rsidRDefault="00682841" w:rsidP="00682841">
            <w:pPr>
              <w:spacing w:after="0" w:line="240" w:lineRule="auto"/>
              <w:jc w:val="right"/>
              <w:rPr>
                <w:rFonts w:eastAsia="Calibri"/>
                <w:color w:val="000000"/>
                <w:sz w:val="20"/>
                <w:szCs w:val="20"/>
                <w:lang w:eastAsia="en-US"/>
              </w:rPr>
            </w:pPr>
          </w:p>
        </w:tc>
        <w:tc>
          <w:tcPr>
            <w:tcW w:w="1134" w:type="dxa"/>
            <w:tcBorders>
              <w:top w:val="single" w:sz="4" w:space="0" w:color="auto"/>
              <w:left w:val="nil"/>
              <w:bottom w:val="single" w:sz="4" w:space="0" w:color="auto"/>
              <w:right w:val="nil"/>
            </w:tcBorders>
            <w:shd w:val="clear" w:color="auto" w:fill="FFFFFF"/>
            <w:tcMar>
              <w:left w:w="67" w:type="dxa"/>
              <w:right w:w="67" w:type="dxa"/>
            </w:tcMar>
          </w:tcPr>
          <w:p w14:paraId="764B8675" w14:textId="77777777" w:rsidR="00682841" w:rsidRPr="00563AD3" w:rsidRDefault="00682841" w:rsidP="00682841">
            <w:pPr>
              <w:spacing w:after="0" w:line="240" w:lineRule="auto"/>
              <w:jc w:val="right"/>
              <w:rPr>
                <w:rFonts w:eastAsia="Calibri"/>
                <w:color w:val="000000"/>
                <w:sz w:val="20"/>
                <w:szCs w:val="20"/>
                <w:lang w:eastAsia="en-US"/>
              </w:rPr>
            </w:pPr>
          </w:p>
        </w:tc>
        <w:tc>
          <w:tcPr>
            <w:tcW w:w="851" w:type="dxa"/>
            <w:tcBorders>
              <w:top w:val="single" w:sz="4" w:space="0" w:color="auto"/>
              <w:left w:val="nil"/>
              <w:bottom w:val="single" w:sz="4" w:space="0" w:color="auto"/>
              <w:right w:val="nil"/>
            </w:tcBorders>
            <w:shd w:val="clear" w:color="auto" w:fill="FFFFFF"/>
            <w:tcMar>
              <w:left w:w="67" w:type="dxa"/>
              <w:right w:w="67" w:type="dxa"/>
            </w:tcMar>
          </w:tcPr>
          <w:p w14:paraId="4A723369" w14:textId="77777777" w:rsidR="00682841" w:rsidRPr="00563AD3" w:rsidRDefault="00682841" w:rsidP="00682841">
            <w:pPr>
              <w:spacing w:after="0" w:line="240" w:lineRule="auto"/>
              <w:jc w:val="right"/>
              <w:rPr>
                <w:rFonts w:eastAsia="Calibri"/>
                <w:color w:val="000000"/>
                <w:sz w:val="20"/>
                <w:szCs w:val="20"/>
                <w:lang w:eastAsia="en-US"/>
              </w:rPr>
            </w:pPr>
          </w:p>
        </w:tc>
        <w:tc>
          <w:tcPr>
            <w:tcW w:w="567" w:type="dxa"/>
            <w:tcBorders>
              <w:top w:val="single" w:sz="4" w:space="0" w:color="auto"/>
              <w:left w:val="nil"/>
              <w:bottom w:val="single" w:sz="4" w:space="0" w:color="auto"/>
            </w:tcBorders>
            <w:shd w:val="clear" w:color="auto" w:fill="FFFFFF"/>
            <w:tcMar>
              <w:left w:w="67" w:type="dxa"/>
              <w:right w:w="67" w:type="dxa"/>
            </w:tcMar>
          </w:tcPr>
          <w:p w14:paraId="1A2B1532" w14:textId="77777777" w:rsidR="00682841" w:rsidRPr="00563AD3" w:rsidRDefault="00682841" w:rsidP="00682841">
            <w:pPr>
              <w:spacing w:after="0" w:line="240" w:lineRule="auto"/>
              <w:jc w:val="right"/>
              <w:rPr>
                <w:rFonts w:eastAsia="Calibri"/>
                <w:color w:val="000000"/>
                <w:sz w:val="20"/>
                <w:szCs w:val="20"/>
                <w:lang w:eastAsia="en-US"/>
              </w:rPr>
            </w:pPr>
          </w:p>
        </w:tc>
      </w:tr>
      <w:tr w:rsidR="00682841" w:rsidRPr="00563AD3" w14:paraId="06906949" w14:textId="77777777" w:rsidTr="00DE6B62">
        <w:trPr>
          <w:cantSplit/>
          <w:jc w:val="center"/>
        </w:trPr>
        <w:tc>
          <w:tcPr>
            <w:tcW w:w="2405" w:type="dxa"/>
            <w:tcBorders>
              <w:top w:val="single" w:sz="4" w:space="0" w:color="auto"/>
              <w:right w:val="nil"/>
            </w:tcBorders>
            <w:shd w:val="clear" w:color="auto" w:fill="FFFFFF"/>
            <w:tcMar>
              <w:left w:w="67" w:type="dxa"/>
              <w:right w:w="67" w:type="dxa"/>
            </w:tcMar>
          </w:tcPr>
          <w:p w14:paraId="757D561A" w14:textId="77777777" w:rsidR="00682841" w:rsidRPr="00563AD3" w:rsidRDefault="00682841" w:rsidP="00682841">
            <w:pPr>
              <w:spacing w:after="0" w:line="240" w:lineRule="auto"/>
              <w:rPr>
                <w:rFonts w:eastAsia="Times New Roman"/>
                <w:color w:val="000000"/>
                <w:sz w:val="20"/>
                <w:szCs w:val="20"/>
              </w:rPr>
            </w:pPr>
            <w:r w:rsidRPr="00563AD3">
              <w:rPr>
                <w:rFonts w:eastAsia="Times New Roman"/>
                <w:b/>
                <w:color w:val="000000"/>
                <w:sz w:val="20"/>
                <w:szCs w:val="20"/>
              </w:rPr>
              <w:t>Quality of Staff Interactions</w:t>
            </w:r>
            <w:r w:rsidRPr="00563AD3">
              <w:rPr>
                <w:rFonts w:eastAsia="Times New Roman"/>
                <w:color w:val="000000"/>
                <w:sz w:val="20"/>
                <w:szCs w:val="20"/>
              </w:rPr>
              <w:t xml:space="preserve"> </w:t>
            </w:r>
          </w:p>
        </w:tc>
        <w:tc>
          <w:tcPr>
            <w:tcW w:w="2552" w:type="dxa"/>
            <w:tcBorders>
              <w:top w:val="single" w:sz="4" w:space="0" w:color="auto"/>
              <w:left w:val="nil"/>
              <w:bottom w:val="nil"/>
              <w:right w:val="nil"/>
            </w:tcBorders>
            <w:shd w:val="clear" w:color="auto" w:fill="FFFFFF"/>
          </w:tcPr>
          <w:p w14:paraId="645D176F" w14:textId="77777777" w:rsidR="00682841" w:rsidRPr="00563AD3" w:rsidRDefault="00682841" w:rsidP="00682841">
            <w:pPr>
              <w:spacing w:after="0" w:line="240" w:lineRule="auto"/>
              <w:rPr>
                <w:rFonts w:eastAsia="Times New Roman"/>
                <w:color w:val="000000"/>
                <w:sz w:val="20"/>
                <w:szCs w:val="20"/>
              </w:rPr>
            </w:pPr>
          </w:p>
          <w:p w14:paraId="6258F522" w14:textId="77777777" w:rsidR="00682841" w:rsidRPr="00563AD3" w:rsidRDefault="00682841" w:rsidP="00682841">
            <w:pPr>
              <w:spacing w:after="0" w:line="240" w:lineRule="auto"/>
              <w:rPr>
                <w:rFonts w:eastAsia="Times New Roman"/>
                <w:color w:val="000000"/>
                <w:sz w:val="20"/>
                <w:szCs w:val="20"/>
              </w:rPr>
            </w:pPr>
          </w:p>
        </w:tc>
        <w:tc>
          <w:tcPr>
            <w:tcW w:w="1275" w:type="dxa"/>
            <w:tcBorders>
              <w:top w:val="single" w:sz="4" w:space="0" w:color="auto"/>
              <w:left w:val="nil"/>
              <w:bottom w:val="nil"/>
              <w:right w:val="nil"/>
            </w:tcBorders>
            <w:shd w:val="clear" w:color="auto" w:fill="FFFFFF"/>
            <w:tcMar>
              <w:left w:w="67" w:type="dxa"/>
              <w:right w:w="67" w:type="dxa"/>
            </w:tcMar>
          </w:tcPr>
          <w:p w14:paraId="09C10434" w14:textId="77777777" w:rsidR="00682841" w:rsidRPr="00563AD3" w:rsidRDefault="00682841" w:rsidP="00682841">
            <w:pPr>
              <w:spacing w:after="0" w:line="240" w:lineRule="auto"/>
              <w:jc w:val="right"/>
              <w:rPr>
                <w:rFonts w:eastAsia="Calibri"/>
                <w:color w:val="000000"/>
                <w:sz w:val="20"/>
                <w:szCs w:val="20"/>
                <w:highlight w:val="yellow"/>
                <w:lang w:eastAsia="en-US"/>
              </w:rPr>
            </w:pPr>
          </w:p>
        </w:tc>
        <w:tc>
          <w:tcPr>
            <w:tcW w:w="1134" w:type="dxa"/>
            <w:tcBorders>
              <w:top w:val="single" w:sz="4" w:space="0" w:color="auto"/>
              <w:left w:val="nil"/>
              <w:bottom w:val="nil"/>
              <w:right w:val="nil"/>
            </w:tcBorders>
            <w:shd w:val="clear" w:color="auto" w:fill="FFFFFF"/>
            <w:tcMar>
              <w:left w:w="67" w:type="dxa"/>
              <w:right w:w="67" w:type="dxa"/>
            </w:tcMar>
          </w:tcPr>
          <w:p w14:paraId="4CCAF31D" w14:textId="77777777" w:rsidR="00682841" w:rsidRPr="00563AD3" w:rsidRDefault="00682841" w:rsidP="00682841">
            <w:pPr>
              <w:spacing w:after="0" w:line="240" w:lineRule="auto"/>
              <w:jc w:val="right"/>
              <w:rPr>
                <w:rFonts w:eastAsia="Calibri"/>
                <w:color w:val="000000"/>
                <w:sz w:val="20"/>
                <w:szCs w:val="20"/>
                <w:highlight w:val="yellow"/>
                <w:lang w:eastAsia="en-US"/>
              </w:rPr>
            </w:pPr>
          </w:p>
        </w:tc>
        <w:tc>
          <w:tcPr>
            <w:tcW w:w="1134" w:type="dxa"/>
            <w:tcBorders>
              <w:top w:val="single" w:sz="4" w:space="0" w:color="auto"/>
              <w:left w:val="nil"/>
              <w:bottom w:val="nil"/>
              <w:right w:val="nil"/>
            </w:tcBorders>
            <w:shd w:val="clear" w:color="auto" w:fill="FFFFFF"/>
            <w:tcMar>
              <w:left w:w="67" w:type="dxa"/>
              <w:right w:w="67" w:type="dxa"/>
            </w:tcMar>
          </w:tcPr>
          <w:p w14:paraId="20DD9087" w14:textId="77777777" w:rsidR="00682841" w:rsidRPr="00563AD3" w:rsidRDefault="00682841" w:rsidP="00682841">
            <w:pPr>
              <w:spacing w:after="0" w:line="240" w:lineRule="auto"/>
              <w:jc w:val="right"/>
              <w:rPr>
                <w:rFonts w:eastAsia="Calibri"/>
                <w:color w:val="000000"/>
                <w:sz w:val="20"/>
                <w:szCs w:val="20"/>
                <w:highlight w:val="yellow"/>
                <w:lang w:eastAsia="en-US"/>
              </w:rPr>
            </w:pPr>
          </w:p>
        </w:tc>
        <w:tc>
          <w:tcPr>
            <w:tcW w:w="851" w:type="dxa"/>
            <w:tcBorders>
              <w:top w:val="single" w:sz="4" w:space="0" w:color="auto"/>
              <w:left w:val="nil"/>
              <w:bottom w:val="nil"/>
              <w:right w:val="nil"/>
            </w:tcBorders>
            <w:shd w:val="clear" w:color="auto" w:fill="FFFFFF"/>
            <w:tcMar>
              <w:left w:w="67" w:type="dxa"/>
              <w:right w:w="67" w:type="dxa"/>
            </w:tcMar>
          </w:tcPr>
          <w:p w14:paraId="6EFE6195" w14:textId="77777777" w:rsidR="00682841" w:rsidRPr="00563AD3" w:rsidRDefault="00682841" w:rsidP="00682841">
            <w:pPr>
              <w:spacing w:after="0" w:line="240" w:lineRule="auto"/>
              <w:jc w:val="right"/>
              <w:rPr>
                <w:rFonts w:eastAsia="Calibri"/>
                <w:color w:val="000000"/>
                <w:sz w:val="20"/>
                <w:szCs w:val="20"/>
                <w:highlight w:val="yellow"/>
                <w:lang w:eastAsia="en-US"/>
              </w:rPr>
            </w:pPr>
          </w:p>
        </w:tc>
        <w:tc>
          <w:tcPr>
            <w:tcW w:w="567" w:type="dxa"/>
            <w:tcBorders>
              <w:top w:val="single" w:sz="4" w:space="0" w:color="auto"/>
              <w:left w:val="nil"/>
              <w:bottom w:val="nil"/>
            </w:tcBorders>
            <w:shd w:val="clear" w:color="auto" w:fill="FFFFFF"/>
            <w:tcMar>
              <w:left w:w="67" w:type="dxa"/>
              <w:right w:w="67" w:type="dxa"/>
            </w:tcMar>
          </w:tcPr>
          <w:p w14:paraId="2FF28977" w14:textId="77777777" w:rsidR="00682841" w:rsidRPr="00563AD3" w:rsidRDefault="00682841" w:rsidP="00682841">
            <w:pPr>
              <w:spacing w:after="0" w:line="240" w:lineRule="auto"/>
              <w:jc w:val="right"/>
              <w:rPr>
                <w:rFonts w:eastAsia="Calibri"/>
                <w:color w:val="000000"/>
                <w:sz w:val="20"/>
                <w:szCs w:val="20"/>
                <w:highlight w:val="yellow"/>
                <w:lang w:eastAsia="en-US"/>
              </w:rPr>
            </w:pPr>
          </w:p>
        </w:tc>
      </w:tr>
      <w:tr w:rsidR="00682841" w:rsidRPr="00563AD3" w14:paraId="0D39F3C4" w14:textId="77777777" w:rsidTr="00DE6B62">
        <w:trPr>
          <w:cantSplit/>
          <w:jc w:val="center"/>
        </w:trPr>
        <w:tc>
          <w:tcPr>
            <w:tcW w:w="2405" w:type="dxa"/>
            <w:tcBorders>
              <w:bottom w:val="single" w:sz="4" w:space="0" w:color="auto"/>
              <w:right w:val="nil"/>
            </w:tcBorders>
            <w:shd w:val="clear" w:color="auto" w:fill="FFFFFF"/>
            <w:tcMar>
              <w:left w:w="67" w:type="dxa"/>
              <w:right w:w="67" w:type="dxa"/>
            </w:tcMar>
          </w:tcPr>
          <w:p w14:paraId="6D23BAD5" w14:textId="77777777" w:rsidR="00682841" w:rsidRPr="00563AD3" w:rsidRDefault="00682841" w:rsidP="00682841">
            <w:pPr>
              <w:spacing w:after="0" w:line="240" w:lineRule="auto"/>
              <w:rPr>
                <w:rFonts w:eastAsia="Times New Roman"/>
                <w:color w:val="000000"/>
                <w:sz w:val="20"/>
                <w:szCs w:val="20"/>
              </w:rPr>
            </w:pPr>
            <w:r w:rsidRPr="00563AD3">
              <w:rPr>
                <w:rFonts w:eastAsia="Times New Roman"/>
                <w:color w:val="000000"/>
                <w:sz w:val="20"/>
                <w:szCs w:val="20"/>
              </w:rPr>
              <w:t>(QUIS): Proportion of positive interactions</w:t>
            </w:r>
          </w:p>
        </w:tc>
        <w:tc>
          <w:tcPr>
            <w:tcW w:w="2552" w:type="dxa"/>
            <w:tcBorders>
              <w:top w:val="nil"/>
              <w:left w:val="nil"/>
              <w:bottom w:val="nil"/>
              <w:right w:val="nil"/>
            </w:tcBorders>
            <w:shd w:val="clear" w:color="auto" w:fill="FFFFFF"/>
          </w:tcPr>
          <w:p w14:paraId="0EC368C1" w14:textId="77777777" w:rsidR="00682841" w:rsidRPr="00563AD3" w:rsidRDefault="00682841" w:rsidP="00682841">
            <w:pPr>
              <w:spacing w:after="0" w:line="240" w:lineRule="auto"/>
              <w:rPr>
                <w:rFonts w:eastAsia="Times New Roman"/>
                <w:color w:val="000000"/>
                <w:sz w:val="20"/>
                <w:szCs w:val="20"/>
              </w:rPr>
            </w:pPr>
            <w:r w:rsidRPr="00563AD3">
              <w:rPr>
                <w:rFonts w:eastAsia="Times New Roman"/>
                <w:color w:val="000000"/>
                <w:sz w:val="20"/>
                <w:szCs w:val="20"/>
              </w:rPr>
              <w:t>Linear regression</w:t>
            </w:r>
          </w:p>
        </w:tc>
        <w:tc>
          <w:tcPr>
            <w:tcW w:w="1275" w:type="dxa"/>
            <w:tcBorders>
              <w:top w:val="nil"/>
              <w:left w:val="nil"/>
              <w:bottom w:val="nil"/>
              <w:right w:val="nil"/>
            </w:tcBorders>
            <w:shd w:val="clear" w:color="auto" w:fill="FFFFFF"/>
            <w:tcMar>
              <w:left w:w="67" w:type="dxa"/>
              <w:right w:w="67" w:type="dxa"/>
            </w:tcMar>
          </w:tcPr>
          <w:p w14:paraId="799672D3" w14:textId="77777777" w:rsidR="00682841" w:rsidRPr="00563AD3" w:rsidRDefault="00682841" w:rsidP="00682841">
            <w:pPr>
              <w:spacing w:after="0" w:line="240" w:lineRule="auto"/>
              <w:jc w:val="right"/>
              <w:rPr>
                <w:rFonts w:eastAsia="Calibri"/>
                <w:color w:val="000000"/>
                <w:sz w:val="20"/>
                <w:szCs w:val="20"/>
                <w:highlight w:val="yellow"/>
                <w:lang w:eastAsia="en-US"/>
              </w:rPr>
            </w:pPr>
            <w:r w:rsidRPr="00563AD3">
              <w:rPr>
                <w:rFonts w:eastAsia="Times New Roman"/>
                <w:color w:val="000000"/>
                <w:sz w:val="20"/>
                <w:szCs w:val="20"/>
              </w:rPr>
              <w:t>0.039</w:t>
            </w:r>
          </w:p>
        </w:tc>
        <w:tc>
          <w:tcPr>
            <w:tcW w:w="1134" w:type="dxa"/>
            <w:tcBorders>
              <w:top w:val="nil"/>
              <w:left w:val="nil"/>
              <w:bottom w:val="nil"/>
              <w:right w:val="nil"/>
            </w:tcBorders>
            <w:shd w:val="clear" w:color="auto" w:fill="FFFFFF"/>
            <w:tcMar>
              <w:left w:w="67" w:type="dxa"/>
              <w:right w:w="67" w:type="dxa"/>
            </w:tcMar>
          </w:tcPr>
          <w:p w14:paraId="1BC00A22" w14:textId="77777777" w:rsidR="00682841" w:rsidRPr="00563AD3" w:rsidRDefault="00682841" w:rsidP="00682841">
            <w:pPr>
              <w:spacing w:after="0" w:line="240" w:lineRule="auto"/>
              <w:jc w:val="right"/>
              <w:rPr>
                <w:rFonts w:eastAsia="Calibri"/>
                <w:color w:val="000000"/>
                <w:sz w:val="20"/>
                <w:szCs w:val="20"/>
                <w:highlight w:val="yellow"/>
                <w:lang w:eastAsia="en-US"/>
              </w:rPr>
            </w:pPr>
            <w:r w:rsidRPr="00563AD3">
              <w:rPr>
                <w:rFonts w:eastAsia="Times New Roman"/>
                <w:color w:val="000000"/>
                <w:sz w:val="20"/>
                <w:szCs w:val="20"/>
              </w:rPr>
              <w:t>-0.023</w:t>
            </w:r>
          </w:p>
        </w:tc>
        <w:tc>
          <w:tcPr>
            <w:tcW w:w="1134" w:type="dxa"/>
            <w:tcBorders>
              <w:top w:val="nil"/>
              <w:left w:val="nil"/>
              <w:bottom w:val="nil"/>
              <w:right w:val="nil"/>
            </w:tcBorders>
            <w:shd w:val="clear" w:color="auto" w:fill="FFFFFF"/>
            <w:tcMar>
              <w:left w:w="67" w:type="dxa"/>
              <w:right w:w="67" w:type="dxa"/>
            </w:tcMar>
          </w:tcPr>
          <w:p w14:paraId="31516908" w14:textId="77777777" w:rsidR="00682841" w:rsidRPr="00563AD3" w:rsidRDefault="00682841" w:rsidP="00682841">
            <w:pPr>
              <w:spacing w:after="0" w:line="240" w:lineRule="auto"/>
              <w:jc w:val="right"/>
              <w:rPr>
                <w:rFonts w:eastAsia="Calibri"/>
                <w:color w:val="000000"/>
                <w:sz w:val="20"/>
                <w:szCs w:val="20"/>
                <w:highlight w:val="yellow"/>
                <w:lang w:eastAsia="en-US"/>
              </w:rPr>
            </w:pPr>
            <w:r w:rsidRPr="00563AD3">
              <w:rPr>
                <w:rFonts w:eastAsia="Times New Roman"/>
                <w:color w:val="000000"/>
                <w:sz w:val="20"/>
                <w:szCs w:val="20"/>
              </w:rPr>
              <w:t>0.101</w:t>
            </w:r>
          </w:p>
        </w:tc>
        <w:tc>
          <w:tcPr>
            <w:tcW w:w="851" w:type="dxa"/>
            <w:tcBorders>
              <w:top w:val="nil"/>
              <w:left w:val="nil"/>
              <w:bottom w:val="nil"/>
              <w:right w:val="nil"/>
            </w:tcBorders>
            <w:shd w:val="clear" w:color="auto" w:fill="FFFFFF"/>
            <w:tcMar>
              <w:left w:w="67" w:type="dxa"/>
              <w:right w:w="67" w:type="dxa"/>
            </w:tcMar>
          </w:tcPr>
          <w:p w14:paraId="1B3737F8" w14:textId="77777777" w:rsidR="00682841" w:rsidRPr="00563AD3" w:rsidRDefault="00682841" w:rsidP="00682841">
            <w:pPr>
              <w:spacing w:after="0" w:line="240" w:lineRule="auto"/>
              <w:jc w:val="right"/>
              <w:rPr>
                <w:rFonts w:eastAsia="Calibri"/>
                <w:color w:val="000000"/>
                <w:sz w:val="20"/>
                <w:szCs w:val="20"/>
                <w:highlight w:val="yellow"/>
                <w:lang w:eastAsia="en-US"/>
              </w:rPr>
            </w:pPr>
            <w:r w:rsidRPr="00563AD3">
              <w:rPr>
                <w:rFonts w:eastAsia="Times New Roman"/>
                <w:color w:val="000000"/>
                <w:sz w:val="20"/>
                <w:szCs w:val="20"/>
              </w:rPr>
              <w:t>0.210</w:t>
            </w:r>
          </w:p>
        </w:tc>
        <w:tc>
          <w:tcPr>
            <w:tcW w:w="567" w:type="dxa"/>
            <w:tcBorders>
              <w:top w:val="nil"/>
              <w:left w:val="nil"/>
              <w:bottom w:val="nil"/>
            </w:tcBorders>
            <w:shd w:val="clear" w:color="auto" w:fill="FFFFFF"/>
            <w:tcMar>
              <w:left w:w="67" w:type="dxa"/>
              <w:right w:w="67" w:type="dxa"/>
            </w:tcMar>
          </w:tcPr>
          <w:p w14:paraId="306AD353" w14:textId="77777777" w:rsidR="00682841" w:rsidRPr="00563AD3" w:rsidRDefault="00682841" w:rsidP="00682841">
            <w:pPr>
              <w:spacing w:after="0" w:line="240" w:lineRule="auto"/>
              <w:jc w:val="right"/>
              <w:rPr>
                <w:rFonts w:eastAsia="Calibri"/>
                <w:color w:val="000000"/>
                <w:sz w:val="20"/>
                <w:szCs w:val="20"/>
                <w:highlight w:val="yellow"/>
                <w:lang w:eastAsia="en-US"/>
              </w:rPr>
            </w:pPr>
            <w:r w:rsidRPr="00563AD3">
              <w:rPr>
                <w:rFonts w:eastAsia="Times New Roman"/>
                <w:color w:val="000000"/>
                <w:sz w:val="20"/>
                <w:szCs w:val="20"/>
              </w:rPr>
              <w:t>49</w:t>
            </w:r>
          </w:p>
        </w:tc>
      </w:tr>
      <w:tr w:rsidR="00682841" w:rsidRPr="00563AD3" w14:paraId="32ED9842" w14:textId="77777777" w:rsidTr="00DE6B62">
        <w:trPr>
          <w:cantSplit/>
          <w:jc w:val="center"/>
        </w:trPr>
        <w:tc>
          <w:tcPr>
            <w:tcW w:w="9918" w:type="dxa"/>
            <w:gridSpan w:val="7"/>
            <w:tcBorders>
              <w:top w:val="single" w:sz="4" w:space="0" w:color="auto"/>
              <w:bottom w:val="nil"/>
            </w:tcBorders>
            <w:shd w:val="clear" w:color="auto" w:fill="FFFFFF"/>
            <w:tcMar>
              <w:left w:w="67" w:type="dxa"/>
              <w:right w:w="67" w:type="dxa"/>
            </w:tcMar>
          </w:tcPr>
          <w:p w14:paraId="03496D2A" w14:textId="77777777" w:rsidR="00682841" w:rsidRPr="00563AD3" w:rsidRDefault="00682841" w:rsidP="00682841">
            <w:pPr>
              <w:spacing w:after="0" w:line="240" w:lineRule="auto"/>
              <w:rPr>
                <w:rFonts w:eastAsia="Times New Roman"/>
                <w:color w:val="000000"/>
                <w:sz w:val="18"/>
                <w:szCs w:val="18"/>
              </w:rPr>
            </w:pPr>
            <w:r w:rsidRPr="00563AD3">
              <w:rPr>
                <w:rFonts w:eastAsia="Times New Roman"/>
                <w:color w:val="000000"/>
                <w:sz w:val="18"/>
                <w:szCs w:val="18"/>
              </w:rPr>
              <w:t>OR &lt;1 favours intervention</w:t>
            </w:r>
          </w:p>
        </w:tc>
      </w:tr>
    </w:tbl>
    <w:p w14:paraId="6003137F" w14:textId="77777777" w:rsidR="00682841" w:rsidRDefault="00682841" w:rsidP="009F26C5">
      <w:pPr>
        <w:rPr>
          <w:rFonts w:eastAsia="Calibri"/>
          <w:lang w:eastAsia="en-US"/>
        </w:rPr>
      </w:pPr>
    </w:p>
    <w:p w14:paraId="42A6BE94" w14:textId="77777777" w:rsidR="00B94A34" w:rsidRPr="00563AD3" w:rsidRDefault="00B94A34" w:rsidP="009B13F3">
      <w:pPr>
        <w:rPr>
          <w:rFonts w:eastAsia="Calibri"/>
          <w:lang w:eastAsia="en-US"/>
        </w:rPr>
        <w:sectPr w:rsidR="00B94A34" w:rsidRPr="00563AD3" w:rsidSect="00B94A34">
          <w:type w:val="continuous"/>
          <w:pgSz w:w="11906" w:h="16838"/>
          <w:pgMar w:top="1440" w:right="1440" w:bottom="1440" w:left="1440" w:header="708" w:footer="708" w:gutter="0"/>
          <w:cols w:space="708"/>
          <w:docGrid w:linePitch="360"/>
        </w:sectPr>
      </w:pPr>
    </w:p>
    <w:p w14:paraId="784A09C3" w14:textId="0D55DE4B" w:rsidR="005C577F" w:rsidRPr="00563AD3" w:rsidRDefault="005C577F" w:rsidP="009B13F3">
      <w:pPr>
        <w:pStyle w:val="Tableheading"/>
        <w:rPr>
          <w:rFonts w:eastAsia="Calibri"/>
          <w:lang w:eastAsia="en-US"/>
        </w:rPr>
      </w:pPr>
      <w:bookmarkStart w:id="182" w:name="_Toc948214"/>
      <w:r w:rsidRPr="00563AD3">
        <w:rPr>
          <w:rFonts w:eastAsia="Calibri"/>
          <w:lang w:eastAsia="en-US"/>
        </w:rPr>
        <w:t xml:space="preserve">Table </w:t>
      </w:r>
      <w:r w:rsidR="007C624A" w:rsidRPr="00563AD3">
        <w:rPr>
          <w:rFonts w:eastAsia="Calibri"/>
          <w:lang w:eastAsia="en-US"/>
        </w:rPr>
        <w:t xml:space="preserve">17 </w:t>
      </w:r>
      <w:r w:rsidRPr="00563AD3">
        <w:rPr>
          <w:rFonts w:eastAsia="Calibri"/>
          <w:lang w:eastAsia="en-US"/>
        </w:rPr>
        <w:t>Secondary outcomes at 16</w:t>
      </w:r>
      <w:r w:rsidR="00B80810">
        <w:rPr>
          <w:rFonts w:eastAsia="Calibri"/>
          <w:lang w:eastAsia="en-US"/>
        </w:rPr>
        <w:t>-months</w:t>
      </w:r>
      <w:r w:rsidRPr="00563AD3">
        <w:rPr>
          <w:rFonts w:eastAsia="Calibri"/>
          <w:lang w:eastAsia="en-US"/>
        </w:rPr>
        <w:t xml:space="preserve"> by resident sample</w:t>
      </w:r>
      <w:bookmarkEnd w:id="182"/>
    </w:p>
    <w:tbl>
      <w:tblPr>
        <w:tblW w:w="0" w:type="auto"/>
        <w:jc w:val="center"/>
        <w:tblLayout w:type="fixed"/>
        <w:tblCellMar>
          <w:left w:w="0" w:type="dxa"/>
          <w:right w:w="0" w:type="dxa"/>
        </w:tblCellMar>
        <w:tblLook w:val="0000" w:firstRow="0" w:lastRow="0" w:firstColumn="0" w:lastColumn="0" w:noHBand="0" w:noVBand="0"/>
      </w:tblPr>
      <w:tblGrid>
        <w:gridCol w:w="3964"/>
        <w:gridCol w:w="3969"/>
        <w:gridCol w:w="1418"/>
        <w:gridCol w:w="1276"/>
        <w:gridCol w:w="1275"/>
        <w:gridCol w:w="993"/>
        <w:gridCol w:w="567"/>
      </w:tblGrid>
      <w:tr w:rsidR="005C577F" w:rsidRPr="00157E18" w14:paraId="2D7F3CB0" w14:textId="77777777" w:rsidTr="005C577F">
        <w:trPr>
          <w:cantSplit/>
          <w:tblHeader/>
          <w:jc w:val="center"/>
        </w:trPr>
        <w:tc>
          <w:tcPr>
            <w:tcW w:w="3964" w:type="dxa"/>
            <w:tcBorders>
              <w:top w:val="single" w:sz="4" w:space="0" w:color="auto"/>
              <w:bottom w:val="single" w:sz="4" w:space="0" w:color="000000"/>
              <w:right w:val="nil"/>
            </w:tcBorders>
            <w:shd w:val="clear" w:color="auto" w:fill="FFFFFF"/>
            <w:tcMar>
              <w:left w:w="67" w:type="dxa"/>
              <w:right w:w="67" w:type="dxa"/>
            </w:tcMar>
            <w:vAlign w:val="bottom"/>
          </w:tcPr>
          <w:p w14:paraId="4B6563F7" w14:textId="77777777" w:rsidR="005C577F" w:rsidRPr="00157E18" w:rsidRDefault="005C577F" w:rsidP="00B94A34">
            <w:pPr>
              <w:keepNext/>
              <w:spacing w:after="0" w:line="240" w:lineRule="auto"/>
              <w:rPr>
                <w:rFonts w:eastAsia="Times New Roman"/>
                <w:b/>
                <w:bCs/>
                <w:color w:val="000000"/>
                <w:sz w:val="20"/>
                <w:szCs w:val="20"/>
              </w:rPr>
            </w:pPr>
            <w:r w:rsidRPr="00157E18">
              <w:rPr>
                <w:rFonts w:eastAsia="Times New Roman"/>
                <w:b/>
                <w:bCs/>
                <w:color w:val="000000"/>
                <w:sz w:val="20"/>
                <w:szCs w:val="20"/>
              </w:rPr>
              <w:t>Secondary Outcome</w:t>
            </w:r>
          </w:p>
        </w:tc>
        <w:tc>
          <w:tcPr>
            <w:tcW w:w="3969" w:type="dxa"/>
            <w:tcBorders>
              <w:top w:val="single" w:sz="4" w:space="0" w:color="auto"/>
              <w:left w:val="nil"/>
              <w:bottom w:val="single" w:sz="4" w:space="0" w:color="000000"/>
              <w:right w:val="nil"/>
            </w:tcBorders>
            <w:shd w:val="clear" w:color="auto" w:fill="FFFFFF"/>
          </w:tcPr>
          <w:p w14:paraId="0BB8EAC0" w14:textId="77777777" w:rsidR="005C577F" w:rsidRPr="00157E18" w:rsidRDefault="005C577F" w:rsidP="00B94A34">
            <w:pPr>
              <w:keepNext/>
              <w:spacing w:after="0" w:line="240" w:lineRule="auto"/>
              <w:rPr>
                <w:rFonts w:eastAsia="Times New Roman"/>
                <w:b/>
                <w:bCs/>
                <w:color w:val="000000"/>
                <w:sz w:val="20"/>
                <w:szCs w:val="20"/>
              </w:rPr>
            </w:pPr>
          </w:p>
          <w:p w14:paraId="5012906E" w14:textId="77777777" w:rsidR="005C577F" w:rsidRPr="00157E18" w:rsidRDefault="005C577F" w:rsidP="00B94A34">
            <w:pPr>
              <w:keepNext/>
              <w:spacing w:after="0" w:line="240" w:lineRule="auto"/>
              <w:rPr>
                <w:rFonts w:eastAsia="Times New Roman"/>
                <w:b/>
                <w:bCs/>
                <w:color w:val="000000"/>
                <w:sz w:val="20"/>
                <w:szCs w:val="20"/>
              </w:rPr>
            </w:pPr>
          </w:p>
          <w:p w14:paraId="733BAD24" w14:textId="77777777" w:rsidR="005C577F" w:rsidRPr="00157E18" w:rsidRDefault="005C577F" w:rsidP="00B94A34">
            <w:pPr>
              <w:keepNext/>
              <w:spacing w:after="0" w:line="240" w:lineRule="auto"/>
              <w:rPr>
                <w:rFonts w:eastAsia="Times New Roman"/>
                <w:b/>
                <w:bCs/>
                <w:color w:val="000000"/>
                <w:sz w:val="20"/>
                <w:szCs w:val="20"/>
              </w:rPr>
            </w:pPr>
          </w:p>
          <w:p w14:paraId="536E2E78" w14:textId="77777777" w:rsidR="005C577F" w:rsidRPr="00157E18" w:rsidRDefault="005C577F" w:rsidP="00B94A34">
            <w:pPr>
              <w:keepNext/>
              <w:spacing w:after="0" w:line="240" w:lineRule="auto"/>
              <w:rPr>
                <w:rFonts w:eastAsia="Times New Roman"/>
                <w:b/>
                <w:bCs/>
                <w:color w:val="000000"/>
                <w:sz w:val="20"/>
                <w:szCs w:val="20"/>
              </w:rPr>
            </w:pPr>
            <w:r w:rsidRPr="00157E18">
              <w:rPr>
                <w:rFonts w:eastAsia="Times New Roman"/>
                <w:b/>
                <w:bCs/>
                <w:color w:val="000000"/>
                <w:sz w:val="20"/>
                <w:szCs w:val="20"/>
              </w:rPr>
              <w:t>Analysis</w:t>
            </w:r>
          </w:p>
        </w:tc>
        <w:tc>
          <w:tcPr>
            <w:tcW w:w="1418" w:type="dxa"/>
            <w:tcBorders>
              <w:top w:val="single" w:sz="4" w:space="0" w:color="auto"/>
              <w:left w:val="nil"/>
              <w:bottom w:val="single" w:sz="4" w:space="0" w:color="000000"/>
              <w:right w:val="nil"/>
            </w:tcBorders>
            <w:shd w:val="clear" w:color="auto" w:fill="FFFFFF"/>
            <w:tcMar>
              <w:left w:w="67" w:type="dxa"/>
              <w:right w:w="67" w:type="dxa"/>
            </w:tcMar>
            <w:vAlign w:val="bottom"/>
          </w:tcPr>
          <w:p w14:paraId="44F99D1E" w14:textId="77777777" w:rsidR="005C577F" w:rsidRPr="00157E18" w:rsidRDefault="005C577F" w:rsidP="00B94A34">
            <w:pPr>
              <w:keepNext/>
              <w:spacing w:after="0" w:line="240" w:lineRule="auto"/>
              <w:jc w:val="right"/>
              <w:rPr>
                <w:rFonts w:eastAsia="Times New Roman"/>
                <w:b/>
                <w:bCs/>
                <w:color w:val="000000"/>
                <w:sz w:val="20"/>
                <w:szCs w:val="20"/>
              </w:rPr>
            </w:pPr>
            <w:r w:rsidRPr="00157E18">
              <w:rPr>
                <w:rFonts w:eastAsia="Times New Roman"/>
                <w:b/>
                <w:bCs/>
                <w:color w:val="000000"/>
                <w:sz w:val="20"/>
                <w:szCs w:val="20"/>
              </w:rPr>
              <w:t>Treatment Effect (Intervention</w:t>
            </w:r>
            <w:r w:rsidRPr="00157E18">
              <w:rPr>
                <w:rFonts w:eastAsia="Times New Roman"/>
                <w:b/>
                <w:bCs/>
                <w:color w:val="000000"/>
                <w:sz w:val="20"/>
                <w:szCs w:val="20"/>
              </w:rPr>
              <w:br/>
              <w:t>- Control)</w:t>
            </w:r>
          </w:p>
        </w:tc>
        <w:tc>
          <w:tcPr>
            <w:tcW w:w="1276" w:type="dxa"/>
            <w:tcBorders>
              <w:top w:val="single" w:sz="4" w:space="0" w:color="auto"/>
              <w:left w:val="nil"/>
              <w:bottom w:val="single" w:sz="4" w:space="0" w:color="000000"/>
              <w:right w:val="nil"/>
            </w:tcBorders>
            <w:shd w:val="clear" w:color="auto" w:fill="FFFFFF"/>
            <w:tcMar>
              <w:left w:w="67" w:type="dxa"/>
              <w:right w:w="67" w:type="dxa"/>
            </w:tcMar>
            <w:vAlign w:val="bottom"/>
          </w:tcPr>
          <w:p w14:paraId="370D547A" w14:textId="77777777" w:rsidR="005C577F" w:rsidRPr="00157E18" w:rsidRDefault="005C577F" w:rsidP="00B94A34">
            <w:pPr>
              <w:keepNext/>
              <w:spacing w:after="0" w:line="240" w:lineRule="auto"/>
              <w:jc w:val="right"/>
              <w:rPr>
                <w:rFonts w:eastAsia="Times New Roman"/>
                <w:b/>
                <w:bCs/>
                <w:color w:val="000000"/>
                <w:sz w:val="20"/>
                <w:szCs w:val="20"/>
              </w:rPr>
            </w:pPr>
            <w:r w:rsidRPr="00157E18">
              <w:rPr>
                <w:rFonts w:eastAsia="Times New Roman"/>
                <w:b/>
                <w:bCs/>
                <w:color w:val="000000"/>
                <w:sz w:val="20"/>
                <w:szCs w:val="20"/>
              </w:rPr>
              <w:t>Lower 95% Confidence Limit</w:t>
            </w:r>
          </w:p>
        </w:tc>
        <w:tc>
          <w:tcPr>
            <w:tcW w:w="1275" w:type="dxa"/>
            <w:tcBorders>
              <w:top w:val="single" w:sz="4" w:space="0" w:color="auto"/>
              <w:left w:val="nil"/>
              <w:bottom w:val="single" w:sz="4" w:space="0" w:color="000000"/>
              <w:right w:val="nil"/>
            </w:tcBorders>
            <w:shd w:val="clear" w:color="auto" w:fill="FFFFFF"/>
            <w:tcMar>
              <w:left w:w="67" w:type="dxa"/>
              <w:right w:w="67" w:type="dxa"/>
            </w:tcMar>
            <w:vAlign w:val="bottom"/>
          </w:tcPr>
          <w:p w14:paraId="156E983A" w14:textId="77777777" w:rsidR="005C577F" w:rsidRPr="00157E18" w:rsidRDefault="005C577F" w:rsidP="00B94A34">
            <w:pPr>
              <w:keepNext/>
              <w:spacing w:after="0" w:line="240" w:lineRule="auto"/>
              <w:jc w:val="right"/>
              <w:rPr>
                <w:rFonts w:eastAsia="Times New Roman"/>
                <w:b/>
                <w:bCs/>
                <w:color w:val="000000"/>
                <w:sz w:val="20"/>
                <w:szCs w:val="20"/>
              </w:rPr>
            </w:pPr>
            <w:r w:rsidRPr="00157E18">
              <w:rPr>
                <w:rFonts w:eastAsia="Times New Roman"/>
                <w:b/>
                <w:bCs/>
                <w:color w:val="000000"/>
                <w:sz w:val="20"/>
                <w:szCs w:val="20"/>
              </w:rPr>
              <w:t>Upper 95% Confidence Limit</w:t>
            </w:r>
          </w:p>
        </w:tc>
        <w:tc>
          <w:tcPr>
            <w:tcW w:w="993" w:type="dxa"/>
            <w:tcBorders>
              <w:top w:val="single" w:sz="4" w:space="0" w:color="auto"/>
              <w:left w:val="nil"/>
              <w:bottom w:val="single" w:sz="4" w:space="0" w:color="000000"/>
              <w:right w:val="nil"/>
            </w:tcBorders>
            <w:shd w:val="clear" w:color="auto" w:fill="FFFFFF"/>
            <w:tcMar>
              <w:left w:w="67" w:type="dxa"/>
              <w:right w:w="67" w:type="dxa"/>
            </w:tcMar>
            <w:vAlign w:val="bottom"/>
          </w:tcPr>
          <w:p w14:paraId="4ED29C9F" w14:textId="77777777" w:rsidR="005C577F" w:rsidRPr="00157E18" w:rsidRDefault="005C577F" w:rsidP="00B94A34">
            <w:pPr>
              <w:keepNext/>
              <w:spacing w:after="0" w:line="240" w:lineRule="auto"/>
              <w:jc w:val="right"/>
              <w:rPr>
                <w:rFonts w:eastAsia="Times New Roman"/>
                <w:b/>
                <w:bCs/>
                <w:color w:val="000000"/>
                <w:sz w:val="20"/>
                <w:szCs w:val="20"/>
              </w:rPr>
            </w:pPr>
            <w:r w:rsidRPr="00157E18">
              <w:rPr>
                <w:rFonts w:eastAsia="Times New Roman"/>
                <w:b/>
                <w:bCs/>
                <w:color w:val="000000"/>
                <w:sz w:val="20"/>
                <w:szCs w:val="20"/>
              </w:rPr>
              <w:t>p-value</w:t>
            </w:r>
          </w:p>
        </w:tc>
        <w:tc>
          <w:tcPr>
            <w:tcW w:w="567" w:type="dxa"/>
            <w:tcBorders>
              <w:top w:val="single" w:sz="4" w:space="0" w:color="auto"/>
              <w:left w:val="nil"/>
              <w:bottom w:val="single" w:sz="4" w:space="0" w:color="000000"/>
            </w:tcBorders>
            <w:shd w:val="clear" w:color="auto" w:fill="FFFFFF"/>
            <w:tcMar>
              <w:left w:w="67" w:type="dxa"/>
              <w:right w:w="67" w:type="dxa"/>
            </w:tcMar>
            <w:vAlign w:val="bottom"/>
          </w:tcPr>
          <w:p w14:paraId="00CF5868" w14:textId="77777777" w:rsidR="005C577F" w:rsidRPr="00157E18" w:rsidRDefault="005C577F" w:rsidP="00B94A34">
            <w:pPr>
              <w:keepNext/>
              <w:spacing w:after="0" w:line="240" w:lineRule="auto"/>
              <w:jc w:val="right"/>
              <w:rPr>
                <w:rFonts w:eastAsia="Times New Roman"/>
                <w:b/>
                <w:bCs/>
                <w:color w:val="000000"/>
                <w:sz w:val="20"/>
                <w:szCs w:val="20"/>
              </w:rPr>
            </w:pPr>
            <w:r w:rsidRPr="00157E18">
              <w:rPr>
                <w:rFonts w:eastAsia="Times New Roman"/>
                <w:b/>
                <w:bCs/>
                <w:color w:val="000000"/>
                <w:sz w:val="20"/>
                <w:szCs w:val="20"/>
              </w:rPr>
              <w:t>N</w:t>
            </w:r>
          </w:p>
        </w:tc>
      </w:tr>
      <w:tr w:rsidR="005C577F" w:rsidRPr="00157E18" w14:paraId="55C1D79F" w14:textId="77777777" w:rsidTr="005C577F">
        <w:trPr>
          <w:cantSplit/>
          <w:jc w:val="center"/>
        </w:trPr>
        <w:tc>
          <w:tcPr>
            <w:tcW w:w="7933" w:type="dxa"/>
            <w:gridSpan w:val="2"/>
            <w:tcBorders>
              <w:top w:val="nil"/>
              <w:bottom w:val="single" w:sz="4" w:space="0" w:color="auto"/>
              <w:right w:val="nil"/>
            </w:tcBorders>
            <w:shd w:val="clear" w:color="auto" w:fill="FFFFFF"/>
            <w:tcMar>
              <w:left w:w="67" w:type="dxa"/>
              <w:right w:w="67" w:type="dxa"/>
            </w:tcMar>
          </w:tcPr>
          <w:p w14:paraId="0547FA8B"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b/>
                <w:color w:val="000000"/>
                <w:sz w:val="20"/>
                <w:szCs w:val="20"/>
              </w:rPr>
              <w:t xml:space="preserve">CROSS-SECTION – RESIDENT RELATED </w:t>
            </w:r>
          </w:p>
        </w:tc>
        <w:tc>
          <w:tcPr>
            <w:tcW w:w="1418" w:type="dxa"/>
            <w:tcBorders>
              <w:top w:val="nil"/>
              <w:left w:val="nil"/>
              <w:bottom w:val="single" w:sz="4" w:space="0" w:color="auto"/>
              <w:right w:val="nil"/>
            </w:tcBorders>
            <w:shd w:val="clear" w:color="auto" w:fill="FFFFFF"/>
            <w:tcMar>
              <w:left w:w="67" w:type="dxa"/>
              <w:right w:w="67" w:type="dxa"/>
            </w:tcMar>
          </w:tcPr>
          <w:p w14:paraId="356353DE" w14:textId="77777777" w:rsidR="005C577F" w:rsidRPr="00157E18" w:rsidRDefault="005C577F" w:rsidP="00B94A34">
            <w:pPr>
              <w:spacing w:after="0" w:line="240" w:lineRule="auto"/>
              <w:jc w:val="right"/>
              <w:rPr>
                <w:rFonts w:eastAsia="Times New Roman"/>
                <w:color w:val="000000"/>
                <w:sz w:val="20"/>
                <w:szCs w:val="20"/>
              </w:rPr>
            </w:pPr>
          </w:p>
        </w:tc>
        <w:tc>
          <w:tcPr>
            <w:tcW w:w="1276" w:type="dxa"/>
            <w:tcBorders>
              <w:top w:val="nil"/>
              <w:left w:val="nil"/>
              <w:bottom w:val="single" w:sz="4" w:space="0" w:color="auto"/>
              <w:right w:val="nil"/>
            </w:tcBorders>
            <w:shd w:val="clear" w:color="auto" w:fill="FFFFFF"/>
            <w:tcMar>
              <w:left w:w="67" w:type="dxa"/>
              <w:right w:w="67" w:type="dxa"/>
            </w:tcMar>
          </w:tcPr>
          <w:p w14:paraId="3E9531AB" w14:textId="77777777" w:rsidR="005C577F" w:rsidRPr="00157E18" w:rsidRDefault="005C577F" w:rsidP="00B94A34">
            <w:pPr>
              <w:spacing w:after="0" w:line="240" w:lineRule="auto"/>
              <w:jc w:val="right"/>
              <w:rPr>
                <w:rFonts w:eastAsia="Times New Roman"/>
                <w:color w:val="000000"/>
                <w:sz w:val="20"/>
                <w:szCs w:val="20"/>
              </w:rPr>
            </w:pPr>
          </w:p>
        </w:tc>
        <w:tc>
          <w:tcPr>
            <w:tcW w:w="1275" w:type="dxa"/>
            <w:tcBorders>
              <w:top w:val="nil"/>
              <w:left w:val="nil"/>
              <w:bottom w:val="single" w:sz="4" w:space="0" w:color="auto"/>
              <w:right w:val="nil"/>
            </w:tcBorders>
            <w:shd w:val="clear" w:color="auto" w:fill="FFFFFF"/>
            <w:tcMar>
              <w:left w:w="67" w:type="dxa"/>
              <w:right w:w="67" w:type="dxa"/>
            </w:tcMar>
          </w:tcPr>
          <w:p w14:paraId="7C9F5053" w14:textId="77777777" w:rsidR="005C577F" w:rsidRPr="00157E18" w:rsidRDefault="005C577F" w:rsidP="00B94A34">
            <w:pPr>
              <w:spacing w:after="0" w:line="240" w:lineRule="auto"/>
              <w:jc w:val="right"/>
              <w:rPr>
                <w:rFonts w:eastAsia="Times New Roman"/>
                <w:color w:val="000000"/>
                <w:sz w:val="20"/>
                <w:szCs w:val="20"/>
              </w:rPr>
            </w:pPr>
          </w:p>
        </w:tc>
        <w:tc>
          <w:tcPr>
            <w:tcW w:w="993" w:type="dxa"/>
            <w:tcBorders>
              <w:top w:val="nil"/>
              <w:left w:val="nil"/>
              <w:bottom w:val="single" w:sz="4" w:space="0" w:color="auto"/>
              <w:right w:val="nil"/>
            </w:tcBorders>
            <w:shd w:val="clear" w:color="auto" w:fill="FFFFFF"/>
            <w:tcMar>
              <w:left w:w="67" w:type="dxa"/>
              <w:right w:w="67" w:type="dxa"/>
            </w:tcMar>
          </w:tcPr>
          <w:p w14:paraId="06D96CE1" w14:textId="77777777" w:rsidR="005C577F" w:rsidRPr="00157E18" w:rsidRDefault="005C577F" w:rsidP="00B94A34">
            <w:pPr>
              <w:spacing w:after="0" w:line="240" w:lineRule="auto"/>
              <w:jc w:val="right"/>
              <w:rPr>
                <w:rFonts w:eastAsia="Times New Roman"/>
                <w:color w:val="000000"/>
                <w:sz w:val="20"/>
                <w:szCs w:val="20"/>
              </w:rPr>
            </w:pPr>
          </w:p>
        </w:tc>
        <w:tc>
          <w:tcPr>
            <w:tcW w:w="567" w:type="dxa"/>
            <w:tcBorders>
              <w:top w:val="nil"/>
              <w:left w:val="nil"/>
              <w:bottom w:val="single" w:sz="4" w:space="0" w:color="auto"/>
            </w:tcBorders>
            <w:shd w:val="clear" w:color="auto" w:fill="FFFFFF"/>
            <w:tcMar>
              <w:left w:w="67" w:type="dxa"/>
              <w:right w:w="67" w:type="dxa"/>
            </w:tcMar>
          </w:tcPr>
          <w:p w14:paraId="5E32966E" w14:textId="77777777" w:rsidR="005C577F" w:rsidRPr="00157E18" w:rsidRDefault="005C577F" w:rsidP="00B94A34">
            <w:pPr>
              <w:spacing w:after="0" w:line="240" w:lineRule="auto"/>
              <w:jc w:val="right"/>
              <w:rPr>
                <w:rFonts w:eastAsia="Times New Roman"/>
                <w:color w:val="000000"/>
                <w:sz w:val="20"/>
                <w:szCs w:val="20"/>
              </w:rPr>
            </w:pPr>
          </w:p>
        </w:tc>
      </w:tr>
      <w:tr w:rsidR="005C577F" w:rsidRPr="00157E18" w14:paraId="60E013E3" w14:textId="77777777" w:rsidTr="005C577F">
        <w:trPr>
          <w:cantSplit/>
          <w:jc w:val="center"/>
        </w:trPr>
        <w:tc>
          <w:tcPr>
            <w:tcW w:w="3964" w:type="dxa"/>
            <w:vMerge w:val="restart"/>
            <w:tcBorders>
              <w:top w:val="single" w:sz="4" w:space="0" w:color="auto"/>
              <w:right w:val="nil"/>
            </w:tcBorders>
            <w:shd w:val="clear" w:color="auto" w:fill="FFFFFF"/>
            <w:tcMar>
              <w:left w:w="67" w:type="dxa"/>
              <w:right w:w="67" w:type="dxa"/>
            </w:tcMar>
          </w:tcPr>
          <w:p w14:paraId="0879CA8D" w14:textId="77777777" w:rsidR="005C577F" w:rsidRPr="00157E18" w:rsidRDefault="005C577F" w:rsidP="00B94A34">
            <w:pPr>
              <w:spacing w:after="0" w:line="240" w:lineRule="auto"/>
              <w:rPr>
                <w:rFonts w:eastAsia="Times New Roman"/>
                <w:b/>
                <w:color w:val="000000"/>
                <w:sz w:val="20"/>
                <w:szCs w:val="20"/>
              </w:rPr>
            </w:pPr>
            <w:r w:rsidRPr="00157E18">
              <w:rPr>
                <w:rFonts w:eastAsia="Times New Roman"/>
                <w:b/>
                <w:color w:val="000000"/>
                <w:sz w:val="20"/>
                <w:szCs w:val="20"/>
              </w:rPr>
              <w:t xml:space="preserve">Behaviours staff find challenging </w:t>
            </w:r>
          </w:p>
          <w:p w14:paraId="435C4A41" w14:textId="77777777" w:rsidR="005C577F" w:rsidRPr="00157E18" w:rsidRDefault="005C577F" w:rsidP="00B94A34">
            <w:pPr>
              <w:spacing w:after="0" w:line="240" w:lineRule="auto"/>
              <w:rPr>
                <w:rFonts w:eastAsia="Times New Roman"/>
                <w:color w:val="000000"/>
                <w:sz w:val="20"/>
                <w:szCs w:val="20"/>
              </w:rPr>
            </w:pPr>
          </w:p>
        </w:tc>
        <w:tc>
          <w:tcPr>
            <w:tcW w:w="3969" w:type="dxa"/>
            <w:tcBorders>
              <w:top w:val="single" w:sz="4" w:space="0" w:color="auto"/>
              <w:left w:val="nil"/>
              <w:bottom w:val="nil"/>
              <w:right w:val="nil"/>
            </w:tcBorders>
            <w:shd w:val="clear" w:color="auto" w:fill="FFFFFF"/>
          </w:tcPr>
          <w:p w14:paraId="469980F2"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Population-Average Logistic Model (GEE)</w:t>
            </w:r>
          </w:p>
        </w:tc>
        <w:tc>
          <w:tcPr>
            <w:tcW w:w="1418" w:type="dxa"/>
            <w:tcBorders>
              <w:top w:val="single" w:sz="4" w:space="0" w:color="auto"/>
              <w:left w:val="nil"/>
              <w:bottom w:val="nil"/>
              <w:right w:val="nil"/>
            </w:tcBorders>
            <w:shd w:val="clear" w:color="auto" w:fill="FFFFFF"/>
            <w:tcMar>
              <w:left w:w="67" w:type="dxa"/>
              <w:right w:w="67" w:type="dxa"/>
            </w:tcMar>
          </w:tcPr>
          <w:p w14:paraId="09F49BE2"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0.720</w:t>
            </w:r>
          </w:p>
        </w:tc>
        <w:tc>
          <w:tcPr>
            <w:tcW w:w="1276" w:type="dxa"/>
            <w:tcBorders>
              <w:top w:val="single" w:sz="4" w:space="0" w:color="auto"/>
              <w:left w:val="nil"/>
              <w:bottom w:val="nil"/>
              <w:right w:val="nil"/>
            </w:tcBorders>
            <w:shd w:val="clear" w:color="auto" w:fill="FFFFFF"/>
            <w:tcMar>
              <w:left w:w="67" w:type="dxa"/>
              <w:right w:w="67" w:type="dxa"/>
            </w:tcMar>
          </w:tcPr>
          <w:p w14:paraId="080CEA06"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0.479</w:t>
            </w:r>
          </w:p>
        </w:tc>
        <w:tc>
          <w:tcPr>
            <w:tcW w:w="1275" w:type="dxa"/>
            <w:tcBorders>
              <w:top w:val="single" w:sz="4" w:space="0" w:color="auto"/>
              <w:left w:val="nil"/>
              <w:bottom w:val="nil"/>
              <w:right w:val="nil"/>
            </w:tcBorders>
            <w:shd w:val="clear" w:color="auto" w:fill="FFFFFF"/>
            <w:tcMar>
              <w:left w:w="67" w:type="dxa"/>
              <w:right w:w="67" w:type="dxa"/>
            </w:tcMar>
          </w:tcPr>
          <w:p w14:paraId="727A8F24"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1.083</w:t>
            </w:r>
          </w:p>
        </w:tc>
        <w:tc>
          <w:tcPr>
            <w:tcW w:w="993" w:type="dxa"/>
            <w:tcBorders>
              <w:top w:val="single" w:sz="4" w:space="0" w:color="auto"/>
              <w:left w:val="nil"/>
              <w:bottom w:val="nil"/>
              <w:right w:val="nil"/>
            </w:tcBorders>
            <w:shd w:val="clear" w:color="auto" w:fill="FFFFFF"/>
            <w:tcMar>
              <w:left w:w="67" w:type="dxa"/>
              <w:right w:w="67" w:type="dxa"/>
            </w:tcMar>
          </w:tcPr>
          <w:p w14:paraId="62D2434C"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0.115</w:t>
            </w:r>
          </w:p>
        </w:tc>
        <w:tc>
          <w:tcPr>
            <w:tcW w:w="567" w:type="dxa"/>
            <w:tcBorders>
              <w:top w:val="single" w:sz="4" w:space="0" w:color="auto"/>
              <w:left w:val="nil"/>
              <w:bottom w:val="nil"/>
            </w:tcBorders>
            <w:shd w:val="clear" w:color="auto" w:fill="FFFFFF"/>
            <w:tcMar>
              <w:left w:w="67" w:type="dxa"/>
              <w:right w:w="67" w:type="dxa"/>
            </w:tcMar>
          </w:tcPr>
          <w:p w14:paraId="376CB81D"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675</w:t>
            </w:r>
          </w:p>
        </w:tc>
      </w:tr>
      <w:tr w:rsidR="005C577F" w:rsidRPr="00157E18" w14:paraId="3BC6AB45" w14:textId="77777777" w:rsidTr="005C577F">
        <w:trPr>
          <w:cantSplit/>
          <w:jc w:val="center"/>
        </w:trPr>
        <w:tc>
          <w:tcPr>
            <w:tcW w:w="3964" w:type="dxa"/>
            <w:vMerge/>
            <w:tcBorders>
              <w:bottom w:val="single" w:sz="4" w:space="0" w:color="auto"/>
              <w:right w:val="nil"/>
            </w:tcBorders>
            <w:shd w:val="clear" w:color="auto" w:fill="FFFFFF"/>
            <w:tcMar>
              <w:left w:w="67" w:type="dxa"/>
              <w:right w:w="67" w:type="dxa"/>
            </w:tcMar>
          </w:tcPr>
          <w:p w14:paraId="0F67E620" w14:textId="77777777" w:rsidR="005C577F" w:rsidRPr="00157E18" w:rsidRDefault="005C577F" w:rsidP="00B94A34">
            <w:pPr>
              <w:spacing w:after="0" w:line="240" w:lineRule="auto"/>
              <w:rPr>
                <w:rFonts w:eastAsia="Times New Roman"/>
                <w:color w:val="000000"/>
                <w:sz w:val="20"/>
                <w:szCs w:val="20"/>
              </w:rPr>
            </w:pPr>
          </w:p>
        </w:tc>
        <w:tc>
          <w:tcPr>
            <w:tcW w:w="3969" w:type="dxa"/>
            <w:tcBorders>
              <w:top w:val="nil"/>
              <w:left w:val="nil"/>
              <w:bottom w:val="single" w:sz="4" w:space="0" w:color="auto"/>
              <w:right w:val="nil"/>
            </w:tcBorders>
            <w:shd w:val="clear" w:color="auto" w:fill="FFFFFF"/>
          </w:tcPr>
          <w:p w14:paraId="1FF41A5E"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Cluster-Specific Logistic Model (REML)</w:t>
            </w:r>
          </w:p>
        </w:tc>
        <w:tc>
          <w:tcPr>
            <w:tcW w:w="1418" w:type="dxa"/>
            <w:tcBorders>
              <w:top w:val="nil"/>
              <w:left w:val="nil"/>
              <w:bottom w:val="single" w:sz="4" w:space="0" w:color="auto"/>
              <w:right w:val="nil"/>
            </w:tcBorders>
            <w:shd w:val="clear" w:color="auto" w:fill="FFFFFF"/>
            <w:tcMar>
              <w:left w:w="67" w:type="dxa"/>
              <w:right w:w="67" w:type="dxa"/>
            </w:tcMar>
          </w:tcPr>
          <w:p w14:paraId="72A43939"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0.681</w:t>
            </w:r>
          </w:p>
        </w:tc>
        <w:tc>
          <w:tcPr>
            <w:tcW w:w="1276" w:type="dxa"/>
            <w:tcBorders>
              <w:top w:val="nil"/>
              <w:left w:val="nil"/>
              <w:bottom w:val="single" w:sz="4" w:space="0" w:color="auto"/>
              <w:right w:val="nil"/>
            </w:tcBorders>
            <w:shd w:val="clear" w:color="auto" w:fill="FFFFFF"/>
            <w:tcMar>
              <w:left w:w="67" w:type="dxa"/>
              <w:right w:w="67" w:type="dxa"/>
            </w:tcMar>
          </w:tcPr>
          <w:p w14:paraId="21343EF0"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0.400</w:t>
            </w:r>
          </w:p>
        </w:tc>
        <w:tc>
          <w:tcPr>
            <w:tcW w:w="1275" w:type="dxa"/>
            <w:tcBorders>
              <w:top w:val="nil"/>
              <w:left w:val="nil"/>
              <w:bottom w:val="single" w:sz="4" w:space="0" w:color="auto"/>
              <w:right w:val="nil"/>
            </w:tcBorders>
            <w:shd w:val="clear" w:color="auto" w:fill="FFFFFF"/>
            <w:tcMar>
              <w:left w:w="67" w:type="dxa"/>
              <w:right w:w="67" w:type="dxa"/>
            </w:tcMar>
          </w:tcPr>
          <w:p w14:paraId="6C5F4125"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1.158</w:t>
            </w:r>
          </w:p>
        </w:tc>
        <w:tc>
          <w:tcPr>
            <w:tcW w:w="993" w:type="dxa"/>
            <w:tcBorders>
              <w:top w:val="nil"/>
              <w:left w:val="nil"/>
              <w:bottom w:val="single" w:sz="4" w:space="0" w:color="auto"/>
              <w:right w:val="nil"/>
            </w:tcBorders>
            <w:shd w:val="clear" w:color="auto" w:fill="FFFFFF"/>
            <w:tcMar>
              <w:left w:w="67" w:type="dxa"/>
              <w:right w:w="67" w:type="dxa"/>
            </w:tcMar>
          </w:tcPr>
          <w:p w14:paraId="1D531EFB"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0.156</w:t>
            </w:r>
          </w:p>
        </w:tc>
        <w:tc>
          <w:tcPr>
            <w:tcW w:w="567" w:type="dxa"/>
            <w:tcBorders>
              <w:top w:val="nil"/>
              <w:left w:val="nil"/>
              <w:bottom w:val="single" w:sz="4" w:space="0" w:color="auto"/>
            </w:tcBorders>
            <w:shd w:val="clear" w:color="auto" w:fill="FFFFFF"/>
            <w:tcMar>
              <w:left w:w="67" w:type="dxa"/>
              <w:right w:w="67" w:type="dxa"/>
            </w:tcMar>
          </w:tcPr>
          <w:p w14:paraId="18D84473"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675</w:t>
            </w:r>
          </w:p>
        </w:tc>
      </w:tr>
      <w:tr w:rsidR="005C577F" w:rsidRPr="00571DFD" w14:paraId="6F2354BE" w14:textId="77777777" w:rsidTr="005C577F">
        <w:trPr>
          <w:cantSplit/>
          <w:jc w:val="center"/>
        </w:trPr>
        <w:tc>
          <w:tcPr>
            <w:tcW w:w="3964" w:type="dxa"/>
            <w:tcBorders>
              <w:top w:val="single" w:sz="4" w:space="0" w:color="auto"/>
              <w:bottom w:val="single" w:sz="4" w:space="0" w:color="auto"/>
              <w:right w:val="nil"/>
            </w:tcBorders>
            <w:shd w:val="clear" w:color="auto" w:fill="FFFFFF"/>
            <w:tcMar>
              <w:left w:w="67" w:type="dxa"/>
              <w:right w:w="67" w:type="dxa"/>
            </w:tcMar>
          </w:tcPr>
          <w:p w14:paraId="4FA55872" w14:textId="77777777" w:rsidR="005C577F" w:rsidRPr="00571DFD" w:rsidRDefault="005C577F" w:rsidP="00B94A34">
            <w:pPr>
              <w:spacing w:after="0" w:line="240" w:lineRule="auto"/>
              <w:rPr>
                <w:rFonts w:eastAsia="Times New Roman"/>
                <w:b/>
                <w:color w:val="000000"/>
                <w:sz w:val="20"/>
                <w:szCs w:val="20"/>
              </w:rPr>
            </w:pPr>
            <w:r w:rsidRPr="00571DFD">
              <w:rPr>
                <w:rFonts w:eastAsia="Times New Roman"/>
                <w:b/>
                <w:color w:val="000000"/>
                <w:sz w:val="20"/>
                <w:szCs w:val="20"/>
              </w:rPr>
              <w:t>Antipsychotic medication</w:t>
            </w:r>
          </w:p>
        </w:tc>
        <w:tc>
          <w:tcPr>
            <w:tcW w:w="3969" w:type="dxa"/>
            <w:tcBorders>
              <w:top w:val="single" w:sz="4" w:space="0" w:color="auto"/>
              <w:left w:val="nil"/>
              <w:bottom w:val="single" w:sz="4" w:space="0" w:color="auto"/>
              <w:right w:val="nil"/>
            </w:tcBorders>
            <w:shd w:val="clear" w:color="auto" w:fill="FFFFFF"/>
          </w:tcPr>
          <w:p w14:paraId="153EFA36" w14:textId="77777777" w:rsidR="005C577F" w:rsidRPr="00571DFD" w:rsidRDefault="005C577F" w:rsidP="00B94A34">
            <w:pPr>
              <w:spacing w:after="0" w:line="240" w:lineRule="auto"/>
              <w:rPr>
                <w:rFonts w:eastAsia="Times New Roman"/>
                <w:color w:val="000000"/>
                <w:sz w:val="20"/>
                <w:szCs w:val="20"/>
              </w:rPr>
            </w:pPr>
            <w:r w:rsidRPr="00571DFD">
              <w:rPr>
                <w:rFonts w:eastAsia="Times New Roman"/>
                <w:color w:val="000000"/>
                <w:sz w:val="20"/>
                <w:szCs w:val="20"/>
              </w:rPr>
              <w:t>Population-Average Logistic Model (GEE)</w:t>
            </w:r>
          </w:p>
        </w:tc>
        <w:tc>
          <w:tcPr>
            <w:tcW w:w="1418" w:type="dxa"/>
            <w:tcBorders>
              <w:top w:val="single" w:sz="4" w:space="0" w:color="auto"/>
              <w:left w:val="nil"/>
              <w:bottom w:val="single" w:sz="4" w:space="0" w:color="auto"/>
              <w:right w:val="nil"/>
            </w:tcBorders>
            <w:shd w:val="clear" w:color="auto" w:fill="FFFFFF"/>
            <w:tcMar>
              <w:left w:w="67" w:type="dxa"/>
              <w:right w:w="67" w:type="dxa"/>
            </w:tcMar>
          </w:tcPr>
          <w:p w14:paraId="2C11B991" w14:textId="05FC6582" w:rsidR="005C577F" w:rsidRPr="00571DFD" w:rsidRDefault="005C577F" w:rsidP="00B94A34">
            <w:pPr>
              <w:spacing w:after="0" w:line="240" w:lineRule="auto"/>
              <w:jc w:val="right"/>
              <w:rPr>
                <w:rFonts w:eastAsia="Times New Roman"/>
                <w:color w:val="000000"/>
                <w:sz w:val="20"/>
                <w:szCs w:val="20"/>
              </w:rPr>
            </w:pPr>
            <w:r w:rsidRPr="00571DFD">
              <w:rPr>
                <w:rFonts w:eastAsia="Times New Roman"/>
                <w:color w:val="000000"/>
                <w:sz w:val="20"/>
                <w:szCs w:val="20"/>
              </w:rPr>
              <w:t>1.</w:t>
            </w:r>
            <w:r w:rsidR="00571DFD" w:rsidRPr="00571DFD">
              <w:rPr>
                <w:rFonts w:eastAsia="Times New Roman"/>
                <w:color w:val="000000"/>
                <w:sz w:val="20"/>
                <w:szCs w:val="20"/>
              </w:rPr>
              <w:t>191</w:t>
            </w:r>
          </w:p>
        </w:tc>
        <w:tc>
          <w:tcPr>
            <w:tcW w:w="1276" w:type="dxa"/>
            <w:tcBorders>
              <w:top w:val="single" w:sz="4" w:space="0" w:color="auto"/>
              <w:left w:val="nil"/>
              <w:bottom w:val="single" w:sz="4" w:space="0" w:color="auto"/>
              <w:right w:val="nil"/>
            </w:tcBorders>
            <w:shd w:val="clear" w:color="auto" w:fill="FFFFFF"/>
            <w:tcMar>
              <w:left w:w="67" w:type="dxa"/>
              <w:right w:w="67" w:type="dxa"/>
            </w:tcMar>
          </w:tcPr>
          <w:p w14:paraId="3F08C23F" w14:textId="3ECEE1BA" w:rsidR="005C577F" w:rsidRPr="00571DFD" w:rsidRDefault="005C577F" w:rsidP="00B94A34">
            <w:pPr>
              <w:spacing w:after="0" w:line="240" w:lineRule="auto"/>
              <w:jc w:val="right"/>
              <w:rPr>
                <w:rFonts w:eastAsia="Times New Roman"/>
                <w:color w:val="000000"/>
                <w:sz w:val="20"/>
                <w:szCs w:val="20"/>
              </w:rPr>
            </w:pPr>
            <w:r w:rsidRPr="00571DFD">
              <w:rPr>
                <w:rFonts w:eastAsia="Times New Roman"/>
                <w:color w:val="000000"/>
                <w:sz w:val="20"/>
                <w:szCs w:val="20"/>
              </w:rPr>
              <w:t>0.</w:t>
            </w:r>
            <w:r w:rsidR="00571DFD" w:rsidRPr="00571DFD">
              <w:rPr>
                <w:rFonts w:eastAsia="Times New Roman"/>
                <w:color w:val="000000"/>
                <w:sz w:val="20"/>
                <w:szCs w:val="20"/>
              </w:rPr>
              <w:t>216</w:t>
            </w:r>
          </w:p>
        </w:tc>
        <w:tc>
          <w:tcPr>
            <w:tcW w:w="1275" w:type="dxa"/>
            <w:tcBorders>
              <w:top w:val="single" w:sz="4" w:space="0" w:color="auto"/>
              <w:left w:val="nil"/>
              <w:bottom w:val="single" w:sz="4" w:space="0" w:color="auto"/>
              <w:right w:val="nil"/>
            </w:tcBorders>
            <w:shd w:val="clear" w:color="auto" w:fill="FFFFFF"/>
            <w:tcMar>
              <w:left w:w="67" w:type="dxa"/>
              <w:right w:w="67" w:type="dxa"/>
            </w:tcMar>
          </w:tcPr>
          <w:p w14:paraId="4E10CB2B" w14:textId="21B66A93" w:rsidR="005C577F" w:rsidRPr="00571DFD" w:rsidRDefault="00571DFD" w:rsidP="00B94A34">
            <w:pPr>
              <w:spacing w:after="0" w:line="240" w:lineRule="auto"/>
              <w:jc w:val="right"/>
              <w:rPr>
                <w:rFonts w:eastAsia="Times New Roman"/>
                <w:color w:val="000000"/>
                <w:sz w:val="20"/>
                <w:szCs w:val="20"/>
              </w:rPr>
            </w:pPr>
            <w:r w:rsidRPr="00571DFD">
              <w:rPr>
                <w:rFonts w:eastAsia="Times New Roman"/>
                <w:color w:val="000000"/>
                <w:sz w:val="20"/>
                <w:szCs w:val="20"/>
              </w:rPr>
              <w:t>6.559</w:t>
            </w:r>
          </w:p>
        </w:tc>
        <w:tc>
          <w:tcPr>
            <w:tcW w:w="993" w:type="dxa"/>
            <w:tcBorders>
              <w:top w:val="single" w:sz="4" w:space="0" w:color="auto"/>
              <w:left w:val="nil"/>
              <w:bottom w:val="single" w:sz="4" w:space="0" w:color="auto"/>
              <w:right w:val="nil"/>
            </w:tcBorders>
            <w:shd w:val="clear" w:color="auto" w:fill="FFFFFF"/>
            <w:tcMar>
              <w:left w:w="67" w:type="dxa"/>
              <w:right w:w="67" w:type="dxa"/>
            </w:tcMar>
          </w:tcPr>
          <w:p w14:paraId="754F1A1E" w14:textId="6E23403F" w:rsidR="005C577F" w:rsidRPr="00571DFD" w:rsidRDefault="005C577F" w:rsidP="00B94A34">
            <w:pPr>
              <w:spacing w:after="0" w:line="240" w:lineRule="auto"/>
              <w:jc w:val="right"/>
              <w:rPr>
                <w:rFonts w:eastAsia="Times New Roman"/>
                <w:color w:val="000000"/>
                <w:sz w:val="20"/>
                <w:szCs w:val="20"/>
              </w:rPr>
            </w:pPr>
            <w:r w:rsidRPr="00571DFD">
              <w:rPr>
                <w:rFonts w:eastAsia="Times New Roman"/>
                <w:color w:val="000000"/>
                <w:sz w:val="20"/>
                <w:szCs w:val="20"/>
              </w:rPr>
              <w:t>0.8</w:t>
            </w:r>
            <w:r w:rsidR="00571DFD" w:rsidRPr="00571DFD">
              <w:rPr>
                <w:rFonts w:eastAsia="Times New Roman"/>
                <w:color w:val="000000"/>
                <w:sz w:val="20"/>
                <w:szCs w:val="20"/>
              </w:rPr>
              <w:t>41</w:t>
            </w:r>
          </w:p>
        </w:tc>
        <w:tc>
          <w:tcPr>
            <w:tcW w:w="567" w:type="dxa"/>
            <w:tcBorders>
              <w:top w:val="single" w:sz="4" w:space="0" w:color="auto"/>
              <w:left w:val="nil"/>
              <w:bottom w:val="single" w:sz="4" w:space="0" w:color="auto"/>
            </w:tcBorders>
            <w:shd w:val="clear" w:color="auto" w:fill="FFFFFF"/>
            <w:tcMar>
              <w:left w:w="67" w:type="dxa"/>
              <w:right w:w="67" w:type="dxa"/>
            </w:tcMar>
          </w:tcPr>
          <w:p w14:paraId="76A9E782" w14:textId="77777777" w:rsidR="005C577F" w:rsidRPr="00571DFD" w:rsidRDefault="005C577F" w:rsidP="00B94A34">
            <w:pPr>
              <w:spacing w:after="0" w:line="240" w:lineRule="auto"/>
              <w:jc w:val="right"/>
              <w:rPr>
                <w:rFonts w:eastAsia="Times New Roman"/>
                <w:color w:val="000000"/>
                <w:sz w:val="20"/>
                <w:szCs w:val="20"/>
              </w:rPr>
            </w:pPr>
            <w:r w:rsidRPr="00571DFD">
              <w:rPr>
                <w:rFonts w:eastAsia="Times New Roman"/>
                <w:color w:val="000000"/>
                <w:sz w:val="20"/>
                <w:szCs w:val="20"/>
              </w:rPr>
              <w:t>675</w:t>
            </w:r>
          </w:p>
        </w:tc>
      </w:tr>
      <w:tr w:rsidR="005C577F" w:rsidRPr="00157E18" w14:paraId="70799464" w14:textId="77777777" w:rsidTr="005C577F">
        <w:trPr>
          <w:cantSplit/>
          <w:jc w:val="center"/>
        </w:trPr>
        <w:tc>
          <w:tcPr>
            <w:tcW w:w="3964" w:type="dxa"/>
            <w:tcBorders>
              <w:top w:val="single" w:sz="4" w:space="0" w:color="auto"/>
              <w:right w:val="nil"/>
            </w:tcBorders>
            <w:shd w:val="clear" w:color="auto" w:fill="FFFFFF"/>
            <w:tcMar>
              <w:left w:w="67" w:type="dxa"/>
              <w:right w:w="67" w:type="dxa"/>
            </w:tcMar>
          </w:tcPr>
          <w:p w14:paraId="3976FA3B" w14:textId="77777777" w:rsidR="005C577F" w:rsidRPr="00157E18" w:rsidRDefault="005C577F" w:rsidP="00B94A34">
            <w:pPr>
              <w:spacing w:after="0" w:line="240" w:lineRule="auto"/>
              <w:rPr>
                <w:rFonts w:eastAsia="Times New Roman"/>
                <w:b/>
                <w:color w:val="000000"/>
                <w:sz w:val="20"/>
                <w:szCs w:val="20"/>
              </w:rPr>
            </w:pPr>
            <w:r w:rsidRPr="00157E18">
              <w:rPr>
                <w:rFonts w:eastAsia="Times New Roman"/>
                <w:b/>
                <w:color w:val="000000"/>
                <w:sz w:val="20"/>
                <w:szCs w:val="20"/>
              </w:rPr>
              <w:t>Mood (NPI Domain)</w:t>
            </w:r>
          </w:p>
        </w:tc>
        <w:tc>
          <w:tcPr>
            <w:tcW w:w="3969" w:type="dxa"/>
            <w:tcBorders>
              <w:top w:val="single" w:sz="4" w:space="0" w:color="auto"/>
              <w:left w:val="nil"/>
              <w:bottom w:val="nil"/>
              <w:right w:val="nil"/>
            </w:tcBorders>
            <w:shd w:val="clear" w:color="auto" w:fill="FFFFFF"/>
          </w:tcPr>
          <w:p w14:paraId="246A70FE" w14:textId="77777777" w:rsidR="005C577F" w:rsidRPr="00157E18" w:rsidRDefault="005C577F" w:rsidP="00B94A34">
            <w:pPr>
              <w:spacing w:after="0" w:line="240" w:lineRule="auto"/>
              <w:rPr>
                <w:rFonts w:eastAsia="Times New Roman"/>
                <w:color w:val="000000"/>
                <w:sz w:val="20"/>
                <w:szCs w:val="20"/>
              </w:rPr>
            </w:pPr>
          </w:p>
        </w:tc>
        <w:tc>
          <w:tcPr>
            <w:tcW w:w="1418" w:type="dxa"/>
            <w:tcBorders>
              <w:top w:val="single" w:sz="4" w:space="0" w:color="auto"/>
              <w:left w:val="nil"/>
              <w:bottom w:val="nil"/>
              <w:right w:val="nil"/>
            </w:tcBorders>
            <w:shd w:val="clear" w:color="auto" w:fill="FFFFFF"/>
            <w:tcMar>
              <w:left w:w="67" w:type="dxa"/>
              <w:right w:w="67" w:type="dxa"/>
            </w:tcMar>
          </w:tcPr>
          <w:p w14:paraId="227D85A9" w14:textId="77777777" w:rsidR="005C577F" w:rsidRPr="00157E18" w:rsidRDefault="005C577F" w:rsidP="00B94A34">
            <w:pPr>
              <w:spacing w:after="0" w:line="240" w:lineRule="auto"/>
              <w:jc w:val="right"/>
              <w:rPr>
                <w:rFonts w:eastAsia="Times New Roman"/>
                <w:color w:val="000000"/>
                <w:sz w:val="20"/>
                <w:szCs w:val="20"/>
              </w:rPr>
            </w:pPr>
          </w:p>
        </w:tc>
        <w:tc>
          <w:tcPr>
            <w:tcW w:w="1276" w:type="dxa"/>
            <w:tcBorders>
              <w:top w:val="single" w:sz="4" w:space="0" w:color="auto"/>
              <w:left w:val="nil"/>
              <w:bottom w:val="nil"/>
              <w:right w:val="nil"/>
            </w:tcBorders>
            <w:shd w:val="clear" w:color="auto" w:fill="FFFFFF"/>
            <w:tcMar>
              <w:left w:w="67" w:type="dxa"/>
              <w:right w:w="67" w:type="dxa"/>
            </w:tcMar>
          </w:tcPr>
          <w:p w14:paraId="447D5F83" w14:textId="77777777" w:rsidR="005C577F" w:rsidRPr="00157E18" w:rsidRDefault="005C577F" w:rsidP="00B94A34">
            <w:pPr>
              <w:spacing w:after="0" w:line="240" w:lineRule="auto"/>
              <w:jc w:val="right"/>
              <w:rPr>
                <w:rFonts w:eastAsia="Times New Roman"/>
                <w:color w:val="000000"/>
                <w:sz w:val="20"/>
                <w:szCs w:val="20"/>
              </w:rPr>
            </w:pPr>
          </w:p>
        </w:tc>
        <w:tc>
          <w:tcPr>
            <w:tcW w:w="1275" w:type="dxa"/>
            <w:tcBorders>
              <w:top w:val="single" w:sz="4" w:space="0" w:color="auto"/>
              <w:left w:val="nil"/>
              <w:bottom w:val="nil"/>
              <w:right w:val="nil"/>
            </w:tcBorders>
            <w:shd w:val="clear" w:color="auto" w:fill="FFFFFF"/>
            <w:tcMar>
              <w:left w:w="67" w:type="dxa"/>
              <w:right w:w="67" w:type="dxa"/>
            </w:tcMar>
          </w:tcPr>
          <w:p w14:paraId="18C60A7F" w14:textId="77777777" w:rsidR="005C577F" w:rsidRPr="00157E18" w:rsidRDefault="005C577F" w:rsidP="00B94A34">
            <w:pPr>
              <w:spacing w:after="0" w:line="240" w:lineRule="auto"/>
              <w:jc w:val="right"/>
              <w:rPr>
                <w:rFonts w:eastAsia="Times New Roman"/>
                <w:color w:val="000000"/>
                <w:sz w:val="20"/>
                <w:szCs w:val="20"/>
              </w:rPr>
            </w:pPr>
          </w:p>
        </w:tc>
        <w:tc>
          <w:tcPr>
            <w:tcW w:w="993" w:type="dxa"/>
            <w:tcBorders>
              <w:top w:val="single" w:sz="4" w:space="0" w:color="auto"/>
              <w:left w:val="nil"/>
              <w:bottom w:val="nil"/>
              <w:right w:val="nil"/>
            </w:tcBorders>
            <w:shd w:val="clear" w:color="auto" w:fill="FFFFFF"/>
            <w:tcMar>
              <w:left w:w="67" w:type="dxa"/>
              <w:right w:w="67" w:type="dxa"/>
            </w:tcMar>
          </w:tcPr>
          <w:p w14:paraId="008D5ED1" w14:textId="77777777" w:rsidR="005C577F" w:rsidRPr="00157E18" w:rsidRDefault="005C577F" w:rsidP="00B94A34">
            <w:pPr>
              <w:spacing w:after="0" w:line="240" w:lineRule="auto"/>
              <w:jc w:val="right"/>
              <w:rPr>
                <w:rFonts w:eastAsia="Times New Roman"/>
                <w:color w:val="000000"/>
                <w:sz w:val="20"/>
                <w:szCs w:val="20"/>
              </w:rPr>
            </w:pPr>
          </w:p>
        </w:tc>
        <w:tc>
          <w:tcPr>
            <w:tcW w:w="567" w:type="dxa"/>
            <w:tcBorders>
              <w:top w:val="single" w:sz="4" w:space="0" w:color="auto"/>
              <w:left w:val="nil"/>
              <w:bottom w:val="nil"/>
            </w:tcBorders>
            <w:shd w:val="clear" w:color="auto" w:fill="FFFFFF"/>
            <w:tcMar>
              <w:left w:w="67" w:type="dxa"/>
              <w:right w:w="67" w:type="dxa"/>
            </w:tcMar>
          </w:tcPr>
          <w:p w14:paraId="4A7B1FA3" w14:textId="77777777" w:rsidR="005C577F" w:rsidRPr="00157E18" w:rsidRDefault="005C577F" w:rsidP="00B94A34">
            <w:pPr>
              <w:spacing w:after="0" w:line="240" w:lineRule="auto"/>
              <w:jc w:val="right"/>
              <w:rPr>
                <w:rFonts w:eastAsia="Times New Roman"/>
                <w:color w:val="000000"/>
                <w:sz w:val="20"/>
                <w:szCs w:val="20"/>
              </w:rPr>
            </w:pPr>
          </w:p>
        </w:tc>
      </w:tr>
      <w:tr w:rsidR="005C577F" w:rsidRPr="00157E18" w14:paraId="428410E4" w14:textId="77777777" w:rsidTr="005C577F">
        <w:trPr>
          <w:cantSplit/>
          <w:jc w:val="center"/>
        </w:trPr>
        <w:tc>
          <w:tcPr>
            <w:tcW w:w="3964" w:type="dxa"/>
            <w:tcBorders>
              <w:top w:val="nil"/>
              <w:right w:val="nil"/>
            </w:tcBorders>
            <w:shd w:val="clear" w:color="auto" w:fill="FFFFFF"/>
            <w:tcMar>
              <w:left w:w="67" w:type="dxa"/>
              <w:right w:w="67" w:type="dxa"/>
            </w:tcMar>
          </w:tcPr>
          <w:p w14:paraId="033EC661"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 xml:space="preserve">    Depression/Dysphoria</w:t>
            </w:r>
          </w:p>
        </w:tc>
        <w:tc>
          <w:tcPr>
            <w:tcW w:w="3969" w:type="dxa"/>
            <w:tcBorders>
              <w:top w:val="nil"/>
              <w:left w:val="nil"/>
              <w:bottom w:val="nil"/>
              <w:right w:val="nil"/>
            </w:tcBorders>
            <w:shd w:val="clear" w:color="auto" w:fill="FFFFFF"/>
          </w:tcPr>
          <w:p w14:paraId="1A4D2911"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Population-Average Logistic Model (GEE)</w:t>
            </w:r>
          </w:p>
        </w:tc>
        <w:tc>
          <w:tcPr>
            <w:tcW w:w="1418" w:type="dxa"/>
            <w:tcBorders>
              <w:top w:val="nil"/>
              <w:left w:val="nil"/>
              <w:bottom w:val="nil"/>
              <w:right w:val="nil"/>
            </w:tcBorders>
            <w:shd w:val="clear" w:color="auto" w:fill="FFFFFF"/>
            <w:tcMar>
              <w:left w:w="67" w:type="dxa"/>
              <w:right w:w="67" w:type="dxa"/>
            </w:tcMar>
          </w:tcPr>
          <w:p w14:paraId="1D2D4301"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0.757</w:t>
            </w:r>
          </w:p>
        </w:tc>
        <w:tc>
          <w:tcPr>
            <w:tcW w:w="1276" w:type="dxa"/>
            <w:tcBorders>
              <w:top w:val="nil"/>
              <w:left w:val="nil"/>
              <w:bottom w:val="nil"/>
              <w:right w:val="nil"/>
            </w:tcBorders>
            <w:shd w:val="clear" w:color="auto" w:fill="FFFFFF"/>
            <w:tcMar>
              <w:left w:w="67" w:type="dxa"/>
              <w:right w:w="67" w:type="dxa"/>
            </w:tcMar>
          </w:tcPr>
          <w:p w14:paraId="6C702EF7"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0.511</w:t>
            </w:r>
          </w:p>
        </w:tc>
        <w:tc>
          <w:tcPr>
            <w:tcW w:w="1275" w:type="dxa"/>
            <w:tcBorders>
              <w:top w:val="nil"/>
              <w:left w:val="nil"/>
              <w:bottom w:val="nil"/>
              <w:right w:val="nil"/>
            </w:tcBorders>
            <w:shd w:val="clear" w:color="auto" w:fill="FFFFFF"/>
            <w:tcMar>
              <w:left w:w="67" w:type="dxa"/>
              <w:right w:w="67" w:type="dxa"/>
            </w:tcMar>
          </w:tcPr>
          <w:p w14:paraId="26C69D03"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1.123</w:t>
            </w:r>
          </w:p>
        </w:tc>
        <w:tc>
          <w:tcPr>
            <w:tcW w:w="993" w:type="dxa"/>
            <w:tcBorders>
              <w:top w:val="nil"/>
              <w:left w:val="nil"/>
              <w:bottom w:val="nil"/>
              <w:right w:val="nil"/>
            </w:tcBorders>
            <w:shd w:val="clear" w:color="auto" w:fill="FFFFFF"/>
            <w:tcMar>
              <w:left w:w="67" w:type="dxa"/>
              <w:right w:w="67" w:type="dxa"/>
            </w:tcMar>
          </w:tcPr>
          <w:p w14:paraId="2C82497E"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0.167</w:t>
            </w:r>
          </w:p>
        </w:tc>
        <w:tc>
          <w:tcPr>
            <w:tcW w:w="567" w:type="dxa"/>
            <w:tcBorders>
              <w:top w:val="nil"/>
              <w:left w:val="nil"/>
              <w:bottom w:val="nil"/>
            </w:tcBorders>
            <w:shd w:val="clear" w:color="auto" w:fill="FFFFFF"/>
            <w:tcMar>
              <w:left w:w="67" w:type="dxa"/>
              <w:right w:w="67" w:type="dxa"/>
            </w:tcMar>
          </w:tcPr>
          <w:p w14:paraId="1D4A329A"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675</w:t>
            </w:r>
          </w:p>
        </w:tc>
      </w:tr>
      <w:tr w:rsidR="005C577F" w:rsidRPr="00157E18" w14:paraId="5122CE15" w14:textId="77777777" w:rsidTr="005C577F">
        <w:trPr>
          <w:cantSplit/>
          <w:jc w:val="center"/>
        </w:trPr>
        <w:tc>
          <w:tcPr>
            <w:tcW w:w="3964" w:type="dxa"/>
            <w:vMerge w:val="restart"/>
            <w:tcBorders>
              <w:top w:val="nil"/>
              <w:right w:val="nil"/>
            </w:tcBorders>
            <w:shd w:val="clear" w:color="auto" w:fill="FFFFFF"/>
            <w:tcMar>
              <w:left w:w="67" w:type="dxa"/>
              <w:right w:w="67" w:type="dxa"/>
            </w:tcMar>
          </w:tcPr>
          <w:p w14:paraId="5F88D796"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 xml:space="preserve">    Anxiety </w:t>
            </w:r>
          </w:p>
          <w:p w14:paraId="1FC390C0"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 xml:space="preserve">    Apathy/Indifference</w:t>
            </w:r>
          </w:p>
        </w:tc>
        <w:tc>
          <w:tcPr>
            <w:tcW w:w="3969" w:type="dxa"/>
            <w:tcBorders>
              <w:top w:val="nil"/>
              <w:left w:val="nil"/>
              <w:bottom w:val="nil"/>
              <w:right w:val="nil"/>
            </w:tcBorders>
            <w:shd w:val="clear" w:color="auto" w:fill="FFFFFF"/>
          </w:tcPr>
          <w:p w14:paraId="2C94E7DF"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Population-Average Logistic Model (GEE)</w:t>
            </w:r>
          </w:p>
        </w:tc>
        <w:tc>
          <w:tcPr>
            <w:tcW w:w="1418" w:type="dxa"/>
            <w:tcBorders>
              <w:top w:val="nil"/>
              <w:left w:val="nil"/>
              <w:bottom w:val="nil"/>
              <w:right w:val="nil"/>
            </w:tcBorders>
            <w:shd w:val="clear" w:color="auto" w:fill="FFFFFF"/>
            <w:tcMar>
              <w:left w:w="67" w:type="dxa"/>
              <w:right w:w="67" w:type="dxa"/>
            </w:tcMar>
          </w:tcPr>
          <w:p w14:paraId="679032D9"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1.133</w:t>
            </w:r>
          </w:p>
        </w:tc>
        <w:tc>
          <w:tcPr>
            <w:tcW w:w="1276" w:type="dxa"/>
            <w:tcBorders>
              <w:top w:val="nil"/>
              <w:left w:val="nil"/>
              <w:bottom w:val="nil"/>
              <w:right w:val="nil"/>
            </w:tcBorders>
            <w:shd w:val="clear" w:color="auto" w:fill="FFFFFF"/>
            <w:tcMar>
              <w:left w:w="67" w:type="dxa"/>
              <w:right w:w="67" w:type="dxa"/>
            </w:tcMar>
          </w:tcPr>
          <w:p w14:paraId="21FB8AB2"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0.670</w:t>
            </w:r>
          </w:p>
        </w:tc>
        <w:tc>
          <w:tcPr>
            <w:tcW w:w="1275" w:type="dxa"/>
            <w:tcBorders>
              <w:top w:val="nil"/>
              <w:left w:val="nil"/>
              <w:bottom w:val="nil"/>
              <w:right w:val="nil"/>
            </w:tcBorders>
            <w:shd w:val="clear" w:color="auto" w:fill="FFFFFF"/>
            <w:tcMar>
              <w:left w:w="67" w:type="dxa"/>
              <w:right w:w="67" w:type="dxa"/>
            </w:tcMar>
          </w:tcPr>
          <w:p w14:paraId="4A049CAA"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1.916</w:t>
            </w:r>
          </w:p>
        </w:tc>
        <w:tc>
          <w:tcPr>
            <w:tcW w:w="993" w:type="dxa"/>
            <w:tcBorders>
              <w:top w:val="nil"/>
              <w:left w:val="nil"/>
              <w:bottom w:val="nil"/>
              <w:right w:val="nil"/>
            </w:tcBorders>
            <w:shd w:val="clear" w:color="auto" w:fill="FFFFFF"/>
            <w:tcMar>
              <w:left w:w="67" w:type="dxa"/>
              <w:right w:w="67" w:type="dxa"/>
            </w:tcMar>
          </w:tcPr>
          <w:p w14:paraId="2DFB02F8"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0.642</w:t>
            </w:r>
          </w:p>
        </w:tc>
        <w:tc>
          <w:tcPr>
            <w:tcW w:w="567" w:type="dxa"/>
            <w:tcBorders>
              <w:top w:val="nil"/>
              <w:left w:val="nil"/>
              <w:bottom w:val="nil"/>
            </w:tcBorders>
            <w:shd w:val="clear" w:color="auto" w:fill="FFFFFF"/>
            <w:tcMar>
              <w:left w:w="67" w:type="dxa"/>
              <w:right w:w="67" w:type="dxa"/>
            </w:tcMar>
          </w:tcPr>
          <w:p w14:paraId="11ADBC70"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675</w:t>
            </w:r>
          </w:p>
        </w:tc>
      </w:tr>
      <w:tr w:rsidR="005C577F" w:rsidRPr="00157E18" w14:paraId="6D596AC1" w14:textId="77777777" w:rsidTr="005C577F">
        <w:trPr>
          <w:cantSplit/>
          <w:jc w:val="center"/>
        </w:trPr>
        <w:tc>
          <w:tcPr>
            <w:tcW w:w="3964" w:type="dxa"/>
            <w:vMerge/>
            <w:tcBorders>
              <w:bottom w:val="single" w:sz="4" w:space="0" w:color="auto"/>
              <w:right w:val="nil"/>
            </w:tcBorders>
            <w:shd w:val="clear" w:color="auto" w:fill="FFFFFF"/>
            <w:tcMar>
              <w:left w:w="67" w:type="dxa"/>
              <w:right w:w="67" w:type="dxa"/>
            </w:tcMar>
          </w:tcPr>
          <w:p w14:paraId="3F48DAB7" w14:textId="77777777" w:rsidR="005C577F" w:rsidRPr="00157E18" w:rsidRDefault="005C577F" w:rsidP="00B94A34">
            <w:pPr>
              <w:spacing w:after="0" w:line="240" w:lineRule="auto"/>
              <w:rPr>
                <w:rFonts w:eastAsia="Times New Roman"/>
                <w:color w:val="000000"/>
                <w:sz w:val="20"/>
                <w:szCs w:val="20"/>
              </w:rPr>
            </w:pPr>
          </w:p>
        </w:tc>
        <w:tc>
          <w:tcPr>
            <w:tcW w:w="3969" w:type="dxa"/>
            <w:tcBorders>
              <w:top w:val="nil"/>
              <w:left w:val="nil"/>
              <w:bottom w:val="single" w:sz="4" w:space="0" w:color="auto"/>
              <w:right w:val="nil"/>
            </w:tcBorders>
            <w:shd w:val="clear" w:color="auto" w:fill="FFFFFF"/>
          </w:tcPr>
          <w:p w14:paraId="68FB6536"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Population-Average Logistic Model (GEE)</w:t>
            </w:r>
          </w:p>
        </w:tc>
        <w:tc>
          <w:tcPr>
            <w:tcW w:w="1418" w:type="dxa"/>
            <w:tcBorders>
              <w:top w:val="nil"/>
              <w:left w:val="nil"/>
              <w:bottom w:val="single" w:sz="4" w:space="0" w:color="auto"/>
              <w:right w:val="nil"/>
            </w:tcBorders>
            <w:shd w:val="clear" w:color="auto" w:fill="FFFFFF"/>
            <w:tcMar>
              <w:left w:w="67" w:type="dxa"/>
              <w:right w:w="67" w:type="dxa"/>
            </w:tcMar>
          </w:tcPr>
          <w:p w14:paraId="0F66B471"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0.810</w:t>
            </w:r>
          </w:p>
        </w:tc>
        <w:tc>
          <w:tcPr>
            <w:tcW w:w="1276" w:type="dxa"/>
            <w:tcBorders>
              <w:top w:val="nil"/>
              <w:left w:val="nil"/>
              <w:bottom w:val="single" w:sz="4" w:space="0" w:color="auto"/>
              <w:right w:val="nil"/>
            </w:tcBorders>
            <w:shd w:val="clear" w:color="auto" w:fill="FFFFFF"/>
            <w:tcMar>
              <w:left w:w="67" w:type="dxa"/>
              <w:right w:w="67" w:type="dxa"/>
            </w:tcMar>
          </w:tcPr>
          <w:p w14:paraId="72251523"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0.525</w:t>
            </w:r>
          </w:p>
        </w:tc>
        <w:tc>
          <w:tcPr>
            <w:tcW w:w="1275" w:type="dxa"/>
            <w:tcBorders>
              <w:top w:val="nil"/>
              <w:left w:val="nil"/>
              <w:bottom w:val="single" w:sz="4" w:space="0" w:color="auto"/>
              <w:right w:val="nil"/>
            </w:tcBorders>
            <w:shd w:val="clear" w:color="auto" w:fill="FFFFFF"/>
            <w:tcMar>
              <w:left w:w="67" w:type="dxa"/>
              <w:right w:w="67" w:type="dxa"/>
            </w:tcMar>
          </w:tcPr>
          <w:p w14:paraId="13A8C180"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1.249</w:t>
            </w:r>
          </w:p>
        </w:tc>
        <w:tc>
          <w:tcPr>
            <w:tcW w:w="993" w:type="dxa"/>
            <w:tcBorders>
              <w:top w:val="nil"/>
              <w:left w:val="nil"/>
              <w:bottom w:val="single" w:sz="4" w:space="0" w:color="auto"/>
              <w:right w:val="nil"/>
            </w:tcBorders>
            <w:shd w:val="clear" w:color="auto" w:fill="FFFFFF"/>
            <w:tcMar>
              <w:left w:w="67" w:type="dxa"/>
              <w:right w:w="67" w:type="dxa"/>
            </w:tcMar>
          </w:tcPr>
          <w:p w14:paraId="4C1400A0"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0.340</w:t>
            </w:r>
          </w:p>
        </w:tc>
        <w:tc>
          <w:tcPr>
            <w:tcW w:w="567" w:type="dxa"/>
            <w:tcBorders>
              <w:top w:val="nil"/>
              <w:left w:val="nil"/>
              <w:bottom w:val="single" w:sz="4" w:space="0" w:color="auto"/>
            </w:tcBorders>
            <w:shd w:val="clear" w:color="auto" w:fill="FFFFFF"/>
            <w:tcMar>
              <w:left w:w="67" w:type="dxa"/>
              <w:right w:w="67" w:type="dxa"/>
            </w:tcMar>
          </w:tcPr>
          <w:p w14:paraId="3668CBA6"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675</w:t>
            </w:r>
          </w:p>
        </w:tc>
      </w:tr>
      <w:tr w:rsidR="005C577F" w:rsidRPr="00157E18" w14:paraId="6C740DE9" w14:textId="77777777" w:rsidTr="005C577F">
        <w:trPr>
          <w:cantSplit/>
          <w:jc w:val="center"/>
        </w:trPr>
        <w:tc>
          <w:tcPr>
            <w:tcW w:w="3964" w:type="dxa"/>
            <w:tcBorders>
              <w:top w:val="single" w:sz="4" w:space="0" w:color="auto"/>
              <w:right w:val="nil"/>
            </w:tcBorders>
            <w:shd w:val="clear" w:color="auto" w:fill="FFFFFF"/>
            <w:tcMar>
              <w:left w:w="67" w:type="dxa"/>
              <w:right w:w="67" w:type="dxa"/>
            </w:tcMar>
          </w:tcPr>
          <w:p w14:paraId="1A616AF2" w14:textId="77777777" w:rsidR="005C577F" w:rsidRPr="00157E18" w:rsidRDefault="005C577F" w:rsidP="00B94A34">
            <w:pPr>
              <w:spacing w:after="0" w:line="240" w:lineRule="auto"/>
              <w:rPr>
                <w:rFonts w:eastAsia="Times New Roman"/>
                <w:b/>
                <w:color w:val="000000"/>
                <w:sz w:val="20"/>
                <w:szCs w:val="20"/>
              </w:rPr>
            </w:pPr>
            <w:r w:rsidRPr="00157E18">
              <w:rPr>
                <w:rFonts w:eastAsia="Times New Roman"/>
                <w:b/>
                <w:color w:val="000000"/>
                <w:sz w:val="20"/>
                <w:szCs w:val="20"/>
              </w:rPr>
              <w:t>Quality of Life</w:t>
            </w:r>
          </w:p>
        </w:tc>
        <w:tc>
          <w:tcPr>
            <w:tcW w:w="3969" w:type="dxa"/>
            <w:tcBorders>
              <w:top w:val="single" w:sz="4" w:space="0" w:color="auto"/>
              <w:left w:val="nil"/>
              <w:bottom w:val="nil"/>
              <w:right w:val="nil"/>
            </w:tcBorders>
            <w:shd w:val="clear" w:color="auto" w:fill="FFFFFF"/>
          </w:tcPr>
          <w:p w14:paraId="26509112" w14:textId="77777777" w:rsidR="005C577F" w:rsidRPr="00157E18" w:rsidRDefault="005C577F" w:rsidP="00B94A34">
            <w:pPr>
              <w:spacing w:after="0" w:line="240" w:lineRule="auto"/>
              <w:rPr>
                <w:rFonts w:eastAsia="Times New Roman"/>
                <w:color w:val="000000"/>
                <w:sz w:val="20"/>
                <w:szCs w:val="20"/>
              </w:rPr>
            </w:pPr>
          </w:p>
        </w:tc>
        <w:tc>
          <w:tcPr>
            <w:tcW w:w="1418" w:type="dxa"/>
            <w:tcBorders>
              <w:top w:val="single" w:sz="4" w:space="0" w:color="auto"/>
              <w:left w:val="nil"/>
              <w:bottom w:val="nil"/>
              <w:right w:val="nil"/>
            </w:tcBorders>
            <w:shd w:val="clear" w:color="auto" w:fill="FFFFFF"/>
            <w:tcMar>
              <w:left w:w="67" w:type="dxa"/>
              <w:right w:w="67" w:type="dxa"/>
            </w:tcMar>
          </w:tcPr>
          <w:p w14:paraId="7BDA1A21" w14:textId="77777777" w:rsidR="005C577F" w:rsidRPr="00157E18" w:rsidRDefault="005C577F" w:rsidP="00B94A34">
            <w:pPr>
              <w:spacing w:after="0" w:line="240" w:lineRule="auto"/>
              <w:jc w:val="right"/>
              <w:rPr>
                <w:rFonts w:eastAsia="Times New Roman"/>
                <w:color w:val="000000"/>
                <w:sz w:val="20"/>
                <w:szCs w:val="20"/>
              </w:rPr>
            </w:pPr>
          </w:p>
        </w:tc>
        <w:tc>
          <w:tcPr>
            <w:tcW w:w="1276" w:type="dxa"/>
            <w:tcBorders>
              <w:top w:val="single" w:sz="4" w:space="0" w:color="auto"/>
              <w:left w:val="nil"/>
              <w:bottom w:val="nil"/>
              <w:right w:val="nil"/>
            </w:tcBorders>
            <w:shd w:val="clear" w:color="auto" w:fill="FFFFFF"/>
            <w:tcMar>
              <w:left w:w="67" w:type="dxa"/>
              <w:right w:w="67" w:type="dxa"/>
            </w:tcMar>
          </w:tcPr>
          <w:p w14:paraId="792965D6" w14:textId="77777777" w:rsidR="005C577F" w:rsidRPr="00157E18" w:rsidRDefault="005C577F" w:rsidP="00B94A34">
            <w:pPr>
              <w:spacing w:after="0" w:line="240" w:lineRule="auto"/>
              <w:jc w:val="right"/>
              <w:rPr>
                <w:rFonts w:eastAsia="Times New Roman"/>
                <w:color w:val="000000"/>
                <w:sz w:val="20"/>
                <w:szCs w:val="20"/>
              </w:rPr>
            </w:pPr>
          </w:p>
        </w:tc>
        <w:tc>
          <w:tcPr>
            <w:tcW w:w="1275" w:type="dxa"/>
            <w:tcBorders>
              <w:top w:val="single" w:sz="4" w:space="0" w:color="auto"/>
              <w:left w:val="nil"/>
              <w:bottom w:val="nil"/>
              <w:right w:val="nil"/>
            </w:tcBorders>
            <w:shd w:val="clear" w:color="auto" w:fill="FFFFFF"/>
            <w:tcMar>
              <w:left w:w="67" w:type="dxa"/>
              <w:right w:w="67" w:type="dxa"/>
            </w:tcMar>
          </w:tcPr>
          <w:p w14:paraId="4434BAB4" w14:textId="77777777" w:rsidR="005C577F" w:rsidRPr="00157E18" w:rsidRDefault="005C577F" w:rsidP="00B94A34">
            <w:pPr>
              <w:spacing w:after="0" w:line="240" w:lineRule="auto"/>
              <w:jc w:val="right"/>
              <w:rPr>
                <w:rFonts w:eastAsia="Times New Roman"/>
                <w:color w:val="000000"/>
                <w:sz w:val="20"/>
                <w:szCs w:val="20"/>
              </w:rPr>
            </w:pPr>
          </w:p>
        </w:tc>
        <w:tc>
          <w:tcPr>
            <w:tcW w:w="993" w:type="dxa"/>
            <w:tcBorders>
              <w:top w:val="single" w:sz="4" w:space="0" w:color="auto"/>
              <w:left w:val="nil"/>
              <w:bottom w:val="nil"/>
              <w:right w:val="nil"/>
            </w:tcBorders>
            <w:shd w:val="clear" w:color="auto" w:fill="FFFFFF"/>
            <w:tcMar>
              <w:left w:w="67" w:type="dxa"/>
              <w:right w:w="67" w:type="dxa"/>
            </w:tcMar>
          </w:tcPr>
          <w:p w14:paraId="35EB5DE3" w14:textId="77777777" w:rsidR="005C577F" w:rsidRPr="00157E18" w:rsidRDefault="005C577F" w:rsidP="00B94A34">
            <w:pPr>
              <w:spacing w:after="0" w:line="240" w:lineRule="auto"/>
              <w:jc w:val="right"/>
              <w:rPr>
                <w:rFonts w:eastAsia="Times New Roman"/>
                <w:color w:val="000000"/>
                <w:sz w:val="20"/>
                <w:szCs w:val="20"/>
              </w:rPr>
            </w:pPr>
          </w:p>
        </w:tc>
        <w:tc>
          <w:tcPr>
            <w:tcW w:w="567" w:type="dxa"/>
            <w:tcBorders>
              <w:top w:val="single" w:sz="4" w:space="0" w:color="auto"/>
              <w:left w:val="nil"/>
              <w:bottom w:val="nil"/>
            </w:tcBorders>
            <w:shd w:val="clear" w:color="auto" w:fill="FFFFFF"/>
            <w:tcMar>
              <w:left w:w="67" w:type="dxa"/>
              <w:right w:w="67" w:type="dxa"/>
            </w:tcMar>
          </w:tcPr>
          <w:p w14:paraId="217DA6C8" w14:textId="77777777" w:rsidR="005C577F" w:rsidRPr="00157E18" w:rsidRDefault="005C577F" w:rsidP="00B94A34">
            <w:pPr>
              <w:spacing w:after="0" w:line="240" w:lineRule="auto"/>
              <w:jc w:val="right"/>
              <w:rPr>
                <w:rFonts w:eastAsia="Times New Roman"/>
                <w:color w:val="000000"/>
                <w:sz w:val="20"/>
                <w:szCs w:val="20"/>
              </w:rPr>
            </w:pPr>
          </w:p>
        </w:tc>
      </w:tr>
      <w:tr w:rsidR="005C577F" w:rsidRPr="00157E18" w14:paraId="27D03EBF" w14:textId="77777777" w:rsidTr="005C577F">
        <w:trPr>
          <w:cantSplit/>
          <w:jc w:val="center"/>
        </w:trPr>
        <w:tc>
          <w:tcPr>
            <w:tcW w:w="3964" w:type="dxa"/>
            <w:tcBorders>
              <w:bottom w:val="single" w:sz="4" w:space="0" w:color="auto"/>
              <w:right w:val="nil"/>
            </w:tcBorders>
            <w:shd w:val="clear" w:color="auto" w:fill="FFFFFF"/>
            <w:tcMar>
              <w:left w:w="67" w:type="dxa"/>
              <w:right w:w="67" w:type="dxa"/>
            </w:tcMar>
          </w:tcPr>
          <w:p w14:paraId="3B4699E2"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 xml:space="preserve">    QUALID (staff-proxy)</w:t>
            </w:r>
          </w:p>
        </w:tc>
        <w:tc>
          <w:tcPr>
            <w:tcW w:w="3969" w:type="dxa"/>
            <w:tcBorders>
              <w:top w:val="nil"/>
              <w:left w:val="nil"/>
              <w:bottom w:val="single" w:sz="4" w:space="0" w:color="auto"/>
              <w:right w:val="nil"/>
            </w:tcBorders>
            <w:shd w:val="clear" w:color="auto" w:fill="FFFFFF"/>
          </w:tcPr>
          <w:p w14:paraId="1E8A3EDB"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Linear Model (REML)</w:t>
            </w:r>
          </w:p>
        </w:tc>
        <w:tc>
          <w:tcPr>
            <w:tcW w:w="1418" w:type="dxa"/>
            <w:tcBorders>
              <w:top w:val="nil"/>
              <w:left w:val="nil"/>
              <w:bottom w:val="single" w:sz="4" w:space="0" w:color="auto"/>
              <w:right w:val="nil"/>
            </w:tcBorders>
            <w:shd w:val="clear" w:color="auto" w:fill="FFFFFF"/>
            <w:tcMar>
              <w:left w:w="67" w:type="dxa"/>
              <w:right w:w="67" w:type="dxa"/>
            </w:tcMar>
          </w:tcPr>
          <w:p w14:paraId="389A2389" w14:textId="77777777" w:rsidR="005C577F" w:rsidRPr="00157E18" w:rsidRDefault="005C577F" w:rsidP="00B94A34">
            <w:pPr>
              <w:spacing w:after="0" w:line="240" w:lineRule="auto"/>
              <w:jc w:val="right"/>
              <w:rPr>
                <w:rFonts w:eastAsia="Times New Roman"/>
                <w:color w:val="000000"/>
                <w:sz w:val="20"/>
                <w:szCs w:val="20"/>
              </w:rPr>
            </w:pPr>
            <w:r w:rsidRPr="00157E18">
              <w:rPr>
                <w:rFonts w:eastAsia="Calibri"/>
                <w:color w:val="000000"/>
                <w:sz w:val="20"/>
                <w:szCs w:val="20"/>
                <w:lang w:eastAsia="en-US"/>
              </w:rPr>
              <w:t>-0.050</w:t>
            </w:r>
          </w:p>
        </w:tc>
        <w:tc>
          <w:tcPr>
            <w:tcW w:w="1276" w:type="dxa"/>
            <w:tcBorders>
              <w:top w:val="nil"/>
              <w:left w:val="nil"/>
              <w:bottom w:val="single" w:sz="4" w:space="0" w:color="auto"/>
              <w:right w:val="nil"/>
            </w:tcBorders>
            <w:shd w:val="clear" w:color="auto" w:fill="FFFFFF"/>
            <w:tcMar>
              <w:left w:w="67" w:type="dxa"/>
              <w:right w:w="67" w:type="dxa"/>
            </w:tcMar>
          </w:tcPr>
          <w:p w14:paraId="0C521FA8" w14:textId="77777777" w:rsidR="005C577F" w:rsidRPr="00157E18" w:rsidRDefault="005C577F" w:rsidP="00B94A34">
            <w:pPr>
              <w:spacing w:after="0" w:line="240" w:lineRule="auto"/>
              <w:jc w:val="right"/>
              <w:rPr>
                <w:rFonts w:eastAsia="Times New Roman"/>
                <w:color w:val="000000"/>
                <w:sz w:val="20"/>
                <w:szCs w:val="20"/>
              </w:rPr>
            </w:pPr>
            <w:r w:rsidRPr="00157E18">
              <w:rPr>
                <w:rFonts w:eastAsia="Calibri"/>
                <w:color w:val="000000"/>
                <w:sz w:val="20"/>
                <w:szCs w:val="20"/>
                <w:lang w:eastAsia="en-US"/>
              </w:rPr>
              <w:t>-1.120</w:t>
            </w:r>
          </w:p>
        </w:tc>
        <w:tc>
          <w:tcPr>
            <w:tcW w:w="1275" w:type="dxa"/>
            <w:tcBorders>
              <w:top w:val="nil"/>
              <w:left w:val="nil"/>
              <w:bottom w:val="single" w:sz="4" w:space="0" w:color="auto"/>
              <w:right w:val="nil"/>
            </w:tcBorders>
            <w:shd w:val="clear" w:color="auto" w:fill="FFFFFF"/>
            <w:tcMar>
              <w:left w:w="67" w:type="dxa"/>
              <w:right w:w="67" w:type="dxa"/>
            </w:tcMar>
          </w:tcPr>
          <w:p w14:paraId="45951E30" w14:textId="77777777" w:rsidR="005C577F" w:rsidRPr="00157E18" w:rsidRDefault="005C577F" w:rsidP="00B94A34">
            <w:pPr>
              <w:spacing w:after="0" w:line="240" w:lineRule="auto"/>
              <w:jc w:val="right"/>
              <w:rPr>
                <w:rFonts w:eastAsia="Times New Roman"/>
                <w:color w:val="000000"/>
                <w:sz w:val="20"/>
                <w:szCs w:val="20"/>
              </w:rPr>
            </w:pPr>
            <w:r w:rsidRPr="00157E18">
              <w:rPr>
                <w:rFonts w:eastAsia="Calibri"/>
                <w:color w:val="000000"/>
                <w:sz w:val="20"/>
                <w:szCs w:val="20"/>
                <w:lang w:eastAsia="en-US"/>
              </w:rPr>
              <w:t>1.020</w:t>
            </w:r>
          </w:p>
        </w:tc>
        <w:tc>
          <w:tcPr>
            <w:tcW w:w="993" w:type="dxa"/>
            <w:tcBorders>
              <w:top w:val="nil"/>
              <w:left w:val="nil"/>
              <w:bottom w:val="single" w:sz="4" w:space="0" w:color="auto"/>
              <w:right w:val="nil"/>
            </w:tcBorders>
            <w:shd w:val="clear" w:color="auto" w:fill="FFFFFF"/>
            <w:tcMar>
              <w:left w:w="67" w:type="dxa"/>
              <w:right w:w="67" w:type="dxa"/>
            </w:tcMar>
          </w:tcPr>
          <w:p w14:paraId="04B3ED16" w14:textId="77777777" w:rsidR="005C577F" w:rsidRPr="00157E18" w:rsidRDefault="005C577F" w:rsidP="00B94A34">
            <w:pPr>
              <w:spacing w:after="0" w:line="240" w:lineRule="auto"/>
              <w:jc w:val="right"/>
              <w:rPr>
                <w:rFonts w:eastAsia="Times New Roman"/>
                <w:color w:val="000000"/>
                <w:sz w:val="20"/>
                <w:szCs w:val="20"/>
              </w:rPr>
            </w:pPr>
            <w:r w:rsidRPr="00157E18">
              <w:rPr>
                <w:rFonts w:eastAsia="Calibri"/>
                <w:color w:val="000000"/>
                <w:sz w:val="20"/>
                <w:szCs w:val="20"/>
                <w:lang w:eastAsia="en-US"/>
              </w:rPr>
              <w:t>0.922</w:t>
            </w:r>
          </w:p>
        </w:tc>
        <w:tc>
          <w:tcPr>
            <w:tcW w:w="567" w:type="dxa"/>
            <w:tcBorders>
              <w:top w:val="nil"/>
              <w:left w:val="nil"/>
              <w:bottom w:val="single" w:sz="4" w:space="0" w:color="auto"/>
            </w:tcBorders>
            <w:shd w:val="clear" w:color="auto" w:fill="FFFFFF"/>
            <w:tcMar>
              <w:left w:w="67" w:type="dxa"/>
              <w:right w:w="67" w:type="dxa"/>
            </w:tcMar>
          </w:tcPr>
          <w:p w14:paraId="059B09B6" w14:textId="77777777" w:rsidR="005C577F" w:rsidRPr="00157E18" w:rsidRDefault="005C577F" w:rsidP="00B94A34">
            <w:pPr>
              <w:spacing w:after="0" w:line="240" w:lineRule="auto"/>
              <w:jc w:val="right"/>
              <w:rPr>
                <w:rFonts w:eastAsia="Times New Roman"/>
                <w:color w:val="000000"/>
                <w:sz w:val="20"/>
                <w:szCs w:val="20"/>
              </w:rPr>
            </w:pPr>
            <w:r w:rsidRPr="00157E18">
              <w:rPr>
                <w:rFonts w:eastAsia="Calibri"/>
                <w:color w:val="000000"/>
                <w:sz w:val="20"/>
                <w:szCs w:val="20"/>
                <w:lang w:eastAsia="en-US"/>
              </w:rPr>
              <w:t>675</w:t>
            </w:r>
          </w:p>
        </w:tc>
      </w:tr>
      <w:tr w:rsidR="005C577F" w:rsidRPr="00157E18" w14:paraId="22166918" w14:textId="77777777" w:rsidTr="005C577F">
        <w:trPr>
          <w:cantSplit/>
          <w:jc w:val="center"/>
        </w:trPr>
        <w:tc>
          <w:tcPr>
            <w:tcW w:w="7933" w:type="dxa"/>
            <w:gridSpan w:val="2"/>
            <w:tcBorders>
              <w:top w:val="single" w:sz="4" w:space="0" w:color="auto"/>
              <w:bottom w:val="single" w:sz="4" w:space="0" w:color="auto"/>
              <w:right w:val="nil"/>
            </w:tcBorders>
            <w:shd w:val="clear" w:color="auto" w:fill="FFFFFF"/>
            <w:tcMar>
              <w:left w:w="67" w:type="dxa"/>
              <w:right w:w="67" w:type="dxa"/>
            </w:tcMar>
          </w:tcPr>
          <w:p w14:paraId="7B03DEA1"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b/>
                <w:color w:val="000000"/>
                <w:sz w:val="20"/>
                <w:szCs w:val="20"/>
              </w:rPr>
              <w:t>CLOSED-COHORT – RESIDENT RELATED</w:t>
            </w:r>
          </w:p>
        </w:tc>
        <w:tc>
          <w:tcPr>
            <w:tcW w:w="1418" w:type="dxa"/>
            <w:tcBorders>
              <w:top w:val="single" w:sz="4" w:space="0" w:color="auto"/>
              <w:left w:val="nil"/>
              <w:bottom w:val="single" w:sz="4" w:space="0" w:color="auto"/>
              <w:right w:val="nil"/>
            </w:tcBorders>
            <w:shd w:val="clear" w:color="auto" w:fill="FFFFFF"/>
            <w:tcMar>
              <w:left w:w="67" w:type="dxa"/>
              <w:right w:w="67" w:type="dxa"/>
            </w:tcMar>
          </w:tcPr>
          <w:p w14:paraId="5E80BDFF" w14:textId="77777777" w:rsidR="005C577F" w:rsidRPr="00157E18" w:rsidRDefault="005C577F" w:rsidP="00B94A34">
            <w:pPr>
              <w:spacing w:after="0" w:line="240" w:lineRule="auto"/>
              <w:jc w:val="right"/>
              <w:rPr>
                <w:rFonts w:eastAsia="Times New Roman"/>
                <w:color w:val="000000"/>
                <w:sz w:val="20"/>
                <w:szCs w:val="20"/>
              </w:rPr>
            </w:pPr>
          </w:p>
        </w:tc>
        <w:tc>
          <w:tcPr>
            <w:tcW w:w="1276" w:type="dxa"/>
            <w:tcBorders>
              <w:top w:val="single" w:sz="4" w:space="0" w:color="auto"/>
              <w:left w:val="nil"/>
              <w:bottom w:val="single" w:sz="4" w:space="0" w:color="auto"/>
              <w:right w:val="nil"/>
            </w:tcBorders>
            <w:shd w:val="clear" w:color="auto" w:fill="FFFFFF"/>
            <w:tcMar>
              <w:left w:w="67" w:type="dxa"/>
              <w:right w:w="67" w:type="dxa"/>
            </w:tcMar>
          </w:tcPr>
          <w:p w14:paraId="0C05D50E" w14:textId="77777777" w:rsidR="005C577F" w:rsidRPr="00157E18" w:rsidRDefault="005C577F" w:rsidP="00B94A34">
            <w:pPr>
              <w:spacing w:after="0" w:line="240" w:lineRule="auto"/>
              <w:jc w:val="right"/>
              <w:rPr>
                <w:rFonts w:eastAsia="Times New Roman"/>
                <w:color w:val="000000"/>
                <w:sz w:val="20"/>
                <w:szCs w:val="20"/>
              </w:rPr>
            </w:pPr>
          </w:p>
        </w:tc>
        <w:tc>
          <w:tcPr>
            <w:tcW w:w="1275" w:type="dxa"/>
            <w:tcBorders>
              <w:top w:val="single" w:sz="4" w:space="0" w:color="auto"/>
              <w:left w:val="nil"/>
              <w:bottom w:val="single" w:sz="4" w:space="0" w:color="auto"/>
              <w:right w:val="nil"/>
            </w:tcBorders>
            <w:shd w:val="clear" w:color="auto" w:fill="FFFFFF"/>
            <w:tcMar>
              <w:left w:w="67" w:type="dxa"/>
              <w:right w:w="67" w:type="dxa"/>
            </w:tcMar>
          </w:tcPr>
          <w:p w14:paraId="56CB1F66" w14:textId="77777777" w:rsidR="005C577F" w:rsidRPr="00157E18" w:rsidRDefault="005C577F" w:rsidP="00B94A34">
            <w:pPr>
              <w:spacing w:after="0" w:line="240" w:lineRule="auto"/>
              <w:jc w:val="right"/>
              <w:rPr>
                <w:rFonts w:eastAsia="Times New Roman"/>
                <w:color w:val="000000"/>
                <w:sz w:val="20"/>
                <w:szCs w:val="20"/>
              </w:rPr>
            </w:pPr>
          </w:p>
        </w:tc>
        <w:tc>
          <w:tcPr>
            <w:tcW w:w="993" w:type="dxa"/>
            <w:tcBorders>
              <w:top w:val="single" w:sz="4" w:space="0" w:color="auto"/>
              <w:left w:val="nil"/>
              <w:bottom w:val="single" w:sz="4" w:space="0" w:color="auto"/>
              <w:right w:val="nil"/>
            </w:tcBorders>
            <w:shd w:val="clear" w:color="auto" w:fill="FFFFFF"/>
            <w:tcMar>
              <w:left w:w="67" w:type="dxa"/>
              <w:right w:w="67" w:type="dxa"/>
            </w:tcMar>
          </w:tcPr>
          <w:p w14:paraId="4980776D" w14:textId="77777777" w:rsidR="005C577F" w:rsidRPr="00157E18" w:rsidRDefault="005C577F" w:rsidP="00B94A34">
            <w:pPr>
              <w:spacing w:after="0" w:line="240" w:lineRule="auto"/>
              <w:jc w:val="right"/>
              <w:rPr>
                <w:rFonts w:eastAsia="Times New Roman"/>
                <w:color w:val="000000"/>
                <w:sz w:val="20"/>
                <w:szCs w:val="20"/>
              </w:rPr>
            </w:pPr>
          </w:p>
        </w:tc>
        <w:tc>
          <w:tcPr>
            <w:tcW w:w="567" w:type="dxa"/>
            <w:tcBorders>
              <w:top w:val="single" w:sz="4" w:space="0" w:color="auto"/>
              <w:left w:val="nil"/>
              <w:bottom w:val="single" w:sz="4" w:space="0" w:color="auto"/>
            </w:tcBorders>
            <w:shd w:val="clear" w:color="auto" w:fill="FFFFFF"/>
            <w:tcMar>
              <w:left w:w="67" w:type="dxa"/>
              <w:right w:w="67" w:type="dxa"/>
            </w:tcMar>
          </w:tcPr>
          <w:p w14:paraId="60727599" w14:textId="77777777" w:rsidR="005C577F" w:rsidRPr="00157E18" w:rsidRDefault="005C577F" w:rsidP="00B94A34">
            <w:pPr>
              <w:spacing w:after="0" w:line="240" w:lineRule="auto"/>
              <w:jc w:val="right"/>
              <w:rPr>
                <w:rFonts w:eastAsia="Times New Roman"/>
                <w:color w:val="000000"/>
                <w:sz w:val="20"/>
                <w:szCs w:val="20"/>
              </w:rPr>
            </w:pPr>
          </w:p>
        </w:tc>
      </w:tr>
      <w:tr w:rsidR="005C577F" w:rsidRPr="00157E18" w14:paraId="0035F315" w14:textId="77777777" w:rsidTr="005C577F">
        <w:trPr>
          <w:cantSplit/>
          <w:jc w:val="center"/>
        </w:trPr>
        <w:tc>
          <w:tcPr>
            <w:tcW w:w="3964" w:type="dxa"/>
            <w:tcBorders>
              <w:top w:val="single" w:sz="4" w:space="0" w:color="auto"/>
              <w:right w:val="nil"/>
            </w:tcBorders>
            <w:shd w:val="clear" w:color="auto" w:fill="FFFFFF"/>
            <w:tcMar>
              <w:left w:w="67" w:type="dxa"/>
              <w:right w:w="67" w:type="dxa"/>
            </w:tcMar>
          </w:tcPr>
          <w:p w14:paraId="50CA7085" w14:textId="77777777" w:rsidR="005C577F" w:rsidRPr="00157E18" w:rsidRDefault="005C577F" w:rsidP="00B94A34">
            <w:pPr>
              <w:spacing w:after="0" w:line="240" w:lineRule="auto"/>
              <w:rPr>
                <w:rFonts w:eastAsia="Times New Roman"/>
                <w:b/>
                <w:color w:val="000000"/>
                <w:sz w:val="20"/>
                <w:szCs w:val="20"/>
              </w:rPr>
            </w:pPr>
            <w:r w:rsidRPr="00157E18">
              <w:rPr>
                <w:rFonts w:eastAsia="Times New Roman"/>
                <w:b/>
                <w:color w:val="000000"/>
                <w:sz w:val="20"/>
                <w:szCs w:val="20"/>
              </w:rPr>
              <w:t xml:space="preserve">Behaviours staff find challenging </w:t>
            </w:r>
          </w:p>
          <w:p w14:paraId="014B7E01" w14:textId="77777777" w:rsidR="005C577F" w:rsidRPr="00157E18" w:rsidRDefault="005C577F" w:rsidP="00B94A34">
            <w:pPr>
              <w:spacing w:after="0" w:line="240" w:lineRule="auto"/>
              <w:rPr>
                <w:rFonts w:eastAsia="Times New Roman"/>
                <w:color w:val="000000"/>
                <w:sz w:val="20"/>
                <w:szCs w:val="20"/>
              </w:rPr>
            </w:pPr>
          </w:p>
        </w:tc>
        <w:tc>
          <w:tcPr>
            <w:tcW w:w="3969" w:type="dxa"/>
            <w:tcBorders>
              <w:top w:val="single" w:sz="4" w:space="0" w:color="auto"/>
              <w:left w:val="nil"/>
              <w:bottom w:val="nil"/>
              <w:right w:val="nil"/>
            </w:tcBorders>
            <w:shd w:val="clear" w:color="auto" w:fill="FFFFFF"/>
          </w:tcPr>
          <w:p w14:paraId="482D9E1E" w14:textId="77777777" w:rsidR="005C577F" w:rsidRPr="00157E18" w:rsidRDefault="005C577F" w:rsidP="00B94A34">
            <w:pPr>
              <w:spacing w:after="0" w:line="240" w:lineRule="auto"/>
              <w:rPr>
                <w:rFonts w:eastAsia="Times New Roman"/>
                <w:color w:val="000000"/>
                <w:sz w:val="20"/>
                <w:szCs w:val="20"/>
              </w:rPr>
            </w:pPr>
          </w:p>
          <w:p w14:paraId="1917AFC1"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Population-Average Logistic Model (GEE)</w:t>
            </w:r>
          </w:p>
        </w:tc>
        <w:tc>
          <w:tcPr>
            <w:tcW w:w="1418" w:type="dxa"/>
            <w:tcBorders>
              <w:top w:val="single" w:sz="4" w:space="0" w:color="auto"/>
              <w:left w:val="nil"/>
              <w:bottom w:val="nil"/>
              <w:right w:val="nil"/>
            </w:tcBorders>
            <w:shd w:val="clear" w:color="auto" w:fill="FFFFFF"/>
            <w:tcMar>
              <w:left w:w="67" w:type="dxa"/>
              <w:right w:w="67" w:type="dxa"/>
            </w:tcMar>
          </w:tcPr>
          <w:p w14:paraId="3CBE4FA9" w14:textId="77777777" w:rsidR="005C577F" w:rsidRPr="00157E18" w:rsidRDefault="005C577F" w:rsidP="00B94A34">
            <w:pPr>
              <w:spacing w:after="0" w:line="240" w:lineRule="auto"/>
              <w:jc w:val="right"/>
              <w:rPr>
                <w:rFonts w:eastAsia="Times New Roman"/>
                <w:color w:val="000000"/>
                <w:sz w:val="20"/>
                <w:szCs w:val="20"/>
              </w:rPr>
            </w:pPr>
          </w:p>
          <w:p w14:paraId="6C02EA59"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0.570</w:t>
            </w:r>
          </w:p>
        </w:tc>
        <w:tc>
          <w:tcPr>
            <w:tcW w:w="1276" w:type="dxa"/>
            <w:tcBorders>
              <w:top w:val="single" w:sz="4" w:space="0" w:color="auto"/>
              <w:left w:val="nil"/>
              <w:bottom w:val="nil"/>
              <w:right w:val="nil"/>
            </w:tcBorders>
            <w:shd w:val="clear" w:color="auto" w:fill="FFFFFF"/>
            <w:tcMar>
              <w:left w:w="67" w:type="dxa"/>
              <w:right w:w="67" w:type="dxa"/>
            </w:tcMar>
          </w:tcPr>
          <w:p w14:paraId="46E53E02" w14:textId="77777777" w:rsidR="005C577F" w:rsidRPr="00157E18" w:rsidRDefault="005C577F" w:rsidP="00B94A34">
            <w:pPr>
              <w:spacing w:after="0" w:line="240" w:lineRule="auto"/>
              <w:jc w:val="right"/>
              <w:rPr>
                <w:rFonts w:eastAsia="Times New Roman"/>
                <w:color w:val="000000"/>
                <w:sz w:val="20"/>
                <w:szCs w:val="20"/>
              </w:rPr>
            </w:pPr>
          </w:p>
          <w:p w14:paraId="6388BF4C"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0.343</w:t>
            </w:r>
          </w:p>
        </w:tc>
        <w:tc>
          <w:tcPr>
            <w:tcW w:w="1275" w:type="dxa"/>
            <w:tcBorders>
              <w:top w:val="single" w:sz="4" w:space="0" w:color="auto"/>
              <w:left w:val="nil"/>
              <w:bottom w:val="nil"/>
              <w:right w:val="nil"/>
            </w:tcBorders>
            <w:shd w:val="clear" w:color="auto" w:fill="FFFFFF"/>
            <w:tcMar>
              <w:left w:w="67" w:type="dxa"/>
              <w:right w:w="67" w:type="dxa"/>
            </w:tcMar>
          </w:tcPr>
          <w:p w14:paraId="101FA805" w14:textId="77777777" w:rsidR="005C577F" w:rsidRPr="00157E18" w:rsidRDefault="005C577F" w:rsidP="00B94A34">
            <w:pPr>
              <w:spacing w:after="0" w:line="240" w:lineRule="auto"/>
              <w:jc w:val="right"/>
              <w:rPr>
                <w:rFonts w:eastAsia="Times New Roman"/>
                <w:color w:val="000000"/>
                <w:sz w:val="20"/>
                <w:szCs w:val="20"/>
              </w:rPr>
            </w:pPr>
          </w:p>
          <w:p w14:paraId="297D8064"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0.948</w:t>
            </w:r>
          </w:p>
        </w:tc>
        <w:tc>
          <w:tcPr>
            <w:tcW w:w="993" w:type="dxa"/>
            <w:tcBorders>
              <w:top w:val="single" w:sz="4" w:space="0" w:color="auto"/>
              <w:left w:val="nil"/>
              <w:bottom w:val="nil"/>
              <w:right w:val="nil"/>
            </w:tcBorders>
            <w:shd w:val="clear" w:color="auto" w:fill="FFFFFF"/>
            <w:tcMar>
              <w:left w:w="67" w:type="dxa"/>
              <w:right w:w="67" w:type="dxa"/>
            </w:tcMar>
          </w:tcPr>
          <w:p w14:paraId="4EB33520" w14:textId="77777777" w:rsidR="005C577F" w:rsidRPr="00157E18" w:rsidRDefault="005C577F" w:rsidP="00B94A34">
            <w:pPr>
              <w:spacing w:after="0" w:line="240" w:lineRule="auto"/>
              <w:jc w:val="right"/>
              <w:rPr>
                <w:rFonts w:eastAsia="Times New Roman"/>
                <w:color w:val="000000"/>
                <w:sz w:val="20"/>
                <w:szCs w:val="20"/>
              </w:rPr>
            </w:pPr>
          </w:p>
          <w:p w14:paraId="4C09DA53"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0.031</w:t>
            </w:r>
          </w:p>
        </w:tc>
        <w:tc>
          <w:tcPr>
            <w:tcW w:w="567" w:type="dxa"/>
            <w:tcBorders>
              <w:top w:val="single" w:sz="4" w:space="0" w:color="auto"/>
              <w:left w:val="nil"/>
              <w:bottom w:val="nil"/>
            </w:tcBorders>
            <w:shd w:val="clear" w:color="auto" w:fill="FFFFFF"/>
            <w:tcMar>
              <w:left w:w="67" w:type="dxa"/>
              <w:right w:w="67" w:type="dxa"/>
            </w:tcMar>
          </w:tcPr>
          <w:p w14:paraId="310989DB" w14:textId="77777777" w:rsidR="005C577F" w:rsidRPr="00157E18" w:rsidRDefault="005C577F" w:rsidP="00B94A34">
            <w:pPr>
              <w:spacing w:after="0" w:line="240" w:lineRule="auto"/>
              <w:jc w:val="right"/>
              <w:rPr>
                <w:rFonts w:eastAsia="Times New Roman"/>
                <w:color w:val="000000"/>
                <w:sz w:val="20"/>
                <w:szCs w:val="20"/>
              </w:rPr>
            </w:pPr>
          </w:p>
          <w:p w14:paraId="55FA5905"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726</w:t>
            </w:r>
          </w:p>
        </w:tc>
      </w:tr>
      <w:tr w:rsidR="005C577F" w:rsidRPr="00157E18" w14:paraId="3A2009F3" w14:textId="77777777" w:rsidTr="005C577F">
        <w:trPr>
          <w:cantSplit/>
          <w:jc w:val="center"/>
        </w:trPr>
        <w:tc>
          <w:tcPr>
            <w:tcW w:w="3964" w:type="dxa"/>
            <w:tcBorders>
              <w:bottom w:val="single" w:sz="4" w:space="0" w:color="auto"/>
              <w:right w:val="nil"/>
            </w:tcBorders>
            <w:shd w:val="clear" w:color="auto" w:fill="FFFFFF"/>
            <w:tcMar>
              <w:left w:w="67" w:type="dxa"/>
              <w:right w:w="67" w:type="dxa"/>
            </w:tcMar>
          </w:tcPr>
          <w:p w14:paraId="30BB0D13" w14:textId="77777777" w:rsidR="005C577F" w:rsidRPr="00157E18" w:rsidRDefault="005C577F" w:rsidP="00B94A34">
            <w:pPr>
              <w:spacing w:after="0" w:line="240" w:lineRule="auto"/>
              <w:rPr>
                <w:rFonts w:eastAsia="Times New Roman"/>
                <w:color w:val="000000"/>
                <w:sz w:val="20"/>
                <w:szCs w:val="20"/>
              </w:rPr>
            </w:pPr>
          </w:p>
        </w:tc>
        <w:tc>
          <w:tcPr>
            <w:tcW w:w="3969" w:type="dxa"/>
            <w:tcBorders>
              <w:top w:val="nil"/>
              <w:left w:val="nil"/>
              <w:bottom w:val="single" w:sz="4" w:space="0" w:color="auto"/>
              <w:right w:val="nil"/>
            </w:tcBorders>
            <w:shd w:val="clear" w:color="auto" w:fill="FFFFFF"/>
          </w:tcPr>
          <w:p w14:paraId="12F15E55"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Cluster-Specific Logistic Model (REML)</w:t>
            </w:r>
          </w:p>
        </w:tc>
        <w:tc>
          <w:tcPr>
            <w:tcW w:w="1418" w:type="dxa"/>
            <w:tcBorders>
              <w:top w:val="nil"/>
              <w:left w:val="nil"/>
              <w:bottom w:val="single" w:sz="4" w:space="0" w:color="auto"/>
              <w:right w:val="nil"/>
            </w:tcBorders>
            <w:shd w:val="clear" w:color="auto" w:fill="FFFFFF"/>
            <w:tcMar>
              <w:left w:w="67" w:type="dxa"/>
              <w:right w:w="67" w:type="dxa"/>
            </w:tcMar>
          </w:tcPr>
          <w:p w14:paraId="50BCAF3B"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0.577</w:t>
            </w:r>
          </w:p>
        </w:tc>
        <w:tc>
          <w:tcPr>
            <w:tcW w:w="1276" w:type="dxa"/>
            <w:tcBorders>
              <w:top w:val="nil"/>
              <w:left w:val="nil"/>
              <w:bottom w:val="single" w:sz="4" w:space="0" w:color="auto"/>
              <w:right w:val="nil"/>
            </w:tcBorders>
            <w:shd w:val="clear" w:color="auto" w:fill="FFFFFF"/>
            <w:tcMar>
              <w:left w:w="67" w:type="dxa"/>
              <w:right w:w="67" w:type="dxa"/>
            </w:tcMar>
          </w:tcPr>
          <w:p w14:paraId="719B47CB"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0.334</w:t>
            </w:r>
          </w:p>
        </w:tc>
        <w:tc>
          <w:tcPr>
            <w:tcW w:w="1275" w:type="dxa"/>
            <w:tcBorders>
              <w:top w:val="nil"/>
              <w:left w:val="nil"/>
              <w:bottom w:val="single" w:sz="4" w:space="0" w:color="auto"/>
              <w:right w:val="nil"/>
            </w:tcBorders>
            <w:shd w:val="clear" w:color="auto" w:fill="FFFFFF"/>
            <w:tcMar>
              <w:left w:w="67" w:type="dxa"/>
              <w:right w:w="67" w:type="dxa"/>
            </w:tcMar>
          </w:tcPr>
          <w:p w14:paraId="6D1E1D05"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0.996</w:t>
            </w:r>
          </w:p>
        </w:tc>
        <w:tc>
          <w:tcPr>
            <w:tcW w:w="993" w:type="dxa"/>
            <w:tcBorders>
              <w:top w:val="nil"/>
              <w:left w:val="nil"/>
              <w:bottom w:val="single" w:sz="4" w:space="0" w:color="auto"/>
              <w:right w:val="nil"/>
            </w:tcBorders>
            <w:shd w:val="clear" w:color="auto" w:fill="FFFFFF"/>
            <w:tcMar>
              <w:left w:w="67" w:type="dxa"/>
              <w:right w:w="67" w:type="dxa"/>
            </w:tcMar>
          </w:tcPr>
          <w:p w14:paraId="374C46C6"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0.048</w:t>
            </w:r>
          </w:p>
        </w:tc>
        <w:tc>
          <w:tcPr>
            <w:tcW w:w="567" w:type="dxa"/>
            <w:tcBorders>
              <w:top w:val="nil"/>
              <w:left w:val="nil"/>
              <w:bottom w:val="single" w:sz="4" w:space="0" w:color="auto"/>
            </w:tcBorders>
            <w:shd w:val="clear" w:color="auto" w:fill="FFFFFF"/>
            <w:tcMar>
              <w:left w:w="67" w:type="dxa"/>
              <w:right w:w="67" w:type="dxa"/>
            </w:tcMar>
          </w:tcPr>
          <w:p w14:paraId="0443DA72"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726</w:t>
            </w:r>
          </w:p>
        </w:tc>
      </w:tr>
      <w:tr w:rsidR="005C577F" w:rsidRPr="0086664D" w14:paraId="7ED8E0FD" w14:textId="77777777" w:rsidTr="005C577F">
        <w:trPr>
          <w:cantSplit/>
          <w:jc w:val="center"/>
        </w:trPr>
        <w:tc>
          <w:tcPr>
            <w:tcW w:w="3964" w:type="dxa"/>
            <w:tcBorders>
              <w:top w:val="single" w:sz="4" w:space="0" w:color="auto"/>
              <w:bottom w:val="single" w:sz="4" w:space="0" w:color="auto"/>
              <w:right w:val="nil"/>
            </w:tcBorders>
            <w:shd w:val="clear" w:color="auto" w:fill="FFFFFF"/>
            <w:tcMar>
              <w:left w:w="67" w:type="dxa"/>
              <w:right w:w="67" w:type="dxa"/>
            </w:tcMar>
          </w:tcPr>
          <w:p w14:paraId="7A2A9481" w14:textId="77777777" w:rsidR="005C577F" w:rsidRPr="00571DFD" w:rsidRDefault="005C577F" w:rsidP="00B94A34">
            <w:pPr>
              <w:spacing w:after="0" w:line="240" w:lineRule="auto"/>
              <w:rPr>
                <w:rFonts w:eastAsia="Times New Roman"/>
                <w:color w:val="000000"/>
                <w:sz w:val="20"/>
                <w:szCs w:val="20"/>
              </w:rPr>
            </w:pPr>
            <w:r w:rsidRPr="00571DFD">
              <w:rPr>
                <w:rFonts w:eastAsia="Times New Roman"/>
                <w:b/>
                <w:color w:val="000000"/>
                <w:sz w:val="20"/>
                <w:szCs w:val="20"/>
              </w:rPr>
              <w:t>Antipsychotic medication</w:t>
            </w:r>
          </w:p>
        </w:tc>
        <w:tc>
          <w:tcPr>
            <w:tcW w:w="3969" w:type="dxa"/>
            <w:tcBorders>
              <w:top w:val="single" w:sz="4" w:space="0" w:color="auto"/>
              <w:left w:val="nil"/>
              <w:bottom w:val="single" w:sz="4" w:space="0" w:color="auto"/>
              <w:right w:val="nil"/>
            </w:tcBorders>
            <w:shd w:val="clear" w:color="auto" w:fill="FFFFFF"/>
          </w:tcPr>
          <w:p w14:paraId="4E9001EA" w14:textId="26A576A7" w:rsidR="005C577F" w:rsidRPr="00571DFD" w:rsidRDefault="005C577F" w:rsidP="00C718B2">
            <w:pPr>
              <w:spacing w:after="0" w:line="240" w:lineRule="auto"/>
              <w:rPr>
                <w:rFonts w:eastAsia="Times New Roman"/>
                <w:color w:val="000000"/>
                <w:sz w:val="20"/>
                <w:szCs w:val="20"/>
                <w:vertAlign w:val="superscript"/>
              </w:rPr>
            </w:pPr>
            <w:r w:rsidRPr="00571DFD">
              <w:rPr>
                <w:rFonts w:eastAsia="Times New Roman"/>
                <w:color w:val="000000"/>
                <w:sz w:val="20"/>
                <w:szCs w:val="20"/>
              </w:rPr>
              <w:t>Population-Average Logistic Model (GEE)</w:t>
            </w:r>
            <w:r w:rsidR="00C718B2" w:rsidRPr="00571DFD">
              <w:rPr>
                <w:rFonts w:eastAsia="Times New Roman"/>
                <w:color w:val="000000"/>
                <w:sz w:val="20"/>
                <w:szCs w:val="20"/>
                <w:vertAlign w:val="superscript"/>
              </w:rPr>
              <w:t>a</w:t>
            </w:r>
          </w:p>
        </w:tc>
        <w:tc>
          <w:tcPr>
            <w:tcW w:w="1418" w:type="dxa"/>
            <w:tcBorders>
              <w:top w:val="single" w:sz="4" w:space="0" w:color="auto"/>
              <w:left w:val="nil"/>
              <w:bottom w:val="single" w:sz="4" w:space="0" w:color="auto"/>
              <w:right w:val="nil"/>
            </w:tcBorders>
            <w:shd w:val="clear" w:color="auto" w:fill="FFFFFF"/>
            <w:tcMar>
              <w:left w:w="67" w:type="dxa"/>
              <w:right w:w="67" w:type="dxa"/>
            </w:tcMar>
          </w:tcPr>
          <w:p w14:paraId="05A63AF7" w14:textId="77777777" w:rsidR="005C577F" w:rsidRPr="00571DFD" w:rsidRDefault="005C577F" w:rsidP="00B94A34">
            <w:pPr>
              <w:spacing w:after="0" w:line="240" w:lineRule="auto"/>
              <w:jc w:val="right"/>
              <w:rPr>
                <w:rFonts w:eastAsia="Times New Roman"/>
                <w:color w:val="000000"/>
                <w:sz w:val="20"/>
                <w:szCs w:val="20"/>
              </w:rPr>
            </w:pPr>
            <w:r w:rsidRPr="00571DFD">
              <w:rPr>
                <w:rFonts w:eastAsia="Calibri"/>
                <w:color w:val="000000"/>
                <w:sz w:val="20"/>
                <w:szCs w:val="20"/>
                <w:lang w:eastAsia="en-US"/>
              </w:rPr>
              <w:t>0.783</w:t>
            </w:r>
          </w:p>
        </w:tc>
        <w:tc>
          <w:tcPr>
            <w:tcW w:w="1276" w:type="dxa"/>
            <w:tcBorders>
              <w:top w:val="single" w:sz="4" w:space="0" w:color="auto"/>
              <w:left w:val="nil"/>
              <w:bottom w:val="single" w:sz="4" w:space="0" w:color="auto"/>
              <w:right w:val="nil"/>
            </w:tcBorders>
            <w:shd w:val="clear" w:color="auto" w:fill="FFFFFF"/>
            <w:tcMar>
              <w:left w:w="67" w:type="dxa"/>
              <w:right w:w="67" w:type="dxa"/>
            </w:tcMar>
          </w:tcPr>
          <w:p w14:paraId="5530B7BF" w14:textId="77777777" w:rsidR="005C577F" w:rsidRPr="00571DFD" w:rsidRDefault="005C577F" w:rsidP="00B94A34">
            <w:pPr>
              <w:spacing w:after="0" w:line="240" w:lineRule="auto"/>
              <w:jc w:val="right"/>
              <w:rPr>
                <w:rFonts w:eastAsia="Times New Roman"/>
                <w:color w:val="000000"/>
                <w:sz w:val="20"/>
                <w:szCs w:val="20"/>
              </w:rPr>
            </w:pPr>
            <w:r w:rsidRPr="00571DFD">
              <w:rPr>
                <w:rFonts w:eastAsia="Calibri"/>
                <w:color w:val="000000"/>
                <w:sz w:val="20"/>
                <w:szCs w:val="20"/>
                <w:lang w:eastAsia="en-US"/>
              </w:rPr>
              <w:t>0.114</w:t>
            </w:r>
          </w:p>
        </w:tc>
        <w:tc>
          <w:tcPr>
            <w:tcW w:w="1275" w:type="dxa"/>
            <w:tcBorders>
              <w:top w:val="single" w:sz="4" w:space="0" w:color="auto"/>
              <w:left w:val="nil"/>
              <w:bottom w:val="single" w:sz="4" w:space="0" w:color="auto"/>
              <w:right w:val="nil"/>
            </w:tcBorders>
            <w:shd w:val="clear" w:color="auto" w:fill="FFFFFF"/>
            <w:tcMar>
              <w:left w:w="67" w:type="dxa"/>
              <w:right w:w="67" w:type="dxa"/>
            </w:tcMar>
          </w:tcPr>
          <w:p w14:paraId="4906060F" w14:textId="77777777" w:rsidR="005C577F" w:rsidRPr="00571DFD" w:rsidRDefault="005C577F" w:rsidP="00B94A34">
            <w:pPr>
              <w:spacing w:after="0" w:line="240" w:lineRule="auto"/>
              <w:jc w:val="right"/>
              <w:rPr>
                <w:rFonts w:eastAsia="Times New Roman"/>
                <w:color w:val="000000"/>
                <w:sz w:val="20"/>
                <w:szCs w:val="20"/>
              </w:rPr>
            </w:pPr>
            <w:r w:rsidRPr="00571DFD">
              <w:rPr>
                <w:rFonts w:eastAsia="Calibri"/>
                <w:color w:val="000000"/>
                <w:sz w:val="20"/>
                <w:szCs w:val="20"/>
                <w:lang w:eastAsia="en-US"/>
              </w:rPr>
              <w:t>5.368</w:t>
            </w:r>
          </w:p>
        </w:tc>
        <w:tc>
          <w:tcPr>
            <w:tcW w:w="993" w:type="dxa"/>
            <w:tcBorders>
              <w:top w:val="single" w:sz="4" w:space="0" w:color="auto"/>
              <w:left w:val="nil"/>
              <w:bottom w:val="single" w:sz="4" w:space="0" w:color="auto"/>
              <w:right w:val="nil"/>
            </w:tcBorders>
            <w:shd w:val="clear" w:color="auto" w:fill="FFFFFF"/>
            <w:tcMar>
              <w:left w:w="67" w:type="dxa"/>
              <w:right w:w="67" w:type="dxa"/>
            </w:tcMar>
          </w:tcPr>
          <w:p w14:paraId="072347F7" w14:textId="77777777" w:rsidR="005C577F" w:rsidRPr="00571DFD" w:rsidRDefault="005C577F" w:rsidP="00B94A34">
            <w:pPr>
              <w:spacing w:after="0" w:line="240" w:lineRule="auto"/>
              <w:jc w:val="right"/>
              <w:rPr>
                <w:rFonts w:eastAsia="Times New Roman"/>
                <w:color w:val="000000"/>
                <w:sz w:val="20"/>
                <w:szCs w:val="20"/>
              </w:rPr>
            </w:pPr>
            <w:r w:rsidRPr="00571DFD">
              <w:rPr>
                <w:rFonts w:eastAsia="Calibri"/>
                <w:color w:val="000000"/>
                <w:sz w:val="20"/>
                <w:szCs w:val="20"/>
                <w:lang w:eastAsia="en-US"/>
              </w:rPr>
              <w:t>0.802</w:t>
            </w:r>
          </w:p>
        </w:tc>
        <w:tc>
          <w:tcPr>
            <w:tcW w:w="567" w:type="dxa"/>
            <w:tcBorders>
              <w:top w:val="single" w:sz="4" w:space="0" w:color="auto"/>
              <w:left w:val="nil"/>
              <w:bottom w:val="single" w:sz="4" w:space="0" w:color="auto"/>
            </w:tcBorders>
            <w:shd w:val="clear" w:color="auto" w:fill="FFFFFF"/>
            <w:tcMar>
              <w:left w:w="67" w:type="dxa"/>
              <w:right w:w="67" w:type="dxa"/>
            </w:tcMar>
          </w:tcPr>
          <w:p w14:paraId="6F8C9263" w14:textId="77777777" w:rsidR="005C577F" w:rsidRPr="00571DFD" w:rsidRDefault="005C577F" w:rsidP="00B94A34">
            <w:pPr>
              <w:spacing w:after="0" w:line="240" w:lineRule="auto"/>
              <w:jc w:val="right"/>
              <w:rPr>
                <w:rFonts w:eastAsia="Times New Roman"/>
                <w:color w:val="000000"/>
                <w:sz w:val="20"/>
                <w:szCs w:val="20"/>
              </w:rPr>
            </w:pPr>
            <w:r w:rsidRPr="00571DFD">
              <w:rPr>
                <w:rFonts w:eastAsia="Calibri"/>
                <w:color w:val="000000"/>
                <w:sz w:val="20"/>
                <w:szCs w:val="20"/>
                <w:lang w:eastAsia="en-US"/>
              </w:rPr>
              <w:t>726</w:t>
            </w:r>
          </w:p>
        </w:tc>
      </w:tr>
      <w:tr w:rsidR="005C577F" w:rsidRPr="00157E18" w14:paraId="72B9013E" w14:textId="77777777" w:rsidTr="005C577F">
        <w:trPr>
          <w:cantSplit/>
          <w:jc w:val="center"/>
        </w:trPr>
        <w:tc>
          <w:tcPr>
            <w:tcW w:w="3964" w:type="dxa"/>
            <w:tcBorders>
              <w:top w:val="single" w:sz="4" w:space="0" w:color="auto"/>
              <w:right w:val="nil"/>
            </w:tcBorders>
            <w:shd w:val="clear" w:color="auto" w:fill="FFFFFF"/>
            <w:tcMar>
              <w:left w:w="67" w:type="dxa"/>
              <w:right w:w="67" w:type="dxa"/>
            </w:tcMar>
          </w:tcPr>
          <w:p w14:paraId="613C4205"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b/>
                <w:color w:val="000000"/>
                <w:sz w:val="20"/>
                <w:szCs w:val="20"/>
              </w:rPr>
              <w:t>Mood (NPI Domain)</w:t>
            </w:r>
          </w:p>
        </w:tc>
        <w:tc>
          <w:tcPr>
            <w:tcW w:w="3969" w:type="dxa"/>
            <w:tcBorders>
              <w:top w:val="single" w:sz="4" w:space="0" w:color="auto"/>
              <w:left w:val="nil"/>
              <w:bottom w:val="nil"/>
              <w:right w:val="nil"/>
            </w:tcBorders>
            <w:shd w:val="clear" w:color="auto" w:fill="FFFFFF"/>
          </w:tcPr>
          <w:p w14:paraId="5FBD9A3F" w14:textId="77777777" w:rsidR="005C577F" w:rsidRPr="00157E18" w:rsidRDefault="005C577F" w:rsidP="00B94A34">
            <w:pPr>
              <w:spacing w:after="0" w:line="240" w:lineRule="auto"/>
              <w:rPr>
                <w:rFonts w:eastAsia="Times New Roman"/>
                <w:color w:val="000000"/>
                <w:sz w:val="20"/>
                <w:szCs w:val="20"/>
              </w:rPr>
            </w:pPr>
          </w:p>
        </w:tc>
        <w:tc>
          <w:tcPr>
            <w:tcW w:w="1418" w:type="dxa"/>
            <w:tcBorders>
              <w:top w:val="single" w:sz="4" w:space="0" w:color="auto"/>
              <w:left w:val="nil"/>
              <w:bottom w:val="nil"/>
              <w:right w:val="nil"/>
            </w:tcBorders>
            <w:shd w:val="clear" w:color="auto" w:fill="FFFFFF"/>
            <w:tcMar>
              <w:left w:w="67" w:type="dxa"/>
              <w:right w:w="67" w:type="dxa"/>
            </w:tcMar>
          </w:tcPr>
          <w:p w14:paraId="07D35A53" w14:textId="77777777" w:rsidR="005C577F" w:rsidRPr="00157E18" w:rsidRDefault="005C577F" w:rsidP="00B94A34">
            <w:pPr>
              <w:spacing w:after="0" w:line="240" w:lineRule="auto"/>
              <w:jc w:val="right"/>
              <w:rPr>
                <w:rFonts w:eastAsia="Times New Roman"/>
                <w:color w:val="000000"/>
                <w:sz w:val="20"/>
                <w:szCs w:val="20"/>
              </w:rPr>
            </w:pPr>
          </w:p>
        </w:tc>
        <w:tc>
          <w:tcPr>
            <w:tcW w:w="1276" w:type="dxa"/>
            <w:tcBorders>
              <w:top w:val="single" w:sz="4" w:space="0" w:color="auto"/>
              <w:left w:val="nil"/>
              <w:bottom w:val="nil"/>
              <w:right w:val="nil"/>
            </w:tcBorders>
            <w:shd w:val="clear" w:color="auto" w:fill="FFFFFF"/>
            <w:tcMar>
              <w:left w:w="67" w:type="dxa"/>
              <w:right w:w="67" w:type="dxa"/>
            </w:tcMar>
          </w:tcPr>
          <w:p w14:paraId="523CEA28" w14:textId="77777777" w:rsidR="005C577F" w:rsidRPr="00157E18" w:rsidRDefault="005C577F" w:rsidP="00B94A34">
            <w:pPr>
              <w:spacing w:after="0" w:line="240" w:lineRule="auto"/>
              <w:jc w:val="right"/>
              <w:rPr>
                <w:rFonts w:eastAsia="Times New Roman"/>
                <w:color w:val="000000"/>
                <w:sz w:val="20"/>
                <w:szCs w:val="20"/>
              </w:rPr>
            </w:pPr>
          </w:p>
        </w:tc>
        <w:tc>
          <w:tcPr>
            <w:tcW w:w="1275" w:type="dxa"/>
            <w:tcBorders>
              <w:top w:val="single" w:sz="4" w:space="0" w:color="auto"/>
              <w:left w:val="nil"/>
              <w:bottom w:val="nil"/>
              <w:right w:val="nil"/>
            </w:tcBorders>
            <w:shd w:val="clear" w:color="auto" w:fill="FFFFFF"/>
            <w:tcMar>
              <w:left w:w="67" w:type="dxa"/>
              <w:right w:w="67" w:type="dxa"/>
            </w:tcMar>
          </w:tcPr>
          <w:p w14:paraId="05EFEFBB" w14:textId="77777777" w:rsidR="005C577F" w:rsidRPr="00157E18" w:rsidRDefault="005C577F" w:rsidP="00B94A34">
            <w:pPr>
              <w:spacing w:after="0" w:line="240" w:lineRule="auto"/>
              <w:jc w:val="right"/>
              <w:rPr>
                <w:rFonts w:eastAsia="Times New Roman"/>
                <w:color w:val="000000"/>
                <w:sz w:val="20"/>
                <w:szCs w:val="20"/>
              </w:rPr>
            </w:pPr>
          </w:p>
        </w:tc>
        <w:tc>
          <w:tcPr>
            <w:tcW w:w="993" w:type="dxa"/>
            <w:tcBorders>
              <w:top w:val="single" w:sz="4" w:space="0" w:color="auto"/>
              <w:left w:val="nil"/>
              <w:bottom w:val="nil"/>
              <w:right w:val="nil"/>
            </w:tcBorders>
            <w:shd w:val="clear" w:color="auto" w:fill="FFFFFF"/>
            <w:tcMar>
              <w:left w:w="67" w:type="dxa"/>
              <w:right w:w="67" w:type="dxa"/>
            </w:tcMar>
          </w:tcPr>
          <w:p w14:paraId="60CC7B53" w14:textId="77777777" w:rsidR="005C577F" w:rsidRPr="00157E18" w:rsidRDefault="005C577F" w:rsidP="00B94A34">
            <w:pPr>
              <w:spacing w:after="0" w:line="240" w:lineRule="auto"/>
              <w:jc w:val="right"/>
              <w:rPr>
                <w:rFonts w:eastAsia="Times New Roman"/>
                <w:color w:val="000000"/>
                <w:sz w:val="20"/>
                <w:szCs w:val="20"/>
              </w:rPr>
            </w:pPr>
          </w:p>
        </w:tc>
        <w:tc>
          <w:tcPr>
            <w:tcW w:w="567" w:type="dxa"/>
            <w:tcBorders>
              <w:top w:val="single" w:sz="4" w:space="0" w:color="auto"/>
              <w:left w:val="nil"/>
              <w:bottom w:val="nil"/>
            </w:tcBorders>
            <w:shd w:val="clear" w:color="auto" w:fill="FFFFFF"/>
            <w:tcMar>
              <w:left w:w="67" w:type="dxa"/>
              <w:right w:w="67" w:type="dxa"/>
            </w:tcMar>
          </w:tcPr>
          <w:p w14:paraId="1FA4074E" w14:textId="77777777" w:rsidR="005C577F" w:rsidRPr="00157E18" w:rsidRDefault="005C577F" w:rsidP="00B94A34">
            <w:pPr>
              <w:spacing w:after="0" w:line="240" w:lineRule="auto"/>
              <w:jc w:val="right"/>
              <w:rPr>
                <w:rFonts w:eastAsia="Times New Roman"/>
                <w:color w:val="000000"/>
                <w:sz w:val="20"/>
                <w:szCs w:val="20"/>
              </w:rPr>
            </w:pPr>
          </w:p>
        </w:tc>
      </w:tr>
      <w:tr w:rsidR="005C577F" w:rsidRPr="00157E18" w14:paraId="3D6D4781" w14:textId="77777777" w:rsidTr="005C577F">
        <w:trPr>
          <w:cantSplit/>
          <w:jc w:val="center"/>
        </w:trPr>
        <w:tc>
          <w:tcPr>
            <w:tcW w:w="3964" w:type="dxa"/>
            <w:tcBorders>
              <w:bottom w:val="nil"/>
              <w:right w:val="nil"/>
            </w:tcBorders>
            <w:shd w:val="clear" w:color="auto" w:fill="FFFFFF"/>
            <w:tcMar>
              <w:left w:w="67" w:type="dxa"/>
              <w:right w:w="67" w:type="dxa"/>
            </w:tcMar>
          </w:tcPr>
          <w:p w14:paraId="3E71936C"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 xml:space="preserve">    Depression/Dysphoria</w:t>
            </w:r>
          </w:p>
        </w:tc>
        <w:tc>
          <w:tcPr>
            <w:tcW w:w="3969" w:type="dxa"/>
            <w:tcBorders>
              <w:top w:val="nil"/>
              <w:left w:val="nil"/>
              <w:bottom w:val="nil"/>
              <w:right w:val="nil"/>
            </w:tcBorders>
            <w:shd w:val="clear" w:color="auto" w:fill="FFFFFF"/>
          </w:tcPr>
          <w:p w14:paraId="26315F4B"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Population-Average Logistic Model (GEE)</w:t>
            </w:r>
          </w:p>
        </w:tc>
        <w:tc>
          <w:tcPr>
            <w:tcW w:w="1418" w:type="dxa"/>
            <w:tcBorders>
              <w:top w:val="nil"/>
              <w:left w:val="nil"/>
              <w:bottom w:val="nil"/>
              <w:right w:val="nil"/>
            </w:tcBorders>
            <w:shd w:val="clear" w:color="auto" w:fill="FFFFFF"/>
            <w:tcMar>
              <w:left w:w="67" w:type="dxa"/>
              <w:right w:w="67" w:type="dxa"/>
            </w:tcMar>
          </w:tcPr>
          <w:p w14:paraId="4F21778B"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0.592</w:t>
            </w:r>
          </w:p>
        </w:tc>
        <w:tc>
          <w:tcPr>
            <w:tcW w:w="1276" w:type="dxa"/>
            <w:tcBorders>
              <w:top w:val="nil"/>
              <w:left w:val="nil"/>
              <w:bottom w:val="nil"/>
              <w:right w:val="nil"/>
            </w:tcBorders>
            <w:shd w:val="clear" w:color="auto" w:fill="FFFFFF"/>
            <w:tcMar>
              <w:left w:w="67" w:type="dxa"/>
              <w:right w:w="67" w:type="dxa"/>
            </w:tcMar>
          </w:tcPr>
          <w:p w14:paraId="51F3EB48"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0.369</w:t>
            </w:r>
          </w:p>
        </w:tc>
        <w:tc>
          <w:tcPr>
            <w:tcW w:w="1275" w:type="dxa"/>
            <w:tcBorders>
              <w:top w:val="nil"/>
              <w:left w:val="nil"/>
              <w:bottom w:val="nil"/>
              <w:right w:val="nil"/>
            </w:tcBorders>
            <w:shd w:val="clear" w:color="auto" w:fill="FFFFFF"/>
            <w:tcMar>
              <w:left w:w="67" w:type="dxa"/>
              <w:right w:w="67" w:type="dxa"/>
            </w:tcMar>
          </w:tcPr>
          <w:p w14:paraId="1596168E"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0.950</w:t>
            </w:r>
          </w:p>
        </w:tc>
        <w:tc>
          <w:tcPr>
            <w:tcW w:w="993" w:type="dxa"/>
            <w:tcBorders>
              <w:top w:val="nil"/>
              <w:left w:val="nil"/>
              <w:bottom w:val="nil"/>
              <w:right w:val="nil"/>
            </w:tcBorders>
            <w:shd w:val="clear" w:color="auto" w:fill="FFFFFF"/>
            <w:tcMar>
              <w:left w:w="67" w:type="dxa"/>
              <w:right w:w="67" w:type="dxa"/>
            </w:tcMar>
          </w:tcPr>
          <w:p w14:paraId="39EC008E"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0.030</w:t>
            </w:r>
          </w:p>
        </w:tc>
        <w:tc>
          <w:tcPr>
            <w:tcW w:w="567" w:type="dxa"/>
            <w:tcBorders>
              <w:top w:val="nil"/>
              <w:left w:val="nil"/>
              <w:bottom w:val="nil"/>
            </w:tcBorders>
            <w:shd w:val="clear" w:color="auto" w:fill="FFFFFF"/>
            <w:tcMar>
              <w:left w:w="67" w:type="dxa"/>
              <w:right w:w="67" w:type="dxa"/>
            </w:tcMar>
          </w:tcPr>
          <w:p w14:paraId="2DDE1F8E"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726</w:t>
            </w:r>
          </w:p>
        </w:tc>
      </w:tr>
      <w:tr w:rsidR="005C577F" w:rsidRPr="00157E18" w14:paraId="1306014C" w14:textId="77777777" w:rsidTr="005C577F">
        <w:trPr>
          <w:cantSplit/>
          <w:jc w:val="center"/>
        </w:trPr>
        <w:tc>
          <w:tcPr>
            <w:tcW w:w="3964" w:type="dxa"/>
            <w:tcBorders>
              <w:bottom w:val="single" w:sz="4" w:space="0" w:color="auto"/>
              <w:right w:val="nil"/>
            </w:tcBorders>
            <w:shd w:val="clear" w:color="auto" w:fill="FFFFFF"/>
            <w:tcMar>
              <w:left w:w="67" w:type="dxa"/>
              <w:right w:w="67" w:type="dxa"/>
            </w:tcMar>
          </w:tcPr>
          <w:p w14:paraId="245CED31"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 xml:space="preserve">    Anxiety </w:t>
            </w:r>
          </w:p>
          <w:p w14:paraId="1C0435AA"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 xml:space="preserve">    Apathy/Indifference</w:t>
            </w:r>
          </w:p>
        </w:tc>
        <w:tc>
          <w:tcPr>
            <w:tcW w:w="3969" w:type="dxa"/>
            <w:tcBorders>
              <w:top w:val="nil"/>
              <w:left w:val="nil"/>
              <w:bottom w:val="single" w:sz="4" w:space="0" w:color="auto"/>
              <w:right w:val="nil"/>
            </w:tcBorders>
            <w:shd w:val="clear" w:color="auto" w:fill="FFFFFF"/>
          </w:tcPr>
          <w:p w14:paraId="688B6B76"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Population-Average Logistic Model (GEE)</w:t>
            </w:r>
          </w:p>
          <w:p w14:paraId="47A66A41"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Population-Average Logistic Model (GEE)</w:t>
            </w:r>
          </w:p>
        </w:tc>
        <w:tc>
          <w:tcPr>
            <w:tcW w:w="1418" w:type="dxa"/>
            <w:tcBorders>
              <w:top w:val="nil"/>
              <w:left w:val="nil"/>
              <w:bottom w:val="single" w:sz="4" w:space="0" w:color="auto"/>
              <w:right w:val="nil"/>
            </w:tcBorders>
            <w:shd w:val="clear" w:color="auto" w:fill="FFFFFF"/>
            <w:tcMar>
              <w:left w:w="67" w:type="dxa"/>
              <w:right w:w="67" w:type="dxa"/>
            </w:tcMar>
          </w:tcPr>
          <w:p w14:paraId="56471807"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1.037</w:t>
            </w:r>
          </w:p>
          <w:p w14:paraId="0071AB46"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0.601</w:t>
            </w:r>
          </w:p>
        </w:tc>
        <w:tc>
          <w:tcPr>
            <w:tcW w:w="1276" w:type="dxa"/>
            <w:tcBorders>
              <w:top w:val="nil"/>
              <w:left w:val="nil"/>
              <w:bottom w:val="single" w:sz="4" w:space="0" w:color="auto"/>
              <w:right w:val="nil"/>
            </w:tcBorders>
            <w:shd w:val="clear" w:color="auto" w:fill="FFFFFF"/>
            <w:tcMar>
              <w:left w:w="67" w:type="dxa"/>
              <w:right w:w="67" w:type="dxa"/>
            </w:tcMar>
          </w:tcPr>
          <w:p w14:paraId="23C45108"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0.588</w:t>
            </w:r>
          </w:p>
          <w:p w14:paraId="3D656704"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0.380</w:t>
            </w:r>
          </w:p>
        </w:tc>
        <w:tc>
          <w:tcPr>
            <w:tcW w:w="1275" w:type="dxa"/>
            <w:tcBorders>
              <w:top w:val="nil"/>
              <w:left w:val="nil"/>
              <w:bottom w:val="single" w:sz="4" w:space="0" w:color="auto"/>
              <w:right w:val="nil"/>
            </w:tcBorders>
            <w:shd w:val="clear" w:color="auto" w:fill="FFFFFF"/>
            <w:tcMar>
              <w:left w:w="67" w:type="dxa"/>
              <w:right w:w="67" w:type="dxa"/>
            </w:tcMar>
          </w:tcPr>
          <w:p w14:paraId="762DD1E3"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1.830</w:t>
            </w:r>
          </w:p>
          <w:p w14:paraId="56D9FA48"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0.952</w:t>
            </w:r>
          </w:p>
        </w:tc>
        <w:tc>
          <w:tcPr>
            <w:tcW w:w="993" w:type="dxa"/>
            <w:tcBorders>
              <w:top w:val="nil"/>
              <w:left w:val="nil"/>
              <w:bottom w:val="single" w:sz="4" w:space="0" w:color="auto"/>
              <w:right w:val="nil"/>
            </w:tcBorders>
            <w:shd w:val="clear" w:color="auto" w:fill="FFFFFF"/>
            <w:tcMar>
              <w:left w:w="67" w:type="dxa"/>
              <w:right w:w="67" w:type="dxa"/>
            </w:tcMar>
          </w:tcPr>
          <w:p w14:paraId="03639013"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0.900</w:t>
            </w:r>
          </w:p>
          <w:p w14:paraId="1D9ADC4E"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0.030</w:t>
            </w:r>
          </w:p>
        </w:tc>
        <w:tc>
          <w:tcPr>
            <w:tcW w:w="567" w:type="dxa"/>
            <w:tcBorders>
              <w:top w:val="nil"/>
              <w:left w:val="nil"/>
              <w:bottom w:val="single" w:sz="4" w:space="0" w:color="auto"/>
            </w:tcBorders>
            <w:shd w:val="clear" w:color="auto" w:fill="FFFFFF"/>
            <w:tcMar>
              <w:left w:w="67" w:type="dxa"/>
              <w:right w:w="67" w:type="dxa"/>
            </w:tcMar>
          </w:tcPr>
          <w:p w14:paraId="5902670A"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726</w:t>
            </w:r>
          </w:p>
          <w:p w14:paraId="4C37C825" w14:textId="77777777" w:rsidR="005C577F" w:rsidRPr="00157E18" w:rsidRDefault="005C577F" w:rsidP="00B94A34">
            <w:pPr>
              <w:spacing w:after="0" w:line="240" w:lineRule="auto"/>
              <w:jc w:val="right"/>
              <w:rPr>
                <w:rFonts w:eastAsia="Times New Roman"/>
                <w:color w:val="000000"/>
                <w:sz w:val="20"/>
                <w:szCs w:val="20"/>
              </w:rPr>
            </w:pPr>
            <w:r w:rsidRPr="00157E18">
              <w:rPr>
                <w:rFonts w:eastAsia="Times New Roman"/>
                <w:color w:val="000000"/>
                <w:sz w:val="20"/>
                <w:szCs w:val="20"/>
              </w:rPr>
              <w:t>726</w:t>
            </w:r>
          </w:p>
        </w:tc>
      </w:tr>
      <w:tr w:rsidR="005C577F" w:rsidRPr="00157E18" w14:paraId="1E144764" w14:textId="77777777" w:rsidTr="005C577F">
        <w:trPr>
          <w:cantSplit/>
          <w:jc w:val="center"/>
        </w:trPr>
        <w:tc>
          <w:tcPr>
            <w:tcW w:w="3964" w:type="dxa"/>
            <w:tcBorders>
              <w:bottom w:val="nil"/>
              <w:right w:val="nil"/>
            </w:tcBorders>
            <w:shd w:val="clear" w:color="auto" w:fill="FFFFFF"/>
            <w:tcMar>
              <w:left w:w="67" w:type="dxa"/>
              <w:right w:w="67" w:type="dxa"/>
            </w:tcMar>
          </w:tcPr>
          <w:p w14:paraId="686C6985" w14:textId="77777777" w:rsidR="005C577F" w:rsidRPr="00157E18" w:rsidRDefault="005C577F" w:rsidP="00B94A34">
            <w:pPr>
              <w:spacing w:after="0" w:line="240" w:lineRule="auto"/>
              <w:rPr>
                <w:rFonts w:eastAsia="Times New Roman"/>
                <w:b/>
                <w:color w:val="000000"/>
                <w:sz w:val="20"/>
                <w:szCs w:val="20"/>
              </w:rPr>
            </w:pPr>
            <w:r w:rsidRPr="00157E18">
              <w:rPr>
                <w:rFonts w:eastAsia="Times New Roman"/>
                <w:b/>
                <w:color w:val="000000"/>
                <w:sz w:val="20"/>
                <w:szCs w:val="20"/>
              </w:rPr>
              <w:t>Quality of Life</w:t>
            </w:r>
          </w:p>
        </w:tc>
        <w:tc>
          <w:tcPr>
            <w:tcW w:w="3969" w:type="dxa"/>
            <w:tcBorders>
              <w:top w:val="nil"/>
              <w:left w:val="nil"/>
              <w:bottom w:val="nil"/>
              <w:right w:val="nil"/>
            </w:tcBorders>
            <w:shd w:val="clear" w:color="auto" w:fill="FFFFFF"/>
          </w:tcPr>
          <w:p w14:paraId="2218F3E7" w14:textId="77777777" w:rsidR="005C577F" w:rsidRPr="00157E18" w:rsidRDefault="005C577F" w:rsidP="00B94A34">
            <w:pPr>
              <w:spacing w:after="0" w:line="240" w:lineRule="auto"/>
              <w:rPr>
                <w:rFonts w:eastAsia="Times New Roman"/>
                <w:color w:val="000000"/>
                <w:sz w:val="20"/>
                <w:szCs w:val="20"/>
              </w:rPr>
            </w:pPr>
          </w:p>
        </w:tc>
        <w:tc>
          <w:tcPr>
            <w:tcW w:w="1418" w:type="dxa"/>
            <w:tcBorders>
              <w:top w:val="nil"/>
              <w:left w:val="nil"/>
              <w:bottom w:val="nil"/>
              <w:right w:val="nil"/>
            </w:tcBorders>
            <w:shd w:val="clear" w:color="auto" w:fill="FFFFFF"/>
            <w:tcMar>
              <w:left w:w="67" w:type="dxa"/>
              <w:right w:w="67" w:type="dxa"/>
            </w:tcMar>
          </w:tcPr>
          <w:p w14:paraId="32519D91" w14:textId="77777777" w:rsidR="005C577F" w:rsidRPr="00157E18" w:rsidRDefault="005C577F" w:rsidP="00B94A34">
            <w:pPr>
              <w:spacing w:after="0" w:line="240" w:lineRule="auto"/>
              <w:jc w:val="right"/>
              <w:rPr>
                <w:rFonts w:eastAsia="Times New Roman"/>
                <w:color w:val="000000"/>
                <w:sz w:val="20"/>
                <w:szCs w:val="20"/>
              </w:rPr>
            </w:pPr>
          </w:p>
        </w:tc>
        <w:tc>
          <w:tcPr>
            <w:tcW w:w="1276" w:type="dxa"/>
            <w:tcBorders>
              <w:top w:val="nil"/>
              <w:left w:val="nil"/>
              <w:bottom w:val="nil"/>
              <w:right w:val="nil"/>
            </w:tcBorders>
            <w:shd w:val="clear" w:color="auto" w:fill="FFFFFF"/>
            <w:tcMar>
              <w:left w:w="67" w:type="dxa"/>
              <w:right w:w="67" w:type="dxa"/>
            </w:tcMar>
          </w:tcPr>
          <w:p w14:paraId="00168372" w14:textId="77777777" w:rsidR="005C577F" w:rsidRPr="00157E18" w:rsidRDefault="005C577F" w:rsidP="00B94A34">
            <w:pPr>
              <w:spacing w:after="0" w:line="240" w:lineRule="auto"/>
              <w:jc w:val="right"/>
              <w:rPr>
                <w:rFonts w:eastAsia="Times New Roman"/>
                <w:color w:val="000000"/>
                <w:sz w:val="20"/>
                <w:szCs w:val="20"/>
              </w:rPr>
            </w:pPr>
          </w:p>
        </w:tc>
        <w:tc>
          <w:tcPr>
            <w:tcW w:w="1275" w:type="dxa"/>
            <w:tcBorders>
              <w:top w:val="nil"/>
              <w:left w:val="nil"/>
              <w:bottom w:val="nil"/>
              <w:right w:val="nil"/>
            </w:tcBorders>
            <w:shd w:val="clear" w:color="auto" w:fill="FFFFFF"/>
            <w:tcMar>
              <w:left w:w="67" w:type="dxa"/>
              <w:right w:w="67" w:type="dxa"/>
            </w:tcMar>
          </w:tcPr>
          <w:p w14:paraId="7ABD4FA1" w14:textId="77777777" w:rsidR="005C577F" w:rsidRPr="00157E18" w:rsidRDefault="005C577F" w:rsidP="00B94A34">
            <w:pPr>
              <w:spacing w:after="0" w:line="240" w:lineRule="auto"/>
              <w:jc w:val="right"/>
              <w:rPr>
                <w:rFonts w:eastAsia="Times New Roman"/>
                <w:color w:val="000000"/>
                <w:sz w:val="20"/>
                <w:szCs w:val="20"/>
              </w:rPr>
            </w:pPr>
          </w:p>
        </w:tc>
        <w:tc>
          <w:tcPr>
            <w:tcW w:w="993" w:type="dxa"/>
            <w:tcBorders>
              <w:top w:val="nil"/>
              <w:left w:val="nil"/>
              <w:bottom w:val="nil"/>
              <w:right w:val="nil"/>
            </w:tcBorders>
            <w:shd w:val="clear" w:color="auto" w:fill="FFFFFF"/>
            <w:tcMar>
              <w:left w:w="67" w:type="dxa"/>
              <w:right w:w="67" w:type="dxa"/>
            </w:tcMar>
          </w:tcPr>
          <w:p w14:paraId="4BA4BB91" w14:textId="77777777" w:rsidR="005C577F" w:rsidRPr="00157E18" w:rsidRDefault="005C577F" w:rsidP="00B94A34">
            <w:pPr>
              <w:spacing w:after="0" w:line="240" w:lineRule="auto"/>
              <w:jc w:val="right"/>
              <w:rPr>
                <w:rFonts w:eastAsia="Times New Roman"/>
                <w:color w:val="000000"/>
                <w:sz w:val="20"/>
                <w:szCs w:val="20"/>
              </w:rPr>
            </w:pPr>
          </w:p>
        </w:tc>
        <w:tc>
          <w:tcPr>
            <w:tcW w:w="567" w:type="dxa"/>
            <w:tcBorders>
              <w:top w:val="nil"/>
              <w:left w:val="nil"/>
              <w:bottom w:val="nil"/>
            </w:tcBorders>
            <w:shd w:val="clear" w:color="auto" w:fill="FFFFFF"/>
            <w:tcMar>
              <w:left w:w="67" w:type="dxa"/>
              <w:right w:w="67" w:type="dxa"/>
            </w:tcMar>
          </w:tcPr>
          <w:p w14:paraId="09BC7655" w14:textId="77777777" w:rsidR="005C577F" w:rsidRPr="00157E18" w:rsidRDefault="005C577F" w:rsidP="00B94A34">
            <w:pPr>
              <w:spacing w:after="0" w:line="240" w:lineRule="auto"/>
              <w:jc w:val="right"/>
              <w:rPr>
                <w:rFonts w:eastAsia="Times New Roman"/>
                <w:color w:val="000000"/>
                <w:sz w:val="20"/>
                <w:szCs w:val="20"/>
              </w:rPr>
            </w:pPr>
          </w:p>
        </w:tc>
      </w:tr>
      <w:tr w:rsidR="005C577F" w:rsidRPr="00157E18" w14:paraId="58AF62C0" w14:textId="77777777" w:rsidTr="005C577F">
        <w:trPr>
          <w:cantSplit/>
          <w:jc w:val="center"/>
        </w:trPr>
        <w:tc>
          <w:tcPr>
            <w:tcW w:w="3964" w:type="dxa"/>
            <w:tcBorders>
              <w:bottom w:val="single" w:sz="4" w:space="0" w:color="auto"/>
              <w:right w:val="nil"/>
            </w:tcBorders>
            <w:shd w:val="clear" w:color="auto" w:fill="FFFFFF"/>
            <w:tcMar>
              <w:left w:w="67" w:type="dxa"/>
              <w:right w:w="67" w:type="dxa"/>
            </w:tcMar>
          </w:tcPr>
          <w:p w14:paraId="0B0376C3"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 xml:space="preserve">    QUALID (staff-proxy)</w:t>
            </w:r>
          </w:p>
        </w:tc>
        <w:tc>
          <w:tcPr>
            <w:tcW w:w="3969" w:type="dxa"/>
            <w:tcBorders>
              <w:top w:val="nil"/>
              <w:left w:val="nil"/>
              <w:bottom w:val="single" w:sz="4" w:space="0" w:color="auto"/>
              <w:right w:val="nil"/>
            </w:tcBorders>
            <w:shd w:val="clear" w:color="auto" w:fill="FFFFFF"/>
          </w:tcPr>
          <w:p w14:paraId="1EEFC97E"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color w:val="000000"/>
                <w:sz w:val="20"/>
                <w:szCs w:val="20"/>
              </w:rPr>
              <w:t>Linear Model (REML)</w:t>
            </w:r>
          </w:p>
        </w:tc>
        <w:tc>
          <w:tcPr>
            <w:tcW w:w="1418" w:type="dxa"/>
            <w:tcBorders>
              <w:top w:val="nil"/>
              <w:left w:val="nil"/>
              <w:bottom w:val="single" w:sz="4" w:space="0" w:color="auto"/>
              <w:right w:val="nil"/>
            </w:tcBorders>
            <w:shd w:val="clear" w:color="auto" w:fill="FFFFFF"/>
            <w:tcMar>
              <w:left w:w="67" w:type="dxa"/>
              <w:right w:w="67" w:type="dxa"/>
            </w:tcMar>
          </w:tcPr>
          <w:p w14:paraId="7011B885" w14:textId="77777777" w:rsidR="005C577F" w:rsidRPr="00157E18" w:rsidRDefault="005C577F" w:rsidP="00B94A34">
            <w:pPr>
              <w:spacing w:after="0" w:line="240" w:lineRule="auto"/>
              <w:jc w:val="right"/>
              <w:rPr>
                <w:rFonts w:eastAsia="Times New Roman"/>
                <w:color w:val="000000"/>
                <w:sz w:val="20"/>
                <w:szCs w:val="20"/>
              </w:rPr>
            </w:pPr>
            <w:r w:rsidRPr="00157E18">
              <w:rPr>
                <w:rFonts w:eastAsia="Calibri"/>
                <w:color w:val="000000"/>
                <w:sz w:val="20"/>
                <w:szCs w:val="20"/>
                <w:lang w:eastAsia="en-US"/>
              </w:rPr>
              <w:t>-0.070</w:t>
            </w:r>
          </w:p>
        </w:tc>
        <w:tc>
          <w:tcPr>
            <w:tcW w:w="1276" w:type="dxa"/>
            <w:tcBorders>
              <w:top w:val="nil"/>
              <w:left w:val="nil"/>
              <w:bottom w:val="single" w:sz="4" w:space="0" w:color="auto"/>
              <w:right w:val="nil"/>
            </w:tcBorders>
            <w:shd w:val="clear" w:color="auto" w:fill="FFFFFF"/>
            <w:tcMar>
              <w:left w:w="67" w:type="dxa"/>
              <w:right w:w="67" w:type="dxa"/>
            </w:tcMar>
          </w:tcPr>
          <w:p w14:paraId="72E0A6AC" w14:textId="77777777" w:rsidR="005C577F" w:rsidRPr="00157E18" w:rsidRDefault="005C577F" w:rsidP="00B94A34">
            <w:pPr>
              <w:spacing w:after="0" w:line="240" w:lineRule="auto"/>
              <w:jc w:val="right"/>
              <w:rPr>
                <w:rFonts w:eastAsia="Times New Roman"/>
                <w:color w:val="000000"/>
                <w:sz w:val="20"/>
                <w:szCs w:val="20"/>
              </w:rPr>
            </w:pPr>
            <w:r w:rsidRPr="00157E18">
              <w:rPr>
                <w:rFonts w:eastAsia="Calibri"/>
                <w:color w:val="000000"/>
                <w:sz w:val="20"/>
                <w:szCs w:val="20"/>
                <w:lang w:eastAsia="en-US"/>
              </w:rPr>
              <w:t>-1.260</w:t>
            </w:r>
          </w:p>
        </w:tc>
        <w:tc>
          <w:tcPr>
            <w:tcW w:w="1275" w:type="dxa"/>
            <w:tcBorders>
              <w:top w:val="nil"/>
              <w:left w:val="nil"/>
              <w:bottom w:val="single" w:sz="4" w:space="0" w:color="auto"/>
              <w:right w:val="nil"/>
            </w:tcBorders>
            <w:shd w:val="clear" w:color="auto" w:fill="FFFFFF"/>
            <w:tcMar>
              <w:left w:w="67" w:type="dxa"/>
              <w:right w:w="67" w:type="dxa"/>
            </w:tcMar>
          </w:tcPr>
          <w:p w14:paraId="2F67051A" w14:textId="77777777" w:rsidR="005C577F" w:rsidRPr="00157E18" w:rsidRDefault="005C577F" w:rsidP="00B94A34">
            <w:pPr>
              <w:spacing w:after="0" w:line="240" w:lineRule="auto"/>
              <w:jc w:val="right"/>
              <w:rPr>
                <w:rFonts w:eastAsia="Times New Roman"/>
                <w:color w:val="000000"/>
                <w:sz w:val="20"/>
                <w:szCs w:val="20"/>
              </w:rPr>
            </w:pPr>
            <w:r w:rsidRPr="00157E18">
              <w:rPr>
                <w:rFonts w:eastAsia="Calibri"/>
                <w:color w:val="000000"/>
                <w:sz w:val="20"/>
                <w:szCs w:val="20"/>
                <w:lang w:eastAsia="en-US"/>
              </w:rPr>
              <w:t>1.110</w:t>
            </w:r>
          </w:p>
        </w:tc>
        <w:tc>
          <w:tcPr>
            <w:tcW w:w="993" w:type="dxa"/>
            <w:tcBorders>
              <w:top w:val="nil"/>
              <w:left w:val="nil"/>
              <w:bottom w:val="single" w:sz="4" w:space="0" w:color="auto"/>
              <w:right w:val="nil"/>
            </w:tcBorders>
            <w:shd w:val="clear" w:color="auto" w:fill="FFFFFF"/>
            <w:tcMar>
              <w:left w:w="67" w:type="dxa"/>
              <w:right w:w="67" w:type="dxa"/>
            </w:tcMar>
          </w:tcPr>
          <w:p w14:paraId="1E3B9096" w14:textId="77777777" w:rsidR="005C577F" w:rsidRPr="00157E18" w:rsidRDefault="005C577F" w:rsidP="00B94A34">
            <w:pPr>
              <w:spacing w:after="0" w:line="240" w:lineRule="auto"/>
              <w:jc w:val="right"/>
              <w:rPr>
                <w:rFonts w:eastAsia="Times New Roman"/>
                <w:color w:val="000000"/>
                <w:sz w:val="20"/>
                <w:szCs w:val="20"/>
              </w:rPr>
            </w:pPr>
            <w:r w:rsidRPr="00157E18">
              <w:rPr>
                <w:rFonts w:eastAsia="Calibri"/>
                <w:color w:val="000000"/>
                <w:sz w:val="20"/>
                <w:szCs w:val="20"/>
                <w:lang w:eastAsia="en-US"/>
              </w:rPr>
              <w:t>0.902</w:t>
            </w:r>
          </w:p>
        </w:tc>
        <w:tc>
          <w:tcPr>
            <w:tcW w:w="567" w:type="dxa"/>
            <w:tcBorders>
              <w:top w:val="nil"/>
              <w:left w:val="nil"/>
              <w:bottom w:val="single" w:sz="4" w:space="0" w:color="auto"/>
            </w:tcBorders>
            <w:shd w:val="clear" w:color="auto" w:fill="FFFFFF"/>
            <w:tcMar>
              <w:left w:w="67" w:type="dxa"/>
              <w:right w:w="67" w:type="dxa"/>
            </w:tcMar>
          </w:tcPr>
          <w:p w14:paraId="6E2691AC" w14:textId="77777777" w:rsidR="005C577F" w:rsidRPr="00157E18" w:rsidRDefault="005C577F" w:rsidP="00B94A34">
            <w:pPr>
              <w:spacing w:after="0" w:line="240" w:lineRule="auto"/>
              <w:jc w:val="right"/>
              <w:rPr>
                <w:rFonts w:eastAsia="Times New Roman"/>
                <w:color w:val="000000"/>
                <w:sz w:val="20"/>
                <w:szCs w:val="20"/>
              </w:rPr>
            </w:pPr>
            <w:r w:rsidRPr="00157E18">
              <w:rPr>
                <w:rFonts w:eastAsia="Calibri"/>
                <w:color w:val="000000"/>
                <w:sz w:val="20"/>
                <w:szCs w:val="20"/>
                <w:lang w:eastAsia="en-US"/>
              </w:rPr>
              <w:t>726</w:t>
            </w:r>
          </w:p>
        </w:tc>
      </w:tr>
      <w:tr w:rsidR="005C577F" w:rsidRPr="00157E18" w14:paraId="04461261" w14:textId="77777777" w:rsidTr="005C577F">
        <w:trPr>
          <w:cantSplit/>
          <w:jc w:val="center"/>
        </w:trPr>
        <w:tc>
          <w:tcPr>
            <w:tcW w:w="7933" w:type="dxa"/>
            <w:gridSpan w:val="2"/>
            <w:tcBorders>
              <w:top w:val="single" w:sz="4" w:space="0" w:color="auto"/>
              <w:bottom w:val="single" w:sz="4" w:space="0" w:color="auto"/>
              <w:right w:val="nil"/>
            </w:tcBorders>
            <w:shd w:val="clear" w:color="auto" w:fill="FFFFFF"/>
            <w:tcMar>
              <w:left w:w="67" w:type="dxa"/>
              <w:right w:w="67" w:type="dxa"/>
            </w:tcMar>
          </w:tcPr>
          <w:p w14:paraId="5B6C55E9" w14:textId="77777777" w:rsidR="005C577F" w:rsidRPr="00157E18" w:rsidRDefault="005C577F" w:rsidP="00B94A34">
            <w:pPr>
              <w:spacing w:after="0" w:line="240" w:lineRule="auto"/>
              <w:rPr>
                <w:rFonts w:eastAsia="Times New Roman"/>
                <w:color w:val="000000"/>
                <w:sz w:val="20"/>
                <w:szCs w:val="20"/>
              </w:rPr>
            </w:pPr>
            <w:r w:rsidRPr="00157E18">
              <w:rPr>
                <w:rFonts w:eastAsia="Times New Roman"/>
                <w:b/>
                <w:color w:val="000000"/>
                <w:sz w:val="20"/>
                <w:szCs w:val="20"/>
              </w:rPr>
              <w:t xml:space="preserve">CLOSED-COHORT – CARE HOME RELATED </w:t>
            </w:r>
          </w:p>
        </w:tc>
        <w:tc>
          <w:tcPr>
            <w:tcW w:w="1418" w:type="dxa"/>
            <w:tcBorders>
              <w:top w:val="single" w:sz="4" w:space="0" w:color="auto"/>
              <w:left w:val="nil"/>
              <w:bottom w:val="single" w:sz="4" w:space="0" w:color="auto"/>
              <w:right w:val="nil"/>
            </w:tcBorders>
            <w:shd w:val="clear" w:color="auto" w:fill="FFFFFF"/>
            <w:tcMar>
              <w:left w:w="67" w:type="dxa"/>
              <w:right w:w="67" w:type="dxa"/>
            </w:tcMar>
          </w:tcPr>
          <w:p w14:paraId="6628B6A4" w14:textId="77777777" w:rsidR="005C577F" w:rsidRPr="00157E18" w:rsidRDefault="005C577F" w:rsidP="00B94A34">
            <w:pPr>
              <w:spacing w:after="0" w:line="240" w:lineRule="auto"/>
              <w:jc w:val="right"/>
              <w:rPr>
                <w:rFonts w:eastAsia="Calibri"/>
                <w:color w:val="000000"/>
                <w:sz w:val="20"/>
                <w:szCs w:val="20"/>
                <w:lang w:eastAsia="en-US"/>
              </w:rPr>
            </w:pPr>
          </w:p>
        </w:tc>
        <w:tc>
          <w:tcPr>
            <w:tcW w:w="1276" w:type="dxa"/>
            <w:tcBorders>
              <w:top w:val="single" w:sz="4" w:space="0" w:color="auto"/>
              <w:left w:val="nil"/>
              <w:bottom w:val="single" w:sz="4" w:space="0" w:color="auto"/>
              <w:right w:val="nil"/>
            </w:tcBorders>
            <w:shd w:val="clear" w:color="auto" w:fill="FFFFFF"/>
            <w:tcMar>
              <w:left w:w="67" w:type="dxa"/>
              <w:right w:w="67" w:type="dxa"/>
            </w:tcMar>
          </w:tcPr>
          <w:p w14:paraId="42F39A1A" w14:textId="77777777" w:rsidR="005C577F" w:rsidRPr="00157E18" w:rsidRDefault="005C577F" w:rsidP="00B94A34">
            <w:pPr>
              <w:spacing w:after="0" w:line="240" w:lineRule="auto"/>
              <w:jc w:val="right"/>
              <w:rPr>
                <w:rFonts w:eastAsia="Calibri"/>
                <w:color w:val="000000"/>
                <w:sz w:val="20"/>
                <w:szCs w:val="20"/>
                <w:lang w:eastAsia="en-US"/>
              </w:rPr>
            </w:pPr>
          </w:p>
        </w:tc>
        <w:tc>
          <w:tcPr>
            <w:tcW w:w="1275" w:type="dxa"/>
            <w:tcBorders>
              <w:top w:val="single" w:sz="4" w:space="0" w:color="auto"/>
              <w:left w:val="nil"/>
              <w:bottom w:val="single" w:sz="4" w:space="0" w:color="auto"/>
              <w:right w:val="nil"/>
            </w:tcBorders>
            <w:shd w:val="clear" w:color="auto" w:fill="FFFFFF"/>
            <w:tcMar>
              <w:left w:w="67" w:type="dxa"/>
              <w:right w:w="67" w:type="dxa"/>
            </w:tcMar>
          </w:tcPr>
          <w:p w14:paraId="166BC033" w14:textId="77777777" w:rsidR="005C577F" w:rsidRPr="00157E18" w:rsidRDefault="005C577F" w:rsidP="00B94A34">
            <w:pPr>
              <w:spacing w:after="0" w:line="240" w:lineRule="auto"/>
              <w:jc w:val="right"/>
              <w:rPr>
                <w:rFonts w:eastAsia="Calibri"/>
                <w:color w:val="000000"/>
                <w:sz w:val="20"/>
                <w:szCs w:val="20"/>
                <w:lang w:eastAsia="en-US"/>
              </w:rPr>
            </w:pPr>
          </w:p>
        </w:tc>
        <w:tc>
          <w:tcPr>
            <w:tcW w:w="993" w:type="dxa"/>
            <w:tcBorders>
              <w:top w:val="single" w:sz="4" w:space="0" w:color="auto"/>
              <w:left w:val="nil"/>
              <w:bottom w:val="single" w:sz="4" w:space="0" w:color="auto"/>
              <w:right w:val="nil"/>
            </w:tcBorders>
            <w:shd w:val="clear" w:color="auto" w:fill="FFFFFF"/>
            <w:tcMar>
              <w:left w:w="67" w:type="dxa"/>
              <w:right w:w="67" w:type="dxa"/>
            </w:tcMar>
          </w:tcPr>
          <w:p w14:paraId="3EB91575" w14:textId="77777777" w:rsidR="005C577F" w:rsidRPr="00157E18" w:rsidRDefault="005C577F" w:rsidP="00B94A34">
            <w:pPr>
              <w:spacing w:after="0" w:line="240" w:lineRule="auto"/>
              <w:jc w:val="right"/>
              <w:rPr>
                <w:rFonts w:eastAsia="Calibri"/>
                <w:color w:val="000000"/>
                <w:sz w:val="20"/>
                <w:szCs w:val="20"/>
                <w:lang w:eastAsia="en-US"/>
              </w:rPr>
            </w:pPr>
          </w:p>
        </w:tc>
        <w:tc>
          <w:tcPr>
            <w:tcW w:w="567" w:type="dxa"/>
            <w:tcBorders>
              <w:top w:val="single" w:sz="4" w:space="0" w:color="auto"/>
              <w:left w:val="nil"/>
              <w:bottom w:val="single" w:sz="4" w:space="0" w:color="auto"/>
            </w:tcBorders>
            <w:shd w:val="clear" w:color="auto" w:fill="FFFFFF"/>
            <w:tcMar>
              <w:left w:w="67" w:type="dxa"/>
              <w:right w:w="67" w:type="dxa"/>
            </w:tcMar>
          </w:tcPr>
          <w:p w14:paraId="5D78F46E" w14:textId="77777777" w:rsidR="005C577F" w:rsidRPr="00157E18" w:rsidRDefault="005C577F" w:rsidP="00B94A34">
            <w:pPr>
              <w:spacing w:after="0" w:line="240" w:lineRule="auto"/>
              <w:jc w:val="right"/>
              <w:rPr>
                <w:rFonts w:eastAsia="Calibri"/>
                <w:color w:val="000000"/>
                <w:sz w:val="20"/>
                <w:szCs w:val="20"/>
                <w:lang w:eastAsia="en-US"/>
              </w:rPr>
            </w:pPr>
          </w:p>
        </w:tc>
      </w:tr>
      <w:tr w:rsidR="000D2B92" w:rsidRPr="00157E18" w14:paraId="7CC801B4" w14:textId="77777777" w:rsidTr="005C577F">
        <w:trPr>
          <w:cantSplit/>
          <w:jc w:val="center"/>
        </w:trPr>
        <w:tc>
          <w:tcPr>
            <w:tcW w:w="3964" w:type="dxa"/>
            <w:vMerge w:val="restart"/>
            <w:tcBorders>
              <w:top w:val="single" w:sz="4" w:space="0" w:color="auto"/>
              <w:right w:val="nil"/>
            </w:tcBorders>
            <w:shd w:val="clear" w:color="auto" w:fill="FFFFFF"/>
            <w:tcMar>
              <w:left w:w="67" w:type="dxa"/>
              <w:right w:w="67" w:type="dxa"/>
            </w:tcMar>
          </w:tcPr>
          <w:p w14:paraId="43C3F177" w14:textId="652B9CF7" w:rsidR="000D2B92" w:rsidRPr="00157E18" w:rsidRDefault="000D2B92" w:rsidP="00B94A34">
            <w:pPr>
              <w:spacing w:after="0" w:line="240" w:lineRule="auto"/>
              <w:rPr>
                <w:rFonts w:eastAsia="Times New Roman"/>
                <w:color w:val="000000"/>
                <w:sz w:val="20"/>
                <w:szCs w:val="20"/>
              </w:rPr>
            </w:pPr>
            <w:r w:rsidRPr="00157E18">
              <w:rPr>
                <w:rFonts w:eastAsia="Times New Roman"/>
                <w:b/>
                <w:color w:val="000000"/>
                <w:sz w:val="20"/>
                <w:szCs w:val="20"/>
              </w:rPr>
              <w:t>Quality of Staff Interactions</w:t>
            </w:r>
            <w:r w:rsidRPr="00157E18">
              <w:rPr>
                <w:rFonts w:eastAsia="Times New Roman"/>
                <w:color w:val="000000"/>
                <w:sz w:val="20"/>
                <w:szCs w:val="20"/>
              </w:rPr>
              <w:t xml:space="preserve"> </w:t>
            </w:r>
          </w:p>
          <w:p w14:paraId="055CB3F9" w14:textId="4F13389F" w:rsidR="000D2B92" w:rsidRPr="00157E18" w:rsidRDefault="000D2B92" w:rsidP="00B94A34">
            <w:pPr>
              <w:spacing w:after="0" w:line="240" w:lineRule="auto"/>
              <w:rPr>
                <w:rFonts w:eastAsia="Times New Roman"/>
                <w:color w:val="000000"/>
                <w:sz w:val="20"/>
                <w:szCs w:val="20"/>
              </w:rPr>
            </w:pPr>
            <w:r w:rsidRPr="00157E18">
              <w:rPr>
                <w:rFonts w:eastAsia="Times New Roman"/>
                <w:color w:val="000000"/>
                <w:sz w:val="20"/>
                <w:szCs w:val="20"/>
              </w:rPr>
              <w:t>(QUIS): Proportion of positive interactions</w:t>
            </w:r>
          </w:p>
        </w:tc>
        <w:tc>
          <w:tcPr>
            <w:tcW w:w="3969" w:type="dxa"/>
            <w:tcBorders>
              <w:top w:val="single" w:sz="4" w:space="0" w:color="auto"/>
              <w:left w:val="nil"/>
              <w:right w:val="nil"/>
            </w:tcBorders>
            <w:shd w:val="clear" w:color="auto" w:fill="FFFFFF"/>
          </w:tcPr>
          <w:p w14:paraId="5071071C" w14:textId="71E74694" w:rsidR="000D2B92" w:rsidRPr="00157E18" w:rsidRDefault="000D2B92" w:rsidP="00B94A34">
            <w:pPr>
              <w:spacing w:after="0" w:line="240" w:lineRule="auto"/>
              <w:rPr>
                <w:rFonts w:eastAsia="Times New Roman"/>
                <w:color w:val="000000"/>
                <w:sz w:val="20"/>
                <w:szCs w:val="20"/>
              </w:rPr>
            </w:pPr>
          </w:p>
        </w:tc>
        <w:tc>
          <w:tcPr>
            <w:tcW w:w="1418" w:type="dxa"/>
            <w:tcBorders>
              <w:top w:val="single" w:sz="4" w:space="0" w:color="auto"/>
              <w:left w:val="nil"/>
              <w:right w:val="nil"/>
            </w:tcBorders>
            <w:shd w:val="clear" w:color="auto" w:fill="FFFFFF"/>
            <w:tcMar>
              <w:left w:w="67" w:type="dxa"/>
              <w:right w:w="67" w:type="dxa"/>
            </w:tcMar>
          </w:tcPr>
          <w:p w14:paraId="1B2AAB18" w14:textId="5DD1CEC5" w:rsidR="000D2B92" w:rsidRPr="00157E18" w:rsidRDefault="000D2B92" w:rsidP="00B94A34">
            <w:pPr>
              <w:spacing w:after="0" w:line="240" w:lineRule="auto"/>
              <w:jc w:val="right"/>
              <w:rPr>
                <w:rFonts w:eastAsia="Calibri"/>
                <w:color w:val="000000"/>
                <w:sz w:val="20"/>
                <w:szCs w:val="20"/>
                <w:highlight w:val="yellow"/>
                <w:lang w:eastAsia="en-US"/>
              </w:rPr>
            </w:pPr>
          </w:p>
        </w:tc>
        <w:tc>
          <w:tcPr>
            <w:tcW w:w="1276" w:type="dxa"/>
            <w:tcBorders>
              <w:top w:val="single" w:sz="4" w:space="0" w:color="auto"/>
              <w:left w:val="nil"/>
              <w:right w:val="nil"/>
            </w:tcBorders>
            <w:shd w:val="clear" w:color="auto" w:fill="FFFFFF"/>
            <w:tcMar>
              <w:left w:w="67" w:type="dxa"/>
              <w:right w:w="67" w:type="dxa"/>
            </w:tcMar>
          </w:tcPr>
          <w:p w14:paraId="4EF27D1A" w14:textId="3B379166" w:rsidR="000D2B92" w:rsidRPr="00157E18" w:rsidRDefault="000D2B92" w:rsidP="00B94A34">
            <w:pPr>
              <w:spacing w:after="0" w:line="240" w:lineRule="auto"/>
              <w:jc w:val="right"/>
              <w:rPr>
                <w:rFonts w:eastAsia="Calibri"/>
                <w:color w:val="000000"/>
                <w:sz w:val="20"/>
                <w:szCs w:val="20"/>
                <w:highlight w:val="yellow"/>
                <w:lang w:eastAsia="en-US"/>
              </w:rPr>
            </w:pPr>
          </w:p>
        </w:tc>
        <w:tc>
          <w:tcPr>
            <w:tcW w:w="1275" w:type="dxa"/>
            <w:tcBorders>
              <w:top w:val="single" w:sz="4" w:space="0" w:color="auto"/>
              <w:left w:val="nil"/>
              <w:right w:val="nil"/>
            </w:tcBorders>
            <w:shd w:val="clear" w:color="auto" w:fill="FFFFFF"/>
            <w:tcMar>
              <w:left w:w="67" w:type="dxa"/>
              <w:right w:w="67" w:type="dxa"/>
            </w:tcMar>
          </w:tcPr>
          <w:p w14:paraId="47B62FED" w14:textId="446D969B" w:rsidR="000D2B92" w:rsidRPr="00157E18" w:rsidRDefault="000D2B92" w:rsidP="00B94A34">
            <w:pPr>
              <w:spacing w:after="0" w:line="240" w:lineRule="auto"/>
              <w:jc w:val="right"/>
              <w:rPr>
                <w:rFonts w:eastAsia="Calibri"/>
                <w:color w:val="000000"/>
                <w:sz w:val="20"/>
                <w:szCs w:val="20"/>
                <w:highlight w:val="yellow"/>
                <w:lang w:eastAsia="en-US"/>
              </w:rPr>
            </w:pPr>
          </w:p>
        </w:tc>
        <w:tc>
          <w:tcPr>
            <w:tcW w:w="993" w:type="dxa"/>
            <w:tcBorders>
              <w:top w:val="single" w:sz="4" w:space="0" w:color="auto"/>
              <w:left w:val="nil"/>
              <w:right w:val="nil"/>
            </w:tcBorders>
            <w:shd w:val="clear" w:color="auto" w:fill="FFFFFF"/>
            <w:tcMar>
              <w:left w:w="67" w:type="dxa"/>
              <w:right w:w="67" w:type="dxa"/>
            </w:tcMar>
          </w:tcPr>
          <w:p w14:paraId="33597D00" w14:textId="2A0607FF" w:rsidR="000D2B92" w:rsidRPr="00157E18" w:rsidRDefault="000D2B92" w:rsidP="00B94A34">
            <w:pPr>
              <w:spacing w:after="0" w:line="240" w:lineRule="auto"/>
              <w:jc w:val="right"/>
              <w:rPr>
                <w:rFonts w:eastAsia="Calibri"/>
                <w:color w:val="000000"/>
                <w:sz w:val="20"/>
                <w:szCs w:val="20"/>
                <w:highlight w:val="yellow"/>
                <w:lang w:eastAsia="en-US"/>
              </w:rPr>
            </w:pPr>
          </w:p>
        </w:tc>
        <w:tc>
          <w:tcPr>
            <w:tcW w:w="567" w:type="dxa"/>
            <w:tcBorders>
              <w:top w:val="single" w:sz="4" w:space="0" w:color="auto"/>
              <w:left w:val="nil"/>
            </w:tcBorders>
            <w:shd w:val="clear" w:color="auto" w:fill="FFFFFF"/>
            <w:tcMar>
              <w:left w:w="67" w:type="dxa"/>
              <w:right w:w="67" w:type="dxa"/>
            </w:tcMar>
          </w:tcPr>
          <w:p w14:paraId="0B1D440B" w14:textId="05AF1D5C" w:rsidR="000D2B92" w:rsidRPr="00157E18" w:rsidRDefault="000D2B92" w:rsidP="00B94A34">
            <w:pPr>
              <w:spacing w:after="0" w:line="240" w:lineRule="auto"/>
              <w:jc w:val="right"/>
              <w:rPr>
                <w:rFonts w:eastAsia="Calibri"/>
                <w:color w:val="000000"/>
                <w:sz w:val="20"/>
                <w:szCs w:val="20"/>
                <w:highlight w:val="yellow"/>
                <w:lang w:eastAsia="en-US"/>
              </w:rPr>
            </w:pPr>
          </w:p>
        </w:tc>
      </w:tr>
      <w:tr w:rsidR="00C9094E" w:rsidRPr="00157E18" w14:paraId="1366276C" w14:textId="77777777" w:rsidTr="005C577F">
        <w:trPr>
          <w:cantSplit/>
          <w:jc w:val="center"/>
        </w:trPr>
        <w:tc>
          <w:tcPr>
            <w:tcW w:w="3964" w:type="dxa"/>
            <w:vMerge/>
            <w:tcBorders>
              <w:bottom w:val="single" w:sz="4" w:space="0" w:color="auto"/>
              <w:right w:val="nil"/>
            </w:tcBorders>
            <w:shd w:val="clear" w:color="auto" w:fill="FFFFFF"/>
            <w:tcMar>
              <w:left w:w="67" w:type="dxa"/>
              <w:right w:w="67" w:type="dxa"/>
            </w:tcMar>
          </w:tcPr>
          <w:p w14:paraId="1FF660EF" w14:textId="77777777" w:rsidR="00C9094E" w:rsidRPr="00157E18" w:rsidRDefault="00C9094E" w:rsidP="00B94A34">
            <w:pPr>
              <w:spacing w:after="0" w:line="240" w:lineRule="auto"/>
              <w:rPr>
                <w:rFonts w:eastAsia="Times New Roman"/>
                <w:color w:val="000000"/>
                <w:sz w:val="20"/>
                <w:szCs w:val="20"/>
              </w:rPr>
            </w:pPr>
          </w:p>
        </w:tc>
        <w:tc>
          <w:tcPr>
            <w:tcW w:w="3969" w:type="dxa"/>
            <w:tcBorders>
              <w:top w:val="nil"/>
              <w:left w:val="nil"/>
              <w:bottom w:val="single" w:sz="4" w:space="0" w:color="auto"/>
              <w:right w:val="nil"/>
            </w:tcBorders>
            <w:shd w:val="clear" w:color="auto" w:fill="FFFFFF"/>
          </w:tcPr>
          <w:p w14:paraId="49F1851E" w14:textId="508B8231" w:rsidR="00C9094E" w:rsidRPr="00157E18" w:rsidRDefault="00C9094E" w:rsidP="00B94A34">
            <w:pPr>
              <w:spacing w:after="0" w:line="240" w:lineRule="auto"/>
              <w:rPr>
                <w:rFonts w:eastAsia="Times New Roman"/>
                <w:color w:val="000000"/>
                <w:sz w:val="20"/>
                <w:szCs w:val="20"/>
              </w:rPr>
            </w:pPr>
            <w:r w:rsidRPr="00157E18">
              <w:rPr>
                <w:rFonts w:eastAsia="Times New Roman"/>
                <w:color w:val="000000"/>
                <w:sz w:val="20"/>
                <w:szCs w:val="20"/>
              </w:rPr>
              <w:t>Linear regression</w:t>
            </w:r>
          </w:p>
        </w:tc>
        <w:tc>
          <w:tcPr>
            <w:tcW w:w="1418" w:type="dxa"/>
            <w:tcBorders>
              <w:top w:val="nil"/>
              <w:left w:val="nil"/>
              <w:bottom w:val="single" w:sz="4" w:space="0" w:color="auto"/>
              <w:right w:val="nil"/>
            </w:tcBorders>
            <w:shd w:val="clear" w:color="auto" w:fill="FFFFFF"/>
            <w:tcMar>
              <w:left w:w="67" w:type="dxa"/>
              <w:right w:w="67" w:type="dxa"/>
            </w:tcMar>
          </w:tcPr>
          <w:p w14:paraId="518CB700" w14:textId="01EDAC6B" w:rsidR="00C9094E" w:rsidRPr="00157E18" w:rsidRDefault="00C9094E" w:rsidP="00B94A34">
            <w:pPr>
              <w:spacing w:after="0" w:line="240" w:lineRule="auto"/>
              <w:jc w:val="right"/>
              <w:rPr>
                <w:rFonts w:eastAsia="Calibri"/>
                <w:color w:val="000000"/>
                <w:sz w:val="20"/>
                <w:szCs w:val="20"/>
                <w:highlight w:val="yellow"/>
                <w:lang w:eastAsia="en-US"/>
              </w:rPr>
            </w:pPr>
            <w:r w:rsidRPr="00157E18">
              <w:rPr>
                <w:sz w:val="20"/>
                <w:szCs w:val="20"/>
              </w:rPr>
              <w:t>-0.001</w:t>
            </w:r>
          </w:p>
        </w:tc>
        <w:tc>
          <w:tcPr>
            <w:tcW w:w="1276" w:type="dxa"/>
            <w:tcBorders>
              <w:top w:val="nil"/>
              <w:left w:val="nil"/>
              <w:bottom w:val="single" w:sz="4" w:space="0" w:color="auto"/>
              <w:right w:val="nil"/>
            </w:tcBorders>
            <w:shd w:val="clear" w:color="auto" w:fill="FFFFFF"/>
            <w:tcMar>
              <w:left w:w="67" w:type="dxa"/>
              <w:right w:w="67" w:type="dxa"/>
            </w:tcMar>
          </w:tcPr>
          <w:p w14:paraId="1E555272" w14:textId="15FC234B" w:rsidR="00C9094E" w:rsidRPr="00157E18" w:rsidRDefault="00C9094E" w:rsidP="00B94A34">
            <w:pPr>
              <w:spacing w:after="0" w:line="240" w:lineRule="auto"/>
              <w:jc w:val="right"/>
              <w:rPr>
                <w:rFonts w:eastAsia="Calibri"/>
                <w:color w:val="000000"/>
                <w:sz w:val="20"/>
                <w:szCs w:val="20"/>
                <w:highlight w:val="yellow"/>
                <w:lang w:eastAsia="en-US"/>
              </w:rPr>
            </w:pPr>
            <w:r w:rsidRPr="00157E18">
              <w:rPr>
                <w:sz w:val="20"/>
                <w:szCs w:val="20"/>
              </w:rPr>
              <w:t>-0.081</w:t>
            </w:r>
          </w:p>
        </w:tc>
        <w:tc>
          <w:tcPr>
            <w:tcW w:w="1275" w:type="dxa"/>
            <w:tcBorders>
              <w:top w:val="nil"/>
              <w:left w:val="nil"/>
              <w:bottom w:val="single" w:sz="4" w:space="0" w:color="auto"/>
              <w:right w:val="nil"/>
            </w:tcBorders>
            <w:shd w:val="clear" w:color="auto" w:fill="FFFFFF"/>
            <w:tcMar>
              <w:left w:w="67" w:type="dxa"/>
              <w:right w:w="67" w:type="dxa"/>
            </w:tcMar>
          </w:tcPr>
          <w:p w14:paraId="4A4891EA" w14:textId="04E2C45A" w:rsidR="00C9094E" w:rsidRPr="00157E18" w:rsidRDefault="00C9094E" w:rsidP="00B94A34">
            <w:pPr>
              <w:spacing w:after="0" w:line="240" w:lineRule="auto"/>
              <w:jc w:val="right"/>
              <w:rPr>
                <w:rFonts w:eastAsia="Calibri"/>
                <w:color w:val="000000"/>
                <w:sz w:val="20"/>
                <w:szCs w:val="20"/>
                <w:highlight w:val="yellow"/>
                <w:lang w:eastAsia="en-US"/>
              </w:rPr>
            </w:pPr>
            <w:r w:rsidRPr="00157E18">
              <w:rPr>
                <w:sz w:val="20"/>
                <w:szCs w:val="20"/>
              </w:rPr>
              <w:t>0.078</w:t>
            </w:r>
          </w:p>
        </w:tc>
        <w:tc>
          <w:tcPr>
            <w:tcW w:w="993" w:type="dxa"/>
            <w:tcBorders>
              <w:top w:val="nil"/>
              <w:left w:val="nil"/>
              <w:bottom w:val="single" w:sz="4" w:space="0" w:color="auto"/>
              <w:right w:val="nil"/>
            </w:tcBorders>
            <w:shd w:val="clear" w:color="auto" w:fill="FFFFFF"/>
            <w:tcMar>
              <w:left w:w="67" w:type="dxa"/>
              <w:right w:w="67" w:type="dxa"/>
            </w:tcMar>
          </w:tcPr>
          <w:p w14:paraId="5D12A82E" w14:textId="0A935B7C" w:rsidR="00C9094E" w:rsidRPr="00157E18" w:rsidRDefault="00C9094E" w:rsidP="00B94A34">
            <w:pPr>
              <w:spacing w:after="0" w:line="240" w:lineRule="auto"/>
              <w:jc w:val="right"/>
              <w:rPr>
                <w:rFonts w:eastAsia="Calibri"/>
                <w:color w:val="000000"/>
                <w:sz w:val="20"/>
                <w:szCs w:val="20"/>
                <w:highlight w:val="yellow"/>
                <w:lang w:eastAsia="en-US"/>
              </w:rPr>
            </w:pPr>
            <w:r w:rsidRPr="00157E18">
              <w:rPr>
                <w:sz w:val="20"/>
                <w:szCs w:val="20"/>
              </w:rPr>
              <w:t>0.972</w:t>
            </w:r>
          </w:p>
        </w:tc>
        <w:tc>
          <w:tcPr>
            <w:tcW w:w="567" w:type="dxa"/>
            <w:tcBorders>
              <w:top w:val="nil"/>
              <w:left w:val="nil"/>
              <w:bottom w:val="single" w:sz="4" w:space="0" w:color="auto"/>
            </w:tcBorders>
            <w:shd w:val="clear" w:color="auto" w:fill="FFFFFF"/>
            <w:tcMar>
              <w:left w:w="67" w:type="dxa"/>
              <w:right w:w="67" w:type="dxa"/>
            </w:tcMar>
          </w:tcPr>
          <w:p w14:paraId="2FCAD550" w14:textId="52294CA8" w:rsidR="00C9094E" w:rsidRPr="00157E18" w:rsidRDefault="00C9094E" w:rsidP="00B94A34">
            <w:pPr>
              <w:spacing w:after="0" w:line="240" w:lineRule="auto"/>
              <w:jc w:val="right"/>
              <w:rPr>
                <w:rFonts w:eastAsia="Calibri"/>
                <w:color w:val="000000"/>
                <w:sz w:val="20"/>
                <w:szCs w:val="20"/>
                <w:highlight w:val="yellow"/>
                <w:lang w:eastAsia="en-US"/>
              </w:rPr>
            </w:pPr>
            <w:r w:rsidRPr="00157E18">
              <w:rPr>
                <w:sz w:val="20"/>
                <w:szCs w:val="20"/>
              </w:rPr>
              <w:t>49</w:t>
            </w:r>
          </w:p>
        </w:tc>
      </w:tr>
      <w:tr w:rsidR="00C9094E" w:rsidRPr="00157E18" w14:paraId="35852D1D" w14:textId="77777777" w:rsidTr="005C577F">
        <w:trPr>
          <w:cantSplit/>
          <w:jc w:val="center"/>
        </w:trPr>
        <w:tc>
          <w:tcPr>
            <w:tcW w:w="3964" w:type="dxa"/>
            <w:tcBorders>
              <w:top w:val="single" w:sz="4" w:space="0" w:color="auto"/>
              <w:bottom w:val="nil"/>
              <w:right w:val="nil"/>
            </w:tcBorders>
            <w:shd w:val="clear" w:color="auto" w:fill="FFFFFF"/>
            <w:tcMar>
              <w:left w:w="67" w:type="dxa"/>
              <w:right w:w="67" w:type="dxa"/>
            </w:tcMar>
          </w:tcPr>
          <w:p w14:paraId="5103070A" w14:textId="77777777" w:rsidR="00C9094E" w:rsidRPr="00157E18" w:rsidRDefault="00C9094E" w:rsidP="00B94A34">
            <w:pPr>
              <w:spacing w:after="0" w:line="240" w:lineRule="auto"/>
              <w:rPr>
                <w:rFonts w:eastAsia="Times New Roman"/>
                <w:color w:val="000000"/>
                <w:sz w:val="20"/>
                <w:szCs w:val="20"/>
              </w:rPr>
            </w:pPr>
            <w:r w:rsidRPr="00157E18">
              <w:rPr>
                <w:rFonts w:eastAsia="Times New Roman"/>
                <w:color w:val="000000"/>
                <w:sz w:val="20"/>
                <w:szCs w:val="20"/>
              </w:rPr>
              <w:t>OR &lt;1 favours intervention</w:t>
            </w:r>
          </w:p>
        </w:tc>
        <w:tc>
          <w:tcPr>
            <w:tcW w:w="3969" w:type="dxa"/>
            <w:tcBorders>
              <w:top w:val="single" w:sz="4" w:space="0" w:color="auto"/>
              <w:left w:val="nil"/>
              <w:bottom w:val="nil"/>
              <w:right w:val="nil"/>
            </w:tcBorders>
            <w:shd w:val="clear" w:color="auto" w:fill="FFFFFF"/>
          </w:tcPr>
          <w:p w14:paraId="7C31FC4C" w14:textId="77777777" w:rsidR="00C9094E" w:rsidRPr="00157E18" w:rsidRDefault="00C9094E" w:rsidP="00B94A34">
            <w:pPr>
              <w:spacing w:after="0" w:line="240" w:lineRule="auto"/>
              <w:rPr>
                <w:rFonts w:eastAsia="Times New Roman"/>
                <w:color w:val="000000"/>
                <w:sz w:val="20"/>
                <w:szCs w:val="20"/>
              </w:rPr>
            </w:pPr>
          </w:p>
        </w:tc>
        <w:tc>
          <w:tcPr>
            <w:tcW w:w="1418" w:type="dxa"/>
            <w:tcBorders>
              <w:top w:val="single" w:sz="4" w:space="0" w:color="auto"/>
              <w:left w:val="nil"/>
              <w:bottom w:val="nil"/>
              <w:right w:val="nil"/>
            </w:tcBorders>
            <w:shd w:val="clear" w:color="auto" w:fill="FFFFFF"/>
            <w:tcMar>
              <w:left w:w="67" w:type="dxa"/>
              <w:right w:w="67" w:type="dxa"/>
            </w:tcMar>
          </w:tcPr>
          <w:p w14:paraId="24A8DE81" w14:textId="77777777" w:rsidR="00C9094E" w:rsidRPr="00157E18" w:rsidRDefault="00C9094E" w:rsidP="00B94A34">
            <w:pPr>
              <w:spacing w:after="0" w:line="240" w:lineRule="auto"/>
              <w:jc w:val="right"/>
              <w:rPr>
                <w:rFonts w:eastAsia="Times New Roman"/>
                <w:color w:val="000000"/>
                <w:sz w:val="20"/>
                <w:szCs w:val="20"/>
              </w:rPr>
            </w:pPr>
          </w:p>
        </w:tc>
        <w:tc>
          <w:tcPr>
            <w:tcW w:w="1276" w:type="dxa"/>
            <w:tcBorders>
              <w:top w:val="single" w:sz="4" w:space="0" w:color="auto"/>
              <w:left w:val="nil"/>
              <w:bottom w:val="nil"/>
              <w:right w:val="nil"/>
            </w:tcBorders>
            <w:shd w:val="clear" w:color="auto" w:fill="FFFFFF"/>
            <w:tcMar>
              <w:left w:w="67" w:type="dxa"/>
              <w:right w:w="67" w:type="dxa"/>
            </w:tcMar>
          </w:tcPr>
          <w:p w14:paraId="7D6CCE1B" w14:textId="77777777" w:rsidR="00C9094E" w:rsidRPr="00157E18" w:rsidRDefault="00C9094E" w:rsidP="00B94A34">
            <w:pPr>
              <w:spacing w:after="0" w:line="240" w:lineRule="auto"/>
              <w:jc w:val="right"/>
              <w:rPr>
                <w:rFonts w:eastAsia="Times New Roman"/>
                <w:color w:val="000000"/>
                <w:sz w:val="20"/>
                <w:szCs w:val="20"/>
              </w:rPr>
            </w:pPr>
          </w:p>
        </w:tc>
        <w:tc>
          <w:tcPr>
            <w:tcW w:w="1275" w:type="dxa"/>
            <w:tcBorders>
              <w:top w:val="single" w:sz="4" w:space="0" w:color="auto"/>
              <w:left w:val="nil"/>
              <w:bottom w:val="nil"/>
              <w:right w:val="nil"/>
            </w:tcBorders>
            <w:shd w:val="clear" w:color="auto" w:fill="FFFFFF"/>
            <w:tcMar>
              <w:left w:w="67" w:type="dxa"/>
              <w:right w:w="67" w:type="dxa"/>
            </w:tcMar>
          </w:tcPr>
          <w:p w14:paraId="522BDA71" w14:textId="77777777" w:rsidR="00C9094E" w:rsidRPr="00157E18" w:rsidRDefault="00C9094E" w:rsidP="00B94A34">
            <w:pPr>
              <w:spacing w:after="0" w:line="240" w:lineRule="auto"/>
              <w:jc w:val="right"/>
              <w:rPr>
                <w:rFonts w:eastAsia="Times New Roman"/>
                <w:color w:val="000000"/>
                <w:sz w:val="20"/>
                <w:szCs w:val="20"/>
              </w:rPr>
            </w:pPr>
          </w:p>
        </w:tc>
        <w:tc>
          <w:tcPr>
            <w:tcW w:w="993" w:type="dxa"/>
            <w:tcBorders>
              <w:top w:val="single" w:sz="4" w:space="0" w:color="auto"/>
              <w:left w:val="nil"/>
              <w:bottom w:val="nil"/>
              <w:right w:val="nil"/>
            </w:tcBorders>
            <w:shd w:val="clear" w:color="auto" w:fill="FFFFFF"/>
            <w:tcMar>
              <w:left w:w="67" w:type="dxa"/>
              <w:right w:w="67" w:type="dxa"/>
            </w:tcMar>
          </w:tcPr>
          <w:p w14:paraId="77680BF8" w14:textId="77777777" w:rsidR="00C9094E" w:rsidRPr="00157E18" w:rsidRDefault="00C9094E" w:rsidP="00B94A34">
            <w:pPr>
              <w:spacing w:after="0" w:line="240" w:lineRule="auto"/>
              <w:jc w:val="right"/>
              <w:rPr>
                <w:rFonts w:eastAsia="Times New Roman"/>
                <w:color w:val="000000"/>
                <w:sz w:val="20"/>
                <w:szCs w:val="20"/>
              </w:rPr>
            </w:pPr>
          </w:p>
        </w:tc>
        <w:tc>
          <w:tcPr>
            <w:tcW w:w="567" w:type="dxa"/>
            <w:tcBorders>
              <w:top w:val="single" w:sz="4" w:space="0" w:color="auto"/>
              <w:left w:val="nil"/>
              <w:bottom w:val="nil"/>
            </w:tcBorders>
            <w:shd w:val="clear" w:color="auto" w:fill="FFFFFF"/>
            <w:tcMar>
              <w:left w:w="67" w:type="dxa"/>
              <w:right w:w="67" w:type="dxa"/>
            </w:tcMar>
          </w:tcPr>
          <w:p w14:paraId="6DA03103" w14:textId="77777777" w:rsidR="00C9094E" w:rsidRPr="00157E18" w:rsidRDefault="00C9094E" w:rsidP="00B94A34">
            <w:pPr>
              <w:spacing w:after="0" w:line="240" w:lineRule="auto"/>
              <w:jc w:val="right"/>
              <w:rPr>
                <w:rFonts w:eastAsia="Times New Roman"/>
                <w:color w:val="000000"/>
                <w:sz w:val="20"/>
                <w:szCs w:val="20"/>
              </w:rPr>
            </w:pPr>
          </w:p>
        </w:tc>
      </w:tr>
    </w:tbl>
    <w:p w14:paraId="51207019" w14:textId="53D4A643" w:rsidR="005C577F" w:rsidRPr="00563AD3" w:rsidRDefault="00C718B2" w:rsidP="009B13F3">
      <w:pPr>
        <w:autoSpaceDE/>
        <w:autoSpaceDN/>
        <w:adjustRightInd/>
        <w:spacing w:after="0"/>
        <w:rPr>
          <w:rFonts w:eastAsia="Calibri"/>
          <w:sz w:val="18"/>
          <w:szCs w:val="18"/>
          <w:lang w:eastAsia="en-US"/>
        </w:rPr>
        <w:sectPr w:rsidR="005C577F" w:rsidRPr="00563AD3" w:rsidSect="005C577F">
          <w:pgSz w:w="16838" w:h="11906" w:orient="landscape"/>
          <w:pgMar w:top="1440" w:right="1440" w:bottom="1440" w:left="1440" w:header="708" w:footer="708" w:gutter="0"/>
          <w:cols w:space="708"/>
          <w:docGrid w:linePitch="360"/>
        </w:sectPr>
      </w:pPr>
      <w:r>
        <w:rPr>
          <w:rFonts w:eastAsia="Calibri"/>
          <w:sz w:val="18"/>
          <w:szCs w:val="18"/>
          <w:vertAlign w:val="superscript"/>
          <w:lang w:eastAsia="en-US"/>
        </w:rPr>
        <w:t>a</w:t>
      </w:r>
      <w:r w:rsidR="005C577F" w:rsidRPr="00563AD3">
        <w:rPr>
          <w:rFonts w:eastAsia="Calibri"/>
          <w:sz w:val="18"/>
          <w:szCs w:val="18"/>
          <w:lang w:eastAsia="en-US"/>
        </w:rPr>
        <w:t xml:space="preserve"> Model fitted without adjusting for hub and stratification factors to ensure convergence. </w:t>
      </w:r>
    </w:p>
    <w:p w14:paraId="5960D5D5" w14:textId="77777777" w:rsidR="00B94A34" w:rsidRPr="00563AD3" w:rsidRDefault="00B94A34" w:rsidP="00B94A34">
      <w:pPr>
        <w:rPr>
          <w:rFonts w:eastAsia="Calibri"/>
          <w:lang w:eastAsia="en-US"/>
        </w:rPr>
      </w:pPr>
      <w:bookmarkStart w:id="183" w:name="_Toc504748863"/>
      <w:r w:rsidRPr="00563AD3">
        <w:rPr>
          <w:rFonts w:eastAsia="Calibri"/>
          <w:lang w:eastAsia="en-US"/>
        </w:rPr>
        <w:t>In the individual domains, in the cross-sectional sample, the odds that residents experienced depression/dysphoria or apathy/indifference in the intervention arm were both around 0.</w:t>
      </w:r>
      <w:r>
        <w:rPr>
          <w:rFonts w:eastAsia="Calibri"/>
          <w:lang w:eastAsia="en-US"/>
        </w:rPr>
        <w:t>76</w:t>
      </w:r>
      <w:r w:rsidRPr="00563AD3">
        <w:rPr>
          <w:rFonts w:eastAsia="Calibri"/>
          <w:lang w:eastAsia="en-US"/>
        </w:rPr>
        <w:t xml:space="preserve"> times the odds in the control arm (95% CI: 0.51 to 1.12 and 0.53 to 1.25, respectively) but this was not statistically significant. In the closed-cohort, however, the odds in the intervention were both around 0.</w:t>
      </w:r>
      <w:r>
        <w:rPr>
          <w:rFonts w:eastAsia="Calibri"/>
          <w:lang w:eastAsia="en-US"/>
        </w:rPr>
        <w:t>59</w:t>
      </w:r>
      <w:r w:rsidRPr="00563AD3">
        <w:rPr>
          <w:rFonts w:eastAsia="Calibri"/>
          <w:lang w:eastAsia="en-US"/>
        </w:rPr>
        <w:t xml:space="preserve"> times the odds in the control (95% CIs 0.37 to 0.95 and 0.38 to 0.95, respectively) statistically significant at the 5% level in favour of the intervention. As at 6-months, the odds ratios for the presence or absence of anxiety were close to one in both the cross-sectional and the closed-cohort samples, indicating no difference across arms. Overall, although no statistically significant differences were found between arms in the primary cross-sectional sample at 16-months, trends in favour of the intervention in BSC and mood were found in the closed-cohort.</w:t>
      </w:r>
    </w:p>
    <w:p w14:paraId="72F829E3" w14:textId="77777777" w:rsidR="00B94A34" w:rsidRPr="00563AD3" w:rsidRDefault="00B94A34" w:rsidP="00B94A34">
      <w:pPr>
        <w:rPr>
          <w:rFonts w:eastAsia="Calibri"/>
          <w:lang w:eastAsia="en-US"/>
        </w:rPr>
      </w:pPr>
      <w:r w:rsidRPr="00563AD3">
        <w:rPr>
          <w:rFonts w:eastAsia="Calibri"/>
          <w:lang w:eastAsia="en-US"/>
        </w:rPr>
        <w:t xml:space="preserve">On the staff-proxy completed QUALID there was no difference in mean scores between arms, indicating no difference in quality of life at 16-months. There was no evidence of a difference between treatment arms in the proportion of positive staff interactions with residents observed using the QUIS. </w:t>
      </w:r>
    </w:p>
    <w:p w14:paraId="356BDDAE" w14:textId="77777777" w:rsidR="00B94A34" w:rsidRPr="00563AD3" w:rsidRDefault="00B94A34" w:rsidP="00B94A34">
      <w:pPr>
        <w:rPr>
          <w:rFonts w:eastAsia="Calibri"/>
          <w:lang w:eastAsia="en-US"/>
        </w:rPr>
      </w:pPr>
      <w:r w:rsidRPr="00571DFD">
        <w:rPr>
          <w:rFonts w:eastAsia="Calibri"/>
          <w:lang w:eastAsia="en-US"/>
        </w:rPr>
        <w:t>The confidence intervals for residents being prescribed antipsychotics on a PRN basis in the cross-sectional and closed-cohort samples were wide making them difficult to interpret (Tables 16 and 17).</w:t>
      </w:r>
      <w:r w:rsidRPr="00563AD3">
        <w:rPr>
          <w:rFonts w:eastAsia="Calibri"/>
          <w:lang w:eastAsia="en-US"/>
        </w:rPr>
        <w:t xml:space="preserve"> </w:t>
      </w:r>
    </w:p>
    <w:p w14:paraId="06242B90" w14:textId="5964AF97" w:rsidR="00B94A34" w:rsidRDefault="00B94A34" w:rsidP="00B94A34">
      <w:pPr>
        <w:rPr>
          <w:rFonts w:eastAsia="Calibri"/>
          <w:lang w:eastAsia="en-US"/>
        </w:rPr>
      </w:pPr>
      <w:r w:rsidRPr="00563AD3">
        <w:rPr>
          <w:rFonts w:eastAsia="Calibri"/>
          <w:lang w:eastAsia="en-US"/>
        </w:rPr>
        <w:t xml:space="preserve">Further summaries of secondary outcomes are in </w:t>
      </w:r>
      <w:r>
        <w:rPr>
          <w:rFonts w:eastAsia="Calibri"/>
          <w:lang w:eastAsia="en-US"/>
        </w:rPr>
        <w:t>Appendix 1</w:t>
      </w:r>
      <w:r w:rsidRPr="00563AD3">
        <w:rPr>
          <w:rFonts w:eastAsia="Calibri"/>
          <w:lang w:eastAsia="en-US"/>
        </w:rPr>
        <w:t>, Table</w:t>
      </w:r>
      <w:r>
        <w:rPr>
          <w:rFonts w:eastAsia="Calibri"/>
          <w:lang w:eastAsia="en-US"/>
        </w:rPr>
        <w:t>s</w:t>
      </w:r>
      <w:r w:rsidRPr="00563AD3">
        <w:rPr>
          <w:rFonts w:eastAsia="Calibri"/>
          <w:lang w:eastAsia="en-US"/>
        </w:rPr>
        <w:t xml:space="preserve"> </w:t>
      </w:r>
      <w:r>
        <w:rPr>
          <w:rFonts w:eastAsia="Calibri"/>
          <w:lang w:eastAsia="en-US"/>
        </w:rPr>
        <w:t>49-52</w:t>
      </w:r>
      <w:r w:rsidRPr="00246670">
        <w:rPr>
          <w:rFonts w:eastAsia="Calibri"/>
          <w:lang w:eastAsia="en-US"/>
        </w:rPr>
        <w:t xml:space="preserve">, Table </w:t>
      </w:r>
      <w:r>
        <w:rPr>
          <w:rFonts w:eastAsia="Calibri"/>
          <w:lang w:eastAsia="en-US"/>
        </w:rPr>
        <w:t>61</w:t>
      </w:r>
      <w:r w:rsidRPr="00246670">
        <w:rPr>
          <w:rFonts w:eastAsia="Calibri"/>
          <w:lang w:eastAsia="en-US"/>
        </w:rPr>
        <w:t xml:space="preserve"> (unadjusted scores), Tables 26-30 (output from additional models) and Tables </w:t>
      </w:r>
      <w:r>
        <w:rPr>
          <w:rFonts w:eastAsia="Calibri"/>
          <w:lang w:eastAsia="en-US"/>
        </w:rPr>
        <w:t>58-60</w:t>
      </w:r>
      <w:r w:rsidRPr="00246670">
        <w:rPr>
          <w:rFonts w:eastAsia="Calibri"/>
          <w:lang w:eastAsia="en-US"/>
        </w:rPr>
        <w:t xml:space="preserve"> (summary of medications).</w:t>
      </w:r>
    </w:p>
    <w:p w14:paraId="2F868692" w14:textId="77777777" w:rsidR="00B94A34" w:rsidRDefault="00B94A34" w:rsidP="004456A2">
      <w:pPr>
        <w:rPr>
          <w:rFonts w:eastAsia="Times New Roman"/>
          <w:lang w:eastAsia="en-US"/>
        </w:rPr>
      </w:pPr>
    </w:p>
    <w:p w14:paraId="6479629F" w14:textId="3A10BF45" w:rsidR="005C577F" w:rsidRPr="00563AD3" w:rsidRDefault="00657928" w:rsidP="009B13F3">
      <w:pPr>
        <w:pStyle w:val="Heading3"/>
        <w:rPr>
          <w:rFonts w:eastAsia="Times New Roman"/>
          <w:lang w:eastAsia="en-US"/>
        </w:rPr>
      </w:pPr>
      <w:bookmarkStart w:id="184" w:name="_Toc525544020"/>
      <w:r w:rsidRPr="00563AD3">
        <w:rPr>
          <w:rFonts w:eastAsia="Times New Roman"/>
          <w:lang w:eastAsia="en-US"/>
        </w:rPr>
        <w:t xml:space="preserve">3.5.3 </w:t>
      </w:r>
      <w:r w:rsidR="005C577F" w:rsidRPr="00563AD3">
        <w:rPr>
          <w:rFonts w:eastAsia="Times New Roman"/>
          <w:lang w:eastAsia="en-US"/>
        </w:rPr>
        <w:t>Analyses of safety</w:t>
      </w:r>
      <w:bookmarkEnd w:id="183"/>
      <w:bookmarkEnd w:id="184"/>
    </w:p>
    <w:p w14:paraId="1FC94B0D" w14:textId="42402C57" w:rsidR="005C577F" w:rsidRDefault="005C577F" w:rsidP="009B13F3">
      <w:pPr>
        <w:rPr>
          <w:rFonts w:eastAsia="Calibri"/>
          <w:lang w:eastAsia="en-US"/>
        </w:rPr>
      </w:pPr>
      <w:r w:rsidRPr="00563AD3">
        <w:rPr>
          <w:rFonts w:eastAsia="Calibri"/>
          <w:lang w:eastAsia="en-US"/>
        </w:rPr>
        <w:t xml:space="preserve">There were no reported unexpected serious adverse events (RUSAE). The majority of care home residents in the closed-cohort did not have any hospital admissions; 231 (75.0%) in the control and 308 (73.7%) in the intervention (see Table </w:t>
      </w:r>
      <w:r w:rsidR="006041A6" w:rsidRPr="00563AD3">
        <w:rPr>
          <w:rFonts w:eastAsia="Calibri"/>
          <w:lang w:eastAsia="en-US"/>
        </w:rPr>
        <w:t>18</w:t>
      </w:r>
      <w:r w:rsidRPr="00563AD3">
        <w:rPr>
          <w:rFonts w:eastAsia="Calibri"/>
          <w:lang w:eastAsia="en-US"/>
        </w:rPr>
        <w:t>). On average, hospital admissions lasted 3.7 days in the control and 2.9 days in the intervention arm. The majority of hospital admissions were to general wards.</w:t>
      </w:r>
      <w:r w:rsidR="00F60F83" w:rsidRPr="00563AD3">
        <w:rPr>
          <w:rFonts w:eastAsia="Calibri"/>
          <w:lang w:eastAsia="en-US"/>
        </w:rPr>
        <w:t xml:space="preserve"> </w:t>
      </w:r>
    </w:p>
    <w:p w14:paraId="071F6C65" w14:textId="30D0D0B2" w:rsidR="003C2395" w:rsidRPr="00563AD3" w:rsidRDefault="003C2395" w:rsidP="009B13F3">
      <w:pPr>
        <w:rPr>
          <w:rFonts w:eastAsia="Calibri"/>
          <w:lang w:eastAsia="en-US"/>
        </w:rPr>
      </w:pPr>
      <w:r>
        <w:rPr>
          <w:rFonts w:eastAsia="Calibri"/>
          <w:lang w:eastAsia="en-US"/>
        </w:rPr>
        <w:t>Deaths are reported in Section 3</w:t>
      </w:r>
      <w:r w:rsidR="00F02609">
        <w:rPr>
          <w:rFonts w:eastAsia="Calibri"/>
          <w:lang w:eastAsia="en-US"/>
        </w:rPr>
        <w:t xml:space="preserve">.4.3 and in </w:t>
      </w:r>
      <w:r w:rsidR="00087868">
        <w:rPr>
          <w:rFonts w:eastAsia="Calibri"/>
          <w:lang w:eastAsia="en-US"/>
        </w:rPr>
        <w:t>Appendix 1</w:t>
      </w:r>
      <w:r w:rsidR="00F02609">
        <w:rPr>
          <w:rFonts w:eastAsia="Calibri"/>
          <w:lang w:eastAsia="en-US"/>
        </w:rPr>
        <w:t>, Table 41</w:t>
      </w:r>
      <w:r>
        <w:rPr>
          <w:rFonts w:eastAsia="Calibri"/>
          <w:lang w:eastAsia="en-US"/>
        </w:rPr>
        <w:t>.</w:t>
      </w:r>
    </w:p>
    <w:p w14:paraId="5F220C47" w14:textId="77777777" w:rsidR="00B94A34" w:rsidRDefault="00B94A34">
      <w:pPr>
        <w:autoSpaceDE/>
        <w:autoSpaceDN/>
        <w:adjustRightInd/>
        <w:spacing w:line="259" w:lineRule="auto"/>
        <w:rPr>
          <w:rFonts w:eastAsia="Calibri"/>
          <w:b/>
          <w:lang w:eastAsia="en-US"/>
        </w:rPr>
      </w:pPr>
      <w:bookmarkStart w:id="185" w:name="_Ref501009422"/>
      <w:bookmarkStart w:id="186" w:name="_Ref499120647"/>
      <w:r>
        <w:rPr>
          <w:rFonts w:eastAsia="Calibri"/>
          <w:lang w:eastAsia="en-US"/>
        </w:rPr>
        <w:br w:type="page"/>
      </w:r>
    </w:p>
    <w:p w14:paraId="23477DC3" w14:textId="5263F104" w:rsidR="005C577F" w:rsidRPr="00563AD3" w:rsidRDefault="005C577F" w:rsidP="009B13F3">
      <w:pPr>
        <w:pStyle w:val="Tableheading"/>
        <w:rPr>
          <w:rFonts w:eastAsia="Calibri"/>
          <w:lang w:eastAsia="en-US"/>
        </w:rPr>
      </w:pPr>
      <w:bookmarkStart w:id="187" w:name="_Toc948215"/>
      <w:r w:rsidRPr="00563AD3">
        <w:rPr>
          <w:rFonts w:eastAsia="Calibri"/>
          <w:lang w:eastAsia="en-US"/>
        </w:rPr>
        <w:t xml:space="preserve">Table </w:t>
      </w:r>
      <w:bookmarkEnd w:id="185"/>
      <w:bookmarkEnd w:id="186"/>
      <w:r w:rsidR="007C624A" w:rsidRPr="00563AD3">
        <w:rPr>
          <w:rFonts w:eastAsia="Calibri"/>
          <w:lang w:eastAsia="en-US"/>
        </w:rPr>
        <w:t xml:space="preserve">18 </w:t>
      </w:r>
      <w:r w:rsidRPr="00563AD3">
        <w:rPr>
          <w:rFonts w:eastAsia="Calibri"/>
          <w:lang w:eastAsia="en-US"/>
        </w:rPr>
        <w:t>Hospital admissions in the closed-cohort</w:t>
      </w:r>
      <w:bookmarkEnd w:id="187"/>
    </w:p>
    <w:tbl>
      <w:tblPr>
        <w:tblW w:w="0" w:type="auto"/>
        <w:jc w:val="center"/>
        <w:tblLayout w:type="fixed"/>
        <w:tblCellMar>
          <w:left w:w="0" w:type="dxa"/>
          <w:right w:w="0" w:type="dxa"/>
        </w:tblCellMar>
        <w:tblLook w:val="0000" w:firstRow="0" w:lastRow="0" w:firstColumn="0" w:lastColumn="0" w:noHBand="0" w:noVBand="0"/>
      </w:tblPr>
      <w:tblGrid>
        <w:gridCol w:w="5075"/>
        <w:gridCol w:w="1063"/>
        <w:gridCol w:w="1233"/>
        <w:gridCol w:w="1165"/>
      </w:tblGrid>
      <w:tr w:rsidR="005C577F" w:rsidRPr="001F1A70" w14:paraId="065CA581" w14:textId="77777777" w:rsidTr="005C577F">
        <w:trPr>
          <w:cantSplit/>
          <w:tblHeader/>
          <w:jc w:val="center"/>
        </w:trPr>
        <w:tc>
          <w:tcPr>
            <w:tcW w:w="5075" w:type="dxa"/>
            <w:tcBorders>
              <w:top w:val="single" w:sz="4" w:space="0" w:color="auto"/>
              <w:bottom w:val="single" w:sz="4" w:space="0" w:color="auto"/>
              <w:right w:val="nil"/>
            </w:tcBorders>
            <w:shd w:val="clear" w:color="auto" w:fill="FFFFFF"/>
            <w:tcMar>
              <w:left w:w="67" w:type="dxa"/>
              <w:right w:w="67" w:type="dxa"/>
            </w:tcMar>
            <w:vAlign w:val="bottom"/>
          </w:tcPr>
          <w:p w14:paraId="08B05AF0" w14:textId="77777777" w:rsidR="005C577F" w:rsidRPr="001F1A70" w:rsidRDefault="005C577F" w:rsidP="00B94A34">
            <w:pPr>
              <w:keepNext/>
              <w:spacing w:after="0" w:line="240" w:lineRule="auto"/>
              <w:jc w:val="center"/>
              <w:rPr>
                <w:rFonts w:eastAsia="Times New Roman"/>
                <w:b/>
                <w:bCs/>
                <w:color w:val="000000"/>
                <w:sz w:val="18"/>
                <w:szCs w:val="18"/>
              </w:rPr>
            </w:pPr>
          </w:p>
        </w:tc>
        <w:tc>
          <w:tcPr>
            <w:tcW w:w="1063" w:type="dxa"/>
            <w:tcBorders>
              <w:top w:val="single" w:sz="4" w:space="0" w:color="auto"/>
              <w:left w:val="nil"/>
              <w:bottom w:val="single" w:sz="4" w:space="0" w:color="auto"/>
              <w:right w:val="nil"/>
            </w:tcBorders>
            <w:shd w:val="clear" w:color="auto" w:fill="FFFFFF"/>
            <w:tcMar>
              <w:left w:w="67" w:type="dxa"/>
              <w:right w:w="67" w:type="dxa"/>
            </w:tcMar>
            <w:vAlign w:val="bottom"/>
          </w:tcPr>
          <w:p w14:paraId="709D6C65" w14:textId="77777777" w:rsidR="005C577F" w:rsidRPr="001F1A70" w:rsidRDefault="005C577F" w:rsidP="00B94A34">
            <w:pPr>
              <w:keepNext/>
              <w:spacing w:after="0" w:line="240" w:lineRule="auto"/>
              <w:jc w:val="center"/>
              <w:rPr>
                <w:rFonts w:eastAsia="Times New Roman"/>
                <w:b/>
                <w:bCs/>
                <w:color w:val="000000"/>
                <w:sz w:val="18"/>
                <w:szCs w:val="18"/>
              </w:rPr>
            </w:pPr>
            <w:r w:rsidRPr="001F1A70">
              <w:rPr>
                <w:rFonts w:eastAsia="Times New Roman"/>
                <w:b/>
                <w:bCs/>
                <w:color w:val="000000"/>
                <w:sz w:val="18"/>
                <w:szCs w:val="18"/>
              </w:rPr>
              <w:t>Control</w:t>
            </w:r>
            <w:r w:rsidRPr="001F1A70">
              <w:rPr>
                <w:rFonts w:eastAsia="Times New Roman"/>
                <w:b/>
                <w:bCs/>
                <w:color w:val="000000"/>
                <w:sz w:val="18"/>
                <w:szCs w:val="18"/>
              </w:rPr>
              <w:br/>
              <w:t>(n = 308)</w:t>
            </w:r>
          </w:p>
        </w:tc>
        <w:tc>
          <w:tcPr>
            <w:tcW w:w="1233" w:type="dxa"/>
            <w:tcBorders>
              <w:top w:val="single" w:sz="4" w:space="0" w:color="auto"/>
              <w:left w:val="nil"/>
              <w:bottom w:val="single" w:sz="4" w:space="0" w:color="000000"/>
              <w:right w:val="nil"/>
            </w:tcBorders>
            <w:shd w:val="clear" w:color="auto" w:fill="FFFFFF"/>
            <w:tcMar>
              <w:left w:w="67" w:type="dxa"/>
              <w:right w:w="67" w:type="dxa"/>
            </w:tcMar>
            <w:vAlign w:val="bottom"/>
          </w:tcPr>
          <w:p w14:paraId="62545C45" w14:textId="77777777" w:rsidR="005C577F" w:rsidRPr="001F1A70" w:rsidRDefault="005C577F" w:rsidP="00B94A34">
            <w:pPr>
              <w:keepNext/>
              <w:spacing w:after="0" w:line="240" w:lineRule="auto"/>
              <w:jc w:val="center"/>
              <w:rPr>
                <w:rFonts w:eastAsia="Times New Roman"/>
                <w:b/>
                <w:bCs/>
                <w:color w:val="000000"/>
                <w:sz w:val="18"/>
                <w:szCs w:val="18"/>
              </w:rPr>
            </w:pPr>
            <w:r w:rsidRPr="001F1A70">
              <w:rPr>
                <w:rFonts w:eastAsia="Times New Roman"/>
                <w:b/>
                <w:bCs/>
                <w:color w:val="000000"/>
                <w:sz w:val="18"/>
                <w:szCs w:val="18"/>
              </w:rPr>
              <w:t>Intervention</w:t>
            </w:r>
            <w:r w:rsidRPr="001F1A70">
              <w:rPr>
                <w:rFonts w:eastAsia="Times New Roman"/>
                <w:b/>
                <w:bCs/>
                <w:color w:val="000000"/>
                <w:sz w:val="18"/>
                <w:szCs w:val="18"/>
              </w:rPr>
              <w:br/>
              <w:t>(n = 418)</w:t>
            </w:r>
          </w:p>
        </w:tc>
        <w:tc>
          <w:tcPr>
            <w:tcW w:w="1165" w:type="dxa"/>
            <w:tcBorders>
              <w:top w:val="single" w:sz="4" w:space="0" w:color="auto"/>
              <w:left w:val="nil"/>
              <w:bottom w:val="single" w:sz="4" w:space="0" w:color="000000"/>
            </w:tcBorders>
            <w:shd w:val="clear" w:color="auto" w:fill="FFFFFF"/>
            <w:tcMar>
              <w:left w:w="67" w:type="dxa"/>
              <w:right w:w="67" w:type="dxa"/>
            </w:tcMar>
            <w:vAlign w:val="bottom"/>
          </w:tcPr>
          <w:p w14:paraId="5964AD63" w14:textId="77777777" w:rsidR="005C577F" w:rsidRPr="001F1A70" w:rsidRDefault="005C577F" w:rsidP="00B94A34">
            <w:pPr>
              <w:keepNext/>
              <w:spacing w:after="0" w:line="240" w:lineRule="auto"/>
              <w:jc w:val="center"/>
              <w:rPr>
                <w:rFonts w:eastAsia="Times New Roman"/>
                <w:b/>
                <w:bCs/>
                <w:color w:val="000000"/>
                <w:sz w:val="18"/>
                <w:szCs w:val="18"/>
              </w:rPr>
            </w:pPr>
            <w:r w:rsidRPr="001F1A70">
              <w:rPr>
                <w:rFonts w:eastAsia="Times New Roman"/>
                <w:b/>
                <w:bCs/>
                <w:color w:val="000000"/>
                <w:sz w:val="18"/>
                <w:szCs w:val="18"/>
              </w:rPr>
              <w:t>Total</w:t>
            </w:r>
            <w:r w:rsidRPr="001F1A70">
              <w:rPr>
                <w:rFonts w:eastAsia="Times New Roman"/>
                <w:b/>
                <w:bCs/>
                <w:color w:val="000000"/>
                <w:sz w:val="18"/>
                <w:szCs w:val="18"/>
              </w:rPr>
              <w:br/>
              <w:t>(n = 726)</w:t>
            </w:r>
          </w:p>
        </w:tc>
      </w:tr>
      <w:tr w:rsidR="005C577F" w:rsidRPr="001F1A70" w14:paraId="507FFCE2" w14:textId="77777777" w:rsidTr="005C577F">
        <w:trPr>
          <w:cantSplit/>
          <w:jc w:val="center"/>
        </w:trPr>
        <w:tc>
          <w:tcPr>
            <w:tcW w:w="5075" w:type="dxa"/>
            <w:tcBorders>
              <w:top w:val="single" w:sz="4" w:space="0" w:color="auto"/>
              <w:bottom w:val="nil"/>
              <w:right w:val="nil"/>
            </w:tcBorders>
            <w:shd w:val="clear" w:color="auto" w:fill="FFFFFF"/>
            <w:tcMar>
              <w:left w:w="67" w:type="dxa"/>
              <w:right w:w="67" w:type="dxa"/>
            </w:tcMar>
          </w:tcPr>
          <w:p w14:paraId="2B4606FA" w14:textId="77777777" w:rsidR="005C577F" w:rsidRPr="001F1A70" w:rsidRDefault="005C577F" w:rsidP="00B94A34">
            <w:pPr>
              <w:spacing w:after="0" w:line="240" w:lineRule="auto"/>
              <w:rPr>
                <w:rFonts w:eastAsia="Times New Roman"/>
                <w:b/>
                <w:bCs/>
                <w:color w:val="000000"/>
                <w:sz w:val="18"/>
                <w:szCs w:val="18"/>
              </w:rPr>
            </w:pPr>
            <w:r w:rsidRPr="001F1A70">
              <w:rPr>
                <w:rFonts w:eastAsia="Times New Roman"/>
                <w:b/>
                <w:bCs/>
                <w:color w:val="000000"/>
                <w:sz w:val="18"/>
                <w:szCs w:val="18"/>
              </w:rPr>
              <w:t>Number of hospital admissions per resident - N (%):</w:t>
            </w:r>
          </w:p>
        </w:tc>
        <w:tc>
          <w:tcPr>
            <w:tcW w:w="1063" w:type="dxa"/>
            <w:tcBorders>
              <w:top w:val="single" w:sz="4" w:space="0" w:color="auto"/>
              <w:left w:val="nil"/>
              <w:bottom w:val="nil"/>
              <w:right w:val="nil"/>
            </w:tcBorders>
            <w:shd w:val="clear" w:color="auto" w:fill="FFFFFF"/>
            <w:tcMar>
              <w:left w:w="67" w:type="dxa"/>
              <w:right w:w="67" w:type="dxa"/>
            </w:tcMar>
          </w:tcPr>
          <w:p w14:paraId="388678BE" w14:textId="77777777" w:rsidR="005C577F" w:rsidRPr="001F1A70" w:rsidRDefault="005C577F" w:rsidP="00B94A34">
            <w:pPr>
              <w:spacing w:after="0" w:line="240" w:lineRule="auto"/>
              <w:jc w:val="center"/>
              <w:rPr>
                <w:rFonts w:eastAsia="Times New Roman"/>
                <w:color w:val="000000"/>
                <w:sz w:val="18"/>
                <w:szCs w:val="18"/>
              </w:rPr>
            </w:pPr>
          </w:p>
        </w:tc>
        <w:tc>
          <w:tcPr>
            <w:tcW w:w="1233" w:type="dxa"/>
            <w:tcBorders>
              <w:top w:val="nil"/>
              <w:left w:val="nil"/>
              <w:bottom w:val="nil"/>
              <w:right w:val="nil"/>
            </w:tcBorders>
            <w:shd w:val="clear" w:color="auto" w:fill="FFFFFF"/>
            <w:tcMar>
              <w:left w:w="67" w:type="dxa"/>
              <w:right w:w="67" w:type="dxa"/>
            </w:tcMar>
          </w:tcPr>
          <w:p w14:paraId="19D2D549" w14:textId="77777777" w:rsidR="005C577F" w:rsidRPr="001F1A70" w:rsidRDefault="005C577F" w:rsidP="00B94A34">
            <w:pPr>
              <w:spacing w:after="0" w:line="240" w:lineRule="auto"/>
              <w:jc w:val="center"/>
              <w:rPr>
                <w:rFonts w:eastAsia="Times New Roman"/>
                <w:color w:val="000000"/>
                <w:sz w:val="18"/>
                <w:szCs w:val="18"/>
              </w:rPr>
            </w:pPr>
          </w:p>
        </w:tc>
        <w:tc>
          <w:tcPr>
            <w:tcW w:w="1165" w:type="dxa"/>
            <w:tcBorders>
              <w:top w:val="nil"/>
              <w:left w:val="nil"/>
              <w:bottom w:val="nil"/>
            </w:tcBorders>
            <w:shd w:val="clear" w:color="auto" w:fill="FFFFFF"/>
            <w:tcMar>
              <w:left w:w="67" w:type="dxa"/>
              <w:right w:w="67" w:type="dxa"/>
            </w:tcMar>
          </w:tcPr>
          <w:p w14:paraId="484D1734" w14:textId="77777777" w:rsidR="005C577F" w:rsidRPr="001F1A70" w:rsidRDefault="005C577F" w:rsidP="00B94A34">
            <w:pPr>
              <w:spacing w:after="0" w:line="240" w:lineRule="auto"/>
              <w:jc w:val="center"/>
              <w:rPr>
                <w:rFonts w:eastAsia="Times New Roman"/>
                <w:color w:val="000000"/>
                <w:sz w:val="18"/>
                <w:szCs w:val="18"/>
              </w:rPr>
            </w:pPr>
          </w:p>
        </w:tc>
      </w:tr>
      <w:tr w:rsidR="005C577F" w:rsidRPr="001F1A70" w14:paraId="70951AC1" w14:textId="77777777" w:rsidTr="005C577F">
        <w:trPr>
          <w:cantSplit/>
          <w:jc w:val="center"/>
        </w:trPr>
        <w:tc>
          <w:tcPr>
            <w:tcW w:w="5075" w:type="dxa"/>
            <w:tcBorders>
              <w:top w:val="nil"/>
              <w:bottom w:val="nil"/>
              <w:right w:val="nil"/>
            </w:tcBorders>
            <w:shd w:val="clear" w:color="auto" w:fill="FFFFFF"/>
            <w:tcMar>
              <w:left w:w="67" w:type="dxa"/>
              <w:right w:w="67" w:type="dxa"/>
            </w:tcMar>
          </w:tcPr>
          <w:p w14:paraId="59153F85" w14:textId="77777777" w:rsidR="005C577F" w:rsidRPr="001F1A70" w:rsidRDefault="005C577F" w:rsidP="00B94A34">
            <w:pPr>
              <w:spacing w:after="0" w:line="240" w:lineRule="auto"/>
              <w:rPr>
                <w:rFonts w:eastAsia="Times New Roman"/>
                <w:color w:val="000000"/>
                <w:sz w:val="18"/>
                <w:szCs w:val="18"/>
              </w:rPr>
            </w:pPr>
            <w:r w:rsidRPr="001F1A70">
              <w:rPr>
                <w:rFonts w:eastAsia="Times New Roman"/>
                <w:color w:val="000000"/>
                <w:sz w:val="18"/>
                <w:szCs w:val="18"/>
              </w:rPr>
              <w:t>0</w:t>
            </w:r>
          </w:p>
        </w:tc>
        <w:tc>
          <w:tcPr>
            <w:tcW w:w="1063" w:type="dxa"/>
            <w:tcBorders>
              <w:top w:val="nil"/>
              <w:left w:val="nil"/>
              <w:bottom w:val="nil"/>
              <w:right w:val="nil"/>
            </w:tcBorders>
            <w:shd w:val="clear" w:color="auto" w:fill="FFFFFF"/>
            <w:tcMar>
              <w:left w:w="67" w:type="dxa"/>
              <w:right w:w="67" w:type="dxa"/>
            </w:tcMar>
          </w:tcPr>
          <w:p w14:paraId="1F32ADDB"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231 (75%)</w:t>
            </w:r>
          </w:p>
        </w:tc>
        <w:tc>
          <w:tcPr>
            <w:tcW w:w="1233" w:type="dxa"/>
            <w:tcBorders>
              <w:top w:val="nil"/>
              <w:left w:val="nil"/>
              <w:bottom w:val="nil"/>
              <w:right w:val="nil"/>
            </w:tcBorders>
            <w:shd w:val="clear" w:color="auto" w:fill="FFFFFF"/>
            <w:tcMar>
              <w:left w:w="67" w:type="dxa"/>
              <w:right w:w="67" w:type="dxa"/>
            </w:tcMar>
          </w:tcPr>
          <w:p w14:paraId="76446A8B"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308 (73.7%)</w:t>
            </w:r>
          </w:p>
        </w:tc>
        <w:tc>
          <w:tcPr>
            <w:tcW w:w="1165" w:type="dxa"/>
            <w:tcBorders>
              <w:top w:val="nil"/>
              <w:left w:val="nil"/>
              <w:bottom w:val="nil"/>
            </w:tcBorders>
            <w:shd w:val="clear" w:color="auto" w:fill="FFFFFF"/>
            <w:tcMar>
              <w:left w:w="67" w:type="dxa"/>
              <w:right w:w="67" w:type="dxa"/>
            </w:tcMar>
          </w:tcPr>
          <w:p w14:paraId="39B85B58"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539 (74.2%)</w:t>
            </w:r>
          </w:p>
        </w:tc>
      </w:tr>
      <w:tr w:rsidR="005C577F" w:rsidRPr="001F1A70" w14:paraId="5BB0BC35" w14:textId="77777777" w:rsidTr="005C577F">
        <w:trPr>
          <w:cantSplit/>
          <w:jc w:val="center"/>
        </w:trPr>
        <w:tc>
          <w:tcPr>
            <w:tcW w:w="5075" w:type="dxa"/>
            <w:tcBorders>
              <w:top w:val="nil"/>
              <w:bottom w:val="nil"/>
              <w:right w:val="nil"/>
            </w:tcBorders>
            <w:shd w:val="clear" w:color="auto" w:fill="FFFFFF"/>
            <w:tcMar>
              <w:left w:w="67" w:type="dxa"/>
              <w:right w:w="67" w:type="dxa"/>
            </w:tcMar>
          </w:tcPr>
          <w:p w14:paraId="23304B83" w14:textId="77777777" w:rsidR="005C577F" w:rsidRPr="001F1A70" w:rsidRDefault="005C577F" w:rsidP="00B94A34">
            <w:pPr>
              <w:spacing w:after="0" w:line="240" w:lineRule="auto"/>
              <w:rPr>
                <w:rFonts w:eastAsia="Times New Roman"/>
                <w:color w:val="000000"/>
                <w:sz w:val="18"/>
                <w:szCs w:val="18"/>
              </w:rPr>
            </w:pPr>
            <w:r w:rsidRPr="001F1A70">
              <w:rPr>
                <w:rFonts w:eastAsia="Times New Roman"/>
                <w:color w:val="000000"/>
                <w:sz w:val="18"/>
                <w:szCs w:val="18"/>
              </w:rPr>
              <w:t>1</w:t>
            </w:r>
          </w:p>
        </w:tc>
        <w:tc>
          <w:tcPr>
            <w:tcW w:w="1063" w:type="dxa"/>
            <w:tcBorders>
              <w:top w:val="nil"/>
              <w:left w:val="nil"/>
              <w:bottom w:val="nil"/>
              <w:right w:val="nil"/>
            </w:tcBorders>
            <w:shd w:val="clear" w:color="auto" w:fill="FFFFFF"/>
            <w:tcMar>
              <w:left w:w="67" w:type="dxa"/>
              <w:right w:w="67" w:type="dxa"/>
            </w:tcMar>
          </w:tcPr>
          <w:p w14:paraId="0ECD9B90"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64 (20.8%)</w:t>
            </w:r>
          </w:p>
        </w:tc>
        <w:tc>
          <w:tcPr>
            <w:tcW w:w="1233" w:type="dxa"/>
            <w:tcBorders>
              <w:top w:val="nil"/>
              <w:left w:val="nil"/>
              <w:bottom w:val="nil"/>
              <w:right w:val="nil"/>
            </w:tcBorders>
            <w:shd w:val="clear" w:color="auto" w:fill="FFFFFF"/>
            <w:tcMar>
              <w:left w:w="67" w:type="dxa"/>
              <w:right w:w="67" w:type="dxa"/>
            </w:tcMar>
          </w:tcPr>
          <w:p w14:paraId="00D594EB"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77 (18.4%)</w:t>
            </w:r>
          </w:p>
        </w:tc>
        <w:tc>
          <w:tcPr>
            <w:tcW w:w="1165" w:type="dxa"/>
            <w:tcBorders>
              <w:top w:val="nil"/>
              <w:left w:val="nil"/>
              <w:bottom w:val="nil"/>
            </w:tcBorders>
            <w:shd w:val="clear" w:color="auto" w:fill="FFFFFF"/>
            <w:tcMar>
              <w:left w:w="67" w:type="dxa"/>
              <w:right w:w="67" w:type="dxa"/>
            </w:tcMar>
          </w:tcPr>
          <w:p w14:paraId="1CBEB84A"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141 (19.4%)</w:t>
            </w:r>
          </w:p>
        </w:tc>
      </w:tr>
      <w:tr w:rsidR="005C577F" w:rsidRPr="001F1A70" w14:paraId="7A8D4A23" w14:textId="77777777" w:rsidTr="005C577F">
        <w:trPr>
          <w:cantSplit/>
          <w:jc w:val="center"/>
        </w:trPr>
        <w:tc>
          <w:tcPr>
            <w:tcW w:w="5075" w:type="dxa"/>
            <w:tcBorders>
              <w:top w:val="nil"/>
              <w:bottom w:val="nil"/>
              <w:right w:val="nil"/>
            </w:tcBorders>
            <w:shd w:val="clear" w:color="auto" w:fill="FFFFFF"/>
            <w:tcMar>
              <w:left w:w="67" w:type="dxa"/>
              <w:right w:w="67" w:type="dxa"/>
            </w:tcMar>
          </w:tcPr>
          <w:p w14:paraId="263133FB" w14:textId="77777777" w:rsidR="005C577F" w:rsidRPr="001F1A70" w:rsidRDefault="005C577F" w:rsidP="00B94A34">
            <w:pPr>
              <w:spacing w:after="0" w:line="240" w:lineRule="auto"/>
              <w:rPr>
                <w:rFonts w:eastAsia="Times New Roman"/>
                <w:color w:val="000000"/>
                <w:sz w:val="18"/>
                <w:szCs w:val="18"/>
              </w:rPr>
            </w:pPr>
            <w:r w:rsidRPr="001F1A70">
              <w:rPr>
                <w:rFonts w:eastAsia="Times New Roman"/>
                <w:color w:val="000000"/>
                <w:sz w:val="18"/>
                <w:szCs w:val="18"/>
              </w:rPr>
              <w:t>2</w:t>
            </w:r>
          </w:p>
        </w:tc>
        <w:tc>
          <w:tcPr>
            <w:tcW w:w="1063" w:type="dxa"/>
            <w:tcBorders>
              <w:top w:val="nil"/>
              <w:left w:val="nil"/>
              <w:bottom w:val="nil"/>
              <w:right w:val="nil"/>
            </w:tcBorders>
            <w:shd w:val="clear" w:color="auto" w:fill="FFFFFF"/>
            <w:tcMar>
              <w:left w:w="67" w:type="dxa"/>
              <w:right w:w="67" w:type="dxa"/>
            </w:tcMar>
          </w:tcPr>
          <w:p w14:paraId="48A3E393"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11 (3.6%)</w:t>
            </w:r>
          </w:p>
        </w:tc>
        <w:tc>
          <w:tcPr>
            <w:tcW w:w="1233" w:type="dxa"/>
            <w:tcBorders>
              <w:top w:val="nil"/>
              <w:left w:val="nil"/>
              <w:bottom w:val="nil"/>
              <w:right w:val="nil"/>
            </w:tcBorders>
            <w:shd w:val="clear" w:color="auto" w:fill="FFFFFF"/>
            <w:tcMar>
              <w:left w:w="67" w:type="dxa"/>
              <w:right w:w="67" w:type="dxa"/>
            </w:tcMar>
          </w:tcPr>
          <w:p w14:paraId="525E4B81"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25 (6%)</w:t>
            </w:r>
          </w:p>
        </w:tc>
        <w:tc>
          <w:tcPr>
            <w:tcW w:w="1165" w:type="dxa"/>
            <w:tcBorders>
              <w:top w:val="nil"/>
              <w:left w:val="nil"/>
              <w:bottom w:val="nil"/>
            </w:tcBorders>
            <w:shd w:val="clear" w:color="auto" w:fill="FFFFFF"/>
            <w:tcMar>
              <w:left w:w="67" w:type="dxa"/>
              <w:right w:w="67" w:type="dxa"/>
            </w:tcMar>
          </w:tcPr>
          <w:p w14:paraId="06836A2F"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36 (5%)</w:t>
            </w:r>
          </w:p>
        </w:tc>
      </w:tr>
      <w:tr w:rsidR="005C577F" w:rsidRPr="001F1A70" w14:paraId="741857F8" w14:textId="77777777" w:rsidTr="005C577F">
        <w:trPr>
          <w:cantSplit/>
          <w:jc w:val="center"/>
        </w:trPr>
        <w:tc>
          <w:tcPr>
            <w:tcW w:w="5075" w:type="dxa"/>
            <w:tcBorders>
              <w:top w:val="nil"/>
              <w:bottom w:val="nil"/>
              <w:right w:val="nil"/>
            </w:tcBorders>
            <w:shd w:val="clear" w:color="auto" w:fill="FFFFFF"/>
            <w:tcMar>
              <w:left w:w="67" w:type="dxa"/>
              <w:right w:w="67" w:type="dxa"/>
            </w:tcMar>
          </w:tcPr>
          <w:p w14:paraId="19622258" w14:textId="77777777" w:rsidR="005C577F" w:rsidRPr="001F1A70" w:rsidRDefault="005C577F" w:rsidP="00B94A34">
            <w:pPr>
              <w:spacing w:after="0" w:line="240" w:lineRule="auto"/>
              <w:rPr>
                <w:rFonts w:eastAsia="Times New Roman"/>
                <w:color w:val="000000"/>
                <w:sz w:val="18"/>
                <w:szCs w:val="18"/>
              </w:rPr>
            </w:pPr>
            <w:r w:rsidRPr="001F1A70">
              <w:rPr>
                <w:rFonts w:eastAsia="Times New Roman"/>
                <w:color w:val="000000"/>
                <w:sz w:val="18"/>
                <w:szCs w:val="18"/>
              </w:rPr>
              <w:t>3</w:t>
            </w:r>
          </w:p>
        </w:tc>
        <w:tc>
          <w:tcPr>
            <w:tcW w:w="1063" w:type="dxa"/>
            <w:tcBorders>
              <w:top w:val="nil"/>
              <w:left w:val="nil"/>
              <w:bottom w:val="nil"/>
              <w:right w:val="nil"/>
            </w:tcBorders>
            <w:shd w:val="clear" w:color="auto" w:fill="FFFFFF"/>
            <w:tcMar>
              <w:left w:w="67" w:type="dxa"/>
              <w:right w:w="67" w:type="dxa"/>
            </w:tcMar>
          </w:tcPr>
          <w:p w14:paraId="64CC46BC"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2 (0.6%)</w:t>
            </w:r>
          </w:p>
        </w:tc>
        <w:tc>
          <w:tcPr>
            <w:tcW w:w="1233" w:type="dxa"/>
            <w:tcBorders>
              <w:top w:val="nil"/>
              <w:left w:val="nil"/>
              <w:bottom w:val="nil"/>
              <w:right w:val="nil"/>
            </w:tcBorders>
            <w:shd w:val="clear" w:color="auto" w:fill="FFFFFF"/>
            <w:tcMar>
              <w:left w:w="67" w:type="dxa"/>
              <w:right w:w="67" w:type="dxa"/>
            </w:tcMar>
          </w:tcPr>
          <w:p w14:paraId="0BC2800E"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7 (1.7%)</w:t>
            </w:r>
          </w:p>
        </w:tc>
        <w:tc>
          <w:tcPr>
            <w:tcW w:w="1165" w:type="dxa"/>
            <w:tcBorders>
              <w:top w:val="nil"/>
              <w:left w:val="nil"/>
              <w:bottom w:val="nil"/>
            </w:tcBorders>
            <w:shd w:val="clear" w:color="auto" w:fill="FFFFFF"/>
            <w:tcMar>
              <w:left w:w="67" w:type="dxa"/>
              <w:right w:w="67" w:type="dxa"/>
            </w:tcMar>
          </w:tcPr>
          <w:p w14:paraId="3FB73FD3"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9 (1.2%)</w:t>
            </w:r>
          </w:p>
        </w:tc>
      </w:tr>
      <w:tr w:rsidR="005C577F" w:rsidRPr="001F1A70" w14:paraId="2148F7FF" w14:textId="77777777" w:rsidTr="005C577F">
        <w:trPr>
          <w:cantSplit/>
          <w:jc w:val="center"/>
        </w:trPr>
        <w:tc>
          <w:tcPr>
            <w:tcW w:w="5075" w:type="dxa"/>
            <w:tcBorders>
              <w:top w:val="nil"/>
              <w:bottom w:val="nil"/>
              <w:right w:val="nil"/>
            </w:tcBorders>
            <w:shd w:val="clear" w:color="auto" w:fill="FFFFFF"/>
            <w:tcMar>
              <w:left w:w="67" w:type="dxa"/>
              <w:right w:w="67" w:type="dxa"/>
            </w:tcMar>
          </w:tcPr>
          <w:p w14:paraId="64F3A886" w14:textId="77777777" w:rsidR="005C577F" w:rsidRPr="001F1A70" w:rsidRDefault="005C577F" w:rsidP="00B94A34">
            <w:pPr>
              <w:spacing w:after="0" w:line="240" w:lineRule="auto"/>
              <w:rPr>
                <w:rFonts w:eastAsia="Times New Roman"/>
                <w:b/>
                <w:bCs/>
                <w:color w:val="000000"/>
                <w:sz w:val="18"/>
                <w:szCs w:val="18"/>
              </w:rPr>
            </w:pPr>
            <w:r w:rsidRPr="001F1A70">
              <w:rPr>
                <w:rFonts w:eastAsia="Times New Roman"/>
                <w:b/>
                <w:bCs/>
                <w:color w:val="000000"/>
                <w:sz w:val="18"/>
                <w:szCs w:val="18"/>
              </w:rPr>
              <w:t>Number of hospital admissions per resident - Mean (SD)</w:t>
            </w:r>
          </w:p>
        </w:tc>
        <w:tc>
          <w:tcPr>
            <w:tcW w:w="1063" w:type="dxa"/>
            <w:tcBorders>
              <w:top w:val="nil"/>
              <w:left w:val="nil"/>
              <w:bottom w:val="nil"/>
              <w:right w:val="nil"/>
            </w:tcBorders>
            <w:shd w:val="clear" w:color="auto" w:fill="FFFFFF"/>
            <w:tcMar>
              <w:left w:w="67" w:type="dxa"/>
              <w:right w:w="67" w:type="dxa"/>
            </w:tcMar>
          </w:tcPr>
          <w:p w14:paraId="7294F804"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0.3 (0.57)</w:t>
            </w:r>
          </w:p>
        </w:tc>
        <w:tc>
          <w:tcPr>
            <w:tcW w:w="1233" w:type="dxa"/>
            <w:tcBorders>
              <w:top w:val="nil"/>
              <w:left w:val="nil"/>
              <w:bottom w:val="nil"/>
              <w:right w:val="nil"/>
            </w:tcBorders>
            <w:shd w:val="clear" w:color="auto" w:fill="FFFFFF"/>
            <w:tcMar>
              <w:left w:w="67" w:type="dxa"/>
              <w:right w:w="67" w:type="dxa"/>
            </w:tcMar>
          </w:tcPr>
          <w:p w14:paraId="57FB9B67"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0.4 (0.71)</w:t>
            </w:r>
          </w:p>
        </w:tc>
        <w:tc>
          <w:tcPr>
            <w:tcW w:w="1165" w:type="dxa"/>
            <w:tcBorders>
              <w:top w:val="nil"/>
              <w:left w:val="nil"/>
              <w:bottom w:val="nil"/>
            </w:tcBorders>
            <w:shd w:val="clear" w:color="auto" w:fill="FFFFFF"/>
            <w:tcMar>
              <w:left w:w="67" w:type="dxa"/>
              <w:right w:w="67" w:type="dxa"/>
            </w:tcMar>
          </w:tcPr>
          <w:p w14:paraId="6A859243"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0.3 (0.65)</w:t>
            </w:r>
          </w:p>
        </w:tc>
      </w:tr>
      <w:tr w:rsidR="005C577F" w:rsidRPr="001F1A70" w14:paraId="5A627A55" w14:textId="77777777" w:rsidTr="005C577F">
        <w:trPr>
          <w:cantSplit/>
          <w:jc w:val="center"/>
        </w:trPr>
        <w:tc>
          <w:tcPr>
            <w:tcW w:w="5075" w:type="dxa"/>
            <w:tcBorders>
              <w:top w:val="nil"/>
              <w:bottom w:val="nil"/>
              <w:right w:val="nil"/>
            </w:tcBorders>
            <w:shd w:val="clear" w:color="auto" w:fill="FFFFFF"/>
            <w:tcMar>
              <w:left w:w="67" w:type="dxa"/>
              <w:right w:w="67" w:type="dxa"/>
            </w:tcMar>
          </w:tcPr>
          <w:p w14:paraId="075EBB72" w14:textId="77777777" w:rsidR="005C577F" w:rsidRPr="001F1A70" w:rsidRDefault="005C577F" w:rsidP="00B94A34">
            <w:pPr>
              <w:spacing w:after="0" w:line="240" w:lineRule="auto"/>
              <w:rPr>
                <w:rFonts w:eastAsia="Times New Roman"/>
                <w:b/>
                <w:bCs/>
                <w:color w:val="000000"/>
                <w:sz w:val="18"/>
                <w:szCs w:val="18"/>
              </w:rPr>
            </w:pPr>
            <w:r w:rsidRPr="001F1A70">
              <w:rPr>
                <w:rFonts w:eastAsia="Times New Roman"/>
                <w:b/>
                <w:bCs/>
                <w:color w:val="000000"/>
                <w:sz w:val="18"/>
                <w:szCs w:val="18"/>
              </w:rPr>
              <w:t>Length of hospital admission (days) - Mean (SD)</w:t>
            </w:r>
          </w:p>
        </w:tc>
        <w:tc>
          <w:tcPr>
            <w:tcW w:w="1063" w:type="dxa"/>
            <w:tcBorders>
              <w:top w:val="nil"/>
              <w:left w:val="nil"/>
              <w:bottom w:val="nil"/>
              <w:right w:val="nil"/>
            </w:tcBorders>
            <w:shd w:val="clear" w:color="auto" w:fill="FFFFFF"/>
            <w:tcMar>
              <w:left w:w="67" w:type="dxa"/>
              <w:right w:w="67" w:type="dxa"/>
            </w:tcMar>
          </w:tcPr>
          <w:p w14:paraId="5849B4AB"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3.7 (12.33)</w:t>
            </w:r>
          </w:p>
        </w:tc>
        <w:tc>
          <w:tcPr>
            <w:tcW w:w="1233" w:type="dxa"/>
            <w:tcBorders>
              <w:top w:val="nil"/>
              <w:left w:val="nil"/>
              <w:bottom w:val="nil"/>
              <w:right w:val="nil"/>
            </w:tcBorders>
            <w:shd w:val="clear" w:color="auto" w:fill="FFFFFF"/>
            <w:tcMar>
              <w:left w:w="67" w:type="dxa"/>
              <w:right w:w="67" w:type="dxa"/>
            </w:tcMar>
          </w:tcPr>
          <w:p w14:paraId="1EA4DD10"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2.9 (9.65)</w:t>
            </w:r>
          </w:p>
        </w:tc>
        <w:tc>
          <w:tcPr>
            <w:tcW w:w="1165" w:type="dxa"/>
            <w:tcBorders>
              <w:top w:val="nil"/>
              <w:left w:val="nil"/>
              <w:bottom w:val="nil"/>
            </w:tcBorders>
            <w:shd w:val="clear" w:color="auto" w:fill="FFFFFF"/>
            <w:tcMar>
              <w:left w:w="67" w:type="dxa"/>
              <w:right w:w="67" w:type="dxa"/>
            </w:tcMar>
          </w:tcPr>
          <w:p w14:paraId="35C17998"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3.2 (10.86)</w:t>
            </w:r>
          </w:p>
        </w:tc>
      </w:tr>
      <w:tr w:rsidR="005C577F" w:rsidRPr="001F1A70" w14:paraId="1A3EF141" w14:textId="77777777" w:rsidTr="005C577F">
        <w:trPr>
          <w:cantSplit/>
          <w:jc w:val="center"/>
        </w:trPr>
        <w:tc>
          <w:tcPr>
            <w:tcW w:w="5075" w:type="dxa"/>
            <w:tcBorders>
              <w:top w:val="nil"/>
              <w:bottom w:val="nil"/>
              <w:right w:val="nil"/>
            </w:tcBorders>
            <w:shd w:val="clear" w:color="auto" w:fill="FFFFFF"/>
            <w:tcMar>
              <w:left w:w="67" w:type="dxa"/>
              <w:right w:w="67" w:type="dxa"/>
            </w:tcMar>
          </w:tcPr>
          <w:p w14:paraId="0EFBFEFA" w14:textId="77777777" w:rsidR="005C577F" w:rsidRPr="001F1A70" w:rsidRDefault="005C577F" w:rsidP="00B94A34">
            <w:pPr>
              <w:spacing w:after="0" w:line="240" w:lineRule="auto"/>
              <w:rPr>
                <w:rFonts w:eastAsia="Times New Roman"/>
                <w:b/>
                <w:bCs/>
                <w:color w:val="000000"/>
                <w:sz w:val="18"/>
                <w:szCs w:val="18"/>
              </w:rPr>
            </w:pPr>
            <w:r w:rsidRPr="001F1A70">
              <w:rPr>
                <w:rFonts w:eastAsia="Times New Roman"/>
                <w:b/>
                <w:bCs/>
                <w:color w:val="000000"/>
                <w:sz w:val="18"/>
                <w:szCs w:val="18"/>
              </w:rPr>
              <w:t>Overall number of hospital admissions reported - N (%)</w:t>
            </w:r>
          </w:p>
        </w:tc>
        <w:tc>
          <w:tcPr>
            <w:tcW w:w="1063" w:type="dxa"/>
            <w:tcBorders>
              <w:top w:val="nil"/>
              <w:left w:val="nil"/>
              <w:bottom w:val="nil"/>
              <w:right w:val="nil"/>
            </w:tcBorders>
            <w:shd w:val="clear" w:color="auto" w:fill="FFFFFF"/>
            <w:tcMar>
              <w:left w:w="67" w:type="dxa"/>
              <w:right w:w="67" w:type="dxa"/>
            </w:tcMar>
          </w:tcPr>
          <w:p w14:paraId="7471661A"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92 (25%)</w:t>
            </w:r>
          </w:p>
        </w:tc>
        <w:tc>
          <w:tcPr>
            <w:tcW w:w="1233" w:type="dxa"/>
            <w:tcBorders>
              <w:top w:val="nil"/>
              <w:left w:val="nil"/>
              <w:bottom w:val="nil"/>
              <w:right w:val="nil"/>
            </w:tcBorders>
            <w:shd w:val="clear" w:color="auto" w:fill="FFFFFF"/>
            <w:tcMar>
              <w:left w:w="67" w:type="dxa"/>
              <w:right w:w="67" w:type="dxa"/>
            </w:tcMar>
          </w:tcPr>
          <w:p w14:paraId="3D66F6DF"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153 (26.3%)</w:t>
            </w:r>
          </w:p>
        </w:tc>
        <w:tc>
          <w:tcPr>
            <w:tcW w:w="1165" w:type="dxa"/>
            <w:tcBorders>
              <w:top w:val="nil"/>
              <w:left w:val="nil"/>
              <w:bottom w:val="nil"/>
            </w:tcBorders>
            <w:shd w:val="clear" w:color="auto" w:fill="FFFFFF"/>
            <w:tcMar>
              <w:left w:w="67" w:type="dxa"/>
              <w:right w:w="67" w:type="dxa"/>
            </w:tcMar>
          </w:tcPr>
          <w:p w14:paraId="32199391"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245 (25.8%)</w:t>
            </w:r>
          </w:p>
        </w:tc>
      </w:tr>
      <w:tr w:rsidR="005C577F" w:rsidRPr="001F1A70" w14:paraId="235DF007" w14:textId="77777777" w:rsidTr="005C577F">
        <w:trPr>
          <w:cantSplit/>
          <w:jc w:val="center"/>
        </w:trPr>
        <w:tc>
          <w:tcPr>
            <w:tcW w:w="5075" w:type="dxa"/>
            <w:tcBorders>
              <w:top w:val="nil"/>
              <w:bottom w:val="nil"/>
              <w:right w:val="nil"/>
            </w:tcBorders>
            <w:shd w:val="clear" w:color="auto" w:fill="FFFFFF"/>
            <w:tcMar>
              <w:left w:w="67" w:type="dxa"/>
              <w:right w:w="67" w:type="dxa"/>
            </w:tcMar>
          </w:tcPr>
          <w:p w14:paraId="7BB9FA57" w14:textId="77777777" w:rsidR="005C577F" w:rsidRPr="001F1A70" w:rsidRDefault="005C577F" w:rsidP="00B94A34">
            <w:pPr>
              <w:spacing w:after="0" w:line="240" w:lineRule="auto"/>
              <w:rPr>
                <w:rFonts w:eastAsia="Times New Roman"/>
                <w:b/>
                <w:bCs/>
                <w:color w:val="000000"/>
                <w:sz w:val="18"/>
                <w:szCs w:val="18"/>
              </w:rPr>
            </w:pPr>
            <w:r w:rsidRPr="001F1A70">
              <w:rPr>
                <w:rFonts w:eastAsia="Times New Roman"/>
                <w:b/>
                <w:bCs/>
                <w:color w:val="000000"/>
                <w:sz w:val="18"/>
                <w:szCs w:val="18"/>
              </w:rPr>
              <w:t>Admission ward type:</w:t>
            </w:r>
          </w:p>
        </w:tc>
        <w:tc>
          <w:tcPr>
            <w:tcW w:w="1063" w:type="dxa"/>
            <w:tcBorders>
              <w:top w:val="nil"/>
              <w:left w:val="nil"/>
              <w:bottom w:val="nil"/>
              <w:right w:val="nil"/>
            </w:tcBorders>
            <w:shd w:val="clear" w:color="auto" w:fill="FFFFFF"/>
            <w:tcMar>
              <w:left w:w="67" w:type="dxa"/>
              <w:right w:w="67" w:type="dxa"/>
            </w:tcMar>
          </w:tcPr>
          <w:p w14:paraId="28C5D07F" w14:textId="77777777" w:rsidR="005C577F" w:rsidRPr="001F1A70" w:rsidRDefault="005C577F" w:rsidP="00B94A34">
            <w:pPr>
              <w:spacing w:after="0" w:line="240" w:lineRule="auto"/>
              <w:jc w:val="right"/>
              <w:rPr>
                <w:rFonts w:eastAsia="Times New Roman"/>
                <w:color w:val="000000"/>
                <w:sz w:val="18"/>
                <w:szCs w:val="18"/>
              </w:rPr>
            </w:pPr>
          </w:p>
        </w:tc>
        <w:tc>
          <w:tcPr>
            <w:tcW w:w="1233" w:type="dxa"/>
            <w:tcBorders>
              <w:top w:val="nil"/>
              <w:left w:val="nil"/>
              <w:bottom w:val="nil"/>
              <w:right w:val="nil"/>
            </w:tcBorders>
            <w:shd w:val="clear" w:color="auto" w:fill="FFFFFF"/>
            <w:tcMar>
              <w:left w:w="67" w:type="dxa"/>
              <w:right w:w="67" w:type="dxa"/>
            </w:tcMar>
          </w:tcPr>
          <w:p w14:paraId="47DC5966" w14:textId="77777777" w:rsidR="005C577F" w:rsidRPr="001F1A70" w:rsidRDefault="005C577F" w:rsidP="00B94A34">
            <w:pPr>
              <w:spacing w:after="0" w:line="240" w:lineRule="auto"/>
              <w:jc w:val="right"/>
              <w:rPr>
                <w:rFonts w:eastAsia="Times New Roman"/>
                <w:color w:val="000000"/>
                <w:sz w:val="18"/>
                <w:szCs w:val="18"/>
              </w:rPr>
            </w:pPr>
          </w:p>
        </w:tc>
        <w:tc>
          <w:tcPr>
            <w:tcW w:w="1165" w:type="dxa"/>
            <w:tcBorders>
              <w:top w:val="nil"/>
              <w:left w:val="nil"/>
              <w:bottom w:val="nil"/>
            </w:tcBorders>
            <w:shd w:val="clear" w:color="auto" w:fill="FFFFFF"/>
            <w:tcMar>
              <w:left w:w="67" w:type="dxa"/>
              <w:right w:w="67" w:type="dxa"/>
            </w:tcMar>
          </w:tcPr>
          <w:p w14:paraId="6B5E7FE9" w14:textId="77777777" w:rsidR="005C577F" w:rsidRPr="001F1A70" w:rsidRDefault="005C577F" w:rsidP="00B94A34">
            <w:pPr>
              <w:spacing w:after="0" w:line="240" w:lineRule="auto"/>
              <w:jc w:val="right"/>
              <w:rPr>
                <w:rFonts w:eastAsia="Times New Roman"/>
                <w:color w:val="000000"/>
                <w:sz w:val="18"/>
                <w:szCs w:val="18"/>
              </w:rPr>
            </w:pPr>
          </w:p>
        </w:tc>
      </w:tr>
      <w:tr w:rsidR="005C577F" w:rsidRPr="001F1A70" w14:paraId="27BCF582" w14:textId="77777777" w:rsidTr="005C577F">
        <w:trPr>
          <w:cantSplit/>
          <w:jc w:val="center"/>
        </w:trPr>
        <w:tc>
          <w:tcPr>
            <w:tcW w:w="5075" w:type="dxa"/>
            <w:tcBorders>
              <w:top w:val="nil"/>
              <w:bottom w:val="nil"/>
              <w:right w:val="nil"/>
            </w:tcBorders>
            <w:shd w:val="clear" w:color="auto" w:fill="FFFFFF"/>
            <w:tcMar>
              <w:left w:w="67" w:type="dxa"/>
              <w:right w:w="67" w:type="dxa"/>
            </w:tcMar>
          </w:tcPr>
          <w:p w14:paraId="65CE030C" w14:textId="77777777" w:rsidR="005C577F" w:rsidRPr="001F1A70" w:rsidRDefault="005C577F" w:rsidP="00B94A34">
            <w:pPr>
              <w:spacing w:after="0" w:line="240" w:lineRule="auto"/>
              <w:rPr>
                <w:rFonts w:eastAsia="Times New Roman"/>
                <w:color w:val="000000"/>
                <w:sz w:val="18"/>
                <w:szCs w:val="18"/>
              </w:rPr>
            </w:pPr>
            <w:r w:rsidRPr="001F1A70">
              <w:rPr>
                <w:rFonts w:eastAsia="Times New Roman"/>
                <w:color w:val="000000"/>
                <w:sz w:val="18"/>
                <w:szCs w:val="18"/>
              </w:rPr>
              <w:t>General</w:t>
            </w:r>
          </w:p>
        </w:tc>
        <w:tc>
          <w:tcPr>
            <w:tcW w:w="1063" w:type="dxa"/>
            <w:tcBorders>
              <w:top w:val="nil"/>
              <w:left w:val="nil"/>
              <w:bottom w:val="nil"/>
              <w:right w:val="nil"/>
            </w:tcBorders>
            <w:shd w:val="clear" w:color="auto" w:fill="FFFFFF"/>
            <w:tcMar>
              <w:left w:w="67" w:type="dxa"/>
              <w:right w:w="67" w:type="dxa"/>
            </w:tcMar>
          </w:tcPr>
          <w:p w14:paraId="2B57E0A4"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77</w:t>
            </w:r>
          </w:p>
        </w:tc>
        <w:tc>
          <w:tcPr>
            <w:tcW w:w="1233" w:type="dxa"/>
            <w:tcBorders>
              <w:top w:val="nil"/>
              <w:left w:val="nil"/>
              <w:bottom w:val="nil"/>
              <w:right w:val="nil"/>
            </w:tcBorders>
            <w:shd w:val="clear" w:color="auto" w:fill="FFFFFF"/>
            <w:tcMar>
              <w:left w:w="67" w:type="dxa"/>
              <w:right w:w="67" w:type="dxa"/>
            </w:tcMar>
          </w:tcPr>
          <w:p w14:paraId="6551C207"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132</w:t>
            </w:r>
          </w:p>
        </w:tc>
        <w:tc>
          <w:tcPr>
            <w:tcW w:w="1165" w:type="dxa"/>
            <w:tcBorders>
              <w:top w:val="nil"/>
              <w:left w:val="nil"/>
              <w:bottom w:val="nil"/>
            </w:tcBorders>
            <w:shd w:val="clear" w:color="auto" w:fill="FFFFFF"/>
            <w:tcMar>
              <w:left w:w="67" w:type="dxa"/>
              <w:right w:w="67" w:type="dxa"/>
            </w:tcMar>
          </w:tcPr>
          <w:p w14:paraId="0C8D6734"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209</w:t>
            </w:r>
          </w:p>
        </w:tc>
      </w:tr>
      <w:tr w:rsidR="005C577F" w:rsidRPr="001F1A70" w14:paraId="2F3B5FDF" w14:textId="77777777" w:rsidTr="005C577F">
        <w:trPr>
          <w:cantSplit/>
          <w:jc w:val="center"/>
        </w:trPr>
        <w:tc>
          <w:tcPr>
            <w:tcW w:w="5075" w:type="dxa"/>
            <w:tcBorders>
              <w:top w:val="nil"/>
              <w:bottom w:val="nil"/>
              <w:right w:val="nil"/>
            </w:tcBorders>
            <w:shd w:val="clear" w:color="auto" w:fill="FFFFFF"/>
            <w:tcMar>
              <w:left w:w="67" w:type="dxa"/>
              <w:right w:w="67" w:type="dxa"/>
            </w:tcMar>
          </w:tcPr>
          <w:p w14:paraId="172337DF" w14:textId="77777777" w:rsidR="005C577F" w:rsidRPr="001F1A70" w:rsidRDefault="005C577F" w:rsidP="00B94A34">
            <w:pPr>
              <w:spacing w:after="0" w:line="240" w:lineRule="auto"/>
              <w:rPr>
                <w:rFonts w:eastAsia="Times New Roman"/>
                <w:color w:val="000000"/>
                <w:sz w:val="18"/>
                <w:szCs w:val="18"/>
              </w:rPr>
            </w:pPr>
            <w:r w:rsidRPr="001F1A70">
              <w:rPr>
                <w:rFonts w:eastAsia="Times New Roman"/>
                <w:color w:val="000000"/>
                <w:sz w:val="18"/>
                <w:szCs w:val="18"/>
              </w:rPr>
              <w:t>ICU</w:t>
            </w:r>
          </w:p>
        </w:tc>
        <w:tc>
          <w:tcPr>
            <w:tcW w:w="1063" w:type="dxa"/>
            <w:tcBorders>
              <w:top w:val="nil"/>
              <w:left w:val="nil"/>
              <w:bottom w:val="nil"/>
              <w:right w:val="nil"/>
            </w:tcBorders>
            <w:shd w:val="clear" w:color="auto" w:fill="FFFFFF"/>
            <w:tcMar>
              <w:left w:w="67" w:type="dxa"/>
              <w:right w:w="67" w:type="dxa"/>
            </w:tcMar>
          </w:tcPr>
          <w:p w14:paraId="3D232FF7"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2</w:t>
            </w:r>
          </w:p>
        </w:tc>
        <w:tc>
          <w:tcPr>
            <w:tcW w:w="1233" w:type="dxa"/>
            <w:tcBorders>
              <w:top w:val="nil"/>
              <w:left w:val="nil"/>
              <w:bottom w:val="nil"/>
              <w:right w:val="nil"/>
            </w:tcBorders>
            <w:shd w:val="clear" w:color="auto" w:fill="FFFFFF"/>
            <w:tcMar>
              <w:left w:w="67" w:type="dxa"/>
              <w:right w:w="67" w:type="dxa"/>
            </w:tcMar>
          </w:tcPr>
          <w:p w14:paraId="09F3FB4A"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4</w:t>
            </w:r>
          </w:p>
        </w:tc>
        <w:tc>
          <w:tcPr>
            <w:tcW w:w="1165" w:type="dxa"/>
            <w:tcBorders>
              <w:top w:val="nil"/>
              <w:left w:val="nil"/>
              <w:bottom w:val="nil"/>
            </w:tcBorders>
            <w:shd w:val="clear" w:color="auto" w:fill="FFFFFF"/>
            <w:tcMar>
              <w:left w:w="67" w:type="dxa"/>
              <w:right w:w="67" w:type="dxa"/>
            </w:tcMar>
          </w:tcPr>
          <w:p w14:paraId="6FFBF037"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6</w:t>
            </w:r>
          </w:p>
        </w:tc>
      </w:tr>
      <w:tr w:rsidR="005C577F" w:rsidRPr="001F1A70" w14:paraId="0AF18F64" w14:textId="77777777" w:rsidTr="005C577F">
        <w:trPr>
          <w:cantSplit/>
          <w:jc w:val="center"/>
        </w:trPr>
        <w:tc>
          <w:tcPr>
            <w:tcW w:w="5075" w:type="dxa"/>
            <w:tcBorders>
              <w:top w:val="nil"/>
              <w:bottom w:val="nil"/>
              <w:right w:val="nil"/>
            </w:tcBorders>
            <w:shd w:val="clear" w:color="auto" w:fill="FFFFFF"/>
            <w:tcMar>
              <w:left w:w="67" w:type="dxa"/>
              <w:right w:w="67" w:type="dxa"/>
            </w:tcMar>
          </w:tcPr>
          <w:p w14:paraId="13D9CB73" w14:textId="77777777" w:rsidR="005C577F" w:rsidRPr="001F1A70" w:rsidRDefault="005C577F" w:rsidP="00B94A34">
            <w:pPr>
              <w:keepNext/>
              <w:spacing w:after="0" w:line="240" w:lineRule="auto"/>
              <w:rPr>
                <w:rFonts w:eastAsia="Times New Roman"/>
                <w:color w:val="000000"/>
                <w:sz w:val="18"/>
                <w:szCs w:val="18"/>
              </w:rPr>
            </w:pPr>
            <w:r w:rsidRPr="001F1A70">
              <w:rPr>
                <w:rFonts w:eastAsia="Times New Roman"/>
                <w:color w:val="000000"/>
                <w:sz w:val="18"/>
                <w:szCs w:val="18"/>
              </w:rPr>
              <w:t>HDU</w:t>
            </w:r>
          </w:p>
        </w:tc>
        <w:tc>
          <w:tcPr>
            <w:tcW w:w="1063" w:type="dxa"/>
            <w:tcBorders>
              <w:top w:val="nil"/>
              <w:left w:val="nil"/>
              <w:bottom w:val="nil"/>
              <w:right w:val="nil"/>
            </w:tcBorders>
            <w:shd w:val="clear" w:color="auto" w:fill="FFFFFF"/>
            <w:tcMar>
              <w:left w:w="67" w:type="dxa"/>
              <w:right w:w="67" w:type="dxa"/>
            </w:tcMar>
          </w:tcPr>
          <w:p w14:paraId="255EC1A9" w14:textId="77777777" w:rsidR="005C577F" w:rsidRPr="001F1A70" w:rsidRDefault="005C577F" w:rsidP="00B94A34">
            <w:pPr>
              <w:keepNext/>
              <w:spacing w:after="0" w:line="240" w:lineRule="auto"/>
              <w:jc w:val="right"/>
              <w:rPr>
                <w:rFonts w:eastAsia="Times New Roman"/>
                <w:color w:val="000000"/>
                <w:sz w:val="18"/>
                <w:szCs w:val="18"/>
              </w:rPr>
            </w:pPr>
            <w:r w:rsidRPr="001F1A70">
              <w:rPr>
                <w:rFonts w:eastAsia="Times New Roman"/>
                <w:color w:val="000000"/>
                <w:sz w:val="18"/>
                <w:szCs w:val="18"/>
              </w:rPr>
              <w:t>0</w:t>
            </w:r>
          </w:p>
        </w:tc>
        <w:tc>
          <w:tcPr>
            <w:tcW w:w="1233" w:type="dxa"/>
            <w:tcBorders>
              <w:top w:val="nil"/>
              <w:left w:val="nil"/>
              <w:bottom w:val="nil"/>
              <w:right w:val="nil"/>
            </w:tcBorders>
            <w:shd w:val="clear" w:color="auto" w:fill="FFFFFF"/>
            <w:tcMar>
              <w:left w:w="67" w:type="dxa"/>
              <w:right w:w="67" w:type="dxa"/>
            </w:tcMar>
          </w:tcPr>
          <w:p w14:paraId="3F3843CA" w14:textId="77777777" w:rsidR="005C577F" w:rsidRPr="001F1A70" w:rsidRDefault="005C577F" w:rsidP="00B94A34">
            <w:pPr>
              <w:keepNext/>
              <w:spacing w:after="0" w:line="240" w:lineRule="auto"/>
              <w:jc w:val="right"/>
              <w:rPr>
                <w:rFonts w:eastAsia="Times New Roman"/>
                <w:color w:val="000000"/>
                <w:sz w:val="18"/>
                <w:szCs w:val="18"/>
              </w:rPr>
            </w:pPr>
            <w:r w:rsidRPr="001F1A70">
              <w:rPr>
                <w:rFonts w:eastAsia="Times New Roman"/>
                <w:color w:val="000000"/>
                <w:sz w:val="18"/>
                <w:szCs w:val="18"/>
              </w:rPr>
              <w:t>0</w:t>
            </w:r>
          </w:p>
        </w:tc>
        <w:tc>
          <w:tcPr>
            <w:tcW w:w="1165" w:type="dxa"/>
            <w:tcBorders>
              <w:top w:val="nil"/>
              <w:left w:val="nil"/>
              <w:bottom w:val="nil"/>
            </w:tcBorders>
            <w:shd w:val="clear" w:color="auto" w:fill="FFFFFF"/>
            <w:tcMar>
              <w:left w:w="67" w:type="dxa"/>
              <w:right w:w="67" w:type="dxa"/>
            </w:tcMar>
          </w:tcPr>
          <w:p w14:paraId="6C8D7C97" w14:textId="77777777" w:rsidR="005C577F" w:rsidRPr="001F1A70" w:rsidRDefault="005C577F" w:rsidP="00B94A34">
            <w:pPr>
              <w:keepNext/>
              <w:spacing w:after="0" w:line="240" w:lineRule="auto"/>
              <w:jc w:val="right"/>
              <w:rPr>
                <w:rFonts w:eastAsia="Times New Roman"/>
                <w:color w:val="000000"/>
                <w:sz w:val="18"/>
                <w:szCs w:val="18"/>
              </w:rPr>
            </w:pPr>
            <w:r w:rsidRPr="001F1A70">
              <w:rPr>
                <w:rFonts w:eastAsia="Times New Roman"/>
                <w:color w:val="000000"/>
                <w:sz w:val="18"/>
                <w:szCs w:val="18"/>
              </w:rPr>
              <w:t>0</w:t>
            </w:r>
          </w:p>
        </w:tc>
      </w:tr>
      <w:tr w:rsidR="005C577F" w:rsidRPr="001F1A70" w14:paraId="4E605C17" w14:textId="77777777" w:rsidTr="005C577F">
        <w:trPr>
          <w:cantSplit/>
          <w:jc w:val="center"/>
        </w:trPr>
        <w:tc>
          <w:tcPr>
            <w:tcW w:w="5075" w:type="dxa"/>
            <w:tcBorders>
              <w:top w:val="nil"/>
              <w:bottom w:val="single" w:sz="4" w:space="0" w:color="auto"/>
              <w:right w:val="nil"/>
            </w:tcBorders>
            <w:shd w:val="clear" w:color="auto" w:fill="FFFFFF"/>
            <w:tcMar>
              <w:left w:w="67" w:type="dxa"/>
              <w:right w:w="67" w:type="dxa"/>
            </w:tcMar>
          </w:tcPr>
          <w:p w14:paraId="70169D68" w14:textId="77777777" w:rsidR="005C577F" w:rsidRPr="001F1A70" w:rsidRDefault="005C577F" w:rsidP="00B94A34">
            <w:pPr>
              <w:spacing w:after="0" w:line="240" w:lineRule="auto"/>
              <w:rPr>
                <w:rFonts w:eastAsia="Times New Roman"/>
                <w:color w:val="000000"/>
                <w:sz w:val="18"/>
                <w:szCs w:val="18"/>
              </w:rPr>
            </w:pPr>
            <w:r w:rsidRPr="001F1A70">
              <w:rPr>
                <w:rFonts w:eastAsia="Times New Roman"/>
                <w:color w:val="000000"/>
                <w:sz w:val="18"/>
                <w:szCs w:val="18"/>
              </w:rPr>
              <w:t>Other</w:t>
            </w:r>
          </w:p>
        </w:tc>
        <w:tc>
          <w:tcPr>
            <w:tcW w:w="1063" w:type="dxa"/>
            <w:tcBorders>
              <w:top w:val="nil"/>
              <w:left w:val="nil"/>
              <w:bottom w:val="single" w:sz="4" w:space="0" w:color="auto"/>
              <w:right w:val="nil"/>
            </w:tcBorders>
            <w:shd w:val="clear" w:color="auto" w:fill="FFFFFF"/>
            <w:tcMar>
              <w:left w:w="67" w:type="dxa"/>
              <w:right w:w="67" w:type="dxa"/>
            </w:tcMar>
          </w:tcPr>
          <w:p w14:paraId="2EA193D2"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9</w:t>
            </w:r>
          </w:p>
        </w:tc>
        <w:tc>
          <w:tcPr>
            <w:tcW w:w="1233" w:type="dxa"/>
            <w:tcBorders>
              <w:top w:val="nil"/>
              <w:left w:val="nil"/>
              <w:bottom w:val="single" w:sz="4" w:space="0" w:color="auto"/>
              <w:right w:val="nil"/>
            </w:tcBorders>
            <w:shd w:val="clear" w:color="auto" w:fill="FFFFFF"/>
            <w:tcMar>
              <w:left w:w="67" w:type="dxa"/>
              <w:right w:w="67" w:type="dxa"/>
            </w:tcMar>
          </w:tcPr>
          <w:p w14:paraId="07B0AEA4"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11</w:t>
            </w:r>
          </w:p>
        </w:tc>
        <w:tc>
          <w:tcPr>
            <w:tcW w:w="1165" w:type="dxa"/>
            <w:tcBorders>
              <w:top w:val="nil"/>
              <w:left w:val="nil"/>
              <w:bottom w:val="single" w:sz="4" w:space="0" w:color="auto"/>
            </w:tcBorders>
            <w:shd w:val="clear" w:color="auto" w:fill="FFFFFF"/>
            <w:tcMar>
              <w:left w:w="67" w:type="dxa"/>
              <w:right w:w="67" w:type="dxa"/>
            </w:tcMar>
          </w:tcPr>
          <w:p w14:paraId="20288AC5" w14:textId="77777777" w:rsidR="005C577F" w:rsidRPr="001F1A70" w:rsidRDefault="005C577F" w:rsidP="00B94A34">
            <w:pPr>
              <w:spacing w:after="0" w:line="240" w:lineRule="auto"/>
              <w:jc w:val="right"/>
              <w:rPr>
                <w:rFonts w:eastAsia="Times New Roman"/>
                <w:color w:val="000000"/>
                <w:sz w:val="18"/>
                <w:szCs w:val="18"/>
              </w:rPr>
            </w:pPr>
            <w:r w:rsidRPr="001F1A70">
              <w:rPr>
                <w:rFonts w:eastAsia="Times New Roman"/>
                <w:color w:val="000000"/>
                <w:sz w:val="18"/>
                <w:szCs w:val="18"/>
              </w:rPr>
              <w:t>20</w:t>
            </w:r>
          </w:p>
        </w:tc>
      </w:tr>
    </w:tbl>
    <w:p w14:paraId="61B9C4DB" w14:textId="77777777" w:rsidR="005C577F" w:rsidRPr="00563AD3" w:rsidRDefault="005C577F" w:rsidP="009B13F3">
      <w:pPr>
        <w:rPr>
          <w:rFonts w:eastAsia="Times New Roman"/>
          <w:lang w:eastAsia="en-US"/>
        </w:rPr>
      </w:pPr>
    </w:p>
    <w:p w14:paraId="795E84C4" w14:textId="7EA2AFE2" w:rsidR="001E3D61" w:rsidRPr="00563AD3" w:rsidRDefault="001E3D61" w:rsidP="009B13F3">
      <w:pPr>
        <w:autoSpaceDE/>
        <w:autoSpaceDN/>
        <w:adjustRightInd/>
        <w:spacing w:after="200"/>
        <w:rPr>
          <w:rFonts w:eastAsia="Times New Roman"/>
          <w:b/>
          <w:bCs/>
          <w:sz w:val="28"/>
          <w:szCs w:val="26"/>
          <w:lang w:eastAsia="en-US"/>
        </w:rPr>
      </w:pPr>
    </w:p>
    <w:p w14:paraId="5870928C" w14:textId="77777777" w:rsidR="002E6044" w:rsidRPr="00563AD3" w:rsidRDefault="002E6044" w:rsidP="009B13F3">
      <w:pPr>
        <w:autoSpaceDE/>
        <w:autoSpaceDN/>
        <w:adjustRightInd/>
        <w:rPr>
          <w:rFonts w:eastAsia="Times New Roman"/>
          <w:b/>
          <w:color w:val="333333"/>
          <w:sz w:val="28"/>
          <w:szCs w:val="28"/>
        </w:rPr>
      </w:pPr>
      <w:r w:rsidRPr="00563AD3">
        <w:br w:type="page"/>
      </w:r>
    </w:p>
    <w:p w14:paraId="095F444E" w14:textId="54E87E69" w:rsidR="001E3D61" w:rsidRPr="00563AD3" w:rsidRDefault="00E40A31" w:rsidP="009B13F3">
      <w:pPr>
        <w:pStyle w:val="Heading1"/>
        <w:spacing w:line="360" w:lineRule="auto"/>
      </w:pPr>
      <w:bookmarkStart w:id="188" w:name="_Toc525544021"/>
      <w:r w:rsidRPr="00563AD3">
        <w:t>4.</w:t>
      </w:r>
      <w:r w:rsidR="001E3D61" w:rsidRPr="00563AD3">
        <w:t xml:space="preserve"> Cost effectiveness</w:t>
      </w:r>
      <w:bookmarkEnd w:id="188"/>
    </w:p>
    <w:p w14:paraId="0D56DA4B" w14:textId="4D9267F6" w:rsidR="00A540A2" w:rsidRPr="00563AD3" w:rsidRDefault="00E40A31" w:rsidP="009B13F3">
      <w:pPr>
        <w:pStyle w:val="Heading2"/>
      </w:pPr>
      <w:bookmarkStart w:id="189" w:name="_Toc490633653"/>
      <w:bookmarkStart w:id="190" w:name="_Toc525544022"/>
      <w:r w:rsidRPr="00563AD3">
        <w:t>4</w:t>
      </w:r>
      <w:r w:rsidR="00A540A2" w:rsidRPr="00563AD3">
        <w:t>.1 Missing data</w:t>
      </w:r>
      <w:bookmarkEnd w:id="189"/>
      <w:bookmarkEnd w:id="190"/>
    </w:p>
    <w:p w14:paraId="58012186" w14:textId="6CE2B6F2" w:rsidR="00A540A2" w:rsidRPr="00563AD3" w:rsidRDefault="009C7DA0" w:rsidP="009B13F3">
      <w:r w:rsidRPr="00563AD3">
        <w:t>Figure 4</w:t>
      </w:r>
      <w:r w:rsidR="00A540A2" w:rsidRPr="00563AD3">
        <w:t xml:space="preserve"> outlines the data available for the economic evaluation and the level of multiple imputation conducted. Data from </w:t>
      </w:r>
      <w:r w:rsidR="0024067A" w:rsidRPr="00563AD3">
        <w:t>389 (</w:t>
      </w:r>
      <w:r w:rsidR="000744AF" w:rsidRPr="00563AD3">
        <w:t>intervention</w:t>
      </w:r>
      <w:r w:rsidR="0024067A" w:rsidRPr="00563AD3">
        <w:t xml:space="preserve"> = 214; </w:t>
      </w:r>
      <w:r w:rsidR="000744AF" w:rsidRPr="00563AD3">
        <w:t>control</w:t>
      </w:r>
      <w:r w:rsidR="0024067A" w:rsidRPr="00563AD3">
        <w:t xml:space="preserve"> </w:t>
      </w:r>
      <w:r w:rsidR="00A540A2" w:rsidRPr="00563AD3">
        <w:t xml:space="preserve">= 175) residents were available for the </w:t>
      </w:r>
      <w:r w:rsidR="002B20F2" w:rsidRPr="00563AD3">
        <w:t xml:space="preserve">original cohort </w:t>
      </w:r>
      <w:r w:rsidR="00A540A2" w:rsidRPr="00563AD3">
        <w:t>complete case analysis and 726 (</w:t>
      </w:r>
      <w:r w:rsidR="000744AF" w:rsidRPr="00563AD3">
        <w:t>intervention</w:t>
      </w:r>
      <w:r w:rsidR="00A540A2" w:rsidRPr="00563AD3">
        <w:t xml:space="preserve"> = 418; </w:t>
      </w:r>
      <w:r w:rsidR="000744AF" w:rsidRPr="00563AD3">
        <w:t>control</w:t>
      </w:r>
      <w:r w:rsidR="00A540A2" w:rsidRPr="00563AD3">
        <w:t xml:space="preserve"> = 308) were available for the imputed dataset (and the primary analysis sample). </w:t>
      </w:r>
    </w:p>
    <w:p w14:paraId="3E6FE6F3" w14:textId="77777777" w:rsidR="00A540A2" w:rsidRPr="00563AD3" w:rsidRDefault="00A540A2" w:rsidP="009B13F3"/>
    <w:p w14:paraId="07096DF9" w14:textId="32D22702" w:rsidR="00A540A2" w:rsidRPr="00563AD3" w:rsidRDefault="00B5464E" w:rsidP="009B13F3">
      <w:pPr>
        <w:rPr>
          <w:noProof/>
        </w:rPr>
      </w:pPr>
      <w:r w:rsidRPr="00563AD3">
        <w:rPr>
          <w:noProof/>
        </w:rPr>
        <w:drawing>
          <wp:inline distT="0" distB="0" distL="0" distR="0" wp14:anchorId="432F596F" wp14:editId="6DD10BB9">
            <wp:extent cx="6257925" cy="56673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4" cstate="screen">
                      <a:grayscl/>
                      <a:extLst>
                        <a:ext uri="{28A0092B-C50C-407E-A947-70E740481C1C}">
                          <a14:useLocalDpi xmlns:a14="http://schemas.microsoft.com/office/drawing/2010/main"/>
                        </a:ext>
                      </a:extLst>
                    </a:blip>
                    <a:srcRect l="3603" t="3544"/>
                    <a:stretch/>
                  </pic:blipFill>
                  <pic:spPr bwMode="auto">
                    <a:xfrm>
                      <a:off x="0" y="0"/>
                      <a:ext cx="6257925" cy="5667375"/>
                    </a:xfrm>
                    <a:prstGeom prst="rect">
                      <a:avLst/>
                    </a:prstGeom>
                    <a:ln>
                      <a:noFill/>
                    </a:ln>
                    <a:extLst>
                      <a:ext uri="{53640926-AAD7-44D8-BBD7-CCE9431645EC}">
                        <a14:shadowObscured xmlns:a14="http://schemas.microsoft.com/office/drawing/2010/main"/>
                      </a:ext>
                    </a:extLst>
                  </pic:spPr>
                </pic:pic>
              </a:graphicData>
            </a:graphic>
          </wp:inline>
        </w:drawing>
      </w:r>
    </w:p>
    <w:p w14:paraId="4772CD02" w14:textId="77777777" w:rsidR="00246670" w:rsidRPr="00563AD3" w:rsidRDefault="00246670" w:rsidP="009B13F3">
      <w:pPr>
        <w:pStyle w:val="Figure"/>
      </w:pPr>
      <w:bookmarkStart w:id="191" w:name="_Toc525805240"/>
      <w:r w:rsidRPr="00563AD3">
        <w:t>Figure 4: Data completion rates for the complete case sample*</w:t>
      </w:r>
      <w:bookmarkEnd w:id="191"/>
    </w:p>
    <w:p w14:paraId="0FCCA0D5" w14:textId="77777777" w:rsidR="00A540A2" w:rsidRPr="00563AD3" w:rsidRDefault="00A540A2" w:rsidP="009B13F3">
      <w:pPr>
        <w:rPr>
          <w:sz w:val="20"/>
        </w:rPr>
      </w:pPr>
      <w:r w:rsidRPr="00563AD3">
        <w:rPr>
          <w:sz w:val="20"/>
        </w:rPr>
        <w:t>*Baseline resource use not required for complete case analysis</w:t>
      </w:r>
    </w:p>
    <w:p w14:paraId="3842C7C6" w14:textId="77777777" w:rsidR="00A540A2" w:rsidRPr="00563AD3" w:rsidRDefault="00A540A2" w:rsidP="009B13F3">
      <w:pPr>
        <w:rPr>
          <w:sz w:val="20"/>
        </w:rPr>
      </w:pPr>
    </w:p>
    <w:p w14:paraId="74F6B9D6" w14:textId="14F75698" w:rsidR="00A540A2" w:rsidRPr="00563AD3" w:rsidRDefault="00E40A31" w:rsidP="009B13F3">
      <w:pPr>
        <w:pStyle w:val="Heading2"/>
      </w:pPr>
      <w:bookmarkStart w:id="192" w:name="_Toc525544023"/>
      <w:r w:rsidRPr="00563AD3">
        <w:t>4</w:t>
      </w:r>
      <w:r w:rsidR="00A540A2" w:rsidRPr="00563AD3">
        <w:t>.2 Costs</w:t>
      </w:r>
      <w:bookmarkEnd w:id="192"/>
    </w:p>
    <w:p w14:paraId="38444ED0" w14:textId="0A814F5C" w:rsidR="00A540A2" w:rsidRPr="00563AD3" w:rsidRDefault="00A540A2" w:rsidP="009B13F3">
      <w:r w:rsidRPr="00563AD3">
        <w:t xml:space="preserve">The costs of the </w:t>
      </w:r>
      <w:r w:rsidR="00597D22" w:rsidRPr="00563AD3">
        <w:rPr>
          <w:lang w:eastAsia="en-US"/>
        </w:rPr>
        <w:t>DCM</w:t>
      </w:r>
      <w:r w:rsidR="00597D22" w:rsidRPr="00563AD3">
        <w:t>™</w:t>
      </w:r>
      <w:r w:rsidRPr="00563AD3">
        <w:t xml:space="preserve"> intervention and the assumptions behind this are described in Table </w:t>
      </w:r>
      <w:r w:rsidR="0005048E" w:rsidRPr="00563AD3">
        <w:t>1</w:t>
      </w:r>
      <w:r w:rsidR="0005048E">
        <w:t>9</w:t>
      </w:r>
      <w:r w:rsidRPr="00563AD3">
        <w:t xml:space="preserve">. These were agreed with the research team and cover the </w:t>
      </w:r>
      <w:r w:rsidR="00597D22" w:rsidRPr="00563AD3">
        <w:rPr>
          <w:lang w:eastAsia="en-US"/>
        </w:rPr>
        <w:t>DCM</w:t>
      </w:r>
      <w:r w:rsidR="00597D22" w:rsidRPr="00563AD3">
        <w:t>™</w:t>
      </w:r>
      <w:r w:rsidRPr="00563AD3">
        <w:t xml:space="preserve"> training and implementation. The total cost of the </w:t>
      </w:r>
      <w:r w:rsidR="00597D22" w:rsidRPr="00563AD3">
        <w:rPr>
          <w:lang w:eastAsia="en-US"/>
        </w:rPr>
        <w:t>DCM</w:t>
      </w:r>
      <w:r w:rsidR="00597D22" w:rsidRPr="00563AD3">
        <w:t>™</w:t>
      </w:r>
      <w:r w:rsidRPr="00563AD3">
        <w:t xml:space="preserve"> intervention was estimated to be £421.07 per resident (£9,290.30 per care home). Control arm costs were assumed to be zero.</w:t>
      </w:r>
    </w:p>
    <w:p w14:paraId="2F905602" w14:textId="1BBACC5D" w:rsidR="00A540A2" w:rsidRPr="00563AD3" w:rsidRDefault="00A540A2" w:rsidP="009B13F3">
      <w:r w:rsidRPr="00563AD3">
        <w:t xml:space="preserve">Table </w:t>
      </w:r>
      <w:r w:rsidR="00FD6ACB">
        <w:t>65</w:t>
      </w:r>
      <w:r w:rsidR="00FD6ACB" w:rsidRPr="00563AD3">
        <w:t xml:space="preserve"> </w:t>
      </w:r>
      <w:r w:rsidR="007F3F75" w:rsidRPr="00563AD3">
        <w:t xml:space="preserve">in </w:t>
      </w:r>
      <w:r w:rsidR="00087868">
        <w:t>Appendix 1</w:t>
      </w:r>
      <w:r w:rsidR="007F3F75" w:rsidRPr="00563AD3">
        <w:t xml:space="preserve"> </w:t>
      </w:r>
      <w:r w:rsidRPr="00563AD3">
        <w:t>includes descriptive statistics on resource use across time-points and by trial arm</w:t>
      </w:r>
      <w:r w:rsidR="009B7E0E" w:rsidRPr="00563AD3">
        <w:t xml:space="preserve"> based on data taken from resident care plans and care home records</w:t>
      </w:r>
      <w:r w:rsidRPr="00563AD3">
        <w:t xml:space="preserve">. </w:t>
      </w:r>
      <w:r w:rsidR="009B7E0E" w:rsidRPr="00563AD3">
        <w:t xml:space="preserve">Due to changes to the consent requirements to access NHS Digital data between baseline recruitment and the request for a data download at 16-months, we were unable to receive the data and thus were unable to use it to check the accuracy of data on hospital admissions obtained from the care home records. </w:t>
      </w:r>
      <w:r w:rsidRPr="00563AD3">
        <w:t xml:space="preserve">The costs of these are described in </w:t>
      </w:r>
      <w:r w:rsidR="0087696B" w:rsidRPr="00563AD3">
        <w:t>T</w:t>
      </w:r>
      <w:r w:rsidRPr="00563AD3">
        <w:t xml:space="preserve">able </w:t>
      </w:r>
      <w:r w:rsidR="0005048E">
        <w:t>20</w:t>
      </w:r>
      <w:r w:rsidR="0005048E" w:rsidRPr="00563AD3">
        <w:t xml:space="preserve"> </w:t>
      </w:r>
      <w:r w:rsidRPr="00563AD3">
        <w:t>below. Costs are</w:t>
      </w:r>
      <w:r w:rsidR="00CA52F7" w:rsidRPr="00563AD3">
        <w:t xml:space="preserve"> presented in UK £ sterling (</w:t>
      </w:r>
      <w:r w:rsidRPr="00563AD3">
        <w:t>2017 prices</w:t>
      </w:r>
      <w:r w:rsidR="00CA52F7" w:rsidRPr="00563AD3">
        <w:t>)</w:t>
      </w:r>
      <w:r w:rsidRPr="00563AD3">
        <w:t xml:space="preserve">. Total costs were £3,539.00 and £2,059.58 on average per resident in </w:t>
      </w:r>
      <w:r w:rsidR="004407A8" w:rsidRPr="00563AD3">
        <w:t>intervention</w:t>
      </w:r>
      <w:r w:rsidRPr="00563AD3">
        <w:t xml:space="preserve"> and </w:t>
      </w:r>
      <w:r w:rsidR="001348D0" w:rsidRPr="00563AD3">
        <w:t>control</w:t>
      </w:r>
      <w:r w:rsidRPr="00563AD3">
        <w:t xml:space="preserve"> arms, respectively. T-tests suggest these costs were significantly different for the imputed (p&lt;0.001) and complete case (p&lt;0.05) samples.</w:t>
      </w:r>
    </w:p>
    <w:p w14:paraId="4F405967" w14:textId="07DF8485" w:rsidR="00A540A2" w:rsidRPr="00563AD3" w:rsidRDefault="00A540A2" w:rsidP="009B13F3">
      <w:r w:rsidRPr="00563AD3">
        <w:t xml:space="preserve">Primary care costs were similar across </w:t>
      </w:r>
      <w:r w:rsidR="00182DC5" w:rsidRPr="00563AD3">
        <w:t>arms</w:t>
      </w:r>
      <w:r w:rsidRPr="00563AD3">
        <w:t xml:space="preserve"> while secondary care costs were noticeably higher in the </w:t>
      </w:r>
      <w:r w:rsidR="004407A8" w:rsidRPr="00563AD3">
        <w:t>intervention</w:t>
      </w:r>
      <w:r w:rsidRPr="00563AD3">
        <w:t xml:space="preserve"> arm. The </w:t>
      </w:r>
      <w:r w:rsidR="00CA52F7" w:rsidRPr="00563AD3">
        <w:t>intervention</w:t>
      </w:r>
      <w:r w:rsidRPr="00563AD3">
        <w:t xml:space="preserve"> </w:t>
      </w:r>
      <w:r w:rsidR="00182DC5" w:rsidRPr="00563AD3">
        <w:t>arm</w:t>
      </w:r>
      <w:r w:rsidRPr="00563AD3">
        <w:t xml:space="preserve"> included </w:t>
      </w:r>
      <w:r w:rsidR="00CA52F7" w:rsidRPr="00563AD3">
        <w:t xml:space="preserve">a few high cost individuals. There were </w:t>
      </w:r>
      <w:r w:rsidRPr="00563AD3">
        <w:t xml:space="preserve">six residents whose costs exceeded the maximum in the </w:t>
      </w:r>
      <w:r w:rsidR="00CA52F7" w:rsidRPr="00563AD3">
        <w:t>control with long periods of hospital stay or one-to-one care</w:t>
      </w:r>
      <w:r w:rsidRPr="00563AD3">
        <w:t>; these were excluded along with seven other high cost individuals (generated in the imputation) in a sensitivity analysis.</w:t>
      </w:r>
    </w:p>
    <w:p w14:paraId="462B1D06" w14:textId="77777777" w:rsidR="00002B88" w:rsidRPr="00563AD3" w:rsidRDefault="00002B88" w:rsidP="009B13F3"/>
    <w:p w14:paraId="7E939852" w14:textId="77777777" w:rsidR="00A540A2" w:rsidRPr="00563AD3" w:rsidRDefault="00A540A2" w:rsidP="009B13F3">
      <w:pPr>
        <w:autoSpaceDE/>
        <w:autoSpaceDN/>
        <w:adjustRightInd/>
        <w:rPr>
          <w:b/>
        </w:rPr>
      </w:pPr>
      <w:r w:rsidRPr="00563AD3">
        <w:br w:type="page"/>
      </w:r>
    </w:p>
    <w:p w14:paraId="0AF6251E" w14:textId="77777777" w:rsidR="00A540A2" w:rsidRPr="00563AD3" w:rsidRDefault="00A540A2" w:rsidP="009B13F3">
      <w:pPr>
        <w:autoSpaceDE/>
        <w:autoSpaceDN/>
        <w:adjustRightInd/>
        <w:sectPr w:rsidR="00A540A2" w:rsidRPr="00563AD3">
          <w:headerReference w:type="default" r:id="rId15"/>
          <w:footerReference w:type="default" r:id="rId16"/>
          <w:pgSz w:w="11906" w:h="16838"/>
          <w:pgMar w:top="1440" w:right="1440" w:bottom="1440" w:left="1440" w:header="708" w:footer="708" w:gutter="0"/>
          <w:cols w:space="708"/>
          <w:docGrid w:linePitch="360"/>
        </w:sectPr>
      </w:pPr>
    </w:p>
    <w:p w14:paraId="33A79FA8" w14:textId="77777777" w:rsidR="00A540A2" w:rsidRPr="00563AD3" w:rsidRDefault="00A540A2" w:rsidP="009B13F3">
      <w:pPr>
        <w:autoSpaceDE/>
        <w:autoSpaceDN/>
        <w:adjustRightInd/>
      </w:pPr>
    </w:p>
    <w:p w14:paraId="7B30DB2D" w14:textId="47056878" w:rsidR="00D66F7D" w:rsidRPr="00563AD3" w:rsidRDefault="00D66F7D" w:rsidP="009B13F3">
      <w:pPr>
        <w:pStyle w:val="Tableheading"/>
      </w:pPr>
      <w:bookmarkStart w:id="193" w:name="_Toc948216"/>
      <w:r w:rsidRPr="00563AD3">
        <w:t xml:space="preserve">Table </w:t>
      </w:r>
      <w:r w:rsidR="00F236DE" w:rsidRPr="00563AD3">
        <w:t>1</w:t>
      </w:r>
      <w:r w:rsidR="0005048E">
        <w:t>9</w:t>
      </w:r>
      <w:r w:rsidRPr="00563AD3">
        <w:t xml:space="preserve">: Costs of </w:t>
      </w:r>
      <w:r w:rsidR="00597D22" w:rsidRPr="00563AD3">
        <w:rPr>
          <w:lang w:eastAsia="en-US"/>
        </w:rPr>
        <w:t>DCM</w:t>
      </w:r>
      <w:r w:rsidR="00597D22" w:rsidRPr="00563AD3">
        <w:t>™</w:t>
      </w:r>
      <w:r w:rsidRPr="00563AD3">
        <w:t xml:space="preserve"> intervention</w:t>
      </w:r>
      <w:bookmarkEnd w:id="1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06"/>
        <w:gridCol w:w="5932"/>
      </w:tblGrid>
      <w:tr w:rsidR="00D66F7D" w:rsidRPr="008435A0" w14:paraId="5DFBFF83" w14:textId="77777777" w:rsidTr="00D66F7D">
        <w:tc>
          <w:tcPr>
            <w:tcW w:w="1174" w:type="pct"/>
            <w:shd w:val="clear" w:color="auto" w:fill="auto"/>
          </w:tcPr>
          <w:p w14:paraId="1C5550B3" w14:textId="77777777" w:rsidR="00D66F7D" w:rsidRPr="008435A0" w:rsidRDefault="00D66F7D" w:rsidP="008435A0">
            <w:pPr>
              <w:spacing w:after="0" w:line="240" w:lineRule="auto"/>
              <w:rPr>
                <w:b/>
                <w:bCs/>
                <w:sz w:val="20"/>
                <w:szCs w:val="20"/>
              </w:rPr>
            </w:pPr>
            <w:r w:rsidRPr="008435A0">
              <w:rPr>
                <w:b/>
                <w:bCs/>
                <w:sz w:val="20"/>
                <w:szCs w:val="20"/>
              </w:rPr>
              <w:t>Description of costs</w:t>
            </w:r>
          </w:p>
        </w:tc>
        <w:tc>
          <w:tcPr>
            <w:tcW w:w="459" w:type="pct"/>
            <w:shd w:val="clear" w:color="auto" w:fill="auto"/>
          </w:tcPr>
          <w:p w14:paraId="1005A68A" w14:textId="77777777" w:rsidR="00D66F7D" w:rsidRPr="008435A0" w:rsidRDefault="00D66F7D" w:rsidP="008435A0">
            <w:pPr>
              <w:spacing w:after="0" w:line="240" w:lineRule="auto"/>
              <w:rPr>
                <w:b/>
                <w:bCs/>
                <w:sz w:val="20"/>
                <w:szCs w:val="20"/>
              </w:rPr>
            </w:pPr>
            <w:r w:rsidRPr="008435A0">
              <w:rPr>
                <w:b/>
                <w:bCs/>
                <w:sz w:val="20"/>
                <w:szCs w:val="20"/>
              </w:rPr>
              <w:t>£</w:t>
            </w:r>
          </w:p>
        </w:tc>
        <w:tc>
          <w:tcPr>
            <w:tcW w:w="3367" w:type="pct"/>
            <w:shd w:val="clear" w:color="auto" w:fill="auto"/>
          </w:tcPr>
          <w:p w14:paraId="43D2C8DC" w14:textId="77777777" w:rsidR="00D66F7D" w:rsidRPr="008435A0" w:rsidRDefault="00D66F7D" w:rsidP="008435A0">
            <w:pPr>
              <w:spacing w:after="0" w:line="240" w:lineRule="auto"/>
              <w:rPr>
                <w:b/>
                <w:bCs/>
                <w:sz w:val="20"/>
                <w:szCs w:val="20"/>
              </w:rPr>
            </w:pPr>
            <w:r w:rsidRPr="008435A0">
              <w:rPr>
                <w:b/>
                <w:bCs/>
                <w:sz w:val="20"/>
                <w:szCs w:val="20"/>
              </w:rPr>
              <w:t>Key assumptions and sources</w:t>
            </w:r>
          </w:p>
          <w:p w14:paraId="087079C4" w14:textId="77777777" w:rsidR="00D66F7D" w:rsidRPr="008435A0" w:rsidRDefault="00D66F7D" w:rsidP="008435A0">
            <w:pPr>
              <w:spacing w:after="0" w:line="240" w:lineRule="auto"/>
              <w:rPr>
                <w:b/>
                <w:bCs/>
                <w:sz w:val="20"/>
                <w:szCs w:val="20"/>
              </w:rPr>
            </w:pPr>
          </w:p>
        </w:tc>
      </w:tr>
      <w:tr w:rsidR="00D66F7D" w:rsidRPr="008435A0" w14:paraId="0C71E289" w14:textId="77777777" w:rsidTr="00D66F7D">
        <w:tc>
          <w:tcPr>
            <w:tcW w:w="1174" w:type="pct"/>
            <w:shd w:val="clear" w:color="auto" w:fill="auto"/>
          </w:tcPr>
          <w:p w14:paraId="27861DFB" w14:textId="77777777" w:rsidR="00D66F7D" w:rsidRPr="008435A0" w:rsidRDefault="00D66F7D" w:rsidP="008435A0">
            <w:pPr>
              <w:spacing w:after="0" w:line="240" w:lineRule="auto"/>
              <w:rPr>
                <w:sz w:val="20"/>
                <w:szCs w:val="20"/>
              </w:rPr>
            </w:pPr>
            <w:r w:rsidRPr="008435A0">
              <w:rPr>
                <w:sz w:val="20"/>
                <w:szCs w:val="20"/>
              </w:rPr>
              <w:t>Training course fee</w:t>
            </w:r>
          </w:p>
        </w:tc>
        <w:tc>
          <w:tcPr>
            <w:tcW w:w="459" w:type="pct"/>
            <w:shd w:val="clear" w:color="auto" w:fill="auto"/>
          </w:tcPr>
          <w:p w14:paraId="5F38F468" w14:textId="77777777" w:rsidR="00D66F7D" w:rsidRPr="008435A0" w:rsidRDefault="00D66F7D" w:rsidP="008435A0">
            <w:pPr>
              <w:spacing w:after="0" w:line="240" w:lineRule="auto"/>
              <w:rPr>
                <w:sz w:val="20"/>
                <w:szCs w:val="20"/>
              </w:rPr>
            </w:pPr>
            <w:r w:rsidRPr="008435A0">
              <w:rPr>
                <w:sz w:val="20"/>
                <w:szCs w:val="20"/>
              </w:rPr>
              <w:t xml:space="preserve">£975.00 </w:t>
            </w:r>
          </w:p>
        </w:tc>
        <w:tc>
          <w:tcPr>
            <w:tcW w:w="3367" w:type="pct"/>
            <w:shd w:val="clear" w:color="auto" w:fill="auto"/>
          </w:tcPr>
          <w:p w14:paraId="27052BE6" w14:textId="71367FC9" w:rsidR="00D66F7D" w:rsidRPr="008435A0" w:rsidRDefault="00D66F7D" w:rsidP="00411708">
            <w:pPr>
              <w:spacing w:after="0" w:line="240" w:lineRule="auto"/>
              <w:rPr>
                <w:sz w:val="20"/>
                <w:szCs w:val="20"/>
              </w:rPr>
            </w:pPr>
            <w:r w:rsidRPr="008435A0">
              <w:rPr>
                <w:sz w:val="20"/>
                <w:szCs w:val="20"/>
              </w:rPr>
              <w:t xml:space="preserve">DCM™ course booking form </w:t>
            </w:r>
            <w:r w:rsidRPr="008435A0">
              <w:rPr>
                <w:sz w:val="20"/>
                <w:szCs w:val="20"/>
              </w:rPr>
              <w:fldChar w:fldCharType="begin"/>
            </w:r>
            <w:r w:rsidR="00411708">
              <w:rPr>
                <w:sz w:val="20"/>
                <w:szCs w:val="20"/>
              </w:rPr>
              <w:instrText xml:space="preserve"> ADDIN EN.CITE &lt;EndNote&gt;&lt;Cite&gt;&lt;Author&gt;University of Bradford&lt;/Author&gt;&lt;Year&gt;2017&lt;/Year&gt;&lt;RecNum&gt;1779&lt;/RecNum&gt;&lt;DisplayText&gt;&lt;style face="superscript"&gt;157&lt;/style&gt;&lt;/DisplayText&gt;&lt;record&gt;&lt;rec-number&gt;1779&lt;/rec-number&gt;&lt;foreign-keys&gt;&lt;key app="EN" db-id="wprxwptv75dtdree0t5x2ptmvadptw5fr2ww" timestamp="1513615051"&gt;1779&lt;/key&gt;&lt;/foreign-keys&gt;&lt;ref-type name="Web Page"&gt;12&lt;/ref-type&gt;&lt;contributors&gt;&lt;authors&gt;&lt;author&gt;University of Bradford,&lt;/author&gt;&lt;/authors&gt;&lt;/contributors&gt;&lt;titles&gt;&lt;title&gt;DCM™ for Realising Person Centred Care Booking Form 2017-18&lt;/title&gt;&lt;/titles&gt;&lt;number&gt;Sept 2017&lt;/number&gt;&lt;dates&gt;&lt;year&gt;2017&lt;/year&gt;&lt;/dates&gt;&lt;pub-location&gt;Bradford&lt;/pub-location&gt;&lt;publisher&gt;University of Bradford&lt;/publisher&gt;&lt;urls&gt;&lt;related-urls&gt;&lt;url&gt;http://www.bradford.ac.uk/health/dementia/training/training-courses/dementia-care-mapping-for-realising-person-centred-care/&lt;/url&gt;&lt;/related-urls&gt;&lt;/urls&gt;&lt;/record&gt;&lt;/Cite&gt;&lt;/EndNote&gt;</w:instrText>
            </w:r>
            <w:r w:rsidRPr="008435A0">
              <w:rPr>
                <w:sz w:val="20"/>
                <w:szCs w:val="20"/>
              </w:rPr>
              <w:fldChar w:fldCharType="separate"/>
            </w:r>
            <w:r w:rsidR="00411708" w:rsidRPr="00411708">
              <w:rPr>
                <w:noProof/>
                <w:sz w:val="20"/>
                <w:szCs w:val="20"/>
                <w:vertAlign w:val="superscript"/>
              </w:rPr>
              <w:t>157</w:t>
            </w:r>
            <w:r w:rsidRPr="008435A0">
              <w:rPr>
                <w:sz w:val="20"/>
                <w:szCs w:val="20"/>
              </w:rPr>
              <w:fldChar w:fldCharType="end"/>
            </w:r>
            <w:r w:rsidRPr="008435A0">
              <w:rPr>
                <w:sz w:val="20"/>
                <w:szCs w:val="20"/>
              </w:rPr>
              <w:t>. Inclusive of lunch, refreshments and course materials.</w:t>
            </w:r>
          </w:p>
        </w:tc>
      </w:tr>
      <w:tr w:rsidR="00D66F7D" w:rsidRPr="008435A0" w14:paraId="0DF690E5" w14:textId="77777777" w:rsidTr="00D66F7D">
        <w:tc>
          <w:tcPr>
            <w:tcW w:w="1174" w:type="pct"/>
            <w:shd w:val="clear" w:color="auto" w:fill="auto"/>
          </w:tcPr>
          <w:p w14:paraId="080C5C4B" w14:textId="77777777" w:rsidR="00D66F7D" w:rsidRPr="008435A0" w:rsidRDefault="00D66F7D" w:rsidP="008435A0">
            <w:pPr>
              <w:spacing w:after="0" w:line="240" w:lineRule="auto"/>
              <w:rPr>
                <w:sz w:val="20"/>
                <w:szCs w:val="20"/>
              </w:rPr>
            </w:pPr>
            <w:r w:rsidRPr="008435A0">
              <w:rPr>
                <w:sz w:val="20"/>
                <w:szCs w:val="20"/>
              </w:rPr>
              <w:t>Accommodation (four nights)</w:t>
            </w:r>
          </w:p>
        </w:tc>
        <w:tc>
          <w:tcPr>
            <w:tcW w:w="459" w:type="pct"/>
            <w:shd w:val="clear" w:color="auto" w:fill="auto"/>
          </w:tcPr>
          <w:p w14:paraId="5D3D5767" w14:textId="77777777" w:rsidR="00D66F7D" w:rsidRPr="008435A0" w:rsidRDefault="00D66F7D" w:rsidP="008435A0">
            <w:pPr>
              <w:spacing w:after="0" w:line="240" w:lineRule="auto"/>
              <w:rPr>
                <w:sz w:val="20"/>
                <w:szCs w:val="20"/>
              </w:rPr>
            </w:pPr>
            <w:r w:rsidRPr="008435A0">
              <w:rPr>
                <w:sz w:val="20"/>
                <w:szCs w:val="20"/>
              </w:rPr>
              <w:t>£300.00</w:t>
            </w:r>
          </w:p>
        </w:tc>
        <w:tc>
          <w:tcPr>
            <w:tcW w:w="3367" w:type="pct"/>
            <w:shd w:val="clear" w:color="auto" w:fill="auto"/>
          </w:tcPr>
          <w:p w14:paraId="154EE010" w14:textId="77777777" w:rsidR="00D66F7D" w:rsidRPr="008435A0" w:rsidRDefault="00D66F7D" w:rsidP="008435A0">
            <w:pPr>
              <w:spacing w:after="0" w:line="240" w:lineRule="auto"/>
              <w:rPr>
                <w:sz w:val="20"/>
                <w:szCs w:val="20"/>
              </w:rPr>
            </w:pPr>
            <w:r w:rsidRPr="008435A0">
              <w:rPr>
                <w:sz w:val="20"/>
                <w:szCs w:val="20"/>
              </w:rPr>
              <w:t>Based on review of DCM™ EPIC trial records.</w:t>
            </w:r>
          </w:p>
        </w:tc>
      </w:tr>
      <w:tr w:rsidR="00D66F7D" w:rsidRPr="008435A0" w14:paraId="17831B59" w14:textId="77777777" w:rsidTr="00D66F7D">
        <w:tc>
          <w:tcPr>
            <w:tcW w:w="1174" w:type="pct"/>
            <w:shd w:val="clear" w:color="auto" w:fill="auto"/>
          </w:tcPr>
          <w:p w14:paraId="472154D1" w14:textId="77777777" w:rsidR="00D66F7D" w:rsidRPr="008435A0" w:rsidRDefault="00D66F7D" w:rsidP="008435A0">
            <w:pPr>
              <w:spacing w:after="0" w:line="240" w:lineRule="auto"/>
              <w:rPr>
                <w:sz w:val="20"/>
                <w:szCs w:val="20"/>
              </w:rPr>
            </w:pPr>
            <w:r w:rsidRPr="008435A0">
              <w:rPr>
                <w:sz w:val="20"/>
                <w:szCs w:val="20"/>
              </w:rPr>
              <w:t>Meals/other subsistence</w:t>
            </w:r>
          </w:p>
        </w:tc>
        <w:tc>
          <w:tcPr>
            <w:tcW w:w="459" w:type="pct"/>
            <w:shd w:val="clear" w:color="auto" w:fill="auto"/>
          </w:tcPr>
          <w:p w14:paraId="64BFB588" w14:textId="77777777" w:rsidR="00D66F7D" w:rsidRPr="008435A0" w:rsidRDefault="00D66F7D" w:rsidP="008435A0">
            <w:pPr>
              <w:spacing w:after="0" w:line="240" w:lineRule="auto"/>
              <w:rPr>
                <w:sz w:val="20"/>
                <w:szCs w:val="20"/>
              </w:rPr>
            </w:pPr>
            <w:r w:rsidRPr="008435A0">
              <w:rPr>
                <w:sz w:val="20"/>
                <w:szCs w:val="20"/>
              </w:rPr>
              <w:t>£70.00</w:t>
            </w:r>
          </w:p>
        </w:tc>
        <w:tc>
          <w:tcPr>
            <w:tcW w:w="3367" w:type="pct"/>
            <w:shd w:val="clear" w:color="auto" w:fill="auto"/>
          </w:tcPr>
          <w:p w14:paraId="29A419EB" w14:textId="77777777" w:rsidR="00D66F7D" w:rsidRPr="008435A0" w:rsidRDefault="00D66F7D" w:rsidP="008435A0">
            <w:pPr>
              <w:spacing w:after="0" w:line="240" w:lineRule="auto"/>
              <w:rPr>
                <w:sz w:val="20"/>
                <w:szCs w:val="20"/>
              </w:rPr>
            </w:pPr>
            <w:r w:rsidRPr="008435A0">
              <w:rPr>
                <w:sz w:val="20"/>
                <w:szCs w:val="20"/>
              </w:rPr>
              <w:t>Based on review of DCM™ EPIC trial records.</w:t>
            </w:r>
          </w:p>
        </w:tc>
      </w:tr>
      <w:tr w:rsidR="00D66F7D" w:rsidRPr="008435A0" w14:paraId="476C3E47" w14:textId="77777777" w:rsidTr="00D66F7D">
        <w:tc>
          <w:tcPr>
            <w:tcW w:w="1174" w:type="pct"/>
            <w:shd w:val="clear" w:color="auto" w:fill="auto"/>
          </w:tcPr>
          <w:p w14:paraId="1BBCEA0B" w14:textId="77777777" w:rsidR="00D66F7D" w:rsidRPr="008435A0" w:rsidRDefault="00D66F7D" w:rsidP="008435A0">
            <w:pPr>
              <w:spacing w:after="0" w:line="240" w:lineRule="auto"/>
              <w:rPr>
                <w:sz w:val="20"/>
                <w:szCs w:val="20"/>
              </w:rPr>
            </w:pPr>
            <w:r w:rsidRPr="008435A0">
              <w:rPr>
                <w:sz w:val="20"/>
                <w:szCs w:val="20"/>
              </w:rPr>
              <w:t>Travel to/from the course</w:t>
            </w:r>
          </w:p>
        </w:tc>
        <w:tc>
          <w:tcPr>
            <w:tcW w:w="459" w:type="pct"/>
            <w:shd w:val="clear" w:color="auto" w:fill="auto"/>
          </w:tcPr>
          <w:p w14:paraId="396B7120" w14:textId="77777777" w:rsidR="00D66F7D" w:rsidRPr="008435A0" w:rsidRDefault="00D66F7D" w:rsidP="008435A0">
            <w:pPr>
              <w:spacing w:after="0" w:line="240" w:lineRule="auto"/>
              <w:rPr>
                <w:sz w:val="20"/>
                <w:szCs w:val="20"/>
              </w:rPr>
            </w:pPr>
            <w:r w:rsidRPr="008435A0">
              <w:rPr>
                <w:sz w:val="20"/>
                <w:szCs w:val="20"/>
              </w:rPr>
              <w:t>£100.00</w:t>
            </w:r>
          </w:p>
        </w:tc>
        <w:tc>
          <w:tcPr>
            <w:tcW w:w="3367" w:type="pct"/>
            <w:shd w:val="clear" w:color="auto" w:fill="auto"/>
          </w:tcPr>
          <w:p w14:paraId="69DFBD40" w14:textId="77777777" w:rsidR="00D66F7D" w:rsidRPr="008435A0" w:rsidRDefault="00D66F7D" w:rsidP="008435A0">
            <w:pPr>
              <w:spacing w:after="0" w:line="240" w:lineRule="auto"/>
              <w:rPr>
                <w:sz w:val="20"/>
                <w:szCs w:val="20"/>
              </w:rPr>
            </w:pPr>
            <w:r w:rsidRPr="008435A0">
              <w:rPr>
                <w:sz w:val="20"/>
                <w:szCs w:val="20"/>
              </w:rPr>
              <w:t>Based on review of DCM™ EPIC trial records.</w:t>
            </w:r>
          </w:p>
        </w:tc>
      </w:tr>
      <w:tr w:rsidR="00D66F7D" w:rsidRPr="008435A0" w14:paraId="0B2B3C43" w14:textId="77777777" w:rsidTr="00D66F7D">
        <w:tc>
          <w:tcPr>
            <w:tcW w:w="1174" w:type="pct"/>
            <w:shd w:val="clear" w:color="auto" w:fill="auto"/>
          </w:tcPr>
          <w:p w14:paraId="1E9E1791" w14:textId="77777777" w:rsidR="00D66F7D" w:rsidRPr="008435A0" w:rsidRDefault="00D66F7D" w:rsidP="008435A0">
            <w:pPr>
              <w:spacing w:after="0" w:line="240" w:lineRule="auto"/>
              <w:rPr>
                <w:sz w:val="20"/>
                <w:szCs w:val="20"/>
              </w:rPr>
            </w:pPr>
            <w:r w:rsidRPr="008435A0">
              <w:rPr>
                <w:sz w:val="20"/>
                <w:szCs w:val="20"/>
              </w:rPr>
              <w:t>Staff time</w:t>
            </w:r>
          </w:p>
        </w:tc>
        <w:tc>
          <w:tcPr>
            <w:tcW w:w="459" w:type="pct"/>
            <w:shd w:val="clear" w:color="auto" w:fill="auto"/>
          </w:tcPr>
          <w:p w14:paraId="31FACD20" w14:textId="77777777" w:rsidR="00D66F7D" w:rsidRPr="008435A0" w:rsidRDefault="00D66F7D" w:rsidP="008435A0">
            <w:pPr>
              <w:spacing w:after="0" w:line="240" w:lineRule="auto"/>
              <w:rPr>
                <w:sz w:val="20"/>
                <w:szCs w:val="20"/>
              </w:rPr>
            </w:pPr>
            <w:r w:rsidRPr="008435A0">
              <w:rPr>
                <w:sz w:val="20"/>
                <w:szCs w:val="20"/>
              </w:rPr>
              <w:t>£434.77</w:t>
            </w:r>
          </w:p>
        </w:tc>
        <w:tc>
          <w:tcPr>
            <w:tcW w:w="3367" w:type="pct"/>
            <w:shd w:val="clear" w:color="auto" w:fill="auto"/>
          </w:tcPr>
          <w:p w14:paraId="7D9C07FB" w14:textId="6B939527" w:rsidR="00D66F7D" w:rsidRPr="008435A0" w:rsidRDefault="00D66F7D" w:rsidP="008435A0">
            <w:pPr>
              <w:spacing w:after="0" w:line="240" w:lineRule="auto"/>
              <w:rPr>
                <w:sz w:val="20"/>
                <w:szCs w:val="20"/>
              </w:rPr>
            </w:pPr>
            <w:r w:rsidRPr="008435A0">
              <w:rPr>
                <w:sz w:val="20"/>
                <w:szCs w:val="20"/>
              </w:rPr>
              <w:t xml:space="preserve">Assumed there are four categories of care staff (hourly wage and proportion of staff in each category shown in brackets):  home care worker (£7.38, 20%) and senior home care worker (£8.20, 25%) (hourly wages reported in PSSRU 2016 </w:t>
            </w:r>
            <w:r w:rsidRPr="008435A0">
              <w:rPr>
                <w:sz w:val="20"/>
                <w:szCs w:val="20"/>
              </w:rPr>
              <w:fldChar w:fldCharType="begin"/>
            </w:r>
            <w:r w:rsidR="00411708">
              <w:rPr>
                <w:sz w:val="20"/>
                <w:szCs w:val="20"/>
              </w:rPr>
              <w:instrText xml:space="preserve"> ADDIN EN.CITE &lt;EndNote&gt;&lt;Cite&gt;&lt;Author&gt;Curtis&lt;/Author&gt;&lt;Year&gt;2016&lt;/Year&gt;&lt;RecNum&gt;1774&lt;/RecNum&gt;&lt;DisplayText&gt;&lt;style face="superscript"&gt;144&lt;/style&gt;&lt;/DisplayText&gt;&lt;record&gt;&lt;rec-number&gt;1774&lt;/rec-number&gt;&lt;foreign-keys&gt;&lt;key app="EN" db-id="wprxwptv75dtdree0t5x2ptmvadptw5fr2ww" timestamp="1513607854"&gt;1774&lt;/key&gt;&lt;/foreign-keys&gt;&lt;ref-type name="Report"&gt;27&lt;/ref-type&gt;&lt;contributors&gt;&lt;authors&gt;&lt;author&gt;Curtis, L.&lt;/author&gt;&lt;author&gt;Burns, A.&lt;/author&gt;&lt;/authors&gt;&lt;/contributors&gt;&lt;titles&gt;&lt;title&gt;Units Costs of Health and Social Care 2016&lt;/title&gt;&lt;/titles&gt;&lt;dates&gt;&lt;year&gt;2016&lt;/year&gt;&lt;/dates&gt;&lt;pub-location&gt;Canterbury&lt;/pub-location&gt;&lt;publisher&gt;PSSRU&lt;/publisher&gt;&lt;urls&gt;&lt;related-urls&gt;&lt;url&gt;http://www.pssru.ac.uk/pub/uc/uc2016/full.pdf&lt;/url&gt;&lt;/related-urls&gt;&lt;/urls&gt;&lt;/record&gt;&lt;/Cite&gt;&lt;/EndNote&gt;</w:instrText>
            </w:r>
            <w:r w:rsidRPr="008435A0">
              <w:rPr>
                <w:sz w:val="20"/>
                <w:szCs w:val="20"/>
              </w:rPr>
              <w:fldChar w:fldCharType="separate"/>
            </w:r>
            <w:r w:rsidR="00411708" w:rsidRPr="00411708">
              <w:rPr>
                <w:noProof/>
                <w:sz w:val="20"/>
                <w:szCs w:val="20"/>
                <w:vertAlign w:val="superscript"/>
              </w:rPr>
              <w:t>144</w:t>
            </w:r>
            <w:r w:rsidRPr="008435A0">
              <w:rPr>
                <w:sz w:val="20"/>
                <w:szCs w:val="20"/>
              </w:rPr>
              <w:fldChar w:fldCharType="end"/>
            </w:r>
            <w:r w:rsidRPr="008435A0">
              <w:rPr>
                <w:sz w:val="20"/>
                <w:szCs w:val="20"/>
              </w:rPr>
              <w:t xml:space="preserve">), nurse (£12.45, 20%) (based on £25,902 annual salary for band 5 nurse reported in PSSRU 2016 </w:t>
            </w:r>
            <w:r w:rsidR="00DA69E1" w:rsidRPr="008435A0">
              <w:rPr>
                <w:sz w:val="20"/>
                <w:szCs w:val="20"/>
              </w:rPr>
              <w:fldChar w:fldCharType="begin"/>
            </w:r>
            <w:r w:rsidR="00411708">
              <w:rPr>
                <w:sz w:val="20"/>
                <w:szCs w:val="20"/>
              </w:rPr>
              <w:instrText xml:space="preserve"> ADDIN EN.CITE &lt;EndNote&gt;&lt;Cite&gt;&lt;Author&gt;Curtis&lt;/Author&gt;&lt;Year&gt;2016&lt;/Year&gt;&lt;RecNum&gt;1774&lt;/RecNum&gt;&lt;DisplayText&gt;&lt;style face="superscript"&gt;144&lt;/style&gt;&lt;/DisplayText&gt;&lt;record&gt;&lt;rec-number&gt;1774&lt;/rec-number&gt;&lt;foreign-keys&gt;&lt;key app="EN" db-id="wprxwptv75dtdree0t5x2ptmvadptw5fr2ww" timestamp="1513607854"&gt;1774&lt;/key&gt;&lt;/foreign-keys&gt;&lt;ref-type name="Report"&gt;27&lt;/ref-type&gt;&lt;contributors&gt;&lt;authors&gt;&lt;author&gt;Curtis, L.&lt;/author&gt;&lt;author&gt;Burns, A.&lt;/author&gt;&lt;/authors&gt;&lt;/contributors&gt;&lt;titles&gt;&lt;title&gt;Units Costs of Health and Social Care 2016&lt;/title&gt;&lt;/titles&gt;&lt;dates&gt;&lt;year&gt;2016&lt;/year&gt;&lt;/dates&gt;&lt;pub-location&gt;Canterbury&lt;/pub-location&gt;&lt;publisher&gt;PSSRU&lt;/publisher&gt;&lt;urls&gt;&lt;related-urls&gt;&lt;url&gt;http://www.pssru.ac.uk/pub/uc/uc2016/full.pdf&lt;/url&gt;&lt;/related-urls&gt;&lt;/urls&gt;&lt;/record&gt;&lt;/Cite&gt;&lt;/EndNote&gt;</w:instrText>
            </w:r>
            <w:r w:rsidR="00DA69E1" w:rsidRPr="008435A0">
              <w:rPr>
                <w:sz w:val="20"/>
                <w:szCs w:val="20"/>
              </w:rPr>
              <w:fldChar w:fldCharType="separate"/>
            </w:r>
            <w:r w:rsidR="00411708" w:rsidRPr="00411708">
              <w:rPr>
                <w:noProof/>
                <w:sz w:val="20"/>
                <w:szCs w:val="20"/>
                <w:vertAlign w:val="superscript"/>
              </w:rPr>
              <w:t>144</w:t>
            </w:r>
            <w:r w:rsidR="00DA69E1" w:rsidRPr="008435A0">
              <w:rPr>
                <w:sz w:val="20"/>
                <w:szCs w:val="20"/>
              </w:rPr>
              <w:fldChar w:fldCharType="end"/>
            </w:r>
            <w:r w:rsidR="00DA69E1" w:rsidRPr="008435A0">
              <w:rPr>
                <w:sz w:val="20"/>
                <w:szCs w:val="20"/>
              </w:rPr>
              <w:t xml:space="preserve"> </w:t>
            </w:r>
            <w:r w:rsidRPr="008435A0">
              <w:rPr>
                <w:sz w:val="20"/>
                <w:szCs w:val="20"/>
              </w:rPr>
              <w:t>and converted to hourly rate) and care home manager (£21.63, 35%) (assumed median annual salary of £45,000, based on a review of recent job advertisements).</w:t>
            </w:r>
          </w:p>
          <w:p w14:paraId="65EB33B3" w14:textId="77777777" w:rsidR="00D66F7D" w:rsidRPr="008435A0" w:rsidRDefault="00D66F7D" w:rsidP="008435A0">
            <w:pPr>
              <w:spacing w:after="0" w:line="240" w:lineRule="auto"/>
              <w:rPr>
                <w:sz w:val="20"/>
                <w:szCs w:val="20"/>
              </w:rPr>
            </w:pPr>
            <w:r w:rsidRPr="008435A0">
              <w:rPr>
                <w:sz w:val="20"/>
                <w:szCs w:val="20"/>
              </w:rPr>
              <w:t>The proportion of staff in each category was based on review of DCM™ EPIC trial records.  Assumed course participation required four full working days (eight hours per day).</w:t>
            </w:r>
          </w:p>
        </w:tc>
      </w:tr>
      <w:tr w:rsidR="00D66F7D" w:rsidRPr="008435A0" w14:paraId="3A13470D" w14:textId="77777777" w:rsidTr="00D66F7D">
        <w:tc>
          <w:tcPr>
            <w:tcW w:w="1174" w:type="pct"/>
            <w:shd w:val="clear" w:color="auto" w:fill="F2F2F2"/>
          </w:tcPr>
          <w:p w14:paraId="14B38ED7" w14:textId="7EC50197" w:rsidR="00D66F7D" w:rsidRPr="008435A0" w:rsidRDefault="00D66F7D" w:rsidP="008435A0">
            <w:pPr>
              <w:spacing w:after="0" w:line="240" w:lineRule="auto"/>
              <w:rPr>
                <w:sz w:val="20"/>
                <w:szCs w:val="20"/>
              </w:rPr>
            </w:pPr>
            <w:r w:rsidRPr="008435A0">
              <w:rPr>
                <w:sz w:val="20"/>
                <w:szCs w:val="20"/>
              </w:rPr>
              <w:t xml:space="preserve">Delivery and receipt of training (for each </w:t>
            </w:r>
            <w:r w:rsidR="00597D22" w:rsidRPr="008435A0">
              <w:rPr>
                <w:sz w:val="20"/>
                <w:szCs w:val="20"/>
                <w:lang w:eastAsia="en-US"/>
              </w:rPr>
              <w:t>DCM</w:t>
            </w:r>
            <w:r w:rsidR="00597D22" w:rsidRPr="008435A0">
              <w:rPr>
                <w:sz w:val="20"/>
                <w:szCs w:val="20"/>
              </w:rPr>
              <w:t>™</w:t>
            </w:r>
            <w:r w:rsidRPr="008435A0">
              <w:rPr>
                <w:sz w:val="20"/>
                <w:szCs w:val="20"/>
              </w:rPr>
              <w:t xml:space="preserve"> mapper)</w:t>
            </w:r>
          </w:p>
        </w:tc>
        <w:tc>
          <w:tcPr>
            <w:tcW w:w="459" w:type="pct"/>
            <w:shd w:val="clear" w:color="auto" w:fill="F2F2F2"/>
          </w:tcPr>
          <w:p w14:paraId="477B7FEF" w14:textId="77777777" w:rsidR="00D66F7D" w:rsidRPr="008435A0" w:rsidRDefault="00D66F7D" w:rsidP="008435A0">
            <w:pPr>
              <w:spacing w:after="0" w:line="240" w:lineRule="auto"/>
              <w:rPr>
                <w:sz w:val="20"/>
                <w:szCs w:val="20"/>
              </w:rPr>
            </w:pPr>
            <w:r w:rsidRPr="008435A0">
              <w:rPr>
                <w:sz w:val="20"/>
                <w:szCs w:val="20"/>
              </w:rPr>
              <w:t>£1,879.77</w:t>
            </w:r>
          </w:p>
        </w:tc>
        <w:tc>
          <w:tcPr>
            <w:tcW w:w="3367" w:type="pct"/>
            <w:shd w:val="clear" w:color="auto" w:fill="F2F2F2"/>
          </w:tcPr>
          <w:p w14:paraId="67E7C5A5" w14:textId="5F5AE7A6" w:rsidR="00D66F7D" w:rsidRPr="008435A0" w:rsidRDefault="00D66F7D" w:rsidP="008435A0">
            <w:pPr>
              <w:spacing w:after="0" w:line="240" w:lineRule="auto"/>
              <w:rPr>
                <w:sz w:val="20"/>
                <w:szCs w:val="20"/>
              </w:rPr>
            </w:pPr>
            <w:r w:rsidRPr="008435A0">
              <w:rPr>
                <w:sz w:val="20"/>
                <w:szCs w:val="20"/>
              </w:rPr>
              <w:t>Assumed</w:t>
            </w:r>
            <w:r w:rsidR="00CA52F7" w:rsidRPr="008435A0">
              <w:rPr>
                <w:sz w:val="20"/>
                <w:szCs w:val="20"/>
              </w:rPr>
              <w:t xml:space="preserve"> two staff trained in each intervention home and that</w:t>
            </w:r>
            <w:r w:rsidRPr="008435A0">
              <w:rPr>
                <w:sz w:val="20"/>
                <w:szCs w:val="20"/>
              </w:rPr>
              <w:t xml:space="preserve"> there were no staff in the trial who did not require training (e.g. because they had previously received it).</w:t>
            </w:r>
          </w:p>
          <w:p w14:paraId="41963245" w14:textId="77777777" w:rsidR="00D66F7D" w:rsidRPr="008435A0" w:rsidRDefault="00D66F7D" w:rsidP="008435A0">
            <w:pPr>
              <w:spacing w:after="0" w:line="240" w:lineRule="auto"/>
              <w:rPr>
                <w:b/>
                <w:i/>
                <w:sz w:val="20"/>
                <w:szCs w:val="20"/>
              </w:rPr>
            </w:pPr>
            <w:r w:rsidRPr="008435A0">
              <w:rPr>
                <w:sz w:val="20"/>
                <w:szCs w:val="20"/>
              </w:rPr>
              <w:t>Assumed that there were no last minute cancellations (which may have incurred additional costs if rebooking).</w:t>
            </w:r>
          </w:p>
        </w:tc>
      </w:tr>
      <w:tr w:rsidR="00D66F7D" w:rsidRPr="008435A0" w14:paraId="0835ED66" w14:textId="77777777" w:rsidTr="00D66F7D">
        <w:tc>
          <w:tcPr>
            <w:tcW w:w="1174" w:type="pct"/>
            <w:shd w:val="clear" w:color="auto" w:fill="auto"/>
          </w:tcPr>
          <w:p w14:paraId="10998A3A" w14:textId="27DAE1AB" w:rsidR="00D66F7D" w:rsidRPr="008435A0" w:rsidRDefault="00D66F7D" w:rsidP="008435A0">
            <w:pPr>
              <w:spacing w:after="0" w:line="240" w:lineRule="auto"/>
              <w:rPr>
                <w:sz w:val="20"/>
                <w:szCs w:val="20"/>
              </w:rPr>
            </w:pPr>
            <w:r w:rsidRPr="008435A0">
              <w:rPr>
                <w:sz w:val="20"/>
                <w:szCs w:val="20"/>
              </w:rPr>
              <w:t xml:space="preserve">Staff time per mapping cycle for </w:t>
            </w:r>
            <w:r w:rsidR="00597D22" w:rsidRPr="008435A0">
              <w:rPr>
                <w:sz w:val="20"/>
                <w:szCs w:val="20"/>
                <w:lang w:eastAsia="en-US"/>
              </w:rPr>
              <w:t>DCM</w:t>
            </w:r>
            <w:r w:rsidR="00597D22" w:rsidRPr="008435A0">
              <w:rPr>
                <w:sz w:val="20"/>
                <w:szCs w:val="20"/>
              </w:rPr>
              <w:t>™</w:t>
            </w:r>
            <w:r w:rsidRPr="008435A0">
              <w:rPr>
                <w:sz w:val="20"/>
                <w:szCs w:val="20"/>
              </w:rPr>
              <w:t xml:space="preserve"> mapper</w:t>
            </w:r>
          </w:p>
        </w:tc>
        <w:tc>
          <w:tcPr>
            <w:tcW w:w="459" w:type="pct"/>
            <w:shd w:val="clear" w:color="auto" w:fill="auto"/>
          </w:tcPr>
          <w:p w14:paraId="6D589800" w14:textId="77777777" w:rsidR="00D66F7D" w:rsidRPr="008435A0" w:rsidRDefault="00D66F7D" w:rsidP="008435A0">
            <w:pPr>
              <w:spacing w:after="0" w:line="240" w:lineRule="auto"/>
              <w:rPr>
                <w:sz w:val="20"/>
                <w:szCs w:val="20"/>
              </w:rPr>
            </w:pPr>
            <w:r w:rsidRPr="008435A0">
              <w:rPr>
                <w:sz w:val="20"/>
                <w:szCs w:val="20"/>
              </w:rPr>
              <w:t>£543.46</w:t>
            </w:r>
          </w:p>
        </w:tc>
        <w:tc>
          <w:tcPr>
            <w:tcW w:w="3367" w:type="pct"/>
            <w:shd w:val="clear" w:color="auto" w:fill="auto"/>
          </w:tcPr>
          <w:p w14:paraId="7ACC3C65" w14:textId="4A8EADAA" w:rsidR="00D66F7D" w:rsidRPr="008435A0" w:rsidRDefault="00D66F7D" w:rsidP="008435A0">
            <w:pPr>
              <w:spacing w:after="0" w:line="240" w:lineRule="auto"/>
              <w:rPr>
                <w:sz w:val="20"/>
                <w:szCs w:val="20"/>
              </w:rPr>
            </w:pPr>
            <w:r w:rsidRPr="008435A0">
              <w:rPr>
                <w:sz w:val="20"/>
                <w:szCs w:val="20"/>
              </w:rPr>
              <w:t xml:space="preserve">Using data on the cost of staff time listed above and assuming that each mapping cycle required five full working days (based on </w:t>
            </w:r>
            <w:r w:rsidR="00597D22" w:rsidRPr="008435A0">
              <w:rPr>
                <w:sz w:val="20"/>
                <w:szCs w:val="20"/>
                <w:lang w:eastAsia="en-US"/>
              </w:rPr>
              <w:t>DCM</w:t>
            </w:r>
            <w:r w:rsidR="00597D22" w:rsidRPr="008435A0">
              <w:rPr>
                <w:sz w:val="20"/>
                <w:szCs w:val="20"/>
              </w:rPr>
              <w:t>™</w:t>
            </w:r>
            <w:r w:rsidRPr="008435A0">
              <w:rPr>
                <w:sz w:val="20"/>
                <w:szCs w:val="20"/>
              </w:rPr>
              <w:t xml:space="preserve"> Mapper Guidance document and some verification using DCM™ EPIC trial data).</w:t>
            </w:r>
          </w:p>
        </w:tc>
      </w:tr>
      <w:tr w:rsidR="00D66F7D" w:rsidRPr="008435A0" w14:paraId="4D55F77A" w14:textId="77777777" w:rsidTr="00D66F7D">
        <w:tc>
          <w:tcPr>
            <w:tcW w:w="1174" w:type="pct"/>
            <w:shd w:val="clear" w:color="auto" w:fill="F2F2F2"/>
          </w:tcPr>
          <w:p w14:paraId="17E11B87" w14:textId="69AC54F5" w:rsidR="00D66F7D" w:rsidRPr="008435A0" w:rsidRDefault="00D66F7D" w:rsidP="008435A0">
            <w:pPr>
              <w:spacing w:after="0" w:line="240" w:lineRule="auto"/>
              <w:rPr>
                <w:sz w:val="20"/>
                <w:szCs w:val="20"/>
              </w:rPr>
            </w:pPr>
            <w:r w:rsidRPr="008435A0">
              <w:rPr>
                <w:sz w:val="20"/>
                <w:szCs w:val="20"/>
              </w:rPr>
              <w:t xml:space="preserve">Implementation costs (for each </w:t>
            </w:r>
            <w:r w:rsidR="00597D22" w:rsidRPr="008435A0">
              <w:rPr>
                <w:sz w:val="20"/>
                <w:szCs w:val="20"/>
                <w:lang w:eastAsia="en-US"/>
              </w:rPr>
              <w:t>DCM</w:t>
            </w:r>
            <w:r w:rsidR="00597D22" w:rsidRPr="008435A0">
              <w:rPr>
                <w:sz w:val="20"/>
                <w:szCs w:val="20"/>
              </w:rPr>
              <w:t>™</w:t>
            </w:r>
            <w:r w:rsidRPr="008435A0">
              <w:rPr>
                <w:sz w:val="20"/>
                <w:szCs w:val="20"/>
              </w:rPr>
              <w:t xml:space="preserve"> mapper)</w:t>
            </w:r>
          </w:p>
        </w:tc>
        <w:tc>
          <w:tcPr>
            <w:tcW w:w="459" w:type="pct"/>
            <w:shd w:val="clear" w:color="auto" w:fill="F2F2F2"/>
          </w:tcPr>
          <w:p w14:paraId="31E9C9BC" w14:textId="77777777" w:rsidR="00D66F7D" w:rsidRPr="008435A0" w:rsidRDefault="00D66F7D" w:rsidP="008435A0">
            <w:pPr>
              <w:spacing w:after="0" w:line="240" w:lineRule="auto"/>
              <w:rPr>
                <w:sz w:val="20"/>
                <w:szCs w:val="20"/>
              </w:rPr>
            </w:pPr>
            <w:r w:rsidRPr="008435A0">
              <w:rPr>
                <w:sz w:val="20"/>
                <w:szCs w:val="20"/>
              </w:rPr>
              <w:t>£1,630.38</w:t>
            </w:r>
          </w:p>
        </w:tc>
        <w:tc>
          <w:tcPr>
            <w:tcW w:w="3367" w:type="pct"/>
            <w:shd w:val="clear" w:color="auto" w:fill="F2F2F2"/>
          </w:tcPr>
          <w:p w14:paraId="70ECF3E8" w14:textId="55AF6E78" w:rsidR="00D66F7D" w:rsidRPr="008435A0" w:rsidRDefault="00D66F7D" w:rsidP="00EC2AA2">
            <w:pPr>
              <w:spacing w:after="0" w:line="240" w:lineRule="auto"/>
              <w:rPr>
                <w:sz w:val="20"/>
                <w:szCs w:val="20"/>
              </w:rPr>
            </w:pPr>
            <w:r w:rsidRPr="008435A0">
              <w:rPr>
                <w:sz w:val="20"/>
                <w:szCs w:val="20"/>
              </w:rPr>
              <w:t xml:space="preserve">Assumed there were three mapping cycles per </w:t>
            </w:r>
            <w:r w:rsidR="00597D22" w:rsidRPr="008435A0">
              <w:rPr>
                <w:sz w:val="20"/>
                <w:szCs w:val="20"/>
                <w:lang w:eastAsia="en-US"/>
              </w:rPr>
              <w:t>DCM</w:t>
            </w:r>
            <w:r w:rsidR="00597D22" w:rsidRPr="008435A0">
              <w:rPr>
                <w:sz w:val="20"/>
                <w:szCs w:val="20"/>
              </w:rPr>
              <w:t>™</w:t>
            </w:r>
            <w:r w:rsidRPr="008435A0">
              <w:rPr>
                <w:sz w:val="20"/>
                <w:szCs w:val="20"/>
              </w:rPr>
              <w:t xml:space="preserve"> Mapper (</w:t>
            </w:r>
            <w:r w:rsidR="00DA69E1" w:rsidRPr="008435A0">
              <w:rPr>
                <w:sz w:val="20"/>
                <w:szCs w:val="20"/>
              </w:rPr>
              <w:t>conducted in accordance with</w:t>
            </w:r>
            <w:r w:rsidRPr="008435A0">
              <w:rPr>
                <w:sz w:val="20"/>
                <w:szCs w:val="20"/>
              </w:rPr>
              <w:t xml:space="preserve"> </w:t>
            </w:r>
            <w:r w:rsidR="00597D22" w:rsidRPr="008435A0">
              <w:rPr>
                <w:sz w:val="20"/>
                <w:szCs w:val="20"/>
                <w:lang w:eastAsia="en-US"/>
              </w:rPr>
              <w:t>DCM</w:t>
            </w:r>
            <w:r w:rsidR="00597D22" w:rsidRPr="008435A0">
              <w:rPr>
                <w:sz w:val="20"/>
                <w:szCs w:val="20"/>
              </w:rPr>
              <w:t>™</w:t>
            </w:r>
            <w:r w:rsidRPr="008435A0">
              <w:rPr>
                <w:color w:val="000000"/>
                <w:sz w:val="20"/>
                <w:szCs w:val="20"/>
              </w:rPr>
              <w:t xml:space="preserve"> Mapper Guidance</w:t>
            </w:r>
            <w:r w:rsidR="00DA69E1" w:rsidRPr="008435A0">
              <w:rPr>
                <w:color w:val="000000"/>
                <w:sz w:val="20"/>
                <w:szCs w:val="20"/>
              </w:rPr>
              <w:t xml:space="preserve"> based on </w:t>
            </w:r>
            <w:r w:rsidR="00A761CC" w:rsidRPr="008435A0">
              <w:rPr>
                <w:color w:val="000000"/>
                <w:sz w:val="20"/>
                <w:szCs w:val="20"/>
              </w:rPr>
              <w:t xml:space="preserve">published </w:t>
            </w:r>
            <w:r w:rsidR="00DA69E1" w:rsidRPr="008435A0">
              <w:rPr>
                <w:color w:val="000000"/>
                <w:sz w:val="20"/>
                <w:szCs w:val="20"/>
              </w:rPr>
              <w:t>standards</w:t>
            </w:r>
            <w:r w:rsidRPr="008435A0">
              <w:rPr>
                <w:color w:val="000000"/>
                <w:sz w:val="20"/>
                <w:szCs w:val="20"/>
              </w:rPr>
              <w:t xml:space="preserve"> </w:t>
            </w:r>
            <w:r w:rsidR="00DA69E1" w:rsidRPr="008435A0">
              <w:rPr>
                <w:color w:val="000000"/>
                <w:sz w:val="20"/>
                <w:szCs w:val="20"/>
              </w:rPr>
              <w:fldChar w:fldCharType="begin"/>
            </w:r>
            <w:r w:rsidR="00EC2AA2">
              <w:rPr>
                <w:color w:val="000000"/>
                <w:sz w:val="20"/>
                <w:szCs w:val="20"/>
              </w:rPr>
              <w:instrText xml:space="preserve"> ADDIN EN.CITE &lt;EndNote&gt;&lt;Cite&gt;&lt;Author&gt;BSI&lt;/Author&gt;&lt;Year&gt;2010&lt;/Year&gt;&lt;RecNum&gt;1073&lt;/RecNum&gt;&lt;DisplayText&gt;&lt;style face="superscript"&gt;83&lt;/style&gt;&lt;/DisplayText&gt;&lt;record&gt;&lt;rec-number&gt;1073&lt;/rec-number&gt;&lt;foreign-keys&gt;&lt;key app="EN" db-id="wprxwptv75dtdree0t5x2ptmvadptw5fr2ww" timestamp="1269349134"&gt;1073&lt;/key&gt;&lt;/foreign-keys&gt;&lt;ref-type name="Standard"&gt;58&lt;/ref-type&gt;&lt;contributors&gt;&lt;authors&gt;&lt;author&gt;BSI&lt;/author&gt;&lt;/authors&gt;&lt;/contributors&gt;&lt;titles&gt;&lt;title&gt;PAS 800:2010. Use of Dementia Care Mapping for improved person-centred care in a care provider organization. Guide&lt;/title&gt;&lt;/titles&gt;&lt;dates&gt;&lt;year&gt;2010&lt;/year&gt;&lt;/dates&gt;&lt;pub-location&gt;London&lt;/pub-location&gt;&lt;publisher&gt;BSI&lt;/publisher&gt;&lt;urls&gt;&lt;/urls&gt;&lt;/record&gt;&lt;/Cite&gt;&lt;/EndNote&gt;</w:instrText>
            </w:r>
            <w:r w:rsidR="00DA69E1" w:rsidRPr="008435A0">
              <w:rPr>
                <w:color w:val="000000"/>
                <w:sz w:val="20"/>
                <w:szCs w:val="20"/>
              </w:rPr>
              <w:fldChar w:fldCharType="separate"/>
            </w:r>
            <w:r w:rsidR="00EC2AA2" w:rsidRPr="00EC2AA2">
              <w:rPr>
                <w:noProof/>
                <w:color w:val="000000"/>
                <w:sz w:val="20"/>
                <w:szCs w:val="20"/>
                <w:vertAlign w:val="superscript"/>
              </w:rPr>
              <w:t>83</w:t>
            </w:r>
            <w:r w:rsidR="00DA69E1" w:rsidRPr="008435A0">
              <w:rPr>
                <w:color w:val="000000"/>
                <w:sz w:val="20"/>
                <w:szCs w:val="20"/>
              </w:rPr>
              <w:fldChar w:fldCharType="end"/>
            </w:r>
            <w:r w:rsidRPr="008435A0">
              <w:rPr>
                <w:sz w:val="20"/>
                <w:szCs w:val="20"/>
              </w:rPr>
              <w:t>).  Assumed that additional time was not be required for other staff to attend DCM™ briefing and feedback sessions, but that these are arranged at handover or other convenient times as part of usual duties (as per protocol).</w:t>
            </w:r>
          </w:p>
        </w:tc>
      </w:tr>
      <w:tr w:rsidR="00D66F7D" w:rsidRPr="008435A0" w14:paraId="45F7B327" w14:textId="77777777" w:rsidTr="00D66F7D">
        <w:tc>
          <w:tcPr>
            <w:tcW w:w="1174" w:type="pct"/>
            <w:shd w:val="clear" w:color="auto" w:fill="auto"/>
          </w:tcPr>
          <w:p w14:paraId="7603E83F" w14:textId="5D2AC321" w:rsidR="00D66F7D" w:rsidRPr="008435A0" w:rsidRDefault="00D66F7D" w:rsidP="008435A0">
            <w:pPr>
              <w:spacing w:after="0" w:line="240" w:lineRule="auto"/>
              <w:rPr>
                <w:sz w:val="20"/>
                <w:szCs w:val="20"/>
              </w:rPr>
            </w:pPr>
            <w:r w:rsidRPr="008435A0">
              <w:rPr>
                <w:sz w:val="20"/>
                <w:szCs w:val="20"/>
              </w:rPr>
              <w:t xml:space="preserve">Consultancy fees for External </w:t>
            </w:r>
            <w:r w:rsidR="00597D22" w:rsidRPr="008435A0">
              <w:rPr>
                <w:sz w:val="20"/>
                <w:szCs w:val="20"/>
                <w:lang w:eastAsia="en-US"/>
              </w:rPr>
              <w:t>DCM</w:t>
            </w:r>
            <w:r w:rsidR="00597D22" w:rsidRPr="008435A0">
              <w:rPr>
                <w:sz w:val="20"/>
                <w:szCs w:val="20"/>
              </w:rPr>
              <w:t>™</w:t>
            </w:r>
            <w:r w:rsidRPr="008435A0">
              <w:rPr>
                <w:sz w:val="20"/>
                <w:szCs w:val="20"/>
              </w:rPr>
              <w:t xml:space="preserve"> Expert</w:t>
            </w:r>
          </w:p>
        </w:tc>
        <w:tc>
          <w:tcPr>
            <w:tcW w:w="459" w:type="pct"/>
            <w:shd w:val="clear" w:color="auto" w:fill="auto"/>
          </w:tcPr>
          <w:p w14:paraId="0EF1AC6E" w14:textId="77777777" w:rsidR="00D66F7D" w:rsidRPr="008435A0" w:rsidRDefault="00D66F7D" w:rsidP="008435A0">
            <w:pPr>
              <w:spacing w:after="0" w:line="240" w:lineRule="auto"/>
              <w:rPr>
                <w:sz w:val="20"/>
                <w:szCs w:val="20"/>
              </w:rPr>
            </w:pPr>
            <w:r w:rsidRPr="008435A0">
              <w:rPr>
                <w:sz w:val="20"/>
                <w:szCs w:val="20"/>
              </w:rPr>
              <w:t>£2,100.00</w:t>
            </w:r>
          </w:p>
        </w:tc>
        <w:tc>
          <w:tcPr>
            <w:tcW w:w="3367" w:type="pct"/>
            <w:shd w:val="clear" w:color="auto" w:fill="auto"/>
          </w:tcPr>
          <w:p w14:paraId="6870AF08" w14:textId="17E86664" w:rsidR="00D66F7D" w:rsidRPr="008435A0" w:rsidRDefault="00D66F7D" w:rsidP="008435A0">
            <w:pPr>
              <w:spacing w:after="0" w:line="240" w:lineRule="auto"/>
              <w:rPr>
                <w:sz w:val="20"/>
                <w:szCs w:val="20"/>
              </w:rPr>
            </w:pPr>
            <w:r w:rsidRPr="008435A0">
              <w:rPr>
                <w:sz w:val="20"/>
                <w:szCs w:val="20"/>
              </w:rPr>
              <w:t xml:space="preserve">To support intervention implementation and fidelity in the first cycle of </w:t>
            </w:r>
            <w:r w:rsidR="00597D22" w:rsidRPr="008435A0">
              <w:rPr>
                <w:sz w:val="20"/>
                <w:szCs w:val="20"/>
                <w:lang w:eastAsia="en-US"/>
              </w:rPr>
              <w:t>DCM</w:t>
            </w:r>
            <w:r w:rsidR="00597D22" w:rsidRPr="008435A0">
              <w:rPr>
                <w:sz w:val="20"/>
                <w:szCs w:val="20"/>
              </w:rPr>
              <w:t>™</w:t>
            </w:r>
            <w:r w:rsidRPr="008435A0">
              <w:rPr>
                <w:sz w:val="20"/>
                <w:szCs w:val="20"/>
              </w:rPr>
              <w:t xml:space="preserve"> mapping, assumed to be for five days (£420.00 per day).</w:t>
            </w:r>
          </w:p>
        </w:tc>
      </w:tr>
      <w:tr w:rsidR="00D66F7D" w:rsidRPr="008435A0" w14:paraId="54DD7733" w14:textId="77777777" w:rsidTr="00D66F7D">
        <w:tc>
          <w:tcPr>
            <w:tcW w:w="1174" w:type="pct"/>
            <w:shd w:val="clear" w:color="auto" w:fill="auto"/>
          </w:tcPr>
          <w:p w14:paraId="4AA0B290" w14:textId="0083952F" w:rsidR="00D66F7D" w:rsidRPr="008435A0" w:rsidRDefault="00D66F7D" w:rsidP="008435A0">
            <w:pPr>
              <w:spacing w:after="0" w:line="240" w:lineRule="auto"/>
              <w:rPr>
                <w:sz w:val="20"/>
                <w:szCs w:val="20"/>
              </w:rPr>
            </w:pPr>
            <w:r w:rsidRPr="008435A0">
              <w:rPr>
                <w:sz w:val="20"/>
                <w:szCs w:val="20"/>
              </w:rPr>
              <w:t xml:space="preserve">Travel and subsistence expenses for </w:t>
            </w:r>
            <w:r w:rsidR="00A4193C" w:rsidRPr="008435A0">
              <w:rPr>
                <w:sz w:val="20"/>
                <w:szCs w:val="20"/>
              </w:rPr>
              <w:t>DCM™ e</w:t>
            </w:r>
            <w:r w:rsidRPr="008435A0">
              <w:rPr>
                <w:sz w:val="20"/>
                <w:szCs w:val="20"/>
              </w:rPr>
              <w:t xml:space="preserve">xpert </w:t>
            </w:r>
            <w:r w:rsidR="00A4193C" w:rsidRPr="008435A0">
              <w:rPr>
                <w:sz w:val="20"/>
                <w:szCs w:val="20"/>
              </w:rPr>
              <w:t>mapper</w:t>
            </w:r>
          </w:p>
        </w:tc>
        <w:tc>
          <w:tcPr>
            <w:tcW w:w="459" w:type="pct"/>
            <w:shd w:val="clear" w:color="auto" w:fill="auto"/>
          </w:tcPr>
          <w:p w14:paraId="11EF1E86" w14:textId="77777777" w:rsidR="00D66F7D" w:rsidRPr="008435A0" w:rsidRDefault="00D66F7D" w:rsidP="008435A0">
            <w:pPr>
              <w:spacing w:after="0" w:line="240" w:lineRule="auto"/>
              <w:rPr>
                <w:sz w:val="20"/>
                <w:szCs w:val="20"/>
              </w:rPr>
            </w:pPr>
            <w:r w:rsidRPr="008435A0">
              <w:rPr>
                <w:sz w:val="20"/>
                <w:szCs w:val="20"/>
              </w:rPr>
              <w:t>£170.00</w:t>
            </w:r>
          </w:p>
        </w:tc>
        <w:tc>
          <w:tcPr>
            <w:tcW w:w="3367" w:type="pct"/>
            <w:shd w:val="clear" w:color="auto" w:fill="auto"/>
          </w:tcPr>
          <w:p w14:paraId="1D72B6D9" w14:textId="77777777" w:rsidR="00D66F7D" w:rsidRPr="008435A0" w:rsidRDefault="00D66F7D" w:rsidP="008435A0">
            <w:pPr>
              <w:spacing w:after="0" w:line="240" w:lineRule="auto"/>
              <w:rPr>
                <w:sz w:val="20"/>
                <w:szCs w:val="20"/>
              </w:rPr>
            </w:pPr>
            <w:r w:rsidRPr="008435A0">
              <w:rPr>
                <w:sz w:val="20"/>
                <w:szCs w:val="20"/>
              </w:rPr>
              <w:t>Based on review of DCM™ EPIC trial data.</w:t>
            </w:r>
          </w:p>
        </w:tc>
      </w:tr>
      <w:tr w:rsidR="00D66F7D" w:rsidRPr="008435A0" w14:paraId="2DF2E142" w14:textId="77777777" w:rsidTr="00D66F7D">
        <w:tc>
          <w:tcPr>
            <w:tcW w:w="1174" w:type="pct"/>
            <w:shd w:val="clear" w:color="auto" w:fill="F2F2F2"/>
          </w:tcPr>
          <w:p w14:paraId="4F32CD99" w14:textId="5ABC40CC" w:rsidR="00D66F7D" w:rsidRPr="008435A0" w:rsidRDefault="00D66F7D" w:rsidP="008435A0">
            <w:pPr>
              <w:spacing w:after="0" w:line="240" w:lineRule="auto"/>
              <w:rPr>
                <w:sz w:val="20"/>
                <w:szCs w:val="20"/>
              </w:rPr>
            </w:pPr>
            <w:r w:rsidRPr="008435A0">
              <w:rPr>
                <w:sz w:val="20"/>
                <w:szCs w:val="20"/>
              </w:rPr>
              <w:t xml:space="preserve">Implementation costs (for each </w:t>
            </w:r>
            <w:r w:rsidR="00A4193C" w:rsidRPr="008435A0">
              <w:rPr>
                <w:sz w:val="20"/>
                <w:szCs w:val="20"/>
              </w:rPr>
              <w:t>DCM™ e</w:t>
            </w:r>
            <w:r w:rsidRPr="008435A0">
              <w:rPr>
                <w:sz w:val="20"/>
                <w:szCs w:val="20"/>
              </w:rPr>
              <w:t>xpert</w:t>
            </w:r>
            <w:r w:rsidR="00A4193C" w:rsidRPr="008435A0">
              <w:rPr>
                <w:sz w:val="20"/>
                <w:szCs w:val="20"/>
              </w:rPr>
              <w:t xml:space="preserve"> mapper</w:t>
            </w:r>
            <w:r w:rsidRPr="008435A0">
              <w:rPr>
                <w:sz w:val="20"/>
                <w:szCs w:val="20"/>
              </w:rPr>
              <w:t>)</w:t>
            </w:r>
          </w:p>
        </w:tc>
        <w:tc>
          <w:tcPr>
            <w:tcW w:w="459" w:type="pct"/>
            <w:shd w:val="clear" w:color="auto" w:fill="F2F2F2"/>
          </w:tcPr>
          <w:p w14:paraId="6B0639E6" w14:textId="77777777" w:rsidR="00D66F7D" w:rsidRPr="008435A0" w:rsidRDefault="00D66F7D" w:rsidP="008435A0">
            <w:pPr>
              <w:spacing w:after="0" w:line="240" w:lineRule="auto"/>
              <w:rPr>
                <w:sz w:val="20"/>
                <w:szCs w:val="20"/>
              </w:rPr>
            </w:pPr>
            <w:r w:rsidRPr="008435A0">
              <w:rPr>
                <w:sz w:val="20"/>
                <w:szCs w:val="20"/>
              </w:rPr>
              <w:t>£2,270.00</w:t>
            </w:r>
          </w:p>
        </w:tc>
        <w:tc>
          <w:tcPr>
            <w:tcW w:w="3367" w:type="pct"/>
            <w:shd w:val="clear" w:color="auto" w:fill="F2F2F2"/>
          </w:tcPr>
          <w:p w14:paraId="68E82C28" w14:textId="6AABC051" w:rsidR="00D66F7D" w:rsidRPr="008435A0" w:rsidRDefault="00D66F7D" w:rsidP="008435A0">
            <w:pPr>
              <w:spacing w:after="0" w:line="240" w:lineRule="auto"/>
              <w:rPr>
                <w:sz w:val="20"/>
                <w:szCs w:val="20"/>
              </w:rPr>
            </w:pPr>
            <w:r w:rsidRPr="008435A0">
              <w:rPr>
                <w:sz w:val="20"/>
                <w:szCs w:val="20"/>
              </w:rPr>
              <w:t xml:space="preserve">Assumed </w:t>
            </w:r>
            <w:r w:rsidR="00CA52F7" w:rsidRPr="008435A0">
              <w:rPr>
                <w:sz w:val="20"/>
                <w:szCs w:val="20"/>
              </w:rPr>
              <w:t xml:space="preserve">each care home received one full cycle of </w:t>
            </w:r>
            <w:r w:rsidR="00597D22" w:rsidRPr="008435A0">
              <w:rPr>
                <w:sz w:val="20"/>
                <w:szCs w:val="20"/>
                <w:lang w:eastAsia="en-US"/>
              </w:rPr>
              <w:t>DCM</w:t>
            </w:r>
            <w:r w:rsidR="00597D22" w:rsidRPr="008435A0">
              <w:rPr>
                <w:sz w:val="20"/>
                <w:szCs w:val="20"/>
              </w:rPr>
              <w:t>™</w:t>
            </w:r>
            <w:r w:rsidR="00CA52F7" w:rsidRPr="008435A0">
              <w:rPr>
                <w:sz w:val="20"/>
                <w:szCs w:val="20"/>
              </w:rPr>
              <w:t xml:space="preserve"> supported by the expert mapper.</w:t>
            </w:r>
          </w:p>
        </w:tc>
      </w:tr>
      <w:tr w:rsidR="00D66F7D" w:rsidRPr="008435A0" w14:paraId="157793A9" w14:textId="77777777" w:rsidTr="00D66F7D">
        <w:tc>
          <w:tcPr>
            <w:tcW w:w="5000" w:type="pct"/>
            <w:gridSpan w:val="3"/>
            <w:shd w:val="clear" w:color="auto" w:fill="auto"/>
          </w:tcPr>
          <w:p w14:paraId="59B87BF0" w14:textId="77777777" w:rsidR="00D66F7D" w:rsidRPr="008435A0" w:rsidRDefault="00D66F7D" w:rsidP="008435A0">
            <w:pPr>
              <w:spacing w:after="0" w:line="240" w:lineRule="auto"/>
              <w:rPr>
                <w:b/>
                <w:bCs/>
                <w:sz w:val="20"/>
                <w:szCs w:val="20"/>
              </w:rPr>
            </w:pPr>
            <w:r w:rsidRPr="008435A0">
              <w:rPr>
                <w:b/>
                <w:bCs/>
                <w:sz w:val="20"/>
                <w:szCs w:val="20"/>
              </w:rPr>
              <w:t>TOTAL COSTS</w:t>
            </w:r>
          </w:p>
        </w:tc>
      </w:tr>
      <w:tr w:rsidR="00D66F7D" w:rsidRPr="008435A0" w14:paraId="6372D8B6" w14:textId="77777777" w:rsidTr="00D66F7D">
        <w:tc>
          <w:tcPr>
            <w:tcW w:w="1174" w:type="pct"/>
            <w:shd w:val="clear" w:color="auto" w:fill="BFBFBF"/>
          </w:tcPr>
          <w:p w14:paraId="27687C55" w14:textId="77777777" w:rsidR="00D66F7D" w:rsidRPr="008435A0" w:rsidRDefault="00D66F7D" w:rsidP="008435A0">
            <w:pPr>
              <w:spacing w:after="0" w:line="240" w:lineRule="auto"/>
              <w:rPr>
                <w:sz w:val="20"/>
                <w:szCs w:val="20"/>
              </w:rPr>
            </w:pPr>
            <w:r w:rsidRPr="008435A0">
              <w:rPr>
                <w:sz w:val="20"/>
                <w:szCs w:val="20"/>
              </w:rPr>
              <w:t>Per care home</w:t>
            </w:r>
          </w:p>
          <w:p w14:paraId="6E769CB9" w14:textId="77777777" w:rsidR="00D66F7D" w:rsidRPr="008435A0" w:rsidRDefault="00D66F7D" w:rsidP="008435A0">
            <w:pPr>
              <w:spacing w:after="0" w:line="240" w:lineRule="auto"/>
              <w:rPr>
                <w:sz w:val="20"/>
                <w:szCs w:val="20"/>
              </w:rPr>
            </w:pPr>
          </w:p>
        </w:tc>
        <w:tc>
          <w:tcPr>
            <w:tcW w:w="459" w:type="pct"/>
            <w:shd w:val="clear" w:color="auto" w:fill="BFBFBF"/>
          </w:tcPr>
          <w:p w14:paraId="576748DC" w14:textId="77777777" w:rsidR="00D66F7D" w:rsidRPr="008435A0" w:rsidRDefault="00D66F7D" w:rsidP="008435A0">
            <w:pPr>
              <w:spacing w:after="0" w:line="240" w:lineRule="auto"/>
              <w:rPr>
                <w:sz w:val="20"/>
                <w:szCs w:val="20"/>
              </w:rPr>
            </w:pPr>
            <w:r w:rsidRPr="008435A0">
              <w:rPr>
                <w:sz w:val="20"/>
                <w:szCs w:val="20"/>
              </w:rPr>
              <w:t>£9,290.30</w:t>
            </w:r>
          </w:p>
        </w:tc>
        <w:tc>
          <w:tcPr>
            <w:tcW w:w="3367" w:type="pct"/>
            <w:shd w:val="clear" w:color="auto" w:fill="BFBFBF"/>
          </w:tcPr>
          <w:p w14:paraId="3063103E" w14:textId="5215B6AA" w:rsidR="00D66F7D" w:rsidRPr="008435A0" w:rsidRDefault="00D66F7D" w:rsidP="008435A0">
            <w:pPr>
              <w:spacing w:after="0" w:line="240" w:lineRule="auto"/>
              <w:rPr>
                <w:sz w:val="20"/>
                <w:szCs w:val="20"/>
              </w:rPr>
            </w:pPr>
            <w:r w:rsidRPr="008435A0">
              <w:rPr>
                <w:sz w:val="20"/>
                <w:szCs w:val="20"/>
              </w:rPr>
              <w:t xml:space="preserve">Assumed 2 </w:t>
            </w:r>
            <w:r w:rsidR="00597D22" w:rsidRPr="008435A0">
              <w:rPr>
                <w:sz w:val="20"/>
                <w:szCs w:val="20"/>
                <w:lang w:eastAsia="en-US"/>
              </w:rPr>
              <w:t>DCM</w:t>
            </w:r>
            <w:r w:rsidR="00597D22" w:rsidRPr="008435A0">
              <w:rPr>
                <w:sz w:val="20"/>
                <w:szCs w:val="20"/>
              </w:rPr>
              <w:t>™</w:t>
            </w:r>
            <w:r w:rsidRPr="008435A0">
              <w:rPr>
                <w:sz w:val="20"/>
                <w:szCs w:val="20"/>
              </w:rPr>
              <w:t xml:space="preserve"> Mappers and 1 External </w:t>
            </w:r>
            <w:r w:rsidR="00597D22" w:rsidRPr="008435A0">
              <w:rPr>
                <w:sz w:val="20"/>
                <w:szCs w:val="20"/>
                <w:lang w:eastAsia="en-US"/>
              </w:rPr>
              <w:t>DCM</w:t>
            </w:r>
            <w:r w:rsidR="00597D22" w:rsidRPr="008435A0">
              <w:rPr>
                <w:sz w:val="20"/>
                <w:szCs w:val="20"/>
              </w:rPr>
              <w:t>™</w:t>
            </w:r>
            <w:r w:rsidRPr="008435A0">
              <w:rPr>
                <w:sz w:val="20"/>
                <w:szCs w:val="20"/>
              </w:rPr>
              <w:t xml:space="preserve"> Expert per care home</w:t>
            </w:r>
          </w:p>
        </w:tc>
      </w:tr>
      <w:tr w:rsidR="00D66F7D" w:rsidRPr="008435A0" w14:paraId="330EEA7F" w14:textId="77777777" w:rsidTr="00D66F7D">
        <w:tc>
          <w:tcPr>
            <w:tcW w:w="1174" w:type="pct"/>
            <w:shd w:val="clear" w:color="auto" w:fill="BFBFBF"/>
          </w:tcPr>
          <w:p w14:paraId="47F0B52E" w14:textId="77777777" w:rsidR="00D66F7D" w:rsidRPr="008435A0" w:rsidRDefault="00D66F7D" w:rsidP="008435A0">
            <w:pPr>
              <w:spacing w:after="0" w:line="240" w:lineRule="auto"/>
              <w:rPr>
                <w:sz w:val="20"/>
                <w:szCs w:val="20"/>
              </w:rPr>
            </w:pPr>
            <w:r w:rsidRPr="008435A0">
              <w:rPr>
                <w:sz w:val="20"/>
                <w:szCs w:val="20"/>
              </w:rPr>
              <w:t>Per resident</w:t>
            </w:r>
          </w:p>
          <w:p w14:paraId="7863713C" w14:textId="77777777" w:rsidR="00D66F7D" w:rsidRPr="008435A0" w:rsidRDefault="00D66F7D" w:rsidP="008435A0">
            <w:pPr>
              <w:spacing w:after="0" w:line="240" w:lineRule="auto"/>
              <w:rPr>
                <w:sz w:val="20"/>
                <w:szCs w:val="20"/>
              </w:rPr>
            </w:pPr>
          </w:p>
        </w:tc>
        <w:tc>
          <w:tcPr>
            <w:tcW w:w="459" w:type="pct"/>
            <w:shd w:val="clear" w:color="auto" w:fill="BFBFBF"/>
          </w:tcPr>
          <w:p w14:paraId="19FC0E99" w14:textId="77777777" w:rsidR="00D66F7D" w:rsidRPr="008435A0" w:rsidRDefault="00D66F7D" w:rsidP="008435A0">
            <w:pPr>
              <w:spacing w:after="0" w:line="240" w:lineRule="auto"/>
              <w:rPr>
                <w:sz w:val="20"/>
                <w:szCs w:val="20"/>
              </w:rPr>
            </w:pPr>
            <w:r w:rsidRPr="008435A0">
              <w:rPr>
                <w:sz w:val="20"/>
                <w:szCs w:val="20"/>
              </w:rPr>
              <w:t>£421.07</w:t>
            </w:r>
          </w:p>
        </w:tc>
        <w:tc>
          <w:tcPr>
            <w:tcW w:w="3367" w:type="pct"/>
            <w:shd w:val="clear" w:color="auto" w:fill="BFBFBF"/>
          </w:tcPr>
          <w:p w14:paraId="75C8CA89" w14:textId="77777777" w:rsidR="00D66F7D" w:rsidRPr="008435A0" w:rsidRDefault="00D66F7D" w:rsidP="008435A0">
            <w:pPr>
              <w:spacing w:after="0" w:line="240" w:lineRule="auto"/>
              <w:rPr>
                <w:sz w:val="20"/>
                <w:szCs w:val="20"/>
              </w:rPr>
            </w:pPr>
            <w:r w:rsidRPr="008435A0">
              <w:rPr>
                <w:sz w:val="20"/>
                <w:szCs w:val="20"/>
              </w:rPr>
              <w:t>Assumed 22.06 residents per care home (calculation based on DCM™ EPIC trial data)</w:t>
            </w:r>
          </w:p>
        </w:tc>
      </w:tr>
    </w:tbl>
    <w:p w14:paraId="5E46E65F" w14:textId="060913C8" w:rsidR="00D66F7D" w:rsidRPr="00563AD3" w:rsidRDefault="00CA52F7" w:rsidP="009B13F3">
      <w:r w:rsidRPr="00563AD3">
        <w:t>All costs are reported at</w:t>
      </w:r>
      <w:r w:rsidR="00D66F7D" w:rsidRPr="00563AD3">
        <w:t xml:space="preserve"> 2016/17 </w:t>
      </w:r>
      <w:r w:rsidRPr="00563AD3">
        <w:t>prices</w:t>
      </w:r>
    </w:p>
    <w:p w14:paraId="0A1AD429" w14:textId="265ECDCB" w:rsidR="00DA69E1" w:rsidRPr="00563AD3" w:rsidRDefault="00DA69E1" w:rsidP="009B13F3">
      <w:pPr>
        <w:pStyle w:val="Tableheading"/>
      </w:pPr>
      <w:bookmarkStart w:id="194" w:name="_Toc948217"/>
      <w:r w:rsidRPr="00563AD3">
        <w:t xml:space="preserve">Table </w:t>
      </w:r>
      <w:r w:rsidR="0005048E">
        <w:t>20</w:t>
      </w:r>
      <w:r w:rsidRPr="00563AD3">
        <w:t>: Healthcare resource costs in base case analysis*</w:t>
      </w:r>
      <w:bookmarkEnd w:id="1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017"/>
        <w:gridCol w:w="915"/>
        <w:gridCol w:w="867"/>
        <w:gridCol w:w="1117"/>
        <w:gridCol w:w="1017"/>
        <w:gridCol w:w="924"/>
        <w:gridCol w:w="885"/>
        <w:gridCol w:w="1117"/>
      </w:tblGrid>
      <w:tr w:rsidR="00DA69E1" w:rsidRPr="001F1A70" w14:paraId="2CA9C804" w14:textId="77777777" w:rsidTr="001F1A70">
        <w:tc>
          <w:tcPr>
            <w:tcW w:w="672" w:type="pct"/>
            <w:shd w:val="clear" w:color="auto" w:fill="auto"/>
          </w:tcPr>
          <w:p w14:paraId="4249E909" w14:textId="77777777" w:rsidR="00DA69E1" w:rsidRPr="001F1A70" w:rsidRDefault="00DA69E1" w:rsidP="009B13F3">
            <w:pPr>
              <w:spacing w:after="0"/>
              <w:rPr>
                <w:sz w:val="18"/>
                <w:szCs w:val="18"/>
              </w:rPr>
            </w:pPr>
            <w:r w:rsidRPr="001F1A70">
              <w:rPr>
                <w:sz w:val="18"/>
                <w:szCs w:val="18"/>
              </w:rPr>
              <w:t>Costs (£)</w:t>
            </w:r>
          </w:p>
        </w:tc>
        <w:tc>
          <w:tcPr>
            <w:tcW w:w="2116" w:type="pct"/>
            <w:gridSpan w:val="4"/>
            <w:shd w:val="clear" w:color="auto" w:fill="auto"/>
          </w:tcPr>
          <w:p w14:paraId="287DC454" w14:textId="0566018C" w:rsidR="00DA69E1" w:rsidRPr="001F1A70" w:rsidRDefault="004407A8" w:rsidP="009B13F3">
            <w:pPr>
              <w:spacing w:after="0"/>
              <w:jc w:val="center"/>
              <w:rPr>
                <w:sz w:val="18"/>
                <w:szCs w:val="18"/>
              </w:rPr>
            </w:pPr>
            <w:r w:rsidRPr="001F1A70">
              <w:rPr>
                <w:sz w:val="18"/>
                <w:szCs w:val="18"/>
              </w:rPr>
              <w:t>Intervention</w:t>
            </w:r>
          </w:p>
          <w:p w14:paraId="7BE19DFB" w14:textId="77777777" w:rsidR="00DA69E1" w:rsidRPr="001F1A70" w:rsidRDefault="00DA69E1" w:rsidP="009B13F3">
            <w:pPr>
              <w:spacing w:after="0"/>
              <w:jc w:val="center"/>
              <w:rPr>
                <w:sz w:val="18"/>
                <w:szCs w:val="18"/>
              </w:rPr>
            </w:pPr>
            <w:r w:rsidRPr="001F1A70">
              <w:rPr>
                <w:sz w:val="18"/>
                <w:szCs w:val="18"/>
              </w:rPr>
              <w:t>(n=418)</w:t>
            </w:r>
          </w:p>
        </w:tc>
        <w:tc>
          <w:tcPr>
            <w:tcW w:w="2212" w:type="pct"/>
            <w:gridSpan w:val="4"/>
            <w:shd w:val="clear" w:color="auto" w:fill="auto"/>
          </w:tcPr>
          <w:p w14:paraId="1976B3BA" w14:textId="687B3F9E" w:rsidR="00DA69E1" w:rsidRPr="001F1A70" w:rsidRDefault="00CA52F7" w:rsidP="009B13F3">
            <w:pPr>
              <w:spacing w:after="0"/>
              <w:jc w:val="center"/>
              <w:rPr>
                <w:sz w:val="18"/>
                <w:szCs w:val="18"/>
              </w:rPr>
            </w:pPr>
            <w:r w:rsidRPr="001F1A70">
              <w:rPr>
                <w:sz w:val="18"/>
                <w:szCs w:val="18"/>
              </w:rPr>
              <w:t>Control</w:t>
            </w:r>
          </w:p>
          <w:p w14:paraId="79D99EB0" w14:textId="77777777" w:rsidR="00DA69E1" w:rsidRPr="001F1A70" w:rsidRDefault="00DA69E1" w:rsidP="009B13F3">
            <w:pPr>
              <w:spacing w:after="0"/>
              <w:jc w:val="center"/>
              <w:rPr>
                <w:sz w:val="18"/>
                <w:szCs w:val="18"/>
              </w:rPr>
            </w:pPr>
            <w:r w:rsidRPr="001F1A70">
              <w:rPr>
                <w:sz w:val="18"/>
                <w:szCs w:val="18"/>
              </w:rPr>
              <w:t>(n=308)</w:t>
            </w:r>
          </w:p>
        </w:tc>
      </w:tr>
      <w:tr w:rsidR="00DA69E1" w:rsidRPr="001F1A70" w14:paraId="0ABD6CC2" w14:textId="77777777" w:rsidTr="001F1A70">
        <w:tc>
          <w:tcPr>
            <w:tcW w:w="672" w:type="pct"/>
            <w:shd w:val="clear" w:color="auto" w:fill="auto"/>
          </w:tcPr>
          <w:p w14:paraId="086B0185" w14:textId="77777777" w:rsidR="00DA69E1" w:rsidRPr="001F1A70" w:rsidRDefault="00DA69E1" w:rsidP="009B13F3">
            <w:pPr>
              <w:spacing w:after="0"/>
              <w:rPr>
                <w:sz w:val="18"/>
                <w:szCs w:val="18"/>
              </w:rPr>
            </w:pPr>
          </w:p>
        </w:tc>
        <w:tc>
          <w:tcPr>
            <w:tcW w:w="548" w:type="pct"/>
            <w:shd w:val="clear" w:color="auto" w:fill="auto"/>
          </w:tcPr>
          <w:p w14:paraId="0C260A69" w14:textId="77777777" w:rsidR="00DA69E1" w:rsidRPr="001F1A70" w:rsidRDefault="00DA69E1" w:rsidP="009B13F3">
            <w:pPr>
              <w:spacing w:after="0"/>
              <w:jc w:val="center"/>
              <w:rPr>
                <w:sz w:val="18"/>
                <w:szCs w:val="18"/>
              </w:rPr>
            </w:pPr>
            <w:r w:rsidRPr="001F1A70">
              <w:rPr>
                <w:sz w:val="18"/>
                <w:szCs w:val="18"/>
              </w:rPr>
              <w:t>Mean</w:t>
            </w:r>
          </w:p>
        </w:tc>
        <w:tc>
          <w:tcPr>
            <w:tcW w:w="548" w:type="pct"/>
            <w:shd w:val="clear" w:color="auto" w:fill="auto"/>
          </w:tcPr>
          <w:p w14:paraId="2A6A0F60" w14:textId="438815FA" w:rsidR="00DA69E1" w:rsidRPr="001F1A70" w:rsidRDefault="00CA52F7" w:rsidP="009B13F3">
            <w:pPr>
              <w:spacing w:after="0"/>
              <w:jc w:val="center"/>
              <w:rPr>
                <w:sz w:val="18"/>
                <w:szCs w:val="18"/>
              </w:rPr>
            </w:pPr>
            <w:r w:rsidRPr="001F1A70">
              <w:rPr>
                <w:sz w:val="18"/>
                <w:szCs w:val="18"/>
              </w:rPr>
              <w:t>Std Err</w:t>
            </w:r>
          </w:p>
        </w:tc>
        <w:tc>
          <w:tcPr>
            <w:tcW w:w="431" w:type="pct"/>
          </w:tcPr>
          <w:p w14:paraId="41DC9650" w14:textId="77777777" w:rsidR="00DA69E1" w:rsidRPr="001F1A70" w:rsidRDefault="00DA69E1" w:rsidP="009B13F3">
            <w:pPr>
              <w:spacing w:after="0"/>
              <w:jc w:val="center"/>
              <w:rPr>
                <w:sz w:val="18"/>
                <w:szCs w:val="18"/>
              </w:rPr>
            </w:pPr>
            <w:r w:rsidRPr="001F1A70">
              <w:rPr>
                <w:sz w:val="18"/>
                <w:szCs w:val="18"/>
              </w:rPr>
              <w:t>Min</w:t>
            </w:r>
          </w:p>
        </w:tc>
        <w:tc>
          <w:tcPr>
            <w:tcW w:w="590" w:type="pct"/>
          </w:tcPr>
          <w:p w14:paraId="467F5CFE" w14:textId="77777777" w:rsidR="00DA69E1" w:rsidRPr="001F1A70" w:rsidRDefault="00DA69E1" w:rsidP="009B13F3">
            <w:pPr>
              <w:spacing w:after="0"/>
              <w:jc w:val="center"/>
              <w:rPr>
                <w:sz w:val="18"/>
                <w:szCs w:val="18"/>
              </w:rPr>
            </w:pPr>
            <w:r w:rsidRPr="001F1A70">
              <w:rPr>
                <w:sz w:val="18"/>
                <w:szCs w:val="18"/>
              </w:rPr>
              <w:t>Max</w:t>
            </w:r>
          </w:p>
        </w:tc>
        <w:tc>
          <w:tcPr>
            <w:tcW w:w="548" w:type="pct"/>
            <w:shd w:val="clear" w:color="auto" w:fill="auto"/>
          </w:tcPr>
          <w:p w14:paraId="1F1F65A0" w14:textId="77777777" w:rsidR="00DA69E1" w:rsidRPr="001F1A70" w:rsidRDefault="00DA69E1" w:rsidP="009B13F3">
            <w:pPr>
              <w:spacing w:after="0"/>
              <w:jc w:val="center"/>
              <w:rPr>
                <w:sz w:val="18"/>
                <w:szCs w:val="18"/>
              </w:rPr>
            </w:pPr>
            <w:r w:rsidRPr="001F1A70">
              <w:rPr>
                <w:sz w:val="18"/>
                <w:szCs w:val="18"/>
              </w:rPr>
              <w:t>Mean</w:t>
            </w:r>
          </w:p>
        </w:tc>
        <w:tc>
          <w:tcPr>
            <w:tcW w:w="548" w:type="pct"/>
            <w:shd w:val="clear" w:color="auto" w:fill="auto"/>
          </w:tcPr>
          <w:p w14:paraId="128A6D71" w14:textId="5EED0D96" w:rsidR="00DA69E1" w:rsidRPr="001F1A70" w:rsidRDefault="00CA52F7" w:rsidP="009B13F3">
            <w:pPr>
              <w:spacing w:after="0"/>
              <w:jc w:val="center"/>
              <w:rPr>
                <w:sz w:val="18"/>
                <w:szCs w:val="18"/>
              </w:rPr>
            </w:pPr>
            <w:r w:rsidRPr="001F1A70">
              <w:rPr>
                <w:sz w:val="18"/>
                <w:szCs w:val="18"/>
              </w:rPr>
              <w:t>Std Err</w:t>
            </w:r>
          </w:p>
        </w:tc>
        <w:tc>
          <w:tcPr>
            <w:tcW w:w="526" w:type="pct"/>
          </w:tcPr>
          <w:p w14:paraId="63953202" w14:textId="77777777" w:rsidR="00DA69E1" w:rsidRPr="001F1A70" w:rsidRDefault="00DA69E1" w:rsidP="009B13F3">
            <w:pPr>
              <w:spacing w:after="0"/>
              <w:jc w:val="center"/>
              <w:rPr>
                <w:sz w:val="18"/>
                <w:szCs w:val="18"/>
              </w:rPr>
            </w:pPr>
            <w:r w:rsidRPr="001F1A70">
              <w:rPr>
                <w:sz w:val="18"/>
                <w:szCs w:val="18"/>
              </w:rPr>
              <w:t>Min</w:t>
            </w:r>
          </w:p>
        </w:tc>
        <w:tc>
          <w:tcPr>
            <w:tcW w:w="590" w:type="pct"/>
          </w:tcPr>
          <w:p w14:paraId="6DAC6C23" w14:textId="77777777" w:rsidR="00DA69E1" w:rsidRPr="001F1A70" w:rsidRDefault="00DA69E1" w:rsidP="009B13F3">
            <w:pPr>
              <w:spacing w:after="0"/>
              <w:jc w:val="center"/>
              <w:rPr>
                <w:sz w:val="18"/>
                <w:szCs w:val="18"/>
              </w:rPr>
            </w:pPr>
            <w:r w:rsidRPr="001F1A70">
              <w:rPr>
                <w:sz w:val="18"/>
                <w:szCs w:val="18"/>
              </w:rPr>
              <w:t>Max</w:t>
            </w:r>
          </w:p>
        </w:tc>
      </w:tr>
      <w:tr w:rsidR="00DA69E1" w:rsidRPr="001F1A70" w14:paraId="5DA512E7" w14:textId="77777777" w:rsidTr="001F1A70">
        <w:tc>
          <w:tcPr>
            <w:tcW w:w="672" w:type="pct"/>
            <w:shd w:val="clear" w:color="auto" w:fill="auto"/>
          </w:tcPr>
          <w:p w14:paraId="200213A3" w14:textId="77777777" w:rsidR="00DA69E1" w:rsidRPr="001F1A70" w:rsidRDefault="00DA69E1" w:rsidP="009B13F3">
            <w:pPr>
              <w:spacing w:after="0"/>
              <w:rPr>
                <w:sz w:val="18"/>
                <w:szCs w:val="18"/>
              </w:rPr>
            </w:pPr>
            <w:r w:rsidRPr="001F1A70">
              <w:rPr>
                <w:sz w:val="18"/>
                <w:szCs w:val="18"/>
              </w:rPr>
              <w:t>Intervention cost</w:t>
            </w:r>
          </w:p>
        </w:tc>
        <w:tc>
          <w:tcPr>
            <w:tcW w:w="548" w:type="pct"/>
            <w:shd w:val="clear" w:color="auto" w:fill="auto"/>
          </w:tcPr>
          <w:p w14:paraId="0AB820CC" w14:textId="77777777" w:rsidR="00DA69E1" w:rsidRPr="001F1A70" w:rsidRDefault="00DA69E1" w:rsidP="009B13F3">
            <w:pPr>
              <w:spacing w:after="0"/>
              <w:jc w:val="center"/>
              <w:rPr>
                <w:sz w:val="18"/>
                <w:szCs w:val="18"/>
              </w:rPr>
            </w:pPr>
            <w:r w:rsidRPr="001F1A70">
              <w:rPr>
                <w:sz w:val="18"/>
                <w:szCs w:val="18"/>
              </w:rPr>
              <w:t>£421.07</w:t>
            </w:r>
          </w:p>
        </w:tc>
        <w:tc>
          <w:tcPr>
            <w:tcW w:w="548" w:type="pct"/>
            <w:shd w:val="clear" w:color="auto" w:fill="auto"/>
          </w:tcPr>
          <w:p w14:paraId="54CED7A6" w14:textId="77777777" w:rsidR="00DA69E1" w:rsidRPr="001F1A70" w:rsidRDefault="00DA69E1" w:rsidP="009B13F3">
            <w:pPr>
              <w:spacing w:after="0"/>
              <w:jc w:val="center"/>
              <w:rPr>
                <w:sz w:val="18"/>
                <w:szCs w:val="18"/>
              </w:rPr>
            </w:pPr>
            <w:r w:rsidRPr="001F1A70">
              <w:rPr>
                <w:sz w:val="18"/>
                <w:szCs w:val="18"/>
              </w:rPr>
              <w:t>N/A</w:t>
            </w:r>
          </w:p>
        </w:tc>
        <w:tc>
          <w:tcPr>
            <w:tcW w:w="431" w:type="pct"/>
          </w:tcPr>
          <w:p w14:paraId="1E33D539" w14:textId="77777777" w:rsidR="00DA69E1" w:rsidRPr="001F1A70" w:rsidRDefault="00DA69E1" w:rsidP="009B13F3">
            <w:pPr>
              <w:spacing w:after="0"/>
              <w:jc w:val="center"/>
              <w:rPr>
                <w:sz w:val="18"/>
                <w:szCs w:val="18"/>
              </w:rPr>
            </w:pPr>
            <w:r w:rsidRPr="001F1A70">
              <w:rPr>
                <w:sz w:val="18"/>
                <w:szCs w:val="18"/>
              </w:rPr>
              <w:t>N/A</w:t>
            </w:r>
          </w:p>
        </w:tc>
        <w:tc>
          <w:tcPr>
            <w:tcW w:w="590" w:type="pct"/>
          </w:tcPr>
          <w:p w14:paraId="45879DFC" w14:textId="77777777" w:rsidR="00DA69E1" w:rsidRPr="001F1A70" w:rsidRDefault="00DA69E1" w:rsidP="009B13F3">
            <w:pPr>
              <w:spacing w:after="0"/>
              <w:jc w:val="center"/>
              <w:rPr>
                <w:sz w:val="18"/>
                <w:szCs w:val="18"/>
              </w:rPr>
            </w:pPr>
            <w:r w:rsidRPr="001F1A70">
              <w:rPr>
                <w:sz w:val="18"/>
                <w:szCs w:val="18"/>
              </w:rPr>
              <w:t>N/A</w:t>
            </w:r>
          </w:p>
        </w:tc>
        <w:tc>
          <w:tcPr>
            <w:tcW w:w="548" w:type="pct"/>
            <w:shd w:val="clear" w:color="auto" w:fill="auto"/>
          </w:tcPr>
          <w:p w14:paraId="7EC4A1D0" w14:textId="77777777" w:rsidR="00DA69E1" w:rsidRPr="001F1A70" w:rsidRDefault="00DA69E1" w:rsidP="009B13F3">
            <w:pPr>
              <w:spacing w:after="0"/>
              <w:jc w:val="center"/>
              <w:rPr>
                <w:sz w:val="18"/>
                <w:szCs w:val="18"/>
              </w:rPr>
            </w:pPr>
            <w:r w:rsidRPr="001F1A70">
              <w:rPr>
                <w:sz w:val="18"/>
                <w:szCs w:val="18"/>
              </w:rPr>
              <w:t>£0.00</w:t>
            </w:r>
          </w:p>
        </w:tc>
        <w:tc>
          <w:tcPr>
            <w:tcW w:w="548" w:type="pct"/>
            <w:shd w:val="clear" w:color="auto" w:fill="auto"/>
          </w:tcPr>
          <w:p w14:paraId="58809D86" w14:textId="77777777" w:rsidR="00DA69E1" w:rsidRPr="001F1A70" w:rsidRDefault="00DA69E1" w:rsidP="009B13F3">
            <w:pPr>
              <w:spacing w:after="0"/>
              <w:jc w:val="center"/>
              <w:rPr>
                <w:sz w:val="18"/>
                <w:szCs w:val="18"/>
              </w:rPr>
            </w:pPr>
            <w:r w:rsidRPr="001F1A70">
              <w:rPr>
                <w:sz w:val="18"/>
                <w:szCs w:val="18"/>
              </w:rPr>
              <w:t>N/A</w:t>
            </w:r>
          </w:p>
        </w:tc>
        <w:tc>
          <w:tcPr>
            <w:tcW w:w="526" w:type="pct"/>
          </w:tcPr>
          <w:p w14:paraId="59280C59" w14:textId="77777777" w:rsidR="00DA69E1" w:rsidRPr="001F1A70" w:rsidRDefault="00DA69E1" w:rsidP="009B13F3">
            <w:pPr>
              <w:spacing w:after="0"/>
              <w:jc w:val="center"/>
              <w:rPr>
                <w:sz w:val="18"/>
                <w:szCs w:val="18"/>
              </w:rPr>
            </w:pPr>
            <w:r w:rsidRPr="001F1A70">
              <w:rPr>
                <w:sz w:val="18"/>
                <w:szCs w:val="18"/>
              </w:rPr>
              <w:t>N/A</w:t>
            </w:r>
          </w:p>
        </w:tc>
        <w:tc>
          <w:tcPr>
            <w:tcW w:w="590" w:type="pct"/>
          </w:tcPr>
          <w:p w14:paraId="706E9708" w14:textId="77777777" w:rsidR="00DA69E1" w:rsidRPr="001F1A70" w:rsidRDefault="00DA69E1" w:rsidP="009B13F3">
            <w:pPr>
              <w:spacing w:after="0"/>
              <w:jc w:val="center"/>
              <w:rPr>
                <w:sz w:val="18"/>
                <w:szCs w:val="18"/>
              </w:rPr>
            </w:pPr>
            <w:r w:rsidRPr="001F1A70">
              <w:rPr>
                <w:sz w:val="18"/>
                <w:szCs w:val="18"/>
              </w:rPr>
              <w:t>N/A</w:t>
            </w:r>
          </w:p>
        </w:tc>
      </w:tr>
      <w:tr w:rsidR="00DA69E1" w:rsidRPr="001F1A70" w14:paraId="470CB530" w14:textId="77777777" w:rsidTr="001F1A70">
        <w:tc>
          <w:tcPr>
            <w:tcW w:w="672" w:type="pct"/>
            <w:shd w:val="clear" w:color="auto" w:fill="auto"/>
          </w:tcPr>
          <w:p w14:paraId="20D311A5" w14:textId="77777777" w:rsidR="00DA69E1" w:rsidRPr="001F1A70" w:rsidRDefault="00DA69E1" w:rsidP="009B13F3">
            <w:pPr>
              <w:spacing w:after="0"/>
              <w:rPr>
                <w:sz w:val="18"/>
                <w:szCs w:val="18"/>
              </w:rPr>
            </w:pPr>
            <w:r w:rsidRPr="001F1A70">
              <w:rPr>
                <w:sz w:val="18"/>
                <w:szCs w:val="18"/>
              </w:rPr>
              <w:t>Primary care costs</w:t>
            </w:r>
          </w:p>
        </w:tc>
        <w:tc>
          <w:tcPr>
            <w:tcW w:w="548" w:type="pct"/>
            <w:shd w:val="clear" w:color="auto" w:fill="auto"/>
          </w:tcPr>
          <w:p w14:paraId="5C58A5BB" w14:textId="77777777" w:rsidR="00DA69E1" w:rsidRPr="001F1A70" w:rsidRDefault="00DA69E1" w:rsidP="009B13F3">
            <w:pPr>
              <w:jc w:val="right"/>
              <w:rPr>
                <w:sz w:val="18"/>
                <w:szCs w:val="18"/>
              </w:rPr>
            </w:pPr>
            <w:r w:rsidRPr="001F1A70">
              <w:rPr>
                <w:sz w:val="18"/>
                <w:szCs w:val="18"/>
              </w:rPr>
              <w:t>£1,522.32</w:t>
            </w:r>
          </w:p>
        </w:tc>
        <w:tc>
          <w:tcPr>
            <w:tcW w:w="548" w:type="pct"/>
            <w:shd w:val="clear" w:color="auto" w:fill="auto"/>
          </w:tcPr>
          <w:p w14:paraId="4FDAD904" w14:textId="2418C06C" w:rsidR="00DA69E1" w:rsidRPr="001F1A70" w:rsidRDefault="00DA69E1" w:rsidP="009B13F3">
            <w:pPr>
              <w:jc w:val="right"/>
              <w:rPr>
                <w:sz w:val="18"/>
                <w:szCs w:val="18"/>
              </w:rPr>
            </w:pPr>
            <w:r w:rsidRPr="001F1A70">
              <w:rPr>
                <w:sz w:val="18"/>
                <w:szCs w:val="18"/>
              </w:rPr>
              <w:t>£</w:t>
            </w:r>
            <w:r w:rsidR="00CA52F7" w:rsidRPr="001F1A70">
              <w:rPr>
                <w:sz w:val="18"/>
                <w:szCs w:val="18"/>
              </w:rPr>
              <w:t>81.37</w:t>
            </w:r>
          </w:p>
        </w:tc>
        <w:tc>
          <w:tcPr>
            <w:tcW w:w="431" w:type="pct"/>
          </w:tcPr>
          <w:p w14:paraId="19C43F61" w14:textId="77777777" w:rsidR="00DA69E1" w:rsidRPr="001F1A70" w:rsidRDefault="00DA69E1" w:rsidP="009B13F3">
            <w:pPr>
              <w:jc w:val="right"/>
              <w:rPr>
                <w:sz w:val="18"/>
                <w:szCs w:val="18"/>
              </w:rPr>
            </w:pPr>
            <w:r w:rsidRPr="001F1A70">
              <w:rPr>
                <w:sz w:val="18"/>
                <w:szCs w:val="18"/>
              </w:rPr>
              <w:t>£0.00</w:t>
            </w:r>
          </w:p>
        </w:tc>
        <w:tc>
          <w:tcPr>
            <w:tcW w:w="590" w:type="pct"/>
          </w:tcPr>
          <w:p w14:paraId="18C0264F" w14:textId="77777777" w:rsidR="00DA69E1" w:rsidRPr="001F1A70" w:rsidRDefault="00DA69E1" w:rsidP="009B13F3">
            <w:pPr>
              <w:jc w:val="right"/>
              <w:rPr>
                <w:sz w:val="18"/>
                <w:szCs w:val="18"/>
              </w:rPr>
            </w:pPr>
            <w:r w:rsidRPr="001F1A70">
              <w:rPr>
                <w:sz w:val="18"/>
                <w:szCs w:val="18"/>
              </w:rPr>
              <w:t>£19,559.93</w:t>
            </w:r>
          </w:p>
        </w:tc>
        <w:tc>
          <w:tcPr>
            <w:tcW w:w="548" w:type="pct"/>
            <w:shd w:val="clear" w:color="auto" w:fill="auto"/>
          </w:tcPr>
          <w:p w14:paraId="1E8A75C6" w14:textId="77777777" w:rsidR="00DA69E1" w:rsidRPr="001F1A70" w:rsidRDefault="00DA69E1" w:rsidP="009B13F3">
            <w:pPr>
              <w:jc w:val="right"/>
              <w:rPr>
                <w:sz w:val="18"/>
                <w:szCs w:val="18"/>
              </w:rPr>
            </w:pPr>
            <w:r w:rsidRPr="001F1A70">
              <w:rPr>
                <w:sz w:val="18"/>
                <w:szCs w:val="18"/>
              </w:rPr>
              <w:t>£1,568.13</w:t>
            </w:r>
          </w:p>
        </w:tc>
        <w:tc>
          <w:tcPr>
            <w:tcW w:w="548" w:type="pct"/>
            <w:shd w:val="clear" w:color="auto" w:fill="auto"/>
          </w:tcPr>
          <w:p w14:paraId="40D4F4F0" w14:textId="1F49B3E3" w:rsidR="00DA69E1" w:rsidRPr="001F1A70" w:rsidRDefault="00DA69E1" w:rsidP="009B13F3">
            <w:pPr>
              <w:jc w:val="right"/>
              <w:rPr>
                <w:sz w:val="18"/>
                <w:szCs w:val="18"/>
              </w:rPr>
            </w:pPr>
            <w:r w:rsidRPr="001F1A70">
              <w:rPr>
                <w:sz w:val="18"/>
                <w:szCs w:val="18"/>
              </w:rPr>
              <w:t>£</w:t>
            </w:r>
            <w:r w:rsidR="00CA52F7" w:rsidRPr="001F1A70">
              <w:rPr>
                <w:sz w:val="18"/>
                <w:szCs w:val="18"/>
              </w:rPr>
              <w:t>85.58</w:t>
            </w:r>
          </w:p>
        </w:tc>
        <w:tc>
          <w:tcPr>
            <w:tcW w:w="526" w:type="pct"/>
          </w:tcPr>
          <w:p w14:paraId="44C56405" w14:textId="77777777" w:rsidR="00DA69E1" w:rsidRPr="001F1A70" w:rsidRDefault="00DA69E1" w:rsidP="009B13F3">
            <w:pPr>
              <w:jc w:val="right"/>
              <w:rPr>
                <w:sz w:val="18"/>
                <w:szCs w:val="18"/>
              </w:rPr>
            </w:pPr>
            <w:r w:rsidRPr="001F1A70">
              <w:rPr>
                <w:sz w:val="18"/>
                <w:szCs w:val="18"/>
              </w:rPr>
              <w:t>£0.00</w:t>
            </w:r>
          </w:p>
        </w:tc>
        <w:tc>
          <w:tcPr>
            <w:tcW w:w="590" w:type="pct"/>
          </w:tcPr>
          <w:p w14:paraId="639ADC92" w14:textId="77777777" w:rsidR="00DA69E1" w:rsidRPr="001F1A70" w:rsidRDefault="00DA69E1" w:rsidP="009B13F3">
            <w:pPr>
              <w:jc w:val="right"/>
              <w:rPr>
                <w:sz w:val="18"/>
                <w:szCs w:val="18"/>
              </w:rPr>
            </w:pPr>
            <w:r w:rsidRPr="001F1A70">
              <w:rPr>
                <w:sz w:val="18"/>
                <w:szCs w:val="18"/>
              </w:rPr>
              <w:t>£8,544.83</w:t>
            </w:r>
          </w:p>
        </w:tc>
      </w:tr>
      <w:tr w:rsidR="00DA69E1" w:rsidRPr="001F1A70" w14:paraId="17380192" w14:textId="77777777" w:rsidTr="001F1A70">
        <w:tc>
          <w:tcPr>
            <w:tcW w:w="672" w:type="pct"/>
            <w:shd w:val="clear" w:color="auto" w:fill="auto"/>
          </w:tcPr>
          <w:p w14:paraId="4D8FDEB5" w14:textId="77777777" w:rsidR="00DA69E1" w:rsidRPr="001F1A70" w:rsidRDefault="00DA69E1" w:rsidP="009B13F3">
            <w:pPr>
              <w:spacing w:after="0"/>
              <w:rPr>
                <w:sz w:val="18"/>
                <w:szCs w:val="18"/>
              </w:rPr>
            </w:pPr>
            <w:r w:rsidRPr="001F1A70">
              <w:rPr>
                <w:sz w:val="18"/>
                <w:szCs w:val="18"/>
              </w:rPr>
              <w:t>Secondary care costs</w:t>
            </w:r>
          </w:p>
        </w:tc>
        <w:tc>
          <w:tcPr>
            <w:tcW w:w="548" w:type="pct"/>
            <w:shd w:val="clear" w:color="auto" w:fill="auto"/>
          </w:tcPr>
          <w:p w14:paraId="235FB1A7" w14:textId="77777777" w:rsidR="00DA69E1" w:rsidRPr="001F1A70" w:rsidRDefault="00DA69E1" w:rsidP="009B13F3">
            <w:pPr>
              <w:jc w:val="right"/>
              <w:rPr>
                <w:sz w:val="18"/>
                <w:szCs w:val="18"/>
              </w:rPr>
            </w:pPr>
            <w:r w:rsidRPr="001F1A70">
              <w:rPr>
                <w:sz w:val="18"/>
                <w:szCs w:val="18"/>
              </w:rPr>
              <w:t>£1,547.34</w:t>
            </w:r>
          </w:p>
        </w:tc>
        <w:tc>
          <w:tcPr>
            <w:tcW w:w="548" w:type="pct"/>
            <w:shd w:val="clear" w:color="auto" w:fill="auto"/>
          </w:tcPr>
          <w:p w14:paraId="292F1CBA" w14:textId="134E6FB1" w:rsidR="00DA69E1" w:rsidRPr="001F1A70" w:rsidRDefault="00DA69E1" w:rsidP="009B13F3">
            <w:pPr>
              <w:jc w:val="right"/>
              <w:rPr>
                <w:sz w:val="18"/>
                <w:szCs w:val="18"/>
              </w:rPr>
            </w:pPr>
            <w:r w:rsidRPr="001F1A70">
              <w:rPr>
                <w:sz w:val="18"/>
                <w:szCs w:val="18"/>
              </w:rPr>
              <w:t>£</w:t>
            </w:r>
            <w:r w:rsidR="00CA52F7" w:rsidRPr="001F1A70">
              <w:rPr>
                <w:sz w:val="18"/>
                <w:szCs w:val="18"/>
              </w:rPr>
              <w:t>315.41</w:t>
            </w:r>
          </w:p>
        </w:tc>
        <w:tc>
          <w:tcPr>
            <w:tcW w:w="431" w:type="pct"/>
          </w:tcPr>
          <w:p w14:paraId="0F6DC2DF" w14:textId="77777777" w:rsidR="00DA69E1" w:rsidRPr="001F1A70" w:rsidRDefault="00DA69E1" w:rsidP="009B13F3">
            <w:pPr>
              <w:jc w:val="right"/>
              <w:rPr>
                <w:sz w:val="18"/>
                <w:szCs w:val="18"/>
              </w:rPr>
            </w:pPr>
            <w:r w:rsidRPr="001F1A70">
              <w:rPr>
                <w:sz w:val="18"/>
                <w:szCs w:val="18"/>
              </w:rPr>
              <w:t>£0.00</w:t>
            </w:r>
          </w:p>
        </w:tc>
        <w:tc>
          <w:tcPr>
            <w:tcW w:w="590" w:type="pct"/>
          </w:tcPr>
          <w:p w14:paraId="00D99A71" w14:textId="77777777" w:rsidR="00DA69E1" w:rsidRPr="001F1A70" w:rsidRDefault="00DA69E1" w:rsidP="009B13F3">
            <w:pPr>
              <w:jc w:val="right"/>
              <w:rPr>
                <w:sz w:val="18"/>
                <w:szCs w:val="18"/>
              </w:rPr>
            </w:pPr>
            <w:r w:rsidRPr="001F1A70">
              <w:rPr>
                <w:sz w:val="18"/>
                <w:szCs w:val="18"/>
              </w:rPr>
              <w:t>£67,346.67</w:t>
            </w:r>
          </w:p>
        </w:tc>
        <w:tc>
          <w:tcPr>
            <w:tcW w:w="548" w:type="pct"/>
            <w:shd w:val="clear" w:color="auto" w:fill="auto"/>
          </w:tcPr>
          <w:p w14:paraId="370681B8" w14:textId="77777777" w:rsidR="00DA69E1" w:rsidRPr="001F1A70" w:rsidRDefault="00DA69E1" w:rsidP="009B13F3">
            <w:pPr>
              <w:jc w:val="right"/>
              <w:rPr>
                <w:sz w:val="18"/>
                <w:szCs w:val="18"/>
              </w:rPr>
            </w:pPr>
            <w:r w:rsidRPr="001F1A70">
              <w:rPr>
                <w:sz w:val="18"/>
                <w:szCs w:val="18"/>
              </w:rPr>
              <w:t>£436.96</w:t>
            </w:r>
          </w:p>
        </w:tc>
        <w:tc>
          <w:tcPr>
            <w:tcW w:w="548" w:type="pct"/>
            <w:shd w:val="clear" w:color="auto" w:fill="auto"/>
          </w:tcPr>
          <w:p w14:paraId="0FAB512E" w14:textId="14144FA3" w:rsidR="00DA69E1" w:rsidRPr="001F1A70" w:rsidRDefault="00DA69E1" w:rsidP="009B13F3">
            <w:pPr>
              <w:jc w:val="right"/>
              <w:rPr>
                <w:sz w:val="18"/>
                <w:szCs w:val="18"/>
              </w:rPr>
            </w:pPr>
            <w:r w:rsidRPr="001F1A70">
              <w:rPr>
                <w:sz w:val="18"/>
                <w:szCs w:val="18"/>
              </w:rPr>
              <w:t>£</w:t>
            </w:r>
            <w:r w:rsidR="00CA52F7" w:rsidRPr="001F1A70">
              <w:rPr>
                <w:sz w:val="18"/>
                <w:szCs w:val="18"/>
              </w:rPr>
              <w:t>99.98</w:t>
            </w:r>
          </w:p>
        </w:tc>
        <w:tc>
          <w:tcPr>
            <w:tcW w:w="526" w:type="pct"/>
          </w:tcPr>
          <w:p w14:paraId="3A560EC7" w14:textId="77777777" w:rsidR="00DA69E1" w:rsidRPr="001F1A70" w:rsidRDefault="00DA69E1" w:rsidP="009B13F3">
            <w:pPr>
              <w:jc w:val="right"/>
              <w:rPr>
                <w:sz w:val="18"/>
                <w:szCs w:val="18"/>
              </w:rPr>
            </w:pPr>
            <w:r w:rsidRPr="001F1A70">
              <w:rPr>
                <w:sz w:val="18"/>
                <w:szCs w:val="18"/>
              </w:rPr>
              <w:t>£0.00</w:t>
            </w:r>
          </w:p>
        </w:tc>
        <w:tc>
          <w:tcPr>
            <w:tcW w:w="590" w:type="pct"/>
          </w:tcPr>
          <w:p w14:paraId="1281C38F" w14:textId="77777777" w:rsidR="00DA69E1" w:rsidRPr="001F1A70" w:rsidRDefault="00DA69E1" w:rsidP="009B13F3">
            <w:pPr>
              <w:jc w:val="right"/>
              <w:rPr>
                <w:sz w:val="18"/>
                <w:szCs w:val="18"/>
              </w:rPr>
            </w:pPr>
            <w:r w:rsidRPr="001F1A70">
              <w:rPr>
                <w:sz w:val="18"/>
                <w:szCs w:val="18"/>
              </w:rPr>
              <w:t>£14,220.38</w:t>
            </w:r>
          </w:p>
        </w:tc>
      </w:tr>
      <w:tr w:rsidR="00DA69E1" w:rsidRPr="001F1A70" w14:paraId="62C634BA" w14:textId="77777777" w:rsidTr="001F1A70">
        <w:tc>
          <w:tcPr>
            <w:tcW w:w="672" w:type="pct"/>
            <w:shd w:val="clear" w:color="auto" w:fill="auto"/>
          </w:tcPr>
          <w:p w14:paraId="5AA0EF7E" w14:textId="77777777" w:rsidR="00DA69E1" w:rsidRPr="001F1A70" w:rsidRDefault="00DA69E1" w:rsidP="009B13F3">
            <w:pPr>
              <w:spacing w:after="0"/>
              <w:rPr>
                <w:sz w:val="18"/>
                <w:szCs w:val="18"/>
              </w:rPr>
            </w:pPr>
            <w:r w:rsidRPr="001F1A70">
              <w:rPr>
                <w:sz w:val="18"/>
                <w:szCs w:val="18"/>
              </w:rPr>
              <w:t>Medication costs</w:t>
            </w:r>
          </w:p>
        </w:tc>
        <w:tc>
          <w:tcPr>
            <w:tcW w:w="548" w:type="pct"/>
            <w:shd w:val="clear" w:color="auto" w:fill="auto"/>
          </w:tcPr>
          <w:p w14:paraId="6B108A1D" w14:textId="77777777" w:rsidR="00DA69E1" w:rsidRPr="001F1A70" w:rsidRDefault="00DA69E1" w:rsidP="009B13F3">
            <w:pPr>
              <w:jc w:val="right"/>
              <w:rPr>
                <w:sz w:val="18"/>
                <w:szCs w:val="18"/>
              </w:rPr>
            </w:pPr>
            <w:r w:rsidRPr="001F1A70">
              <w:rPr>
                <w:sz w:val="18"/>
                <w:szCs w:val="18"/>
              </w:rPr>
              <w:t>£46.40</w:t>
            </w:r>
          </w:p>
        </w:tc>
        <w:tc>
          <w:tcPr>
            <w:tcW w:w="548" w:type="pct"/>
            <w:shd w:val="clear" w:color="auto" w:fill="auto"/>
          </w:tcPr>
          <w:p w14:paraId="748F7677" w14:textId="08E46FA4" w:rsidR="00DA69E1" w:rsidRPr="001F1A70" w:rsidRDefault="00DA69E1" w:rsidP="009B13F3">
            <w:pPr>
              <w:jc w:val="right"/>
              <w:rPr>
                <w:sz w:val="18"/>
                <w:szCs w:val="18"/>
              </w:rPr>
            </w:pPr>
            <w:r w:rsidRPr="001F1A70">
              <w:rPr>
                <w:sz w:val="18"/>
                <w:szCs w:val="18"/>
              </w:rPr>
              <w:t>£</w:t>
            </w:r>
            <w:r w:rsidR="00CA52F7" w:rsidRPr="001F1A70">
              <w:rPr>
                <w:sz w:val="18"/>
                <w:szCs w:val="18"/>
              </w:rPr>
              <w:t>3.64</w:t>
            </w:r>
          </w:p>
        </w:tc>
        <w:tc>
          <w:tcPr>
            <w:tcW w:w="431" w:type="pct"/>
          </w:tcPr>
          <w:p w14:paraId="3EC09DDB" w14:textId="77777777" w:rsidR="00DA69E1" w:rsidRPr="001F1A70" w:rsidRDefault="00DA69E1" w:rsidP="009B13F3">
            <w:pPr>
              <w:jc w:val="right"/>
              <w:rPr>
                <w:sz w:val="18"/>
                <w:szCs w:val="18"/>
              </w:rPr>
            </w:pPr>
            <w:r w:rsidRPr="001F1A70">
              <w:rPr>
                <w:sz w:val="18"/>
                <w:szCs w:val="18"/>
              </w:rPr>
              <w:t>£0.00</w:t>
            </w:r>
          </w:p>
        </w:tc>
        <w:tc>
          <w:tcPr>
            <w:tcW w:w="590" w:type="pct"/>
          </w:tcPr>
          <w:p w14:paraId="7E74A050" w14:textId="77777777" w:rsidR="00DA69E1" w:rsidRPr="001F1A70" w:rsidRDefault="00DA69E1" w:rsidP="009B13F3">
            <w:pPr>
              <w:jc w:val="right"/>
              <w:rPr>
                <w:sz w:val="18"/>
                <w:szCs w:val="18"/>
              </w:rPr>
            </w:pPr>
            <w:r w:rsidRPr="001F1A70">
              <w:rPr>
                <w:sz w:val="18"/>
                <w:szCs w:val="18"/>
              </w:rPr>
              <w:t>£405.38</w:t>
            </w:r>
          </w:p>
        </w:tc>
        <w:tc>
          <w:tcPr>
            <w:tcW w:w="548" w:type="pct"/>
            <w:shd w:val="clear" w:color="auto" w:fill="auto"/>
          </w:tcPr>
          <w:p w14:paraId="5B372162" w14:textId="77777777" w:rsidR="00DA69E1" w:rsidRPr="001F1A70" w:rsidRDefault="00DA69E1" w:rsidP="009B13F3">
            <w:pPr>
              <w:jc w:val="right"/>
              <w:rPr>
                <w:sz w:val="18"/>
                <w:szCs w:val="18"/>
              </w:rPr>
            </w:pPr>
            <w:r w:rsidRPr="001F1A70">
              <w:rPr>
                <w:sz w:val="18"/>
                <w:szCs w:val="18"/>
              </w:rPr>
              <w:t>£53.67</w:t>
            </w:r>
          </w:p>
        </w:tc>
        <w:tc>
          <w:tcPr>
            <w:tcW w:w="548" w:type="pct"/>
            <w:shd w:val="clear" w:color="auto" w:fill="auto"/>
          </w:tcPr>
          <w:p w14:paraId="6D08A469" w14:textId="713A5FB3" w:rsidR="00DA69E1" w:rsidRPr="001F1A70" w:rsidRDefault="00DA69E1" w:rsidP="009B13F3">
            <w:pPr>
              <w:jc w:val="right"/>
              <w:rPr>
                <w:sz w:val="18"/>
                <w:szCs w:val="18"/>
              </w:rPr>
            </w:pPr>
            <w:r w:rsidRPr="001F1A70">
              <w:rPr>
                <w:sz w:val="18"/>
                <w:szCs w:val="18"/>
              </w:rPr>
              <w:t>£</w:t>
            </w:r>
            <w:r w:rsidR="00CA52F7" w:rsidRPr="001F1A70">
              <w:rPr>
                <w:sz w:val="18"/>
                <w:szCs w:val="18"/>
              </w:rPr>
              <w:t>4.76</w:t>
            </w:r>
          </w:p>
        </w:tc>
        <w:tc>
          <w:tcPr>
            <w:tcW w:w="526" w:type="pct"/>
          </w:tcPr>
          <w:p w14:paraId="7F983AFD" w14:textId="77777777" w:rsidR="00DA69E1" w:rsidRPr="001F1A70" w:rsidRDefault="00DA69E1" w:rsidP="009B13F3">
            <w:pPr>
              <w:jc w:val="right"/>
              <w:rPr>
                <w:sz w:val="18"/>
                <w:szCs w:val="18"/>
              </w:rPr>
            </w:pPr>
            <w:r w:rsidRPr="001F1A70">
              <w:rPr>
                <w:sz w:val="18"/>
                <w:szCs w:val="18"/>
              </w:rPr>
              <w:t>£0.00</w:t>
            </w:r>
          </w:p>
        </w:tc>
        <w:tc>
          <w:tcPr>
            <w:tcW w:w="590" w:type="pct"/>
          </w:tcPr>
          <w:p w14:paraId="0E1BFD04" w14:textId="77777777" w:rsidR="00DA69E1" w:rsidRPr="001F1A70" w:rsidRDefault="00DA69E1" w:rsidP="009B13F3">
            <w:pPr>
              <w:jc w:val="right"/>
              <w:rPr>
                <w:sz w:val="18"/>
                <w:szCs w:val="18"/>
              </w:rPr>
            </w:pPr>
            <w:r w:rsidRPr="001F1A70">
              <w:rPr>
                <w:sz w:val="18"/>
                <w:szCs w:val="18"/>
              </w:rPr>
              <w:t>£459.25</w:t>
            </w:r>
          </w:p>
        </w:tc>
      </w:tr>
      <w:tr w:rsidR="00DA69E1" w:rsidRPr="001F1A70" w14:paraId="3C872A90" w14:textId="77777777" w:rsidTr="001F1A70">
        <w:tc>
          <w:tcPr>
            <w:tcW w:w="672" w:type="pct"/>
            <w:shd w:val="clear" w:color="auto" w:fill="auto"/>
          </w:tcPr>
          <w:p w14:paraId="68E1BF33" w14:textId="77777777" w:rsidR="00DA69E1" w:rsidRPr="001F1A70" w:rsidRDefault="00DA69E1" w:rsidP="009B13F3">
            <w:pPr>
              <w:spacing w:after="0"/>
              <w:rPr>
                <w:sz w:val="18"/>
                <w:szCs w:val="18"/>
              </w:rPr>
            </w:pPr>
            <w:r w:rsidRPr="001F1A70">
              <w:rPr>
                <w:sz w:val="18"/>
                <w:szCs w:val="18"/>
              </w:rPr>
              <w:t>Total cost</w:t>
            </w:r>
          </w:p>
        </w:tc>
        <w:tc>
          <w:tcPr>
            <w:tcW w:w="548" w:type="pct"/>
            <w:shd w:val="clear" w:color="auto" w:fill="auto"/>
          </w:tcPr>
          <w:p w14:paraId="3770FC7E" w14:textId="77777777" w:rsidR="00DA69E1" w:rsidRPr="001F1A70" w:rsidRDefault="00DA69E1" w:rsidP="009B13F3">
            <w:pPr>
              <w:jc w:val="right"/>
              <w:rPr>
                <w:sz w:val="18"/>
                <w:szCs w:val="18"/>
              </w:rPr>
            </w:pPr>
            <w:r w:rsidRPr="001F1A70">
              <w:rPr>
                <w:sz w:val="18"/>
                <w:szCs w:val="18"/>
              </w:rPr>
              <w:t>£3,539.00</w:t>
            </w:r>
          </w:p>
        </w:tc>
        <w:tc>
          <w:tcPr>
            <w:tcW w:w="548" w:type="pct"/>
            <w:shd w:val="clear" w:color="auto" w:fill="auto"/>
          </w:tcPr>
          <w:p w14:paraId="04933602" w14:textId="0BFE7C0B" w:rsidR="00DA69E1" w:rsidRPr="001F1A70" w:rsidRDefault="00DA69E1" w:rsidP="009B13F3">
            <w:pPr>
              <w:jc w:val="right"/>
              <w:rPr>
                <w:sz w:val="18"/>
                <w:szCs w:val="18"/>
              </w:rPr>
            </w:pPr>
            <w:r w:rsidRPr="001F1A70">
              <w:rPr>
                <w:sz w:val="18"/>
                <w:szCs w:val="18"/>
              </w:rPr>
              <w:t>£</w:t>
            </w:r>
            <w:r w:rsidR="00CA52F7" w:rsidRPr="001F1A70">
              <w:rPr>
                <w:sz w:val="18"/>
                <w:szCs w:val="18"/>
              </w:rPr>
              <w:t>337.00</w:t>
            </w:r>
          </w:p>
        </w:tc>
        <w:tc>
          <w:tcPr>
            <w:tcW w:w="431" w:type="pct"/>
          </w:tcPr>
          <w:p w14:paraId="1E8BA21A" w14:textId="77777777" w:rsidR="00DA69E1" w:rsidRPr="001F1A70" w:rsidRDefault="00DA69E1" w:rsidP="009B13F3">
            <w:pPr>
              <w:jc w:val="right"/>
              <w:rPr>
                <w:sz w:val="18"/>
                <w:szCs w:val="18"/>
              </w:rPr>
            </w:pPr>
            <w:r w:rsidRPr="001F1A70">
              <w:rPr>
                <w:sz w:val="18"/>
                <w:szCs w:val="18"/>
              </w:rPr>
              <w:t>£421.00</w:t>
            </w:r>
          </w:p>
        </w:tc>
        <w:tc>
          <w:tcPr>
            <w:tcW w:w="590" w:type="pct"/>
          </w:tcPr>
          <w:p w14:paraId="6DD67BD6" w14:textId="77777777" w:rsidR="00DA69E1" w:rsidRPr="001F1A70" w:rsidRDefault="00DA69E1" w:rsidP="009B13F3">
            <w:pPr>
              <w:jc w:val="right"/>
              <w:rPr>
                <w:sz w:val="18"/>
                <w:szCs w:val="18"/>
              </w:rPr>
            </w:pPr>
            <w:r w:rsidRPr="001F1A70">
              <w:rPr>
                <w:sz w:val="18"/>
                <w:szCs w:val="18"/>
              </w:rPr>
              <w:t>£73,944.00</w:t>
            </w:r>
          </w:p>
        </w:tc>
        <w:tc>
          <w:tcPr>
            <w:tcW w:w="548" w:type="pct"/>
            <w:shd w:val="clear" w:color="auto" w:fill="auto"/>
          </w:tcPr>
          <w:p w14:paraId="5859AA04" w14:textId="77777777" w:rsidR="00DA69E1" w:rsidRPr="001F1A70" w:rsidRDefault="00DA69E1" w:rsidP="009B13F3">
            <w:pPr>
              <w:jc w:val="right"/>
              <w:rPr>
                <w:sz w:val="18"/>
                <w:szCs w:val="18"/>
              </w:rPr>
            </w:pPr>
            <w:r w:rsidRPr="001F1A70">
              <w:rPr>
                <w:sz w:val="18"/>
                <w:szCs w:val="18"/>
              </w:rPr>
              <w:t>£2,059.58</w:t>
            </w:r>
          </w:p>
        </w:tc>
        <w:tc>
          <w:tcPr>
            <w:tcW w:w="548" w:type="pct"/>
            <w:shd w:val="clear" w:color="auto" w:fill="auto"/>
          </w:tcPr>
          <w:p w14:paraId="02DC3D3D" w14:textId="1FF9BAE0" w:rsidR="00DA69E1" w:rsidRPr="001F1A70" w:rsidRDefault="00DA69E1" w:rsidP="009B13F3">
            <w:pPr>
              <w:jc w:val="right"/>
              <w:rPr>
                <w:sz w:val="18"/>
                <w:szCs w:val="18"/>
              </w:rPr>
            </w:pPr>
            <w:r w:rsidRPr="001F1A70">
              <w:rPr>
                <w:sz w:val="18"/>
                <w:szCs w:val="18"/>
              </w:rPr>
              <w:t>£</w:t>
            </w:r>
            <w:r w:rsidR="005E1D6E" w:rsidRPr="001F1A70">
              <w:rPr>
                <w:sz w:val="18"/>
                <w:szCs w:val="18"/>
              </w:rPr>
              <w:t>146.71</w:t>
            </w:r>
          </w:p>
        </w:tc>
        <w:tc>
          <w:tcPr>
            <w:tcW w:w="526" w:type="pct"/>
          </w:tcPr>
          <w:p w14:paraId="56260235" w14:textId="77777777" w:rsidR="00DA69E1" w:rsidRPr="001F1A70" w:rsidRDefault="00DA69E1" w:rsidP="009B13F3">
            <w:pPr>
              <w:jc w:val="right"/>
              <w:rPr>
                <w:sz w:val="18"/>
                <w:szCs w:val="18"/>
              </w:rPr>
            </w:pPr>
            <w:r w:rsidRPr="001F1A70">
              <w:rPr>
                <w:sz w:val="18"/>
                <w:szCs w:val="18"/>
              </w:rPr>
              <w:t>£0.66</w:t>
            </w:r>
          </w:p>
        </w:tc>
        <w:tc>
          <w:tcPr>
            <w:tcW w:w="590" w:type="pct"/>
          </w:tcPr>
          <w:p w14:paraId="0B2F9C2D" w14:textId="77777777" w:rsidR="00DA69E1" w:rsidRPr="001F1A70" w:rsidRDefault="00DA69E1" w:rsidP="009B13F3">
            <w:pPr>
              <w:jc w:val="right"/>
              <w:rPr>
                <w:sz w:val="18"/>
                <w:szCs w:val="18"/>
              </w:rPr>
            </w:pPr>
            <w:r w:rsidRPr="001F1A70">
              <w:rPr>
                <w:sz w:val="18"/>
                <w:szCs w:val="18"/>
              </w:rPr>
              <w:t>£18,032.06</w:t>
            </w:r>
          </w:p>
        </w:tc>
      </w:tr>
    </w:tbl>
    <w:p w14:paraId="2878A357" w14:textId="77777777" w:rsidR="00DA69E1" w:rsidRPr="001F1A70" w:rsidRDefault="00DA69E1" w:rsidP="009B13F3">
      <w:pPr>
        <w:rPr>
          <w:sz w:val="16"/>
          <w:szCs w:val="16"/>
        </w:rPr>
      </w:pPr>
      <w:r w:rsidRPr="001F1A70">
        <w:rPr>
          <w:sz w:val="16"/>
          <w:szCs w:val="16"/>
        </w:rPr>
        <w:t>*Discounted, closed cohort, EQ-5D 5L, staff completed, with imputation. These values are unadjusted to reflect the true range of costs.</w:t>
      </w:r>
    </w:p>
    <w:p w14:paraId="371F0FF5" w14:textId="77777777" w:rsidR="00DA69E1" w:rsidRPr="00563AD3" w:rsidRDefault="00DA69E1" w:rsidP="009B13F3"/>
    <w:p w14:paraId="3DB3EB31" w14:textId="0AEBB3F2" w:rsidR="00DA69E1" w:rsidRPr="00563AD3" w:rsidRDefault="00E40A31" w:rsidP="009B13F3">
      <w:pPr>
        <w:pStyle w:val="Heading2"/>
      </w:pPr>
      <w:bookmarkStart w:id="195" w:name="_Toc525544024"/>
      <w:r w:rsidRPr="00563AD3">
        <w:t>4</w:t>
      </w:r>
      <w:r w:rsidR="00514CEF" w:rsidRPr="00563AD3">
        <w:t xml:space="preserve">.3 </w:t>
      </w:r>
      <w:r w:rsidR="00DA69E1" w:rsidRPr="00563AD3">
        <w:t>Utility</w:t>
      </w:r>
      <w:bookmarkEnd w:id="195"/>
    </w:p>
    <w:p w14:paraId="21B8E957" w14:textId="1DFEFDBF" w:rsidR="005B45D1" w:rsidRDefault="00DA69E1" w:rsidP="009B13F3">
      <w:r w:rsidRPr="00563AD3">
        <w:t>Staff proxies represented the greatest proportion of completed quality of life measures. (n = 453; 62%). This was followed by relative</w:t>
      </w:r>
      <w:r w:rsidR="00B9772E" w:rsidRPr="00563AD3">
        <w:t>/friend</w:t>
      </w:r>
      <w:r w:rsidRPr="00563AD3">
        <w:t xml:space="preserve"> proxies (n = 176; 24%) and then </w:t>
      </w:r>
      <w:r w:rsidR="00B9772E" w:rsidRPr="00563AD3">
        <w:t>resident self-report</w:t>
      </w:r>
      <w:r w:rsidRPr="00563AD3">
        <w:t xml:space="preserve"> (n=168; 23%). Table </w:t>
      </w:r>
      <w:r w:rsidR="0005048E" w:rsidRPr="00563AD3">
        <w:t>2</w:t>
      </w:r>
      <w:r w:rsidR="0005048E">
        <w:t>1</w:t>
      </w:r>
      <w:r w:rsidR="0005048E" w:rsidRPr="00563AD3">
        <w:t xml:space="preserve"> </w:t>
      </w:r>
      <w:r w:rsidRPr="00563AD3">
        <w:t xml:space="preserve">includes the utility values (with </w:t>
      </w:r>
      <w:r w:rsidR="005B45D1">
        <w:t xml:space="preserve">multiple </w:t>
      </w:r>
      <w:r w:rsidRPr="00563AD3">
        <w:t xml:space="preserve">imputation) for each trial arm across assessment mode and questionnaire. </w:t>
      </w:r>
    </w:p>
    <w:p w14:paraId="066CFDCE" w14:textId="0DFBE4E7" w:rsidR="005B45D1" w:rsidRDefault="00DA69E1" w:rsidP="009B13F3">
      <w:r w:rsidRPr="00563AD3">
        <w:t xml:space="preserve">The primary analysis </w:t>
      </w:r>
      <w:r w:rsidR="005B45D1">
        <w:t>wa</w:t>
      </w:r>
      <w:r w:rsidRPr="00563AD3">
        <w:t xml:space="preserve">s based on </w:t>
      </w:r>
      <w:r w:rsidR="005B45D1" w:rsidRPr="005B45D1">
        <w:t xml:space="preserve">the utility values reported </w:t>
      </w:r>
      <w:r w:rsidRPr="00563AD3">
        <w:t xml:space="preserve">in the top row </w:t>
      </w:r>
      <w:r w:rsidR="005B45D1">
        <w:t>i.e.</w:t>
      </w:r>
      <w:r w:rsidRPr="00563AD3">
        <w:t xml:space="preserve"> the imputed EQ-5D-5L completed by staff</w:t>
      </w:r>
      <w:r w:rsidR="00B9772E" w:rsidRPr="00563AD3">
        <w:t xml:space="preserve"> proxies</w:t>
      </w:r>
      <w:r w:rsidRPr="00563AD3">
        <w:t xml:space="preserve"> and scored using the </w:t>
      </w:r>
      <w:r w:rsidR="005B45D1">
        <w:t xml:space="preserve">standard </w:t>
      </w:r>
      <w:r w:rsidRPr="00563AD3">
        <w:t xml:space="preserve">UK tariff. </w:t>
      </w:r>
      <w:r w:rsidR="005B45D1" w:rsidRPr="005B45D1">
        <w:t>Other analyses presented in this study used the alternative utility values reported in other rows of the table.  The first four rows show imputed utility scores for EQ5D5L (rows 1-3) and DEMQOL (row 4) whereas the final two rows report the utilities that were used in the complete case analysis (i.e. prior to multiple imputation).</w:t>
      </w:r>
    </w:p>
    <w:p w14:paraId="3A5291B1" w14:textId="13892F5D" w:rsidR="00DA69E1" w:rsidRPr="00563AD3" w:rsidRDefault="005B45D1" w:rsidP="009B13F3">
      <w:r>
        <w:t>In the primary analysis t</w:t>
      </w:r>
      <w:r w:rsidR="00DA69E1" w:rsidRPr="00563AD3">
        <w:t xml:space="preserve">here was a slight baseline imbalance with the </w:t>
      </w:r>
      <w:r w:rsidR="00B9772E" w:rsidRPr="00563AD3">
        <w:t>control</w:t>
      </w:r>
      <w:r w:rsidR="00DA69E1" w:rsidRPr="00563AD3">
        <w:t xml:space="preserve"> </w:t>
      </w:r>
      <w:r w:rsidR="00182DC5" w:rsidRPr="00563AD3">
        <w:t>arm</w:t>
      </w:r>
      <w:r w:rsidR="00DA69E1" w:rsidRPr="00563AD3">
        <w:t xml:space="preserve"> having marginally higher </w:t>
      </w:r>
      <w:r w:rsidR="00C27710" w:rsidRPr="00563AD3">
        <w:t>quality of life</w:t>
      </w:r>
      <w:r w:rsidR="00DA69E1" w:rsidRPr="00563AD3">
        <w:t>. As we might anticipate, mean EQ-5D scores d</w:t>
      </w:r>
      <w:r w:rsidR="00B9772E" w:rsidRPr="00563AD3">
        <w:t>eclined during the trial over 16-</w:t>
      </w:r>
      <w:r w:rsidR="00DA69E1" w:rsidRPr="00563AD3">
        <w:t>months</w:t>
      </w:r>
      <w:r w:rsidR="00B9772E" w:rsidRPr="00563AD3">
        <w:t xml:space="preserve"> with resident longevity</w:t>
      </w:r>
      <w:r w:rsidR="00C27710" w:rsidRPr="00563AD3">
        <w:t>. There wa</w:t>
      </w:r>
      <w:r w:rsidR="00DA69E1" w:rsidRPr="00563AD3">
        <w:t xml:space="preserve">s a trend apparent in most of the approaches that the decline in </w:t>
      </w:r>
      <w:r w:rsidR="00C27710" w:rsidRPr="00563AD3">
        <w:t>quality of life</w:t>
      </w:r>
      <w:r w:rsidR="00DA69E1" w:rsidRPr="00563AD3">
        <w:t xml:space="preserve"> </w:t>
      </w:r>
      <w:r w:rsidR="00C27710" w:rsidRPr="00563AD3">
        <w:t>was</w:t>
      </w:r>
      <w:r w:rsidR="00DA69E1" w:rsidRPr="00563AD3">
        <w:t xml:space="preserve"> greater in the </w:t>
      </w:r>
      <w:r w:rsidR="00B9772E" w:rsidRPr="00563AD3">
        <w:t xml:space="preserve">control </w:t>
      </w:r>
      <w:r w:rsidR="00DA69E1" w:rsidRPr="00563AD3">
        <w:t xml:space="preserve">arm than in </w:t>
      </w:r>
      <w:r w:rsidR="004407A8" w:rsidRPr="00563AD3">
        <w:t>intervention</w:t>
      </w:r>
      <w:r w:rsidR="00DA69E1" w:rsidRPr="00563AD3">
        <w:t xml:space="preserve"> </w:t>
      </w:r>
      <w:r w:rsidR="00182DC5" w:rsidRPr="00563AD3">
        <w:t>arm</w:t>
      </w:r>
      <w:r w:rsidR="00DA69E1" w:rsidRPr="00563AD3">
        <w:t xml:space="preserve">. Using all approaches, </w:t>
      </w:r>
      <w:r w:rsidR="00C27710" w:rsidRPr="00563AD3">
        <w:t>quality of life wa</w:t>
      </w:r>
      <w:r w:rsidR="00DA69E1" w:rsidRPr="00563AD3">
        <w:t xml:space="preserve">s higher in the </w:t>
      </w:r>
      <w:r w:rsidR="004407A8" w:rsidRPr="00563AD3">
        <w:t>intervention</w:t>
      </w:r>
      <w:r w:rsidR="00DA69E1" w:rsidRPr="00563AD3">
        <w:t xml:space="preserve"> </w:t>
      </w:r>
      <w:r w:rsidR="00182DC5" w:rsidRPr="00563AD3">
        <w:t>arm</w:t>
      </w:r>
      <w:r w:rsidR="00DA69E1" w:rsidRPr="00563AD3">
        <w:t xml:space="preserve"> than </w:t>
      </w:r>
      <w:r w:rsidR="00B9772E" w:rsidRPr="00563AD3">
        <w:t xml:space="preserve">control </w:t>
      </w:r>
      <w:r w:rsidR="00182DC5" w:rsidRPr="00563AD3">
        <w:t>arm</w:t>
      </w:r>
      <w:r w:rsidR="00B9772E" w:rsidRPr="00563AD3">
        <w:t xml:space="preserve"> at 16-</w:t>
      </w:r>
      <w:r w:rsidR="00DA69E1" w:rsidRPr="00563AD3">
        <w:t>months.</w:t>
      </w:r>
    </w:p>
    <w:p w14:paraId="0CABF371" w14:textId="4EAA89D2" w:rsidR="00DA69E1" w:rsidRPr="00563AD3" w:rsidRDefault="00DA69E1" w:rsidP="009B13F3">
      <w:r w:rsidRPr="00563AD3">
        <w:t xml:space="preserve">The baseline imbalance in </w:t>
      </w:r>
      <w:r w:rsidR="00C27710" w:rsidRPr="00563AD3">
        <w:t>quality of life</w:t>
      </w:r>
      <w:r w:rsidRPr="00563AD3">
        <w:t xml:space="preserve"> was a relatively consistent finding across assessments and scoring methods. Adjustment for this was made in the calculation of QALYs. </w:t>
      </w:r>
    </w:p>
    <w:p w14:paraId="193A27C2" w14:textId="77777777" w:rsidR="00DA69E1" w:rsidRPr="00563AD3" w:rsidRDefault="00DA69E1" w:rsidP="009B13F3">
      <w:pPr>
        <w:sectPr w:rsidR="00DA69E1" w:rsidRPr="00563AD3" w:rsidSect="00DA69E1">
          <w:type w:val="continuous"/>
          <w:pgSz w:w="11906" w:h="16838"/>
          <w:pgMar w:top="1440" w:right="1440" w:bottom="1440" w:left="1440" w:header="708" w:footer="708" w:gutter="0"/>
          <w:cols w:space="708"/>
          <w:docGrid w:linePitch="360"/>
        </w:sectPr>
      </w:pPr>
    </w:p>
    <w:p w14:paraId="6713F585" w14:textId="10EAB42B" w:rsidR="00DA69E1" w:rsidRPr="00563AD3" w:rsidRDefault="00F236DE" w:rsidP="009B13F3">
      <w:pPr>
        <w:pStyle w:val="Tableheading"/>
      </w:pPr>
      <w:bookmarkStart w:id="196" w:name="_Toc948218"/>
      <w:r w:rsidRPr="00563AD3">
        <w:t xml:space="preserve">Table </w:t>
      </w:r>
      <w:r w:rsidR="0005048E" w:rsidRPr="00563AD3">
        <w:t>2</w:t>
      </w:r>
      <w:r w:rsidR="0005048E">
        <w:t>1</w:t>
      </w:r>
      <w:r w:rsidR="00DA69E1" w:rsidRPr="00563AD3">
        <w:t>: Utility values</w:t>
      </w:r>
      <w:bookmarkEnd w:id="196"/>
      <w:r w:rsidR="00DA69E1" w:rsidRPr="00563AD3">
        <w:t xml:space="preserve"> </w:t>
      </w:r>
    </w:p>
    <w:tbl>
      <w:tblPr>
        <w:tblW w:w="5000" w:type="pct"/>
        <w:tblLook w:val="04A0" w:firstRow="1" w:lastRow="0" w:firstColumn="1" w:lastColumn="0" w:noHBand="0" w:noVBand="1"/>
      </w:tblPr>
      <w:tblGrid>
        <w:gridCol w:w="1895"/>
        <w:gridCol w:w="564"/>
        <w:gridCol w:w="742"/>
        <w:gridCol w:w="622"/>
        <w:gridCol w:w="617"/>
        <w:gridCol w:w="742"/>
        <w:gridCol w:w="745"/>
        <w:gridCol w:w="619"/>
        <w:gridCol w:w="742"/>
        <w:gridCol w:w="619"/>
        <w:gridCol w:w="619"/>
        <w:gridCol w:w="798"/>
        <w:gridCol w:w="619"/>
        <w:gridCol w:w="619"/>
        <w:gridCol w:w="742"/>
        <w:gridCol w:w="619"/>
        <w:gridCol w:w="619"/>
        <w:gridCol w:w="798"/>
        <w:gridCol w:w="608"/>
      </w:tblGrid>
      <w:tr w:rsidR="00DA69E1" w:rsidRPr="001F1A70" w14:paraId="69FB2830" w14:textId="77777777" w:rsidTr="005B45D1">
        <w:trPr>
          <w:trHeight w:val="310"/>
        </w:trPr>
        <w:tc>
          <w:tcPr>
            <w:tcW w:w="679" w:type="pct"/>
            <w:vMerge w:val="restart"/>
            <w:tcBorders>
              <w:top w:val="single" w:sz="4" w:space="0" w:color="auto"/>
              <w:left w:val="single" w:sz="4" w:space="0" w:color="auto"/>
              <w:bottom w:val="single" w:sz="4" w:space="0" w:color="auto"/>
              <w:right w:val="single" w:sz="4" w:space="0" w:color="auto"/>
            </w:tcBorders>
            <w:shd w:val="clear" w:color="auto" w:fill="auto"/>
          </w:tcPr>
          <w:p w14:paraId="03BEEA6D" w14:textId="77777777" w:rsidR="00DA69E1" w:rsidRPr="001F1A70" w:rsidRDefault="00DA69E1" w:rsidP="008435A0">
            <w:pPr>
              <w:spacing w:after="0" w:line="240" w:lineRule="auto"/>
              <w:rPr>
                <w:sz w:val="20"/>
                <w:szCs w:val="20"/>
              </w:rPr>
            </w:pPr>
            <w:r w:rsidRPr="001F1A70">
              <w:rPr>
                <w:sz w:val="20"/>
                <w:szCs w:val="20"/>
              </w:rPr>
              <w:t>Assessment*</w:t>
            </w:r>
          </w:p>
        </w:tc>
        <w:tc>
          <w:tcPr>
            <w:tcW w:w="1444" w:type="pct"/>
            <w:gridSpan w:val="6"/>
            <w:tcBorders>
              <w:top w:val="single" w:sz="4" w:space="0" w:color="auto"/>
              <w:left w:val="single" w:sz="4" w:space="0" w:color="auto"/>
              <w:bottom w:val="single" w:sz="4" w:space="0" w:color="auto"/>
              <w:right w:val="single" w:sz="4" w:space="0" w:color="auto"/>
            </w:tcBorders>
          </w:tcPr>
          <w:p w14:paraId="4E341BC8" w14:textId="77777777" w:rsidR="00DA69E1" w:rsidRPr="001F1A70" w:rsidRDefault="00DA69E1" w:rsidP="008435A0">
            <w:pPr>
              <w:spacing w:after="0" w:line="240" w:lineRule="auto"/>
              <w:jc w:val="center"/>
              <w:rPr>
                <w:sz w:val="20"/>
                <w:szCs w:val="20"/>
              </w:rPr>
            </w:pPr>
            <w:r w:rsidRPr="001F1A70">
              <w:rPr>
                <w:sz w:val="20"/>
                <w:szCs w:val="20"/>
              </w:rPr>
              <w:t>Baseline</w:t>
            </w:r>
          </w:p>
        </w:tc>
        <w:tc>
          <w:tcPr>
            <w:tcW w:w="1440" w:type="pct"/>
            <w:gridSpan w:val="6"/>
            <w:tcBorders>
              <w:top w:val="single" w:sz="4" w:space="0" w:color="auto"/>
              <w:left w:val="single" w:sz="4" w:space="0" w:color="auto"/>
              <w:bottom w:val="single" w:sz="4" w:space="0" w:color="auto"/>
              <w:right w:val="single" w:sz="4" w:space="0" w:color="auto"/>
            </w:tcBorders>
          </w:tcPr>
          <w:p w14:paraId="401AACBC" w14:textId="769B1F7D" w:rsidR="00DA69E1" w:rsidRPr="001F1A70" w:rsidRDefault="005E1D6E" w:rsidP="008435A0">
            <w:pPr>
              <w:spacing w:after="0" w:line="240" w:lineRule="auto"/>
              <w:jc w:val="center"/>
              <w:rPr>
                <w:sz w:val="20"/>
                <w:szCs w:val="20"/>
              </w:rPr>
            </w:pPr>
            <w:r w:rsidRPr="001F1A70">
              <w:rPr>
                <w:sz w:val="20"/>
                <w:szCs w:val="20"/>
              </w:rPr>
              <w:t>6-m</w:t>
            </w:r>
            <w:r w:rsidR="00DA69E1" w:rsidRPr="001F1A70">
              <w:rPr>
                <w:sz w:val="20"/>
                <w:szCs w:val="20"/>
              </w:rPr>
              <w:t>onths</w:t>
            </w:r>
          </w:p>
        </w:tc>
        <w:tc>
          <w:tcPr>
            <w:tcW w:w="1437" w:type="pct"/>
            <w:gridSpan w:val="6"/>
            <w:tcBorders>
              <w:top w:val="single" w:sz="4" w:space="0" w:color="auto"/>
              <w:left w:val="single" w:sz="4" w:space="0" w:color="auto"/>
              <w:bottom w:val="single" w:sz="4" w:space="0" w:color="auto"/>
              <w:right w:val="single" w:sz="4" w:space="0" w:color="auto"/>
            </w:tcBorders>
          </w:tcPr>
          <w:p w14:paraId="5A618369" w14:textId="016E6465" w:rsidR="00DA69E1" w:rsidRPr="001F1A70" w:rsidRDefault="00DA69E1" w:rsidP="008435A0">
            <w:pPr>
              <w:spacing w:after="0" w:line="240" w:lineRule="auto"/>
              <w:jc w:val="center"/>
              <w:rPr>
                <w:sz w:val="20"/>
                <w:szCs w:val="20"/>
              </w:rPr>
            </w:pPr>
            <w:r w:rsidRPr="001F1A70">
              <w:rPr>
                <w:sz w:val="20"/>
                <w:szCs w:val="20"/>
              </w:rPr>
              <w:t>1</w:t>
            </w:r>
            <w:r w:rsidR="005E1D6E" w:rsidRPr="001F1A70">
              <w:rPr>
                <w:sz w:val="20"/>
                <w:szCs w:val="20"/>
              </w:rPr>
              <w:t>6-m</w:t>
            </w:r>
            <w:r w:rsidRPr="001F1A70">
              <w:rPr>
                <w:sz w:val="20"/>
                <w:szCs w:val="20"/>
              </w:rPr>
              <w:t>onths</w:t>
            </w:r>
          </w:p>
        </w:tc>
      </w:tr>
      <w:tr w:rsidR="00DA69E1" w:rsidRPr="001F1A70" w14:paraId="13593BDA" w14:textId="77777777" w:rsidTr="005B45D1">
        <w:tc>
          <w:tcPr>
            <w:tcW w:w="679" w:type="pct"/>
            <w:vMerge/>
            <w:tcBorders>
              <w:top w:val="single" w:sz="4" w:space="0" w:color="auto"/>
              <w:left w:val="single" w:sz="4" w:space="0" w:color="auto"/>
              <w:right w:val="single" w:sz="4" w:space="0" w:color="auto"/>
            </w:tcBorders>
            <w:shd w:val="clear" w:color="auto" w:fill="auto"/>
          </w:tcPr>
          <w:p w14:paraId="6341997E" w14:textId="77777777" w:rsidR="00DA69E1" w:rsidRPr="001F1A70" w:rsidRDefault="00DA69E1" w:rsidP="008435A0">
            <w:pPr>
              <w:spacing w:after="0" w:line="240" w:lineRule="auto"/>
              <w:rPr>
                <w:sz w:val="20"/>
                <w:szCs w:val="20"/>
              </w:rPr>
            </w:pPr>
          </w:p>
        </w:tc>
        <w:tc>
          <w:tcPr>
            <w:tcW w:w="691" w:type="pct"/>
            <w:gridSpan w:val="3"/>
            <w:tcBorders>
              <w:top w:val="single" w:sz="4" w:space="0" w:color="auto"/>
              <w:left w:val="single" w:sz="4" w:space="0" w:color="auto"/>
              <w:bottom w:val="single" w:sz="4" w:space="0" w:color="auto"/>
              <w:right w:val="single" w:sz="4" w:space="0" w:color="auto"/>
            </w:tcBorders>
          </w:tcPr>
          <w:p w14:paraId="66AA71BB" w14:textId="4FCB1C3B" w:rsidR="00DA69E1" w:rsidRPr="001F1A70" w:rsidRDefault="004407A8" w:rsidP="008435A0">
            <w:pPr>
              <w:spacing w:after="0" w:line="240" w:lineRule="auto"/>
              <w:jc w:val="center"/>
              <w:rPr>
                <w:sz w:val="20"/>
                <w:szCs w:val="20"/>
              </w:rPr>
            </w:pPr>
            <w:r w:rsidRPr="001F1A70">
              <w:rPr>
                <w:sz w:val="20"/>
                <w:szCs w:val="20"/>
              </w:rPr>
              <w:t>Intervention</w:t>
            </w:r>
          </w:p>
        </w:tc>
        <w:tc>
          <w:tcPr>
            <w:tcW w:w="754" w:type="pct"/>
            <w:gridSpan w:val="3"/>
            <w:tcBorders>
              <w:top w:val="single" w:sz="4" w:space="0" w:color="auto"/>
              <w:left w:val="single" w:sz="4" w:space="0" w:color="auto"/>
              <w:bottom w:val="single" w:sz="4" w:space="0" w:color="auto"/>
              <w:right w:val="single" w:sz="4" w:space="0" w:color="auto"/>
            </w:tcBorders>
            <w:shd w:val="clear" w:color="auto" w:fill="auto"/>
          </w:tcPr>
          <w:p w14:paraId="33D9EF8C" w14:textId="5EEE1C3F" w:rsidR="00DA69E1" w:rsidRPr="001F1A70" w:rsidRDefault="005E1D6E" w:rsidP="008435A0">
            <w:pPr>
              <w:spacing w:after="0" w:line="240" w:lineRule="auto"/>
              <w:jc w:val="center"/>
              <w:rPr>
                <w:sz w:val="20"/>
                <w:szCs w:val="20"/>
              </w:rPr>
            </w:pPr>
            <w:r w:rsidRPr="001F1A70">
              <w:rPr>
                <w:sz w:val="20"/>
                <w:szCs w:val="20"/>
              </w:rPr>
              <w:t>Control</w:t>
            </w:r>
          </w:p>
        </w:tc>
        <w:tc>
          <w:tcPr>
            <w:tcW w:w="710" w:type="pct"/>
            <w:gridSpan w:val="3"/>
            <w:tcBorders>
              <w:top w:val="single" w:sz="4" w:space="0" w:color="auto"/>
              <w:left w:val="single" w:sz="4" w:space="0" w:color="auto"/>
              <w:bottom w:val="single" w:sz="4" w:space="0" w:color="auto"/>
              <w:right w:val="single" w:sz="4" w:space="0" w:color="auto"/>
            </w:tcBorders>
          </w:tcPr>
          <w:p w14:paraId="4AC794D1" w14:textId="6B423F1B" w:rsidR="00DA69E1" w:rsidRPr="001F1A70" w:rsidRDefault="004407A8" w:rsidP="008435A0">
            <w:pPr>
              <w:spacing w:after="0" w:line="240" w:lineRule="auto"/>
              <w:jc w:val="center"/>
              <w:rPr>
                <w:sz w:val="20"/>
                <w:szCs w:val="20"/>
              </w:rPr>
            </w:pPr>
            <w:r w:rsidRPr="001F1A70">
              <w:rPr>
                <w:sz w:val="20"/>
                <w:szCs w:val="20"/>
              </w:rPr>
              <w:t>Intervention</w:t>
            </w:r>
          </w:p>
        </w:tc>
        <w:tc>
          <w:tcPr>
            <w:tcW w:w="730" w:type="pct"/>
            <w:gridSpan w:val="3"/>
            <w:tcBorders>
              <w:top w:val="single" w:sz="4" w:space="0" w:color="auto"/>
              <w:left w:val="single" w:sz="4" w:space="0" w:color="auto"/>
              <w:bottom w:val="single" w:sz="4" w:space="0" w:color="auto"/>
              <w:right w:val="single" w:sz="4" w:space="0" w:color="auto"/>
            </w:tcBorders>
          </w:tcPr>
          <w:p w14:paraId="65A4F04A" w14:textId="254A6CA7" w:rsidR="00DA69E1" w:rsidRPr="001F1A70" w:rsidRDefault="005E1D6E" w:rsidP="008435A0">
            <w:pPr>
              <w:spacing w:after="0" w:line="240" w:lineRule="auto"/>
              <w:jc w:val="center"/>
              <w:rPr>
                <w:sz w:val="20"/>
                <w:szCs w:val="20"/>
              </w:rPr>
            </w:pPr>
            <w:r w:rsidRPr="001F1A70">
              <w:rPr>
                <w:sz w:val="20"/>
                <w:szCs w:val="20"/>
              </w:rPr>
              <w:t>Control</w:t>
            </w:r>
          </w:p>
        </w:tc>
        <w:tc>
          <w:tcPr>
            <w:tcW w:w="710" w:type="pct"/>
            <w:gridSpan w:val="3"/>
            <w:tcBorders>
              <w:top w:val="single" w:sz="4" w:space="0" w:color="auto"/>
              <w:left w:val="single" w:sz="4" w:space="0" w:color="auto"/>
              <w:bottom w:val="single" w:sz="4" w:space="0" w:color="auto"/>
              <w:right w:val="single" w:sz="4" w:space="0" w:color="auto"/>
            </w:tcBorders>
          </w:tcPr>
          <w:p w14:paraId="03A322F9" w14:textId="49DD7DF7" w:rsidR="00DA69E1" w:rsidRPr="001F1A70" w:rsidRDefault="004407A8" w:rsidP="008435A0">
            <w:pPr>
              <w:spacing w:after="0" w:line="240" w:lineRule="auto"/>
              <w:jc w:val="center"/>
              <w:rPr>
                <w:sz w:val="20"/>
                <w:szCs w:val="20"/>
              </w:rPr>
            </w:pPr>
            <w:r w:rsidRPr="001F1A70">
              <w:rPr>
                <w:sz w:val="20"/>
                <w:szCs w:val="20"/>
              </w:rPr>
              <w:t>Intervention</w:t>
            </w:r>
          </w:p>
        </w:tc>
        <w:tc>
          <w:tcPr>
            <w:tcW w:w="728" w:type="pct"/>
            <w:gridSpan w:val="3"/>
            <w:tcBorders>
              <w:top w:val="single" w:sz="4" w:space="0" w:color="auto"/>
              <w:left w:val="single" w:sz="4" w:space="0" w:color="auto"/>
              <w:bottom w:val="single" w:sz="4" w:space="0" w:color="auto"/>
              <w:right w:val="single" w:sz="4" w:space="0" w:color="auto"/>
            </w:tcBorders>
          </w:tcPr>
          <w:p w14:paraId="24816700" w14:textId="0CE8A959" w:rsidR="00DA69E1" w:rsidRPr="001F1A70" w:rsidRDefault="005E1D6E" w:rsidP="008435A0">
            <w:pPr>
              <w:spacing w:after="0" w:line="240" w:lineRule="auto"/>
              <w:jc w:val="center"/>
              <w:rPr>
                <w:sz w:val="20"/>
                <w:szCs w:val="20"/>
              </w:rPr>
            </w:pPr>
            <w:r w:rsidRPr="001F1A70">
              <w:rPr>
                <w:sz w:val="20"/>
                <w:szCs w:val="20"/>
              </w:rPr>
              <w:t>Control</w:t>
            </w:r>
          </w:p>
        </w:tc>
      </w:tr>
      <w:tr w:rsidR="00DA69E1" w:rsidRPr="001F1A70" w14:paraId="21B62D8C" w14:textId="77777777" w:rsidTr="005B45D1">
        <w:tc>
          <w:tcPr>
            <w:tcW w:w="679" w:type="pct"/>
            <w:vMerge/>
            <w:tcBorders>
              <w:left w:val="single" w:sz="4" w:space="0" w:color="auto"/>
              <w:right w:val="single" w:sz="4" w:space="0" w:color="auto"/>
            </w:tcBorders>
            <w:shd w:val="clear" w:color="auto" w:fill="auto"/>
          </w:tcPr>
          <w:p w14:paraId="6159CD4B" w14:textId="77777777" w:rsidR="00DA69E1" w:rsidRPr="001F1A70" w:rsidRDefault="00DA69E1" w:rsidP="008435A0">
            <w:pPr>
              <w:spacing w:after="0" w:line="240" w:lineRule="auto"/>
              <w:rPr>
                <w:sz w:val="20"/>
                <w:szCs w:val="20"/>
              </w:rPr>
            </w:pPr>
          </w:p>
        </w:tc>
        <w:tc>
          <w:tcPr>
            <w:tcW w:w="202" w:type="pct"/>
            <w:tcBorders>
              <w:top w:val="single" w:sz="4" w:space="0" w:color="auto"/>
              <w:left w:val="single" w:sz="4" w:space="0" w:color="auto"/>
              <w:bottom w:val="single" w:sz="4" w:space="0" w:color="auto"/>
              <w:right w:val="single" w:sz="4" w:space="0" w:color="auto"/>
            </w:tcBorders>
          </w:tcPr>
          <w:p w14:paraId="4D25B1CD" w14:textId="77777777" w:rsidR="00DA69E1" w:rsidRPr="001F1A70" w:rsidRDefault="00DA69E1" w:rsidP="008435A0">
            <w:pPr>
              <w:spacing w:after="0" w:line="240" w:lineRule="auto"/>
              <w:jc w:val="center"/>
              <w:rPr>
                <w:sz w:val="20"/>
                <w:szCs w:val="20"/>
              </w:rPr>
            </w:pPr>
            <w:r w:rsidRPr="001F1A70">
              <w:rPr>
                <w:sz w:val="20"/>
                <w:szCs w:val="20"/>
              </w:rPr>
              <w:t>N</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3A22F378" w14:textId="77777777" w:rsidR="00DA69E1" w:rsidRPr="001F1A70" w:rsidRDefault="00DA69E1" w:rsidP="008435A0">
            <w:pPr>
              <w:spacing w:after="0" w:line="240" w:lineRule="auto"/>
              <w:jc w:val="center"/>
              <w:rPr>
                <w:sz w:val="20"/>
                <w:szCs w:val="20"/>
              </w:rPr>
            </w:pPr>
            <w:r w:rsidRPr="001F1A70">
              <w:rPr>
                <w:sz w:val="20"/>
                <w:szCs w:val="20"/>
              </w:rPr>
              <w:t>Mean</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9E30EF2" w14:textId="26AA6F93" w:rsidR="00DA69E1" w:rsidRPr="001F1A70" w:rsidRDefault="005E1D6E" w:rsidP="008435A0">
            <w:pPr>
              <w:spacing w:after="0" w:line="240" w:lineRule="auto"/>
              <w:jc w:val="center"/>
              <w:rPr>
                <w:sz w:val="20"/>
                <w:szCs w:val="20"/>
              </w:rPr>
            </w:pPr>
            <w:r w:rsidRPr="001F1A70">
              <w:rPr>
                <w:sz w:val="20"/>
                <w:szCs w:val="20"/>
              </w:rPr>
              <w:t>Std Err</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6C13746" w14:textId="77777777" w:rsidR="00DA69E1" w:rsidRPr="001F1A70" w:rsidRDefault="00DA69E1" w:rsidP="008435A0">
            <w:pPr>
              <w:spacing w:after="0" w:line="240" w:lineRule="auto"/>
              <w:jc w:val="center"/>
              <w:rPr>
                <w:sz w:val="20"/>
                <w:szCs w:val="20"/>
              </w:rPr>
            </w:pPr>
            <w:r w:rsidRPr="001F1A70">
              <w:rPr>
                <w:sz w:val="20"/>
                <w:szCs w:val="20"/>
              </w:rPr>
              <w:t>N</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7D725EB4" w14:textId="77777777" w:rsidR="00DA69E1" w:rsidRPr="001F1A70" w:rsidRDefault="00DA69E1" w:rsidP="008435A0">
            <w:pPr>
              <w:spacing w:after="0" w:line="240" w:lineRule="auto"/>
              <w:jc w:val="center"/>
              <w:rPr>
                <w:sz w:val="20"/>
                <w:szCs w:val="20"/>
              </w:rPr>
            </w:pPr>
            <w:r w:rsidRPr="001F1A70">
              <w:rPr>
                <w:sz w:val="20"/>
                <w:szCs w:val="20"/>
              </w:rPr>
              <w:t>Mean</w:t>
            </w:r>
          </w:p>
        </w:tc>
        <w:tc>
          <w:tcPr>
            <w:tcW w:w="267" w:type="pct"/>
            <w:tcBorders>
              <w:top w:val="single" w:sz="4" w:space="0" w:color="auto"/>
              <w:left w:val="single" w:sz="4" w:space="0" w:color="auto"/>
              <w:bottom w:val="single" w:sz="4" w:space="0" w:color="auto"/>
              <w:right w:val="single" w:sz="4" w:space="0" w:color="auto"/>
            </w:tcBorders>
          </w:tcPr>
          <w:p w14:paraId="27A81D46" w14:textId="1E5449F4" w:rsidR="00DA69E1" w:rsidRPr="001F1A70" w:rsidRDefault="005E1D6E" w:rsidP="008435A0">
            <w:pPr>
              <w:spacing w:after="0" w:line="240" w:lineRule="auto"/>
              <w:jc w:val="center"/>
              <w:rPr>
                <w:sz w:val="20"/>
                <w:szCs w:val="20"/>
              </w:rPr>
            </w:pPr>
            <w:r w:rsidRPr="001F1A70">
              <w:rPr>
                <w:sz w:val="20"/>
                <w:szCs w:val="20"/>
              </w:rPr>
              <w:t>Std Err</w:t>
            </w:r>
          </w:p>
        </w:tc>
        <w:tc>
          <w:tcPr>
            <w:tcW w:w="222" w:type="pct"/>
            <w:tcBorders>
              <w:top w:val="single" w:sz="4" w:space="0" w:color="auto"/>
              <w:left w:val="single" w:sz="4" w:space="0" w:color="auto"/>
              <w:bottom w:val="single" w:sz="4" w:space="0" w:color="auto"/>
              <w:right w:val="single" w:sz="4" w:space="0" w:color="auto"/>
            </w:tcBorders>
          </w:tcPr>
          <w:p w14:paraId="7777BFE6" w14:textId="77777777" w:rsidR="00DA69E1" w:rsidRPr="001F1A70" w:rsidRDefault="00DA69E1" w:rsidP="008435A0">
            <w:pPr>
              <w:spacing w:after="0" w:line="240" w:lineRule="auto"/>
              <w:jc w:val="center"/>
              <w:rPr>
                <w:sz w:val="20"/>
                <w:szCs w:val="20"/>
              </w:rPr>
            </w:pPr>
            <w:r w:rsidRPr="001F1A70">
              <w:rPr>
                <w:sz w:val="20"/>
                <w:szCs w:val="20"/>
              </w:rPr>
              <w:t>N</w:t>
            </w:r>
          </w:p>
        </w:tc>
        <w:tc>
          <w:tcPr>
            <w:tcW w:w="266" w:type="pct"/>
            <w:tcBorders>
              <w:top w:val="single" w:sz="4" w:space="0" w:color="auto"/>
              <w:left w:val="single" w:sz="4" w:space="0" w:color="auto"/>
              <w:bottom w:val="single" w:sz="4" w:space="0" w:color="auto"/>
              <w:right w:val="single" w:sz="4" w:space="0" w:color="auto"/>
            </w:tcBorders>
          </w:tcPr>
          <w:p w14:paraId="4809C09B" w14:textId="77777777" w:rsidR="00DA69E1" w:rsidRPr="001F1A70" w:rsidRDefault="00DA69E1" w:rsidP="008435A0">
            <w:pPr>
              <w:spacing w:after="0" w:line="240" w:lineRule="auto"/>
              <w:jc w:val="center"/>
              <w:rPr>
                <w:sz w:val="20"/>
                <w:szCs w:val="20"/>
              </w:rPr>
            </w:pPr>
            <w:r w:rsidRPr="001F1A70">
              <w:rPr>
                <w:sz w:val="20"/>
                <w:szCs w:val="20"/>
              </w:rPr>
              <w:t>Mean</w:t>
            </w:r>
          </w:p>
        </w:tc>
        <w:tc>
          <w:tcPr>
            <w:tcW w:w="222" w:type="pct"/>
            <w:tcBorders>
              <w:top w:val="single" w:sz="4" w:space="0" w:color="auto"/>
              <w:left w:val="single" w:sz="4" w:space="0" w:color="auto"/>
              <w:bottom w:val="single" w:sz="4" w:space="0" w:color="auto"/>
              <w:right w:val="single" w:sz="4" w:space="0" w:color="auto"/>
            </w:tcBorders>
          </w:tcPr>
          <w:p w14:paraId="392EE36F" w14:textId="418A9DBA" w:rsidR="00DA69E1" w:rsidRPr="001F1A70" w:rsidRDefault="005E1D6E" w:rsidP="008435A0">
            <w:pPr>
              <w:spacing w:after="0" w:line="240" w:lineRule="auto"/>
              <w:jc w:val="center"/>
              <w:rPr>
                <w:sz w:val="20"/>
                <w:szCs w:val="20"/>
              </w:rPr>
            </w:pPr>
            <w:r w:rsidRPr="001F1A70">
              <w:rPr>
                <w:sz w:val="20"/>
                <w:szCs w:val="20"/>
              </w:rPr>
              <w:t>Std Err</w:t>
            </w:r>
          </w:p>
        </w:tc>
        <w:tc>
          <w:tcPr>
            <w:tcW w:w="222" w:type="pct"/>
            <w:tcBorders>
              <w:top w:val="single" w:sz="4" w:space="0" w:color="auto"/>
              <w:left w:val="single" w:sz="4" w:space="0" w:color="auto"/>
              <w:bottom w:val="single" w:sz="4" w:space="0" w:color="auto"/>
              <w:right w:val="single" w:sz="4" w:space="0" w:color="auto"/>
            </w:tcBorders>
          </w:tcPr>
          <w:p w14:paraId="56D7ED18" w14:textId="77777777" w:rsidR="00DA69E1" w:rsidRPr="001F1A70" w:rsidRDefault="00DA69E1" w:rsidP="008435A0">
            <w:pPr>
              <w:spacing w:after="0" w:line="240" w:lineRule="auto"/>
              <w:jc w:val="center"/>
              <w:rPr>
                <w:sz w:val="20"/>
                <w:szCs w:val="20"/>
              </w:rPr>
            </w:pPr>
            <w:r w:rsidRPr="001F1A70">
              <w:rPr>
                <w:sz w:val="20"/>
                <w:szCs w:val="20"/>
              </w:rPr>
              <w:t>N</w:t>
            </w:r>
          </w:p>
        </w:tc>
        <w:tc>
          <w:tcPr>
            <w:tcW w:w="286" w:type="pct"/>
            <w:tcBorders>
              <w:top w:val="single" w:sz="4" w:space="0" w:color="auto"/>
              <w:left w:val="single" w:sz="4" w:space="0" w:color="auto"/>
              <w:bottom w:val="single" w:sz="4" w:space="0" w:color="auto"/>
              <w:right w:val="single" w:sz="4" w:space="0" w:color="auto"/>
            </w:tcBorders>
          </w:tcPr>
          <w:p w14:paraId="34AF8E68" w14:textId="77777777" w:rsidR="00DA69E1" w:rsidRPr="001F1A70" w:rsidRDefault="00DA69E1" w:rsidP="008435A0">
            <w:pPr>
              <w:spacing w:after="0" w:line="240" w:lineRule="auto"/>
              <w:jc w:val="center"/>
              <w:rPr>
                <w:sz w:val="20"/>
                <w:szCs w:val="20"/>
              </w:rPr>
            </w:pPr>
            <w:r w:rsidRPr="001F1A70">
              <w:rPr>
                <w:sz w:val="20"/>
                <w:szCs w:val="20"/>
              </w:rPr>
              <w:t>Mean</w:t>
            </w:r>
          </w:p>
        </w:tc>
        <w:tc>
          <w:tcPr>
            <w:tcW w:w="222" w:type="pct"/>
            <w:tcBorders>
              <w:top w:val="single" w:sz="4" w:space="0" w:color="auto"/>
              <w:left w:val="single" w:sz="4" w:space="0" w:color="auto"/>
              <w:bottom w:val="single" w:sz="4" w:space="0" w:color="auto"/>
              <w:right w:val="single" w:sz="4" w:space="0" w:color="auto"/>
            </w:tcBorders>
          </w:tcPr>
          <w:p w14:paraId="4DF6F9B5" w14:textId="5609A06B" w:rsidR="00DA69E1" w:rsidRPr="001F1A70" w:rsidRDefault="005E1D6E" w:rsidP="008435A0">
            <w:pPr>
              <w:spacing w:after="0" w:line="240" w:lineRule="auto"/>
              <w:jc w:val="center"/>
              <w:rPr>
                <w:sz w:val="20"/>
                <w:szCs w:val="20"/>
              </w:rPr>
            </w:pPr>
            <w:r w:rsidRPr="001F1A70">
              <w:rPr>
                <w:sz w:val="20"/>
                <w:szCs w:val="20"/>
              </w:rPr>
              <w:t>Std Err</w:t>
            </w:r>
          </w:p>
        </w:tc>
        <w:tc>
          <w:tcPr>
            <w:tcW w:w="222" w:type="pct"/>
            <w:tcBorders>
              <w:top w:val="single" w:sz="4" w:space="0" w:color="auto"/>
              <w:left w:val="single" w:sz="4" w:space="0" w:color="auto"/>
              <w:bottom w:val="single" w:sz="4" w:space="0" w:color="auto"/>
              <w:right w:val="single" w:sz="4" w:space="0" w:color="auto"/>
            </w:tcBorders>
          </w:tcPr>
          <w:p w14:paraId="16D66B00" w14:textId="77777777" w:rsidR="00DA69E1" w:rsidRPr="001F1A70" w:rsidRDefault="00DA69E1" w:rsidP="008435A0">
            <w:pPr>
              <w:spacing w:after="0" w:line="240" w:lineRule="auto"/>
              <w:jc w:val="center"/>
              <w:rPr>
                <w:sz w:val="20"/>
                <w:szCs w:val="20"/>
              </w:rPr>
            </w:pPr>
            <w:r w:rsidRPr="001F1A70">
              <w:rPr>
                <w:sz w:val="20"/>
                <w:szCs w:val="20"/>
              </w:rPr>
              <w:t>N</w:t>
            </w:r>
          </w:p>
        </w:tc>
        <w:tc>
          <w:tcPr>
            <w:tcW w:w="266" w:type="pct"/>
            <w:tcBorders>
              <w:top w:val="single" w:sz="4" w:space="0" w:color="auto"/>
              <w:left w:val="single" w:sz="4" w:space="0" w:color="auto"/>
              <w:bottom w:val="single" w:sz="4" w:space="0" w:color="auto"/>
              <w:right w:val="single" w:sz="4" w:space="0" w:color="auto"/>
            </w:tcBorders>
          </w:tcPr>
          <w:p w14:paraId="3AD39519" w14:textId="77777777" w:rsidR="00DA69E1" w:rsidRPr="001F1A70" w:rsidRDefault="00DA69E1" w:rsidP="008435A0">
            <w:pPr>
              <w:spacing w:after="0" w:line="240" w:lineRule="auto"/>
              <w:jc w:val="center"/>
              <w:rPr>
                <w:sz w:val="20"/>
                <w:szCs w:val="20"/>
              </w:rPr>
            </w:pPr>
            <w:r w:rsidRPr="001F1A70">
              <w:rPr>
                <w:sz w:val="20"/>
                <w:szCs w:val="20"/>
              </w:rPr>
              <w:t>Mean</w:t>
            </w:r>
          </w:p>
        </w:tc>
        <w:tc>
          <w:tcPr>
            <w:tcW w:w="222" w:type="pct"/>
            <w:tcBorders>
              <w:top w:val="single" w:sz="4" w:space="0" w:color="auto"/>
              <w:left w:val="single" w:sz="4" w:space="0" w:color="auto"/>
              <w:bottom w:val="single" w:sz="4" w:space="0" w:color="auto"/>
              <w:right w:val="single" w:sz="4" w:space="0" w:color="auto"/>
            </w:tcBorders>
          </w:tcPr>
          <w:p w14:paraId="620BBF77" w14:textId="4370461B" w:rsidR="00DA69E1" w:rsidRPr="001F1A70" w:rsidRDefault="005E1D6E" w:rsidP="008435A0">
            <w:pPr>
              <w:spacing w:after="0" w:line="240" w:lineRule="auto"/>
              <w:jc w:val="center"/>
              <w:rPr>
                <w:sz w:val="20"/>
                <w:szCs w:val="20"/>
              </w:rPr>
            </w:pPr>
            <w:r w:rsidRPr="001F1A70">
              <w:rPr>
                <w:sz w:val="20"/>
                <w:szCs w:val="20"/>
              </w:rPr>
              <w:t>Std Err</w:t>
            </w:r>
          </w:p>
        </w:tc>
        <w:tc>
          <w:tcPr>
            <w:tcW w:w="222" w:type="pct"/>
            <w:tcBorders>
              <w:top w:val="single" w:sz="4" w:space="0" w:color="auto"/>
              <w:left w:val="single" w:sz="4" w:space="0" w:color="auto"/>
              <w:bottom w:val="single" w:sz="4" w:space="0" w:color="auto"/>
              <w:right w:val="single" w:sz="4" w:space="0" w:color="auto"/>
            </w:tcBorders>
          </w:tcPr>
          <w:p w14:paraId="77BD1AD5" w14:textId="77777777" w:rsidR="00DA69E1" w:rsidRPr="001F1A70" w:rsidRDefault="00DA69E1" w:rsidP="008435A0">
            <w:pPr>
              <w:spacing w:after="0" w:line="240" w:lineRule="auto"/>
              <w:jc w:val="center"/>
              <w:rPr>
                <w:sz w:val="20"/>
                <w:szCs w:val="20"/>
              </w:rPr>
            </w:pPr>
            <w:r w:rsidRPr="001F1A70">
              <w:rPr>
                <w:sz w:val="20"/>
                <w:szCs w:val="20"/>
              </w:rPr>
              <w:t>N</w:t>
            </w:r>
          </w:p>
        </w:tc>
        <w:tc>
          <w:tcPr>
            <w:tcW w:w="286" w:type="pct"/>
            <w:tcBorders>
              <w:top w:val="single" w:sz="4" w:space="0" w:color="auto"/>
              <w:left w:val="single" w:sz="4" w:space="0" w:color="auto"/>
              <w:bottom w:val="single" w:sz="4" w:space="0" w:color="auto"/>
              <w:right w:val="single" w:sz="4" w:space="0" w:color="auto"/>
            </w:tcBorders>
          </w:tcPr>
          <w:p w14:paraId="2CBB5F15" w14:textId="77777777" w:rsidR="00DA69E1" w:rsidRPr="001F1A70" w:rsidRDefault="00DA69E1" w:rsidP="008435A0">
            <w:pPr>
              <w:spacing w:after="0" w:line="240" w:lineRule="auto"/>
              <w:jc w:val="center"/>
              <w:rPr>
                <w:sz w:val="20"/>
                <w:szCs w:val="20"/>
              </w:rPr>
            </w:pPr>
            <w:r w:rsidRPr="001F1A70">
              <w:rPr>
                <w:sz w:val="20"/>
                <w:szCs w:val="20"/>
              </w:rPr>
              <w:t>Mean</w:t>
            </w:r>
          </w:p>
        </w:tc>
        <w:tc>
          <w:tcPr>
            <w:tcW w:w="220" w:type="pct"/>
            <w:tcBorders>
              <w:top w:val="single" w:sz="4" w:space="0" w:color="auto"/>
              <w:left w:val="single" w:sz="4" w:space="0" w:color="auto"/>
              <w:bottom w:val="single" w:sz="4" w:space="0" w:color="auto"/>
              <w:right w:val="single" w:sz="4" w:space="0" w:color="auto"/>
            </w:tcBorders>
          </w:tcPr>
          <w:p w14:paraId="2B3B6C4A" w14:textId="7C2DE576" w:rsidR="00DA69E1" w:rsidRPr="001F1A70" w:rsidRDefault="005E1D6E" w:rsidP="008435A0">
            <w:pPr>
              <w:spacing w:after="0" w:line="240" w:lineRule="auto"/>
              <w:jc w:val="center"/>
              <w:rPr>
                <w:sz w:val="20"/>
                <w:szCs w:val="20"/>
              </w:rPr>
            </w:pPr>
            <w:r w:rsidRPr="001F1A70">
              <w:rPr>
                <w:sz w:val="20"/>
                <w:szCs w:val="20"/>
              </w:rPr>
              <w:t>Std Err</w:t>
            </w:r>
          </w:p>
        </w:tc>
      </w:tr>
      <w:tr w:rsidR="00DA69E1" w:rsidRPr="001F1A70" w14:paraId="41204ADF" w14:textId="77777777" w:rsidTr="005B45D1">
        <w:tc>
          <w:tcPr>
            <w:tcW w:w="679" w:type="pct"/>
            <w:tcBorders>
              <w:left w:val="single" w:sz="4" w:space="0" w:color="auto"/>
              <w:right w:val="single" w:sz="4" w:space="0" w:color="auto"/>
            </w:tcBorders>
            <w:shd w:val="clear" w:color="auto" w:fill="auto"/>
          </w:tcPr>
          <w:p w14:paraId="64FE2574" w14:textId="6E27EC51" w:rsidR="00DA69E1" w:rsidRPr="001F1A70" w:rsidRDefault="00DA69E1" w:rsidP="008435A0">
            <w:pPr>
              <w:spacing w:after="0" w:line="240" w:lineRule="auto"/>
              <w:rPr>
                <w:sz w:val="20"/>
                <w:szCs w:val="20"/>
              </w:rPr>
            </w:pPr>
            <w:r w:rsidRPr="001F1A70">
              <w:rPr>
                <w:sz w:val="20"/>
                <w:szCs w:val="20"/>
              </w:rPr>
              <w:t>EQ-5D-5L</w:t>
            </w:r>
            <w:r w:rsidR="005B45D1">
              <w:rPr>
                <w:sz w:val="20"/>
                <w:szCs w:val="20"/>
              </w:rPr>
              <w:t>*</w:t>
            </w:r>
            <w:r w:rsidRPr="001F1A70">
              <w:rPr>
                <w:sz w:val="20"/>
                <w:szCs w:val="20"/>
              </w:rPr>
              <w:t xml:space="preserve"> – Staff MI</w:t>
            </w:r>
            <w:r w:rsidR="005B45D1">
              <w:rPr>
                <w:sz w:val="20"/>
                <w:szCs w:val="20"/>
              </w:rPr>
              <w:t>; Primary analysis</w:t>
            </w:r>
          </w:p>
          <w:p w14:paraId="04EFCBEE" w14:textId="77777777" w:rsidR="00DA69E1" w:rsidRPr="001F1A70" w:rsidRDefault="00DA69E1" w:rsidP="008435A0">
            <w:pPr>
              <w:spacing w:after="0" w:line="240" w:lineRule="auto"/>
              <w:rPr>
                <w:sz w:val="20"/>
                <w:szCs w:val="20"/>
              </w:rPr>
            </w:pPr>
          </w:p>
        </w:tc>
        <w:tc>
          <w:tcPr>
            <w:tcW w:w="202" w:type="pct"/>
            <w:tcBorders>
              <w:top w:val="single" w:sz="4" w:space="0" w:color="auto"/>
              <w:left w:val="single" w:sz="4" w:space="0" w:color="auto"/>
              <w:right w:val="single" w:sz="4" w:space="0" w:color="auto"/>
            </w:tcBorders>
          </w:tcPr>
          <w:p w14:paraId="7E6F1571" w14:textId="77777777" w:rsidR="00DA69E1" w:rsidRPr="001F1A70" w:rsidRDefault="00DA69E1" w:rsidP="008435A0">
            <w:pPr>
              <w:spacing w:after="0" w:line="240" w:lineRule="auto"/>
              <w:jc w:val="right"/>
              <w:rPr>
                <w:sz w:val="20"/>
                <w:szCs w:val="20"/>
              </w:rPr>
            </w:pPr>
            <w:r w:rsidRPr="001F1A70">
              <w:rPr>
                <w:sz w:val="20"/>
                <w:szCs w:val="20"/>
              </w:rPr>
              <w:t>418</w:t>
            </w:r>
          </w:p>
        </w:tc>
        <w:tc>
          <w:tcPr>
            <w:tcW w:w="266" w:type="pct"/>
            <w:tcBorders>
              <w:top w:val="single" w:sz="4" w:space="0" w:color="auto"/>
              <w:left w:val="single" w:sz="4" w:space="0" w:color="auto"/>
              <w:right w:val="single" w:sz="4" w:space="0" w:color="auto"/>
            </w:tcBorders>
            <w:shd w:val="clear" w:color="auto" w:fill="auto"/>
          </w:tcPr>
          <w:p w14:paraId="069681CC" w14:textId="77777777" w:rsidR="00DA69E1" w:rsidRPr="001F1A70" w:rsidRDefault="00DA69E1" w:rsidP="008435A0">
            <w:pPr>
              <w:spacing w:after="0" w:line="240" w:lineRule="auto"/>
              <w:jc w:val="right"/>
              <w:rPr>
                <w:sz w:val="20"/>
                <w:szCs w:val="20"/>
              </w:rPr>
            </w:pPr>
            <w:r w:rsidRPr="001F1A70">
              <w:rPr>
                <w:sz w:val="20"/>
                <w:szCs w:val="20"/>
              </w:rPr>
              <w:t>.663</w:t>
            </w:r>
          </w:p>
        </w:tc>
        <w:tc>
          <w:tcPr>
            <w:tcW w:w="223" w:type="pct"/>
            <w:tcBorders>
              <w:top w:val="single" w:sz="4" w:space="0" w:color="auto"/>
              <w:left w:val="single" w:sz="4" w:space="0" w:color="auto"/>
              <w:right w:val="single" w:sz="4" w:space="0" w:color="auto"/>
            </w:tcBorders>
            <w:shd w:val="clear" w:color="auto" w:fill="auto"/>
          </w:tcPr>
          <w:p w14:paraId="56FE1865" w14:textId="1EB2D45E" w:rsidR="00DA69E1" w:rsidRPr="001F1A70" w:rsidRDefault="005E1D6E" w:rsidP="008435A0">
            <w:pPr>
              <w:spacing w:after="0" w:line="240" w:lineRule="auto"/>
              <w:jc w:val="right"/>
              <w:rPr>
                <w:sz w:val="20"/>
                <w:szCs w:val="20"/>
              </w:rPr>
            </w:pPr>
            <w:r w:rsidRPr="001F1A70">
              <w:rPr>
                <w:sz w:val="20"/>
                <w:szCs w:val="20"/>
              </w:rPr>
              <w:t>.011</w:t>
            </w:r>
          </w:p>
        </w:tc>
        <w:tc>
          <w:tcPr>
            <w:tcW w:w="221" w:type="pct"/>
            <w:tcBorders>
              <w:top w:val="single" w:sz="4" w:space="0" w:color="auto"/>
              <w:left w:val="single" w:sz="4" w:space="0" w:color="auto"/>
              <w:right w:val="single" w:sz="4" w:space="0" w:color="auto"/>
            </w:tcBorders>
            <w:shd w:val="clear" w:color="auto" w:fill="auto"/>
          </w:tcPr>
          <w:p w14:paraId="6CFAB7C0" w14:textId="77777777" w:rsidR="00DA69E1" w:rsidRPr="001F1A70" w:rsidRDefault="00DA69E1" w:rsidP="008435A0">
            <w:pPr>
              <w:spacing w:after="0" w:line="240" w:lineRule="auto"/>
              <w:jc w:val="right"/>
              <w:rPr>
                <w:sz w:val="20"/>
                <w:szCs w:val="20"/>
              </w:rPr>
            </w:pPr>
            <w:r w:rsidRPr="001F1A70">
              <w:rPr>
                <w:sz w:val="20"/>
                <w:szCs w:val="20"/>
              </w:rPr>
              <w:t>308</w:t>
            </w:r>
          </w:p>
        </w:tc>
        <w:tc>
          <w:tcPr>
            <w:tcW w:w="266" w:type="pct"/>
            <w:tcBorders>
              <w:top w:val="single" w:sz="4" w:space="0" w:color="auto"/>
              <w:left w:val="single" w:sz="4" w:space="0" w:color="auto"/>
              <w:right w:val="single" w:sz="4" w:space="0" w:color="auto"/>
            </w:tcBorders>
            <w:shd w:val="clear" w:color="auto" w:fill="auto"/>
          </w:tcPr>
          <w:p w14:paraId="69683184" w14:textId="77777777" w:rsidR="00DA69E1" w:rsidRPr="001F1A70" w:rsidRDefault="00DA69E1" w:rsidP="008435A0">
            <w:pPr>
              <w:tabs>
                <w:tab w:val="left" w:pos="348"/>
              </w:tabs>
              <w:spacing w:after="0" w:line="240" w:lineRule="auto"/>
              <w:jc w:val="right"/>
              <w:rPr>
                <w:sz w:val="20"/>
                <w:szCs w:val="20"/>
              </w:rPr>
            </w:pPr>
            <w:r w:rsidRPr="001F1A70">
              <w:rPr>
                <w:sz w:val="20"/>
                <w:szCs w:val="20"/>
              </w:rPr>
              <w:t>.676</w:t>
            </w:r>
          </w:p>
        </w:tc>
        <w:tc>
          <w:tcPr>
            <w:tcW w:w="267" w:type="pct"/>
            <w:tcBorders>
              <w:top w:val="single" w:sz="4" w:space="0" w:color="auto"/>
              <w:left w:val="single" w:sz="4" w:space="0" w:color="auto"/>
              <w:right w:val="single" w:sz="4" w:space="0" w:color="auto"/>
            </w:tcBorders>
          </w:tcPr>
          <w:p w14:paraId="5D407D07" w14:textId="2D53D7CB" w:rsidR="00DA69E1" w:rsidRPr="001F1A70" w:rsidRDefault="005E1D6E" w:rsidP="008435A0">
            <w:pPr>
              <w:tabs>
                <w:tab w:val="left" w:pos="312"/>
              </w:tabs>
              <w:spacing w:after="0" w:line="240" w:lineRule="auto"/>
              <w:jc w:val="right"/>
              <w:rPr>
                <w:sz w:val="20"/>
                <w:szCs w:val="20"/>
              </w:rPr>
            </w:pPr>
            <w:r w:rsidRPr="001F1A70">
              <w:rPr>
                <w:sz w:val="20"/>
                <w:szCs w:val="20"/>
              </w:rPr>
              <w:t>.011</w:t>
            </w:r>
          </w:p>
        </w:tc>
        <w:tc>
          <w:tcPr>
            <w:tcW w:w="222" w:type="pct"/>
            <w:tcBorders>
              <w:top w:val="single" w:sz="4" w:space="0" w:color="auto"/>
              <w:left w:val="single" w:sz="4" w:space="0" w:color="auto"/>
              <w:right w:val="single" w:sz="4" w:space="0" w:color="auto"/>
            </w:tcBorders>
          </w:tcPr>
          <w:p w14:paraId="0E095AD9" w14:textId="77777777" w:rsidR="00DA69E1" w:rsidRPr="001F1A70" w:rsidRDefault="00DA69E1" w:rsidP="008435A0">
            <w:pPr>
              <w:spacing w:after="0" w:line="240" w:lineRule="auto"/>
              <w:jc w:val="right"/>
              <w:rPr>
                <w:sz w:val="20"/>
                <w:szCs w:val="20"/>
              </w:rPr>
            </w:pPr>
            <w:r w:rsidRPr="001F1A70">
              <w:rPr>
                <w:sz w:val="20"/>
                <w:szCs w:val="20"/>
              </w:rPr>
              <w:t>418</w:t>
            </w:r>
          </w:p>
        </w:tc>
        <w:tc>
          <w:tcPr>
            <w:tcW w:w="266" w:type="pct"/>
            <w:tcBorders>
              <w:top w:val="single" w:sz="4" w:space="0" w:color="auto"/>
              <w:left w:val="single" w:sz="4" w:space="0" w:color="auto"/>
              <w:right w:val="single" w:sz="4" w:space="0" w:color="auto"/>
            </w:tcBorders>
          </w:tcPr>
          <w:p w14:paraId="17EF007D" w14:textId="77777777" w:rsidR="00DA69E1" w:rsidRPr="001F1A70" w:rsidRDefault="00DA69E1" w:rsidP="008435A0">
            <w:pPr>
              <w:spacing w:after="0" w:line="240" w:lineRule="auto"/>
              <w:jc w:val="right"/>
              <w:rPr>
                <w:sz w:val="20"/>
                <w:szCs w:val="20"/>
              </w:rPr>
            </w:pPr>
            <w:r w:rsidRPr="001F1A70">
              <w:rPr>
                <w:sz w:val="20"/>
                <w:szCs w:val="20"/>
              </w:rPr>
              <w:t>.573</w:t>
            </w:r>
          </w:p>
        </w:tc>
        <w:tc>
          <w:tcPr>
            <w:tcW w:w="222" w:type="pct"/>
            <w:tcBorders>
              <w:top w:val="single" w:sz="4" w:space="0" w:color="auto"/>
              <w:left w:val="single" w:sz="4" w:space="0" w:color="auto"/>
              <w:right w:val="single" w:sz="4" w:space="0" w:color="auto"/>
            </w:tcBorders>
          </w:tcPr>
          <w:p w14:paraId="46F28417" w14:textId="65AF5835" w:rsidR="00DA69E1" w:rsidRPr="001F1A70" w:rsidRDefault="005E1D6E" w:rsidP="008435A0">
            <w:pPr>
              <w:tabs>
                <w:tab w:val="left" w:pos="192"/>
              </w:tabs>
              <w:spacing w:after="0" w:line="240" w:lineRule="auto"/>
              <w:jc w:val="right"/>
              <w:rPr>
                <w:sz w:val="20"/>
                <w:szCs w:val="20"/>
              </w:rPr>
            </w:pPr>
            <w:r w:rsidRPr="001F1A70">
              <w:rPr>
                <w:sz w:val="20"/>
                <w:szCs w:val="20"/>
              </w:rPr>
              <w:t>.015</w:t>
            </w:r>
          </w:p>
        </w:tc>
        <w:tc>
          <w:tcPr>
            <w:tcW w:w="222" w:type="pct"/>
            <w:tcBorders>
              <w:top w:val="single" w:sz="4" w:space="0" w:color="auto"/>
              <w:left w:val="single" w:sz="4" w:space="0" w:color="auto"/>
              <w:right w:val="single" w:sz="4" w:space="0" w:color="auto"/>
            </w:tcBorders>
          </w:tcPr>
          <w:p w14:paraId="60C24789" w14:textId="77777777" w:rsidR="00DA69E1" w:rsidRPr="001F1A70" w:rsidRDefault="00DA69E1" w:rsidP="008435A0">
            <w:pPr>
              <w:spacing w:after="0" w:line="240" w:lineRule="auto"/>
              <w:jc w:val="right"/>
              <w:rPr>
                <w:sz w:val="20"/>
                <w:szCs w:val="20"/>
              </w:rPr>
            </w:pPr>
            <w:r w:rsidRPr="001F1A70">
              <w:rPr>
                <w:sz w:val="20"/>
                <w:szCs w:val="20"/>
              </w:rPr>
              <w:t>308</w:t>
            </w:r>
          </w:p>
        </w:tc>
        <w:tc>
          <w:tcPr>
            <w:tcW w:w="286" w:type="pct"/>
            <w:tcBorders>
              <w:top w:val="single" w:sz="4" w:space="0" w:color="auto"/>
              <w:left w:val="single" w:sz="4" w:space="0" w:color="auto"/>
              <w:right w:val="single" w:sz="4" w:space="0" w:color="auto"/>
            </w:tcBorders>
          </w:tcPr>
          <w:p w14:paraId="183F432A" w14:textId="77777777" w:rsidR="00DA69E1" w:rsidRPr="001F1A70" w:rsidRDefault="00DA69E1" w:rsidP="008435A0">
            <w:pPr>
              <w:tabs>
                <w:tab w:val="left" w:pos="288"/>
              </w:tabs>
              <w:spacing w:after="0" w:line="240" w:lineRule="auto"/>
              <w:jc w:val="right"/>
              <w:rPr>
                <w:sz w:val="20"/>
                <w:szCs w:val="20"/>
              </w:rPr>
            </w:pPr>
            <w:r w:rsidRPr="001F1A70">
              <w:rPr>
                <w:sz w:val="20"/>
                <w:szCs w:val="20"/>
              </w:rPr>
              <w:t>.569</w:t>
            </w:r>
          </w:p>
        </w:tc>
        <w:tc>
          <w:tcPr>
            <w:tcW w:w="222" w:type="pct"/>
            <w:tcBorders>
              <w:top w:val="single" w:sz="4" w:space="0" w:color="auto"/>
              <w:left w:val="single" w:sz="4" w:space="0" w:color="auto"/>
              <w:right w:val="single" w:sz="4" w:space="0" w:color="auto"/>
            </w:tcBorders>
          </w:tcPr>
          <w:p w14:paraId="4E00676B" w14:textId="75D7AAD8" w:rsidR="00DA69E1" w:rsidRPr="001F1A70" w:rsidRDefault="005E1D6E" w:rsidP="008435A0">
            <w:pPr>
              <w:tabs>
                <w:tab w:val="left" w:pos="288"/>
              </w:tabs>
              <w:spacing w:after="0" w:line="240" w:lineRule="auto"/>
              <w:jc w:val="right"/>
              <w:rPr>
                <w:sz w:val="20"/>
                <w:szCs w:val="20"/>
              </w:rPr>
            </w:pPr>
            <w:r w:rsidRPr="001F1A70">
              <w:rPr>
                <w:sz w:val="20"/>
                <w:szCs w:val="20"/>
              </w:rPr>
              <w:t>.019</w:t>
            </w:r>
          </w:p>
        </w:tc>
        <w:tc>
          <w:tcPr>
            <w:tcW w:w="222" w:type="pct"/>
            <w:tcBorders>
              <w:top w:val="single" w:sz="4" w:space="0" w:color="auto"/>
              <w:left w:val="single" w:sz="4" w:space="0" w:color="auto"/>
              <w:right w:val="single" w:sz="4" w:space="0" w:color="auto"/>
            </w:tcBorders>
          </w:tcPr>
          <w:p w14:paraId="008C4074" w14:textId="77777777" w:rsidR="00DA69E1" w:rsidRPr="001F1A70" w:rsidRDefault="00DA69E1" w:rsidP="008435A0">
            <w:pPr>
              <w:spacing w:after="0" w:line="240" w:lineRule="auto"/>
              <w:jc w:val="right"/>
              <w:rPr>
                <w:sz w:val="20"/>
                <w:szCs w:val="20"/>
              </w:rPr>
            </w:pPr>
            <w:r w:rsidRPr="001F1A70">
              <w:rPr>
                <w:sz w:val="20"/>
                <w:szCs w:val="20"/>
              </w:rPr>
              <w:t>418</w:t>
            </w:r>
          </w:p>
        </w:tc>
        <w:tc>
          <w:tcPr>
            <w:tcW w:w="266" w:type="pct"/>
            <w:tcBorders>
              <w:top w:val="single" w:sz="4" w:space="0" w:color="auto"/>
              <w:left w:val="single" w:sz="4" w:space="0" w:color="auto"/>
              <w:right w:val="single" w:sz="4" w:space="0" w:color="auto"/>
            </w:tcBorders>
          </w:tcPr>
          <w:p w14:paraId="1F9147AF" w14:textId="77777777" w:rsidR="00DA69E1" w:rsidRPr="001F1A70" w:rsidRDefault="00DA69E1" w:rsidP="008435A0">
            <w:pPr>
              <w:spacing w:after="0" w:line="240" w:lineRule="auto"/>
              <w:jc w:val="right"/>
              <w:rPr>
                <w:sz w:val="20"/>
                <w:szCs w:val="20"/>
              </w:rPr>
            </w:pPr>
            <w:r w:rsidRPr="001F1A70">
              <w:rPr>
                <w:sz w:val="20"/>
                <w:szCs w:val="20"/>
              </w:rPr>
              <w:t>.421</w:t>
            </w:r>
          </w:p>
        </w:tc>
        <w:tc>
          <w:tcPr>
            <w:tcW w:w="222" w:type="pct"/>
            <w:tcBorders>
              <w:top w:val="single" w:sz="4" w:space="0" w:color="auto"/>
              <w:left w:val="single" w:sz="4" w:space="0" w:color="auto"/>
              <w:right w:val="single" w:sz="4" w:space="0" w:color="auto"/>
            </w:tcBorders>
          </w:tcPr>
          <w:p w14:paraId="2377B821" w14:textId="64F380A2" w:rsidR="00DA69E1" w:rsidRPr="001F1A70" w:rsidRDefault="005E1D6E" w:rsidP="008435A0">
            <w:pPr>
              <w:tabs>
                <w:tab w:val="left" w:pos="300"/>
              </w:tabs>
              <w:spacing w:after="0" w:line="240" w:lineRule="auto"/>
              <w:jc w:val="right"/>
              <w:rPr>
                <w:sz w:val="20"/>
                <w:szCs w:val="20"/>
              </w:rPr>
            </w:pPr>
            <w:r w:rsidRPr="001F1A70">
              <w:rPr>
                <w:sz w:val="20"/>
                <w:szCs w:val="20"/>
              </w:rPr>
              <w:t>.018</w:t>
            </w:r>
          </w:p>
        </w:tc>
        <w:tc>
          <w:tcPr>
            <w:tcW w:w="222" w:type="pct"/>
            <w:tcBorders>
              <w:top w:val="single" w:sz="4" w:space="0" w:color="auto"/>
              <w:left w:val="single" w:sz="4" w:space="0" w:color="auto"/>
              <w:right w:val="single" w:sz="4" w:space="0" w:color="auto"/>
            </w:tcBorders>
          </w:tcPr>
          <w:p w14:paraId="42DF87C4" w14:textId="77777777" w:rsidR="00DA69E1" w:rsidRPr="001F1A70" w:rsidRDefault="00DA69E1" w:rsidP="008435A0">
            <w:pPr>
              <w:spacing w:after="0" w:line="240" w:lineRule="auto"/>
              <w:jc w:val="right"/>
              <w:rPr>
                <w:sz w:val="20"/>
                <w:szCs w:val="20"/>
              </w:rPr>
            </w:pPr>
            <w:r w:rsidRPr="001F1A70">
              <w:rPr>
                <w:sz w:val="20"/>
                <w:szCs w:val="20"/>
              </w:rPr>
              <w:t>308</w:t>
            </w:r>
          </w:p>
        </w:tc>
        <w:tc>
          <w:tcPr>
            <w:tcW w:w="286" w:type="pct"/>
            <w:tcBorders>
              <w:top w:val="single" w:sz="4" w:space="0" w:color="auto"/>
              <w:left w:val="single" w:sz="4" w:space="0" w:color="auto"/>
              <w:right w:val="single" w:sz="4" w:space="0" w:color="auto"/>
            </w:tcBorders>
          </w:tcPr>
          <w:p w14:paraId="14684E1F" w14:textId="77777777" w:rsidR="00DA69E1" w:rsidRPr="001F1A70" w:rsidRDefault="00DA69E1" w:rsidP="008435A0">
            <w:pPr>
              <w:spacing w:after="0" w:line="240" w:lineRule="auto"/>
              <w:jc w:val="right"/>
              <w:rPr>
                <w:sz w:val="20"/>
                <w:szCs w:val="20"/>
              </w:rPr>
            </w:pPr>
            <w:r w:rsidRPr="001F1A70">
              <w:rPr>
                <w:sz w:val="20"/>
                <w:szCs w:val="20"/>
              </w:rPr>
              <w:t>.395</w:t>
            </w:r>
          </w:p>
        </w:tc>
        <w:tc>
          <w:tcPr>
            <w:tcW w:w="220" w:type="pct"/>
            <w:tcBorders>
              <w:top w:val="single" w:sz="4" w:space="0" w:color="auto"/>
              <w:left w:val="single" w:sz="4" w:space="0" w:color="auto"/>
              <w:right w:val="single" w:sz="4" w:space="0" w:color="auto"/>
            </w:tcBorders>
          </w:tcPr>
          <w:p w14:paraId="0089CA3E" w14:textId="6A240058" w:rsidR="00DA69E1" w:rsidRPr="001F1A70" w:rsidRDefault="005E1D6E" w:rsidP="008435A0">
            <w:pPr>
              <w:spacing w:after="0" w:line="240" w:lineRule="auto"/>
              <w:jc w:val="right"/>
              <w:rPr>
                <w:sz w:val="20"/>
                <w:szCs w:val="20"/>
              </w:rPr>
            </w:pPr>
            <w:r w:rsidRPr="001F1A70">
              <w:rPr>
                <w:sz w:val="20"/>
                <w:szCs w:val="20"/>
              </w:rPr>
              <w:t>.019</w:t>
            </w:r>
          </w:p>
        </w:tc>
      </w:tr>
      <w:tr w:rsidR="00DA69E1" w:rsidRPr="001F1A70" w14:paraId="3560C6A6" w14:textId="77777777" w:rsidTr="005B45D1">
        <w:tc>
          <w:tcPr>
            <w:tcW w:w="679" w:type="pct"/>
            <w:tcBorders>
              <w:left w:val="single" w:sz="4" w:space="0" w:color="auto"/>
              <w:right w:val="single" w:sz="4" w:space="0" w:color="auto"/>
            </w:tcBorders>
            <w:shd w:val="clear" w:color="auto" w:fill="auto"/>
          </w:tcPr>
          <w:p w14:paraId="0EE51625" w14:textId="77777777" w:rsidR="00DA69E1" w:rsidRPr="001F1A70" w:rsidRDefault="00DA69E1" w:rsidP="008435A0">
            <w:pPr>
              <w:spacing w:after="0" w:line="240" w:lineRule="auto"/>
              <w:rPr>
                <w:sz w:val="20"/>
                <w:szCs w:val="20"/>
              </w:rPr>
            </w:pPr>
            <w:r w:rsidRPr="001F1A70">
              <w:rPr>
                <w:sz w:val="20"/>
                <w:szCs w:val="20"/>
              </w:rPr>
              <w:t>EQ-5D-5L – Staff MI; Death not recoded</w:t>
            </w:r>
          </w:p>
          <w:p w14:paraId="058F532D" w14:textId="77777777" w:rsidR="00DA69E1" w:rsidRPr="001F1A70" w:rsidRDefault="00DA69E1" w:rsidP="008435A0">
            <w:pPr>
              <w:spacing w:after="0" w:line="240" w:lineRule="auto"/>
              <w:rPr>
                <w:sz w:val="20"/>
                <w:szCs w:val="20"/>
              </w:rPr>
            </w:pPr>
          </w:p>
        </w:tc>
        <w:tc>
          <w:tcPr>
            <w:tcW w:w="202" w:type="pct"/>
            <w:tcBorders>
              <w:left w:val="single" w:sz="4" w:space="0" w:color="auto"/>
              <w:right w:val="single" w:sz="4" w:space="0" w:color="auto"/>
            </w:tcBorders>
          </w:tcPr>
          <w:p w14:paraId="66768EA2" w14:textId="77777777" w:rsidR="00DA69E1" w:rsidRPr="001F1A70" w:rsidRDefault="00DA69E1" w:rsidP="008435A0">
            <w:pPr>
              <w:spacing w:after="0" w:line="240" w:lineRule="auto"/>
              <w:jc w:val="right"/>
              <w:rPr>
                <w:sz w:val="20"/>
                <w:szCs w:val="20"/>
              </w:rPr>
            </w:pPr>
            <w:r w:rsidRPr="001F1A70">
              <w:rPr>
                <w:sz w:val="20"/>
                <w:szCs w:val="20"/>
              </w:rPr>
              <w:t>418</w:t>
            </w:r>
          </w:p>
        </w:tc>
        <w:tc>
          <w:tcPr>
            <w:tcW w:w="266" w:type="pct"/>
            <w:tcBorders>
              <w:left w:val="single" w:sz="4" w:space="0" w:color="auto"/>
              <w:right w:val="single" w:sz="4" w:space="0" w:color="auto"/>
            </w:tcBorders>
            <w:shd w:val="clear" w:color="auto" w:fill="auto"/>
          </w:tcPr>
          <w:p w14:paraId="6D4AB9E9" w14:textId="77777777" w:rsidR="00DA69E1" w:rsidRPr="001F1A70" w:rsidRDefault="00DA69E1" w:rsidP="008435A0">
            <w:pPr>
              <w:tabs>
                <w:tab w:val="left" w:pos="288"/>
              </w:tabs>
              <w:spacing w:after="0" w:line="240" w:lineRule="auto"/>
              <w:jc w:val="right"/>
              <w:rPr>
                <w:sz w:val="20"/>
                <w:szCs w:val="20"/>
              </w:rPr>
            </w:pPr>
            <w:r w:rsidRPr="001F1A70">
              <w:rPr>
                <w:sz w:val="20"/>
                <w:szCs w:val="20"/>
              </w:rPr>
              <w:t>.663</w:t>
            </w:r>
          </w:p>
        </w:tc>
        <w:tc>
          <w:tcPr>
            <w:tcW w:w="223" w:type="pct"/>
            <w:tcBorders>
              <w:left w:val="single" w:sz="4" w:space="0" w:color="auto"/>
              <w:right w:val="single" w:sz="4" w:space="0" w:color="auto"/>
            </w:tcBorders>
            <w:shd w:val="clear" w:color="auto" w:fill="auto"/>
          </w:tcPr>
          <w:p w14:paraId="66CB1069" w14:textId="2531E550" w:rsidR="00DA69E1" w:rsidRPr="001F1A70" w:rsidRDefault="005E1D6E" w:rsidP="008435A0">
            <w:pPr>
              <w:spacing w:after="0" w:line="240" w:lineRule="auto"/>
              <w:jc w:val="right"/>
              <w:rPr>
                <w:sz w:val="20"/>
                <w:szCs w:val="20"/>
              </w:rPr>
            </w:pPr>
            <w:r w:rsidRPr="001F1A70">
              <w:rPr>
                <w:sz w:val="20"/>
                <w:szCs w:val="20"/>
              </w:rPr>
              <w:t>.011</w:t>
            </w:r>
          </w:p>
        </w:tc>
        <w:tc>
          <w:tcPr>
            <w:tcW w:w="221" w:type="pct"/>
            <w:tcBorders>
              <w:left w:val="single" w:sz="4" w:space="0" w:color="auto"/>
              <w:right w:val="single" w:sz="4" w:space="0" w:color="auto"/>
            </w:tcBorders>
            <w:shd w:val="clear" w:color="auto" w:fill="auto"/>
          </w:tcPr>
          <w:p w14:paraId="17417439" w14:textId="77777777" w:rsidR="00DA69E1" w:rsidRPr="001F1A70" w:rsidRDefault="00DA69E1" w:rsidP="008435A0">
            <w:pPr>
              <w:spacing w:after="0" w:line="240" w:lineRule="auto"/>
              <w:jc w:val="right"/>
              <w:rPr>
                <w:sz w:val="20"/>
                <w:szCs w:val="20"/>
              </w:rPr>
            </w:pPr>
            <w:r w:rsidRPr="001F1A70">
              <w:rPr>
                <w:sz w:val="20"/>
                <w:szCs w:val="20"/>
              </w:rPr>
              <w:t>308</w:t>
            </w:r>
          </w:p>
        </w:tc>
        <w:tc>
          <w:tcPr>
            <w:tcW w:w="266" w:type="pct"/>
            <w:tcBorders>
              <w:left w:val="single" w:sz="4" w:space="0" w:color="auto"/>
              <w:right w:val="single" w:sz="4" w:space="0" w:color="auto"/>
            </w:tcBorders>
            <w:shd w:val="clear" w:color="auto" w:fill="auto"/>
          </w:tcPr>
          <w:p w14:paraId="45146DA6" w14:textId="77777777" w:rsidR="00DA69E1" w:rsidRPr="001F1A70" w:rsidRDefault="00DA69E1" w:rsidP="008435A0">
            <w:pPr>
              <w:tabs>
                <w:tab w:val="left" w:pos="348"/>
              </w:tabs>
              <w:spacing w:after="0" w:line="240" w:lineRule="auto"/>
              <w:jc w:val="right"/>
              <w:rPr>
                <w:sz w:val="20"/>
                <w:szCs w:val="20"/>
              </w:rPr>
            </w:pPr>
            <w:r w:rsidRPr="001F1A70">
              <w:rPr>
                <w:sz w:val="20"/>
                <w:szCs w:val="20"/>
              </w:rPr>
              <w:t>.676</w:t>
            </w:r>
          </w:p>
        </w:tc>
        <w:tc>
          <w:tcPr>
            <w:tcW w:w="267" w:type="pct"/>
            <w:tcBorders>
              <w:left w:val="single" w:sz="4" w:space="0" w:color="auto"/>
              <w:right w:val="single" w:sz="4" w:space="0" w:color="auto"/>
            </w:tcBorders>
          </w:tcPr>
          <w:p w14:paraId="3BBF42F6" w14:textId="5B55C7C5" w:rsidR="00DA69E1" w:rsidRPr="001F1A70" w:rsidRDefault="005E1D6E" w:rsidP="008435A0">
            <w:pPr>
              <w:tabs>
                <w:tab w:val="left" w:pos="312"/>
              </w:tabs>
              <w:spacing w:after="0" w:line="240" w:lineRule="auto"/>
              <w:jc w:val="right"/>
              <w:rPr>
                <w:sz w:val="20"/>
                <w:szCs w:val="20"/>
              </w:rPr>
            </w:pPr>
            <w:r w:rsidRPr="001F1A70">
              <w:rPr>
                <w:sz w:val="20"/>
                <w:szCs w:val="20"/>
              </w:rPr>
              <w:t>.011</w:t>
            </w:r>
          </w:p>
        </w:tc>
        <w:tc>
          <w:tcPr>
            <w:tcW w:w="222" w:type="pct"/>
            <w:tcBorders>
              <w:left w:val="single" w:sz="4" w:space="0" w:color="auto"/>
              <w:right w:val="single" w:sz="4" w:space="0" w:color="auto"/>
            </w:tcBorders>
          </w:tcPr>
          <w:p w14:paraId="3378A00C" w14:textId="77777777" w:rsidR="00DA69E1" w:rsidRPr="001F1A70" w:rsidRDefault="00DA69E1" w:rsidP="008435A0">
            <w:pPr>
              <w:spacing w:after="0" w:line="240" w:lineRule="auto"/>
              <w:jc w:val="right"/>
              <w:rPr>
                <w:sz w:val="20"/>
                <w:szCs w:val="20"/>
              </w:rPr>
            </w:pPr>
            <w:r w:rsidRPr="001F1A70">
              <w:rPr>
                <w:sz w:val="20"/>
                <w:szCs w:val="20"/>
              </w:rPr>
              <w:t>366</w:t>
            </w:r>
          </w:p>
        </w:tc>
        <w:tc>
          <w:tcPr>
            <w:tcW w:w="266" w:type="pct"/>
            <w:tcBorders>
              <w:left w:val="single" w:sz="4" w:space="0" w:color="auto"/>
              <w:right w:val="single" w:sz="4" w:space="0" w:color="auto"/>
            </w:tcBorders>
          </w:tcPr>
          <w:p w14:paraId="35A0CD8B" w14:textId="77777777" w:rsidR="00DA69E1" w:rsidRPr="001F1A70" w:rsidRDefault="00DA69E1" w:rsidP="008435A0">
            <w:pPr>
              <w:spacing w:after="0" w:line="240" w:lineRule="auto"/>
              <w:jc w:val="right"/>
              <w:rPr>
                <w:sz w:val="20"/>
                <w:szCs w:val="20"/>
              </w:rPr>
            </w:pPr>
            <w:r w:rsidRPr="001F1A70">
              <w:rPr>
                <w:sz w:val="20"/>
                <w:szCs w:val="20"/>
              </w:rPr>
              <w:t>.654</w:t>
            </w:r>
          </w:p>
        </w:tc>
        <w:tc>
          <w:tcPr>
            <w:tcW w:w="222" w:type="pct"/>
            <w:tcBorders>
              <w:left w:val="single" w:sz="4" w:space="0" w:color="auto"/>
              <w:right w:val="single" w:sz="4" w:space="0" w:color="auto"/>
            </w:tcBorders>
          </w:tcPr>
          <w:p w14:paraId="74FA1786" w14:textId="3DF66E54" w:rsidR="00DA69E1" w:rsidRPr="001F1A70" w:rsidRDefault="005E1D6E" w:rsidP="008435A0">
            <w:pPr>
              <w:spacing w:after="0" w:line="240" w:lineRule="auto"/>
              <w:jc w:val="right"/>
              <w:rPr>
                <w:sz w:val="20"/>
                <w:szCs w:val="20"/>
              </w:rPr>
            </w:pPr>
            <w:r w:rsidRPr="001F1A70">
              <w:rPr>
                <w:sz w:val="20"/>
                <w:szCs w:val="20"/>
              </w:rPr>
              <w:t>.013</w:t>
            </w:r>
          </w:p>
        </w:tc>
        <w:tc>
          <w:tcPr>
            <w:tcW w:w="222" w:type="pct"/>
            <w:tcBorders>
              <w:left w:val="single" w:sz="4" w:space="0" w:color="auto"/>
              <w:right w:val="single" w:sz="4" w:space="0" w:color="auto"/>
            </w:tcBorders>
          </w:tcPr>
          <w:p w14:paraId="39655B34" w14:textId="77777777" w:rsidR="00DA69E1" w:rsidRPr="001F1A70" w:rsidRDefault="00DA69E1" w:rsidP="008435A0">
            <w:pPr>
              <w:spacing w:after="0" w:line="240" w:lineRule="auto"/>
              <w:jc w:val="right"/>
              <w:rPr>
                <w:sz w:val="20"/>
                <w:szCs w:val="20"/>
              </w:rPr>
            </w:pPr>
            <w:r w:rsidRPr="001F1A70">
              <w:rPr>
                <w:sz w:val="20"/>
                <w:szCs w:val="20"/>
              </w:rPr>
              <w:t>261</w:t>
            </w:r>
          </w:p>
        </w:tc>
        <w:tc>
          <w:tcPr>
            <w:tcW w:w="286" w:type="pct"/>
            <w:tcBorders>
              <w:left w:val="single" w:sz="4" w:space="0" w:color="auto"/>
              <w:right w:val="single" w:sz="4" w:space="0" w:color="auto"/>
            </w:tcBorders>
          </w:tcPr>
          <w:p w14:paraId="0068A68C" w14:textId="77777777" w:rsidR="00DA69E1" w:rsidRPr="001F1A70" w:rsidRDefault="00DA69E1" w:rsidP="008435A0">
            <w:pPr>
              <w:tabs>
                <w:tab w:val="left" w:pos="336"/>
              </w:tabs>
              <w:spacing w:after="0" w:line="240" w:lineRule="auto"/>
              <w:jc w:val="right"/>
              <w:rPr>
                <w:sz w:val="20"/>
                <w:szCs w:val="20"/>
              </w:rPr>
            </w:pPr>
            <w:r w:rsidRPr="001F1A70">
              <w:rPr>
                <w:sz w:val="20"/>
                <w:szCs w:val="20"/>
              </w:rPr>
              <w:t>.672</w:t>
            </w:r>
          </w:p>
        </w:tc>
        <w:tc>
          <w:tcPr>
            <w:tcW w:w="222" w:type="pct"/>
            <w:tcBorders>
              <w:left w:val="single" w:sz="4" w:space="0" w:color="auto"/>
              <w:right w:val="single" w:sz="4" w:space="0" w:color="auto"/>
            </w:tcBorders>
          </w:tcPr>
          <w:p w14:paraId="49C9F55E" w14:textId="74AE606C" w:rsidR="00DA69E1" w:rsidRPr="001F1A70" w:rsidRDefault="005E1D6E" w:rsidP="008435A0">
            <w:pPr>
              <w:spacing w:after="0" w:line="240" w:lineRule="auto"/>
              <w:jc w:val="right"/>
              <w:rPr>
                <w:sz w:val="20"/>
                <w:szCs w:val="20"/>
              </w:rPr>
            </w:pPr>
            <w:r w:rsidRPr="001F1A70">
              <w:rPr>
                <w:sz w:val="20"/>
                <w:szCs w:val="20"/>
              </w:rPr>
              <w:t>.015</w:t>
            </w:r>
          </w:p>
        </w:tc>
        <w:tc>
          <w:tcPr>
            <w:tcW w:w="222" w:type="pct"/>
            <w:tcBorders>
              <w:left w:val="single" w:sz="4" w:space="0" w:color="auto"/>
              <w:right w:val="single" w:sz="4" w:space="0" w:color="auto"/>
            </w:tcBorders>
          </w:tcPr>
          <w:p w14:paraId="63D6ECF1" w14:textId="77777777" w:rsidR="00DA69E1" w:rsidRPr="001F1A70" w:rsidRDefault="00DA69E1" w:rsidP="008435A0">
            <w:pPr>
              <w:spacing w:after="0" w:line="240" w:lineRule="auto"/>
              <w:jc w:val="right"/>
              <w:rPr>
                <w:sz w:val="20"/>
                <w:szCs w:val="20"/>
              </w:rPr>
            </w:pPr>
            <w:r w:rsidRPr="001F1A70">
              <w:rPr>
                <w:sz w:val="20"/>
                <w:szCs w:val="20"/>
              </w:rPr>
              <w:t>277</w:t>
            </w:r>
          </w:p>
        </w:tc>
        <w:tc>
          <w:tcPr>
            <w:tcW w:w="266" w:type="pct"/>
            <w:tcBorders>
              <w:left w:val="single" w:sz="4" w:space="0" w:color="auto"/>
              <w:right w:val="single" w:sz="4" w:space="0" w:color="auto"/>
            </w:tcBorders>
          </w:tcPr>
          <w:p w14:paraId="474CC0F4" w14:textId="77777777" w:rsidR="00DA69E1" w:rsidRPr="001F1A70" w:rsidRDefault="00DA69E1" w:rsidP="008435A0">
            <w:pPr>
              <w:tabs>
                <w:tab w:val="left" w:pos="396"/>
              </w:tabs>
              <w:spacing w:after="0" w:line="240" w:lineRule="auto"/>
              <w:jc w:val="right"/>
              <w:rPr>
                <w:sz w:val="20"/>
                <w:szCs w:val="20"/>
              </w:rPr>
            </w:pPr>
            <w:r w:rsidRPr="001F1A70">
              <w:rPr>
                <w:sz w:val="20"/>
                <w:szCs w:val="20"/>
              </w:rPr>
              <w:t>.636</w:t>
            </w:r>
          </w:p>
        </w:tc>
        <w:tc>
          <w:tcPr>
            <w:tcW w:w="222" w:type="pct"/>
            <w:tcBorders>
              <w:left w:val="single" w:sz="4" w:space="0" w:color="auto"/>
              <w:right w:val="single" w:sz="4" w:space="0" w:color="auto"/>
            </w:tcBorders>
          </w:tcPr>
          <w:p w14:paraId="66931D97" w14:textId="7192D889" w:rsidR="00DA69E1" w:rsidRPr="001F1A70" w:rsidRDefault="005E1D6E" w:rsidP="008435A0">
            <w:pPr>
              <w:spacing w:after="0" w:line="240" w:lineRule="auto"/>
              <w:jc w:val="right"/>
              <w:rPr>
                <w:sz w:val="20"/>
                <w:szCs w:val="20"/>
              </w:rPr>
            </w:pPr>
            <w:r w:rsidRPr="001F1A70">
              <w:rPr>
                <w:sz w:val="20"/>
                <w:szCs w:val="20"/>
              </w:rPr>
              <w:t>.017</w:t>
            </w:r>
          </w:p>
        </w:tc>
        <w:tc>
          <w:tcPr>
            <w:tcW w:w="222" w:type="pct"/>
            <w:tcBorders>
              <w:left w:val="single" w:sz="4" w:space="0" w:color="auto"/>
              <w:right w:val="single" w:sz="4" w:space="0" w:color="auto"/>
            </w:tcBorders>
          </w:tcPr>
          <w:p w14:paraId="34E3189A" w14:textId="77777777" w:rsidR="00DA69E1" w:rsidRPr="001F1A70" w:rsidRDefault="00DA69E1" w:rsidP="008435A0">
            <w:pPr>
              <w:spacing w:after="0" w:line="240" w:lineRule="auto"/>
              <w:jc w:val="right"/>
              <w:rPr>
                <w:sz w:val="20"/>
                <w:szCs w:val="20"/>
              </w:rPr>
            </w:pPr>
            <w:r w:rsidRPr="001F1A70">
              <w:rPr>
                <w:sz w:val="20"/>
                <w:szCs w:val="20"/>
              </w:rPr>
              <w:t>204</w:t>
            </w:r>
          </w:p>
        </w:tc>
        <w:tc>
          <w:tcPr>
            <w:tcW w:w="286" w:type="pct"/>
            <w:tcBorders>
              <w:left w:val="single" w:sz="4" w:space="0" w:color="auto"/>
              <w:right w:val="single" w:sz="4" w:space="0" w:color="auto"/>
            </w:tcBorders>
          </w:tcPr>
          <w:p w14:paraId="07339142" w14:textId="77777777" w:rsidR="00DA69E1" w:rsidRPr="001F1A70" w:rsidRDefault="00DA69E1" w:rsidP="008435A0">
            <w:pPr>
              <w:spacing w:after="0" w:line="240" w:lineRule="auto"/>
              <w:jc w:val="right"/>
              <w:rPr>
                <w:sz w:val="20"/>
                <w:szCs w:val="20"/>
              </w:rPr>
            </w:pPr>
            <w:r w:rsidRPr="001F1A70">
              <w:rPr>
                <w:sz w:val="20"/>
                <w:szCs w:val="20"/>
              </w:rPr>
              <w:t>.596</w:t>
            </w:r>
          </w:p>
        </w:tc>
        <w:tc>
          <w:tcPr>
            <w:tcW w:w="220" w:type="pct"/>
            <w:tcBorders>
              <w:left w:val="single" w:sz="4" w:space="0" w:color="auto"/>
              <w:right w:val="single" w:sz="4" w:space="0" w:color="auto"/>
            </w:tcBorders>
          </w:tcPr>
          <w:p w14:paraId="60584520" w14:textId="06F03727" w:rsidR="00DA69E1" w:rsidRPr="001F1A70" w:rsidRDefault="005E1D6E" w:rsidP="008435A0">
            <w:pPr>
              <w:spacing w:after="0" w:line="240" w:lineRule="auto"/>
              <w:jc w:val="right"/>
              <w:rPr>
                <w:sz w:val="20"/>
                <w:szCs w:val="20"/>
              </w:rPr>
            </w:pPr>
            <w:r w:rsidRPr="001F1A70">
              <w:rPr>
                <w:sz w:val="20"/>
                <w:szCs w:val="20"/>
              </w:rPr>
              <w:t>.0</w:t>
            </w:r>
            <w:r w:rsidR="00DA69E1" w:rsidRPr="001F1A70">
              <w:rPr>
                <w:sz w:val="20"/>
                <w:szCs w:val="20"/>
              </w:rPr>
              <w:t>17</w:t>
            </w:r>
          </w:p>
        </w:tc>
      </w:tr>
      <w:tr w:rsidR="00DA69E1" w:rsidRPr="001F1A70" w14:paraId="4EF488E9" w14:textId="77777777" w:rsidTr="005B45D1">
        <w:tc>
          <w:tcPr>
            <w:tcW w:w="679" w:type="pct"/>
            <w:tcBorders>
              <w:left w:val="single" w:sz="4" w:space="0" w:color="auto"/>
              <w:right w:val="single" w:sz="4" w:space="0" w:color="auto"/>
            </w:tcBorders>
            <w:shd w:val="clear" w:color="auto" w:fill="auto"/>
          </w:tcPr>
          <w:p w14:paraId="5CB1A8F7" w14:textId="443041F9" w:rsidR="00DA69E1" w:rsidRPr="001F1A70" w:rsidRDefault="00DA69E1" w:rsidP="008435A0">
            <w:pPr>
              <w:spacing w:after="0" w:line="240" w:lineRule="auto"/>
              <w:rPr>
                <w:sz w:val="20"/>
                <w:szCs w:val="20"/>
              </w:rPr>
            </w:pPr>
            <w:r w:rsidRPr="001F1A70">
              <w:rPr>
                <w:sz w:val="20"/>
                <w:szCs w:val="20"/>
              </w:rPr>
              <w:t>EQ-5D-5L</w:t>
            </w:r>
            <w:r w:rsidR="005B45D1">
              <w:rPr>
                <w:sz w:val="20"/>
                <w:szCs w:val="20"/>
              </w:rPr>
              <w:t>*</w:t>
            </w:r>
            <w:r w:rsidRPr="001F1A70">
              <w:rPr>
                <w:sz w:val="20"/>
                <w:szCs w:val="20"/>
              </w:rPr>
              <w:t xml:space="preserve"> – Staff MI Mapped to 3L</w:t>
            </w:r>
          </w:p>
          <w:p w14:paraId="26AC03B1" w14:textId="77777777" w:rsidR="00DA69E1" w:rsidRPr="001F1A70" w:rsidRDefault="00DA69E1" w:rsidP="008435A0">
            <w:pPr>
              <w:spacing w:after="0" w:line="240" w:lineRule="auto"/>
              <w:rPr>
                <w:sz w:val="20"/>
                <w:szCs w:val="20"/>
              </w:rPr>
            </w:pPr>
          </w:p>
        </w:tc>
        <w:tc>
          <w:tcPr>
            <w:tcW w:w="202" w:type="pct"/>
            <w:tcBorders>
              <w:left w:val="single" w:sz="4" w:space="0" w:color="auto"/>
              <w:right w:val="single" w:sz="4" w:space="0" w:color="auto"/>
            </w:tcBorders>
          </w:tcPr>
          <w:p w14:paraId="30166FB9" w14:textId="77777777" w:rsidR="00DA69E1" w:rsidRPr="001F1A70" w:rsidRDefault="00DA69E1" w:rsidP="008435A0">
            <w:pPr>
              <w:spacing w:after="0" w:line="240" w:lineRule="auto"/>
              <w:jc w:val="right"/>
              <w:rPr>
                <w:sz w:val="20"/>
                <w:szCs w:val="20"/>
              </w:rPr>
            </w:pPr>
            <w:r w:rsidRPr="001F1A70">
              <w:rPr>
                <w:sz w:val="20"/>
                <w:szCs w:val="20"/>
              </w:rPr>
              <w:t>418</w:t>
            </w:r>
          </w:p>
        </w:tc>
        <w:tc>
          <w:tcPr>
            <w:tcW w:w="266" w:type="pct"/>
            <w:tcBorders>
              <w:left w:val="single" w:sz="4" w:space="0" w:color="auto"/>
              <w:right w:val="single" w:sz="4" w:space="0" w:color="auto"/>
            </w:tcBorders>
            <w:shd w:val="clear" w:color="auto" w:fill="auto"/>
          </w:tcPr>
          <w:p w14:paraId="67C8DE8D" w14:textId="77777777" w:rsidR="00DA69E1" w:rsidRPr="001F1A70" w:rsidRDefault="00DA69E1" w:rsidP="008435A0">
            <w:pPr>
              <w:tabs>
                <w:tab w:val="left" w:pos="288"/>
              </w:tabs>
              <w:spacing w:after="0" w:line="240" w:lineRule="auto"/>
              <w:jc w:val="right"/>
              <w:rPr>
                <w:sz w:val="20"/>
                <w:szCs w:val="20"/>
              </w:rPr>
            </w:pPr>
            <w:r w:rsidRPr="001F1A70">
              <w:rPr>
                <w:sz w:val="20"/>
                <w:szCs w:val="20"/>
              </w:rPr>
              <w:t>.435</w:t>
            </w:r>
          </w:p>
        </w:tc>
        <w:tc>
          <w:tcPr>
            <w:tcW w:w="223" w:type="pct"/>
            <w:tcBorders>
              <w:left w:val="single" w:sz="4" w:space="0" w:color="auto"/>
              <w:right w:val="single" w:sz="4" w:space="0" w:color="auto"/>
            </w:tcBorders>
            <w:shd w:val="clear" w:color="auto" w:fill="auto"/>
          </w:tcPr>
          <w:p w14:paraId="200EB8F7" w14:textId="743C825B" w:rsidR="00DA69E1" w:rsidRPr="001F1A70" w:rsidRDefault="00DA69E1" w:rsidP="008435A0">
            <w:pPr>
              <w:spacing w:after="0" w:line="240" w:lineRule="auto"/>
              <w:jc w:val="right"/>
              <w:rPr>
                <w:sz w:val="20"/>
                <w:szCs w:val="20"/>
              </w:rPr>
            </w:pPr>
            <w:r w:rsidRPr="001F1A70">
              <w:rPr>
                <w:sz w:val="20"/>
                <w:szCs w:val="20"/>
              </w:rPr>
              <w:t>.</w:t>
            </w:r>
            <w:r w:rsidR="005E1D6E" w:rsidRPr="001F1A70">
              <w:rPr>
                <w:sz w:val="20"/>
                <w:szCs w:val="20"/>
              </w:rPr>
              <w:t>016</w:t>
            </w:r>
          </w:p>
        </w:tc>
        <w:tc>
          <w:tcPr>
            <w:tcW w:w="221" w:type="pct"/>
            <w:tcBorders>
              <w:left w:val="single" w:sz="4" w:space="0" w:color="auto"/>
              <w:right w:val="single" w:sz="4" w:space="0" w:color="auto"/>
            </w:tcBorders>
            <w:shd w:val="clear" w:color="auto" w:fill="auto"/>
          </w:tcPr>
          <w:p w14:paraId="6FDAAB3A" w14:textId="77777777" w:rsidR="00DA69E1" w:rsidRPr="001F1A70" w:rsidRDefault="00DA69E1" w:rsidP="008435A0">
            <w:pPr>
              <w:spacing w:after="0" w:line="240" w:lineRule="auto"/>
              <w:jc w:val="right"/>
              <w:rPr>
                <w:sz w:val="20"/>
                <w:szCs w:val="20"/>
              </w:rPr>
            </w:pPr>
            <w:r w:rsidRPr="001F1A70">
              <w:rPr>
                <w:sz w:val="20"/>
                <w:szCs w:val="20"/>
              </w:rPr>
              <w:t>308</w:t>
            </w:r>
          </w:p>
        </w:tc>
        <w:tc>
          <w:tcPr>
            <w:tcW w:w="266" w:type="pct"/>
            <w:tcBorders>
              <w:left w:val="single" w:sz="4" w:space="0" w:color="auto"/>
              <w:right w:val="single" w:sz="4" w:space="0" w:color="auto"/>
            </w:tcBorders>
            <w:shd w:val="clear" w:color="auto" w:fill="auto"/>
          </w:tcPr>
          <w:p w14:paraId="32E7C58F" w14:textId="583237ED" w:rsidR="00DA69E1" w:rsidRPr="001F1A70" w:rsidRDefault="005E1D6E" w:rsidP="008435A0">
            <w:pPr>
              <w:spacing w:after="0" w:line="240" w:lineRule="auto"/>
              <w:jc w:val="right"/>
              <w:rPr>
                <w:sz w:val="20"/>
                <w:szCs w:val="20"/>
              </w:rPr>
            </w:pPr>
            <w:r w:rsidRPr="001F1A70">
              <w:rPr>
                <w:sz w:val="20"/>
                <w:szCs w:val="20"/>
              </w:rPr>
              <w:t>.469</w:t>
            </w:r>
          </w:p>
        </w:tc>
        <w:tc>
          <w:tcPr>
            <w:tcW w:w="267" w:type="pct"/>
            <w:tcBorders>
              <w:left w:val="single" w:sz="4" w:space="0" w:color="auto"/>
              <w:right w:val="single" w:sz="4" w:space="0" w:color="auto"/>
            </w:tcBorders>
          </w:tcPr>
          <w:p w14:paraId="0092D199" w14:textId="08504E65" w:rsidR="00DA69E1" w:rsidRPr="001F1A70" w:rsidRDefault="005E1D6E" w:rsidP="008435A0">
            <w:pPr>
              <w:spacing w:after="0" w:line="240" w:lineRule="auto"/>
              <w:jc w:val="right"/>
              <w:rPr>
                <w:sz w:val="20"/>
                <w:szCs w:val="20"/>
              </w:rPr>
            </w:pPr>
            <w:r w:rsidRPr="001F1A70">
              <w:rPr>
                <w:sz w:val="20"/>
                <w:szCs w:val="20"/>
              </w:rPr>
              <w:t>.019</w:t>
            </w:r>
          </w:p>
        </w:tc>
        <w:tc>
          <w:tcPr>
            <w:tcW w:w="222" w:type="pct"/>
            <w:tcBorders>
              <w:left w:val="single" w:sz="4" w:space="0" w:color="auto"/>
              <w:right w:val="single" w:sz="4" w:space="0" w:color="auto"/>
            </w:tcBorders>
          </w:tcPr>
          <w:p w14:paraId="1B7F9B79" w14:textId="77777777" w:rsidR="00DA69E1" w:rsidRPr="001F1A70" w:rsidRDefault="00DA69E1" w:rsidP="008435A0">
            <w:pPr>
              <w:spacing w:after="0" w:line="240" w:lineRule="auto"/>
              <w:jc w:val="right"/>
              <w:rPr>
                <w:sz w:val="20"/>
                <w:szCs w:val="20"/>
              </w:rPr>
            </w:pPr>
            <w:r w:rsidRPr="001F1A70">
              <w:rPr>
                <w:sz w:val="20"/>
                <w:szCs w:val="20"/>
              </w:rPr>
              <w:t>418</w:t>
            </w:r>
          </w:p>
        </w:tc>
        <w:tc>
          <w:tcPr>
            <w:tcW w:w="266" w:type="pct"/>
            <w:tcBorders>
              <w:left w:val="single" w:sz="4" w:space="0" w:color="auto"/>
              <w:right w:val="single" w:sz="4" w:space="0" w:color="auto"/>
            </w:tcBorders>
          </w:tcPr>
          <w:p w14:paraId="097C2FFA" w14:textId="77777777" w:rsidR="00DA69E1" w:rsidRPr="001F1A70" w:rsidRDefault="00DA69E1" w:rsidP="008435A0">
            <w:pPr>
              <w:tabs>
                <w:tab w:val="left" w:pos="288"/>
              </w:tabs>
              <w:spacing w:after="0" w:line="240" w:lineRule="auto"/>
              <w:jc w:val="right"/>
              <w:rPr>
                <w:sz w:val="20"/>
                <w:szCs w:val="20"/>
              </w:rPr>
            </w:pPr>
            <w:r w:rsidRPr="001F1A70">
              <w:rPr>
                <w:sz w:val="20"/>
                <w:szCs w:val="20"/>
              </w:rPr>
              <w:t>.363</w:t>
            </w:r>
          </w:p>
        </w:tc>
        <w:tc>
          <w:tcPr>
            <w:tcW w:w="222" w:type="pct"/>
            <w:tcBorders>
              <w:left w:val="single" w:sz="4" w:space="0" w:color="auto"/>
              <w:right w:val="single" w:sz="4" w:space="0" w:color="auto"/>
            </w:tcBorders>
          </w:tcPr>
          <w:p w14:paraId="7C493F94" w14:textId="03696F43" w:rsidR="00DA69E1" w:rsidRPr="001F1A70" w:rsidRDefault="005E1D6E" w:rsidP="008435A0">
            <w:pPr>
              <w:spacing w:after="0" w:line="240" w:lineRule="auto"/>
              <w:jc w:val="right"/>
              <w:rPr>
                <w:sz w:val="20"/>
                <w:szCs w:val="20"/>
              </w:rPr>
            </w:pPr>
            <w:r w:rsidRPr="001F1A70">
              <w:rPr>
                <w:sz w:val="20"/>
                <w:szCs w:val="20"/>
              </w:rPr>
              <w:t>.018</w:t>
            </w:r>
          </w:p>
        </w:tc>
        <w:tc>
          <w:tcPr>
            <w:tcW w:w="222" w:type="pct"/>
            <w:tcBorders>
              <w:left w:val="single" w:sz="4" w:space="0" w:color="auto"/>
              <w:right w:val="single" w:sz="4" w:space="0" w:color="auto"/>
            </w:tcBorders>
          </w:tcPr>
          <w:p w14:paraId="21190A57" w14:textId="77777777" w:rsidR="00DA69E1" w:rsidRPr="001F1A70" w:rsidRDefault="00DA69E1" w:rsidP="008435A0">
            <w:pPr>
              <w:spacing w:after="0" w:line="240" w:lineRule="auto"/>
              <w:jc w:val="right"/>
              <w:rPr>
                <w:sz w:val="20"/>
                <w:szCs w:val="20"/>
              </w:rPr>
            </w:pPr>
            <w:r w:rsidRPr="001F1A70">
              <w:rPr>
                <w:sz w:val="20"/>
                <w:szCs w:val="20"/>
              </w:rPr>
              <w:t>308</w:t>
            </w:r>
          </w:p>
        </w:tc>
        <w:tc>
          <w:tcPr>
            <w:tcW w:w="286" w:type="pct"/>
            <w:tcBorders>
              <w:left w:val="single" w:sz="4" w:space="0" w:color="auto"/>
              <w:right w:val="single" w:sz="4" w:space="0" w:color="auto"/>
            </w:tcBorders>
          </w:tcPr>
          <w:p w14:paraId="58AE6752" w14:textId="77777777" w:rsidR="00DA69E1" w:rsidRPr="001F1A70" w:rsidRDefault="00DA69E1" w:rsidP="008435A0">
            <w:pPr>
              <w:tabs>
                <w:tab w:val="left" w:pos="348"/>
              </w:tabs>
              <w:spacing w:after="0" w:line="240" w:lineRule="auto"/>
              <w:jc w:val="right"/>
              <w:rPr>
                <w:sz w:val="20"/>
                <w:szCs w:val="20"/>
              </w:rPr>
            </w:pPr>
            <w:r w:rsidRPr="001F1A70">
              <w:rPr>
                <w:sz w:val="20"/>
                <w:szCs w:val="20"/>
              </w:rPr>
              <w:t>.374</w:t>
            </w:r>
          </w:p>
        </w:tc>
        <w:tc>
          <w:tcPr>
            <w:tcW w:w="222" w:type="pct"/>
            <w:tcBorders>
              <w:left w:val="single" w:sz="4" w:space="0" w:color="auto"/>
              <w:right w:val="single" w:sz="4" w:space="0" w:color="auto"/>
            </w:tcBorders>
          </w:tcPr>
          <w:p w14:paraId="35BEAC13" w14:textId="17E23E99" w:rsidR="00DA69E1" w:rsidRPr="001F1A70" w:rsidRDefault="005E1D6E" w:rsidP="008435A0">
            <w:pPr>
              <w:spacing w:after="0" w:line="240" w:lineRule="auto"/>
              <w:jc w:val="right"/>
              <w:rPr>
                <w:sz w:val="20"/>
                <w:szCs w:val="20"/>
              </w:rPr>
            </w:pPr>
            <w:r w:rsidRPr="001F1A70">
              <w:rPr>
                <w:sz w:val="20"/>
                <w:szCs w:val="20"/>
              </w:rPr>
              <w:t>.020</w:t>
            </w:r>
          </w:p>
        </w:tc>
        <w:tc>
          <w:tcPr>
            <w:tcW w:w="222" w:type="pct"/>
            <w:tcBorders>
              <w:left w:val="single" w:sz="4" w:space="0" w:color="auto"/>
              <w:right w:val="single" w:sz="4" w:space="0" w:color="auto"/>
            </w:tcBorders>
          </w:tcPr>
          <w:p w14:paraId="6EDC3555" w14:textId="77777777" w:rsidR="00DA69E1" w:rsidRPr="001F1A70" w:rsidRDefault="00DA69E1" w:rsidP="008435A0">
            <w:pPr>
              <w:spacing w:after="0" w:line="240" w:lineRule="auto"/>
              <w:jc w:val="right"/>
              <w:rPr>
                <w:sz w:val="20"/>
                <w:szCs w:val="20"/>
              </w:rPr>
            </w:pPr>
            <w:r w:rsidRPr="001F1A70">
              <w:rPr>
                <w:sz w:val="20"/>
                <w:szCs w:val="20"/>
              </w:rPr>
              <w:t>418</w:t>
            </w:r>
          </w:p>
        </w:tc>
        <w:tc>
          <w:tcPr>
            <w:tcW w:w="266" w:type="pct"/>
            <w:tcBorders>
              <w:left w:val="single" w:sz="4" w:space="0" w:color="auto"/>
              <w:right w:val="single" w:sz="4" w:space="0" w:color="auto"/>
            </w:tcBorders>
          </w:tcPr>
          <w:p w14:paraId="10F6F551" w14:textId="77777777" w:rsidR="00DA69E1" w:rsidRPr="001F1A70" w:rsidRDefault="00DA69E1" w:rsidP="008435A0">
            <w:pPr>
              <w:tabs>
                <w:tab w:val="left" w:pos="288"/>
              </w:tabs>
              <w:spacing w:after="0" w:line="240" w:lineRule="auto"/>
              <w:jc w:val="right"/>
              <w:rPr>
                <w:sz w:val="20"/>
                <w:szCs w:val="20"/>
              </w:rPr>
            </w:pPr>
            <w:r w:rsidRPr="001F1A70">
              <w:rPr>
                <w:sz w:val="20"/>
                <w:szCs w:val="20"/>
              </w:rPr>
              <w:t>.262</w:t>
            </w:r>
          </w:p>
        </w:tc>
        <w:tc>
          <w:tcPr>
            <w:tcW w:w="222" w:type="pct"/>
            <w:tcBorders>
              <w:left w:val="single" w:sz="4" w:space="0" w:color="auto"/>
              <w:right w:val="single" w:sz="4" w:space="0" w:color="auto"/>
            </w:tcBorders>
          </w:tcPr>
          <w:p w14:paraId="6D2DEC94" w14:textId="1D348637" w:rsidR="00DA69E1" w:rsidRPr="001F1A70" w:rsidRDefault="005E1D6E" w:rsidP="008435A0">
            <w:pPr>
              <w:tabs>
                <w:tab w:val="left" w:pos="276"/>
              </w:tabs>
              <w:spacing w:after="0" w:line="240" w:lineRule="auto"/>
              <w:jc w:val="right"/>
              <w:rPr>
                <w:sz w:val="20"/>
                <w:szCs w:val="20"/>
              </w:rPr>
            </w:pPr>
            <w:r w:rsidRPr="001F1A70">
              <w:rPr>
                <w:sz w:val="20"/>
                <w:szCs w:val="20"/>
              </w:rPr>
              <w:t>.019</w:t>
            </w:r>
          </w:p>
        </w:tc>
        <w:tc>
          <w:tcPr>
            <w:tcW w:w="222" w:type="pct"/>
            <w:tcBorders>
              <w:left w:val="single" w:sz="4" w:space="0" w:color="auto"/>
              <w:right w:val="single" w:sz="4" w:space="0" w:color="auto"/>
            </w:tcBorders>
          </w:tcPr>
          <w:p w14:paraId="15D9E6E6" w14:textId="77777777" w:rsidR="00DA69E1" w:rsidRPr="001F1A70" w:rsidRDefault="00DA69E1" w:rsidP="008435A0">
            <w:pPr>
              <w:spacing w:after="0" w:line="240" w:lineRule="auto"/>
              <w:jc w:val="right"/>
              <w:rPr>
                <w:sz w:val="20"/>
                <w:szCs w:val="20"/>
              </w:rPr>
            </w:pPr>
            <w:r w:rsidRPr="001F1A70">
              <w:rPr>
                <w:sz w:val="20"/>
                <w:szCs w:val="20"/>
              </w:rPr>
              <w:t>308</w:t>
            </w:r>
          </w:p>
        </w:tc>
        <w:tc>
          <w:tcPr>
            <w:tcW w:w="286" w:type="pct"/>
            <w:tcBorders>
              <w:left w:val="single" w:sz="4" w:space="0" w:color="auto"/>
              <w:right w:val="single" w:sz="4" w:space="0" w:color="auto"/>
            </w:tcBorders>
          </w:tcPr>
          <w:p w14:paraId="637BC637" w14:textId="77777777" w:rsidR="00DA69E1" w:rsidRPr="001F1A70" w:rsidRDefault="00DA69E1" w:rsidP="008435A0">
            <w:pPr>
              <w:tabs>
                <w:tab w:val="left" w:pos="228"/>
              </w:tabs>
              <w:spacing w:after="0" w:line="240" w:lineRule="auto"/>
              <w:jc w:val="right"/>
              <w:rPr>
                <w:sz w:val="20"/>
                <w:szCs w:val="20"/>
              </w:rPr>
            </w:pPr>
            <w:r w:rsidRPr="001F1A70">
              <w:rPr>
                <w:sz w:val="20"/>
                <w:szCs w:val="20"/>
              </w:rPr>
              <w:t>.229</w:t>
            </w:r>
          </w:p>
        </w:tc>
        <w:tc>
          <w:tcPr>
            <w:tcW w:w="220" w:type="pct"/>
            <w:tcBorders>
              <w:left w:val="single" w:sz="4" w:space="0" w:color="auto"/>
              <w:right w:val="single" w:sz="4" w:space="0" w:color="auto"/>
            </w:tcBorders>
          </w:tcPr>
          <w:p w14:paraId="1E7022D2" w14:textId="213E3925" w:rsidR="00DA69E1" w:rsidRPr="001F1A70" w:rsidRDefault="005E1D6E" w:rsidP="008435A0">
            <w:pPr>
              <w:spacing w:after="0" w:line="240" w:lineRule="auto"/>
              <w:jc w:val="right"/>
              <w:rPr>
                <w:sz w:val="20"/>
                <w:szCs w:val="20"/>
              </w:rPr>
            </w:pPr>
            <w:r w:rsidRPr="001F1A70">
              <w:rPr>
                <w:sz w:val="20"/>
                <w:szCs w:val="20"/>
              </w:rPr>
              <w:t>.017</w:t>
            </w:r>
          </w:p>
        </w:tc>
      </w:tr>
      <w:tr w:rsidR="00DA69E1" w:rsidRPr="001F1A70" w14:paraId="00533E3C" w14:textId="77777777" w:rsidTr="005B45D1">
        <w:tc>
          <w:tcPr>
            <w:tcW w:w="679" w:type="pct"/>
            <w:tcBorders>
              <w:left w:val="single" w:sz="4" w:space="0" w:color="auto"/>
              <w:bottom w:val="single" w:sz="4" w:space="0" w:color="auto"/>
              <w:right w:val="single" w:sz="4" w:space="0" w:color="auto"/>
            </w:tcBorders>
            <w:shd w:val="clear" w:color="auto" w:fill="auto"/>
          </w:tcPr>
          <w:p w14:paraId="16353C72" w14:textId="794DA319" w:rsidR="00DA69E1" w:rsidRPr="001F1A70" w:rsidRDefault="00DA69E1" w:rsidP="008435A0">
            <w:pPr>
              <w:spacing w:after="0" w:line="240" w:lineRule="auto"/>
              <w:rPr>
                <w:sz w:val="20"/>
                <w:szCs w:val="20"/>
              </w:rPr>
            </w:pPr>
            <w:r w:rsidRPr="001F1A70">
              <w:rPr>
                <w:sz w:val="20"/>
                <w:szCs w:val="20"/>
              </w:rPr>
              <w:t>DEMQoL</w:t>
            </w:r>
            <w:r w:rsidR="005B45D1">
              <w:rPr>
                <w:sz w:val="20"/>
                <w:szCs w:val="20"/>
              </w:rPr>
              <w:t>*</w:t>
            </w:r>
            <w:r w:rsidRPr="001F1A70">
              <w:rPr>
                <w:sz w:val="20"/>
                <w:szCs w:val="20"/>
              </w:rPr>
              <w:t xml:space="preserve"> – Staff MI</w:t>
            </w:r>
          </w:p>
          <w:p w14:paraId="135CA72D" w14:textId="77777777" w:rsidR="00DA69E1" w:rsidRPr="001F1A70" w:rsidRDefault="00DA69E1" w:rsidP="008435A0">
            <w:pPr>
              <w:spacing w:after="0" w:line="240" w:lineRule="auto"/>
              <w:rPr>
                <w:sz w:val="20"/>
                <w:szCs w:val="20"/>
              </w:rPr>
            </w:pPr>
          </w:p>
        </w:tc>
        <w:tc>
          <w:tcPr>
            <w:tcW w:w="202" w:type="pct"/>
            <w:tcBorders>
              <w:left w:val="single" w:sz="4" w:space="0" w:color="auto"/>
              <w:bottom w:val="single" w:sz="4" w:space="0" w:color="auto"/>
              <w:right w:val="single" w:sz="4" w:space="0" w:color="auto"/>
            </w:tcBorders>
          </w:tcPr>
          <w:p w14:paraId="648620F1" w14:textId="77777777" w:rsidR="00DA69E1" w:rsidRPr="001F1A70" w:rsidRDefault="00DA69E1" w:rsidP="008435A0">
            <w:pPr>
              <w:spacing w:after="0" w:line="240" w:lineRule="auto"/>
              <w:jc w:val="right"/>
              <w:rPr>
                <w:sz w:val="20"/>
                <w:szCs w:val="20"/>
              </w:rPr>
            </w:pPr>
            <w:r w:rsidRPr="001F1A70">
              <w:rPr>
                <w:sz w:val="20"/>
                <w:szCs w:val="20"/>
              </w:rPr>
              <w:t>418</w:t>
            </w:r>
          </w:p>
        </w:tc>
        <w:tc>
          <w:tcPr>
            <w:tcW w:w="266" w:type="pct"/>
            <w:tcBorders>
              <w:left w:val="single" w:sz="4" w:space="0" w:color="auto"/>
              <w:bottom w:val="single" w:sz="4" w:space="0" w:color="auto"/>
              <w:right w:val="single" w:sz="4" w:space="0" w:color="auto"/>
            </w:tcBorders>
            <w:shd w:val="clear" w:color="auto" w:fill="auto"/>
          </w:tcPr>
          <w:p w14:paraId="08AAB537" w14:textId="77777777" w:rsidR="00DA69E1" w:rsidRPr="001F1A70" w:rsidRDefault="00DA69E1" w:rsidP="008435A0">
            <w:pPr>
              <w:tabs>
                <w:tab w:val="left" w:pos="288"/>
              </w:tabs>
              <w:spacing w:after="0" w:line="240" w:lineRule="auto"/>
              <w:jc w:val="right"/>
              <w:rPr>
                <w:sz w:val="20"/>
                <w:szCs w:val="20"/>
              </w:rPr>
            </w:pPr>
            <w:r w:rsidRPr="001F1A70">
              <w:rPr>
                <w:sz w:val="20"/>
                <w:szCs w:val="20"/>
              </w:rPr>
              <w:t>.759</w:t>
            </w:r>
          </w:p>
        </w:tc>
        <w:tc>
          <w:tcPr>
            <w:tcW w:w="223" w:type="pct"/>
            <w:tcBorders>
              <w:left w:val="single" w:sz="4" w:space="0" w:color="auto"/>
              <w:bottom w:val="single" w:sz="4" w:space="0" w:color="auto"/>
              <w:right w:val="single" w:sz="4" w:space="0" w:color="auto"/>
            </w:tcBorders>
            <w:shd w:val="clear" w:color="auto" w:fill="auto"/>
          </w:tcPr>
          <w:p w14:paraId="17F6B588" w14:textId="0A54CF78" w:rsidR="00DA69E1" w:rsidRPr="001F1A70" w:rsidRDefault="00DA69E1" w:rsidP="008435A0">
            <w:pPr>
              <w:tabs>
                <w:tab w:val="left" w:pos="372"/>
              </w:tabs>
              <w:spacing w:after="0" w:line="240" w:lineRule="auto"/>
              <w:jc w:val="right"/>
              <w:rPr>
                <w:sz w:val="20"/>
                <w:szCs w:val="20"/>
              </w:rPr>
            </w:pPr>
            <w:r w:rsidRPr="001F1A70">
              <w:rPr>
                <w:sz w:val="20"/>
                <w:szCs w:val="20"/>
              </w:rPr>
              <w:t>.</w:t>
            </w:r>
            <w:r w:rsidR="005E1D6E" w:rsidRPr="001F1A70">
              <w:rPr>
                <w:sz w:val="20"/>
                <w:szCs w:val="20"/>
              </w:rPr>
              <w:t>006</w:t>
            </w:r>
          </w:p>
        </w:tc>
        <w:tc>
          <w:tcPr>
            <w:tcW w:w="221" w:type="pct"/>
            <w:tcBorders>
              <w:left w:val="single" w:sz="4" w:space="0" w:color="auto"/>
              <w:bottom w:val="single" w:sz="4" w:space="0" w:color="auto"/>
              <w:right w:val="single" w:sz="4" w:space="0" w:color="auto"/>
            </w:tcBorders>
            <w:shd w:val="clear" w:color="auto" w:fill="auto"/>
          </w:tcPr>
          <w:p w14:paraId="6E9EDEDF" w14:textId="77777777" w:rsidR="00DA69E1" w:rsidRPr="001F1A70" w:rsidRDefault="00DA69E1" w:rsidP="008435A0">
            <w:pPr>
              <w:spacing w:after="0" w:line="240" w:lineRule="auto"/>
              <w:jc w:val="right"/>
              <w:rPr>
                <w:sz w:val="20"/>
                <w:szCs w:val="20"/>
              </w:rPr>
            </w:pPr>
            <w:r w:rsidRPr="001F1A70">
              <w:rPr>
                <w:sz w:val="20"/>
                <w:szCs w:val="20"/>
              </w:rPr>
              <w:t>308</w:t>
            </w:r>
          </w:p>
        </w:tc>
        <w:tc>
          <w:tcPr>
            <w:tcW w:w="266" w:type="pct"/>
            <w:tcBorders>
              <w:left w:val="single" w:sz="4" w:space="0" w:color="auto"/>
              <w:bottom w:val="single" w:sz="4" w:space="0" w:color="auto"/>
              <w:right w:val="single" w:sz="4" w:space="0" w:color="auto"/>
            </w:tcBorders>
            <w:shd w:val="clear" w:color="auto" w:fill="auto"/>
          </w:tcPr>
          <w:p w14:paraId="5FD90141" w14:textId="77777777" w:rsidR="00DA69E1" w:rsidRPr="001F1A70" w:rsidRDefault="00DA69E1" w:rsidP="008435A0">
            <w:pPr>
              <w:spacing w:after="0" w:line="240" w:lineRule="auto"/>
              <w:jc w:val="right"/>
              <w:rPr>
                <w:sz w:val="20"/>
                <w:szCs w:val="20"/>
              </w:rPr>
            </w:pPr>
            <w:r w:rsidRPr="001F1A70">
              <w:rPr>
                <w:sz w:val="20"/>
                <w:szCs w:val="20"/>
              </w:rPr>
              <w:t>.746</w:t>
            </w:r>
          </w:p>
        </w:tc>
        <w:tc>
          <w:tcPr>
            <w:tcW w:w="267" w:type="pct"/>
            <w:tcBorders>
              <w:left w:val="single" w:sz="4" w:space="0" w:color="auto"/>
              <w:bottom w:val="single" w:sz="4" w:space="0" w:color="auto"/>
              <w:right w:val="single" w:sz="4" w:space="0" w:color="auto"/>
            </w:tcBorders>
          </w:tcPr>
          <w:p w14:paraId="2311F85A" w14:textId="311627B5" w:rsidR="00DA69E1" w:rsidRPr="001F1A70" w:rsidRDefault="005E1D6E" w:rsidP="008435A0">
            <w:pPr>
              <w:spacing w:after="0" w:line="240" w:lineRule="auto"/>
              <w:jc w:val="right"/>
              <w:rPr>
                <w:sz w:val="20"/>
                <w:szCs w:val="20"/>
              </w:rPr>
            </w:pPr>
            <w:r w:rsidRPr="001F1A70">
              <w:rPr>
                <w:sz w:val="20"/>
                <w:szCs w:val="20"/>
              </w:rPr>
              <w:t>.007</w:t>
            </w:r>
          </w:p>
        </w:tc>
        <w:tc>
          <w:tcPr>
            <w:tcW w:w="222" w:type="pct"/>
            <w:tcBorders>
              <w:left w:val="single" w:sz="4" w:space="0" w:color="auto"/>
              <w:bottom w:val="single" w:sz="4" w:space="0" w:color="auto"/>
              <w:right w:val="single" w:sz="4" w:space="0" w:color="auto"/>
            </w:tcBorders>
          </w:tcPr>
          <w:p w14:paraId="03715117" w14:textId="77777777" w:rsidR="00DA69E1" w:rsidRPr="001F1A70" w:rsidRDefault="00DA69E1" w:rsidP="008435A0">
            <w:pPr>
              <w:spacing w:after="0" w:line="240" w:lineRule="auto"/>
              <w:jc w:val="right"/>
              <w:rPr>
                <w:sz w:val="20"/>
                <w:szCs w:val="20"/>
              </w:rPr>
            </w:pPr>
            <w:r w:rsidRPr="001F1A70">
              <w:rPr>
                <w:sz w:val="20"/>
                <w:szCs w:val="20"/>
              </w:rPr>
              <w:t>418</w:t>
            </w:r>
          </w:p>
        </w:tc>
        <w:tc>
          <w:tcPr>
            <w:tcW w:w="266" w:type="pct"/>
            <w:tcBorders>
              <w:left w:val="single" w:sz="4" w:space="0" w:color="auto"/>
              <w:bottom w:val="single" w:sz="4" w:space="0" w:color="auto"/>
              <w:right w:val="single" w:sz="4" w:space="0" w:color="auto"/>
            </w:tcBorders>
          </w:tcPr>
          <w:p w14:paraId="2D40A245" w14:textId="77777777" w:rsidR="00DA69E1" w:rsidRPr="001F1A70" w:rsidRDefault="00DA69E1" w:rsidP="008435A0">
            <w:pPr>
              <w:tabs>
                <w:tab w:val="left" w:pos="288"/>
              </w:tabs>
              <w:spacing w:after="0" w:line="240" w:lineRule="auto"/>
              <w:jc w:val="right"/>
              <w:rPr>
                <w:sz w:val="20"/>
                <w:szCs w:val="20"/>
              </w:rPr>
            </w:pPr>
            <w:r w:rsidRPr="001F1A70">
              <w:rPr>
                <w:sz w:val="20"/>
                <w:szCs w:val="20"/>
              </w:rPr>
              <w:t>.669</w:t>
            </w:r>
          </w:p>
        </w:tc>
        <w:tc>
          <w:tcPr>
            <w:tcW w:w="222" w:type="pct"/>
            <w:tcBorders>
              <w:left w:val="single" w:sz="4" w:space="0" w:color="auto"/>
              <w:bottom w:val="single" w:sz="4" w:space="0" w:color="auto"/>
              <w:right w:val="single" w:sz="4" w:space="0" w:color="auto"/>
            </w:tcBorders>
          </w:tcPr>
          <w:p w14:paraId="239DEC69" w14:textId="37D6F374" w:rsidR="00DA69E1" w:rsidRPr="001F1A70" w:rsidRDefault="005E1D6E" w:rsidP="008435A0">
            <w:pPr>
              <w:spacing w:after="0" w:line="240" w:lineRule="auto"/>
              <w:jc w:val="right"/>
              <w:rPr>
                <w:sz w:val="20"/>
                <w:szCs w:val="20"/>
              </w:rPr>
            </w:pPr>
            <w:r w:rsidRPr="001F1A70">
              <w:rPr>
                <w:sz w:val="20"/>
                <w:szCs w:val="20"/>
              </w:rPr>
              <w:t>.013</w:t>
            </w:r>
          </w:p>
        </w:tc>
        <w:tc>
          <w:tcPr>
            <w:tcW w:w="222" w:type="pct"/>
            <w:tcBorders>
              <w:left w:val="single" w:sz="4" w:space="0" w:color="auto"/>
              <w:bottom w:val="single" w:sz="4" w:space="0" w:color="auto"/>
              <w:right w:val="single" w:sz="4" w:space="0" w:color="auto"/>
            </w:tcBorders>
          </w:tcPr>
          <w:p w14:paraId="7C834C96" w14:textId="77777777" w:rsidR="00DA69E1" w:rsidRPr="001F1A70" w:rsidRDefault="00DA69E1" w:rsidP="008435A0">
            <w:pPr>
              <w:spacing w:after="0" w:line="240" w:lineRule="auto"/>
              <w:jc w:val="right"/>
              <w:rPr>
                <w:sz w:val="20"/>
                <w:szCs w:val="20"/>
              </w:rPr>
            </w:pPr>
            <w:r w:rsidRPr="001F1A70">
              <w:rPr>
                <w:sz w:val="20"/>
                <w:szCs w:val="20"/>
              </w:rPr>
              <w:t>308</w:t>
            </w:r>
          </w:p>
        </w:tc>
        <w:tc>
          <w:tcPr>
            <w:tcW w:w="286" w:type="pct"/>
            <w:tcBorders>
              <w:left w:val="single" w:sz="4" w:space="0" w:color="auto"/>
              <w:bottom w:val="single" w:sz="4" w:space="0" w:color="auto"/>
              <w:right w:val="single" w:sz="4" w:space="0" w:color="auto"/>
            </w:tcBorders>
          </w:tcPr>
          <w:p w14:paraId="541E0B87" w14:textId="77777777" w:rsidR="00DA69E1" w:rsidRPr="001F1A70" w:rsidRDefault="00DA69E1" w:rsidP="008435A0">
            <w:pPr>
              <w:spacing w:after="0" w:line="240" w:lineRule="auto"/>
              <w:jc w:val="right"/>
              <w:rPr>
                <w:sz w:val="20"/>
                <w:szCs w:val="20"/>
              </w:rPr>
            </w:pPr>
            <w:r w:rsidRPr="001F1A70">
              <w:rPr>
                <w:sz w:val="20"/>
                <w:szCs w:val="20"/>
              </w:rPr>
              <w:t>.623</w:t>
            </w:r>
          </w:p>
        </w:tc>
        <w:tc>
          <w:tcPr>
            <w:tcW w:w="222" w:type="pct"/>
            <w:tcBorders>
              <w:left w:val="single" w:sz="4" w:space="0" w:color="auto"/>
              <w:bottom w:val="single" w:sz="4" w:space="0" w:color="auto"/>
              <w:right w:val="single" w:sz="4" w:space="0" w:color="auto"/>
            </w:tcBorders>
          </w:tcPr>
          <w:p w14:paraId="1FAD2FC2" w14:textId="23353C4B" w:rsidR="00DA69E1" w:rsidRPr="001F1A70" w:rsidRDefault="005E1D6E" w:rsidP="008435A0">
            <w:pPr>
              <w:tabs>
                <w:tab w:val="left" w:pos="396"/>
              </w:tabs>
              <w:spacing w:after="0" w:line="240" w:lineRule="auto"/>
              <w:jc w:val="right"/>
              <w:rPr>
                <w:sz w:val="20"/>
                <w:szCs w:val="20"/>
              </w:rPr>
            </w:pPr>
            <w:r w:rsidRPr="001F1A70">
              <w:rPr>
                <w:sz w:val="20"/>
                <w:szCs w:val="20"/>
              </w:rPr>
              <w:t>.016</w:t>
            </w:r>
          </w:p>
        </w:tc>
        <w:tc>
          <w:tcPr>
            <w:tcW w:w="222" w:type="pct"/>
            <w:tcBorders>
              <w:left w:val="single" w:sz="4" w:space="0" w:color="auto"/>
              <w:bottom w:val="single" w:sz="4" w:space="0" w:color="auto"/>
              <w:right w:val="single" w:sz="4" w:space="0" w:color="auto"/>
            </w:tcBorders>
          </w:tcPr>
          <w:p w14:paraId="520DE6AA" w14:textId="77777777" w:rsidR="00DA69E1" w:rsidRPr="001F1A70" w:rsidRDefault="00DA69E1" w:rsidP="008435A0">
            <w:pPr>
              <w:spacing w:after="0" w:line="240" w:lineRule="auto"/>
              <w:jc w:val="right"/>
              <w:rPr>
                <w:sz w:val="20"/>
                <w:szCs w:val="20"/>
              </w:rPr>
            </w:pPr>
            <w:r w:rsidRPr="001F1A70">
              <w:rPr>
                <w:sz w:val="20"/>
                <w:szCs w:val="20"/>
              </w:rPr>
              <w:t>418</w:t>
            </w:r>
          </w:p>
        </w:tc>
        <w:tc>
          <w:tcPr>
            <w:tcW w:w="266" w:type="pct"/>
            <w:tcBorders>
              <w:left w:val="single" w:sz="4" w:space="0" w:color="auto"/>
              <w:bottom w:val="single" w:sz="4" w:space="0" w:color="auto"/>
              <w:right w:val="single" w:sz="4" w:space="0" w:color="auto"/>
            </w:tcBorders>
          </w:tcPr>
          <w:p w14:paraId="7A56E2A5" w14:textId="77777777" w:rsidR="00DA69E1" w:rsidRPr="001F1A70" w:rsidRDefault="00DA69E1" w:rsidP="008435A0">
            <w:pPr>
              <w:tabs>
                <w:tab w:val="left" w:pos="288"/>
              </w:tabs>
              <w:spacing w:after="0" w:line="240" w:lineRule="auto"/>
              <w:jc w:val="right"/>
              <w:rPr>
                <w:sz w:val="20"/>
                <w:szCs w:val="20"/>
              </w:rPr>
            </w:pPr>
            <w:r w:rsidRPr="001F1A70">
              <w:rPr>
                <w:sz w:val="20"/>
                <w:szCs w:val="20"/>
              </w:rPr>
              <w:t>.746</w:t>
            </w:r>
          </w:p>
        </w:tc>
        <w:tc>
          <w:tcPr>
            <w:tcW w:w="222" w:type="pct"/>
            <w:tcBorders>
              <w:left w:val="single" w:sz="4" w:space="0" w:color="auto"/>
              <w:bottom w:val="single" w:sz="4" w:space="0" w:color="auto"/>
              <w:right w:val="single" w:sz="4" w:space="0" w:color="auto"/>
            </w:tcBorders>
          </w:tcPr>
          <w:p w14:paraId="7241BA71" w14:textId="15A43F55" w:rsidR="00DA69E1" w:rsidRPr="001F1A70" w:rsidRDefault="005E1D6E" w:rsidP="008435A0">
            <w:pPr>
              <w:spacing w:after="0" w:line="240" w:lineRule="auto"/>
              <w:jc w:val="right"/>
              <w:rPr>
                <w:sz w:val="20"/>
                <w:szCs w:val="20"/>
              </w:rPr>
            </w:pPr>
            <w:r w:rsidRPr="001F1A70">
              <w:rPr>
                <w:sz w:val="20"/>
                <w:szCs w:val="20"/>
              </w:rPr>
              <w:t>.018</w:t>
            </w:r>
          </w:p>
        </w:tc>
        <w:tc>
          <w:tcPr>
            <w:tcW w:w="222" w:type="pct"/>
            <w:tcBorders>
              <w:left w:val="single" w:sz="4" w:space="0" w:color="auto"/>
              <w:bottom w:val="single" w:sz="4" w:space="0" w:color="auto"/>
              <w:right w:val="single" w:sz="4" w:space="0" w:color="auto"/>
            </w:tcBorders>
          </w:tcPr>
          <w:p w14:paraId="5E9A6D78" w14:textId="77777777" w:rsidR="00DA69E1" w:rsidRPr="001F1A70" w:rsidRDefault="00DA69E1" w:rsidP="008435A0">
            <w:pPr>
              <w:spacing w:after="0" w:line="240" w:lineRule="auto"/>
              <w:jc w:val="right"/>
              <w:rPr>
                <w:sz w:val="20"/>
                <w:szCs w:val="20"/>
              </w:rPr>
            </w:pPr>
            <w:r w:rsidRPr="001F1A70">
              <w:rPr>
                <w:sz w:val="20"/>
                <w:szCs w:val="20"/>
              </w:rPr>
              <w:t>308</w:t>
            </w:r>
          </w:p>
        </w:tc>
        <w:tc>
          <w:tcPr>
            <w:tcW w:w="286" w:type="pct"/>
            <w:tcBorders>
              <w:left w:val="single" w:sz="4" w:space="0" w:color="auto"/>
              <w:bottom w:val="single" w:sz="4" w:space="0" w:color="auto"/>
              <w:right w:val="single" w:sz="4" w:space="0" w:color="auto"/>
            </w:tcBorders>
          </w:tcPr>
          <w:p w14:paraId="65668E80" w14:textId="77777777" w:rsidR="00DA69E1" w:rsidRPr="001F1A70" w:rsidRDefault="00DA69E1" w:rsidP="008435A0">
            <w:pPr>
              <w:spacing w:after="0" w:line="240" w:lineRule="auto"/>
              <w:jc w:val="right"/>
              <w:rPr>
                <w:sz w:val="20"/>
                <w:szCs w:val="20"/>
              </w:rPr>
            </w:pPr>
            <w:r w:rsidRPr="001F1A70">
              <w:rPr>
                <w:sz w:val="20"/>
                <w:szCs w:val="20"/>
              </w:rPr>
              <w:t>.736</w:t>
            </w:r>
          </w:p>
        </w:tc>
        <w:tc>
          <w:tcPr>
            <w:tcW w:w="220" w:type="pct"/>
            <w:tcBorders>
              <w:left w:val="single" w:sz="4" w:space="0" w:color="auto"/>
              <w:bottom w:val="single" w:sz="4" w:space="0" w:color="auto"/>
              <w:right w:val="single" w:sz="4" w:space="0" w:color="auto"/>
            </w:tcBorders>
          </w:tcPr>
          <w:p w14:paraId="2A75B2A5" w14:textId="5053AD8B" w:rsidR="00DA69E1" w:rsidRPr="001F1A70" w:rsidRDefault="005E1D6E" w:rsidP="008435A0">
            <w:pPr>
              <w:tabs>
                <w:tab w:val="left" w:pos="396"/>
              </w:tabs>
              <w:spacing w:after="0" w:line="240" w:lineRule="auto"/>
              <w:jc w:val="right"/>
              <w:rPr>
                <w:sz w:val="20"/>
                <w:szCs w:val="20"/>
              </w:rPr>
            </w:pPr>
            <w:r w:rsidRPr="001F1A70">
              <w:rPr>
                <w:sz w:val="20"/>
                <w:szCs w:val="20"/>
              </w:rPr>
              <w:t>.02</w:t>
            </w:r>
            <w:r w:rsidR="00DA69E1" w:rsidRPr="001F1A70">
              <w:rPr>
                <w:sz w:val="20"/>
                <w:szCs w:val="20"/>
              </w:rPr>
              <w:t>1</w:t>
            </w:r>
          </w:p>
        </w:tc>
      </w:tr>
      <w:tr w:rsidR="00DA69E1" w:rsidRPr="001F1A70" w14:paraId="70F0358D" w14:textId="77777777" w:rsidTr="005B45D1">
        <w:tc>
          <w:tcPr>
            <w:tcW w:w="679" w:type="pct"/>
            <w:tcBorders>
              <w:top w:val="single" w:sz="4" w:space="0" w:color="auto"/>
              <w:left w:val="single" w:sz="4" w:space="0" w:color="auto"/>
              <w:right w:val="single" w:sz="4" w:space="0" w:color="auto"/>
            </w:tcBorders>
            <w:shd w:val="clear" w:color="auto" w:fill="auto"/>
          </w:tcPr>
          <w:p w14:paraId="1487328E" w14:textId="1310CFA9" w:rsidR="00DA69E1" w:rsidRPr="001F1A70" w:rsidRDefault="00DA69E1" w:rsidP="008435A0">
            <w:pPr>
              <w:spacing w:after="0" w:line="240" w:lineRule="auto"/>
              <w:rPr>
                <w:sz w:val="20"/>
                <w:szCs w:val="20"/>
              </w:rPr>
            </w:pPr>
            <w:r w:rsidRPr="001F1A70">
              <w:rPr>
                <w:sz w:val="20"/>
                <w:szCs w:val="20"/>
              </w:rPr>
              <w:t>EQ-5D-5L</w:t>
            </w:r>
            <w:r w:rsidR="005B45D1">
              <w:rPr>
                <w:sz w:val="20"/>
                <w:szCs w:val="20"/>
              </w:rPr>
              <w:t>*</w:t>
            </w:r>
            <w:r w:rsidRPr="001F1A70">
              <w:rPr>
                <w:sz w:val="20"/>
                <w:szCs w:val="20"/>
              </w:rPr>
              <w:t xml:space="preserve"> – Staff CCA**</w:t>
            </w:r>
          </w:p>
          <w:p w14:paraId="21AB3241" w14:textId="77777777" w:rsidR="00DA69E1" w:rsidRPr="001F1A70" w:rsidRDefault="00DA69E1" w:rsidP="008435A0">
            <w:pPr>
              <w:spacing w:after="0" w:line="240" w:lineRule="auto"/>
              <w:rPr>
                <w:sz w:val="20"/>
                <w:szCs w:val="20"/>
              </w:rPr>
            </w:pPr>
          </w:p>
        </w:tc>
        <w:tc>
          <w:tcPr>
            <w:tcW w:w="202" w:type="pct"/>
            <w:tcBorders>
              <w:top w:val="single" w:sz="4" w:space="0" w:color="auto"/>
              <w:left w:val="single" w:sz="4" w:space="0" w:color="auto"/>
              <w:right w:val="single" w:sz="4" w:space="0" w:color="auto"/>
            </w:tcBorders>
          </w:tcPr>
          <w:p w14:paraId="3FB3A017" w14:textId="77777777" w:rsidR="00DA69E1" w:rsidRPr="001F1A70" w:rsidRDefault="00DA69E1" w:rsidP="008435A0">
            <w:pPr>
              <w:spacing w:after="0" w:line="240" w:lineRule="auto"/>
              <w:jc w:val="right"/>
              <w:rPr>
                <w:sz w:val="20"/>
                <w:szCs w:val="20"/>
              </w:rPr>
            </w:pPr>
            <w:r w:rsidRPr="001F1A70">
              <w:rPr>
                <w:sz w:val="20"/>
                <w:szCs w:val="20"/>
              </w:rPr>
              <w:t>214</w:t>
            </w:r>
          </w:p>
        </w:tc>
        <w:tc>
          <w:tcPr>
            <w:tcW w:w="266" w:type="pct"/>
            <w:tcBorders>
              <w:top w:val="single" w:sz="4" w:space="0" w:color="auto"/>
              <w:left w:val="single" w:sz="4" w:space="0" w:color="auto"/>
              <w:right w:val="single" w:sz="4" w:space="0" w:color="auto"/>
            </w:tcBorders>
            <w:shd w:val="clear" w:color="auto" w:fill="auto"/>
          </w:tcPr>
          <w:p w14:paraId="69117269" w14:textId="77777777" w:rsidR="00DA69E1" w:rsidRPr="001F1A70" w:rsidRDefault="00DA69E1" w:rsidP="008435A0">
            <w:pPr>
              <w:spacing w:after="0" w:line="240" w:lineRule="auto"/>
              <w:jc w:val="right"/>
              <w:rPr>
                <w:sz w:val="20"/>
                <w:szCs w:val="20"/>
              </w:rPr>
            </w:pPr>
            <w:r w:rsidRPr="001F1A70">
              <w:rPr>
                <w:sz w:val="20"/>
                <w:szCs w:val="20"/>
              </w:rPr>
              <w:t>.663</w:t>
            </w:r>
          </w:p>
        </w:tc>
        <w:tc>
          <w:tcPr>
            <w:tcW w:w="223" w:type="pct"/>
            <w:tcBorders>
              <w:top w:val="single" w:sz="4" w:space="0" w:color="auto"/>
              <w:left w:val="single" w:sz="4" w:space="0" w:color="auto"/>
              <w:right w:val="single" w:sz="4" w:space="0" w:color="auto"/>
            </w:tcBorders>
            <w:shd w:val="clear" w:color="auto" w:fill="auto"/>
          </w:tcPr>
          <w:p w14:paraId="5D5F211A" w14:textId="4E38B411" w:rsidR="00DA69E1" w:rsidRPr="001F1A70" w:rsidRDefault="005E1D6E" w:rsidP="008435A0">
            <w:pPr>
              <w:spacing w:after="0" w:line="240" w:lineRule="auto"/>
              <w:jc w:val="right"/>
              <w:rPr>
                <w:sz w:val="20"/>
                <w:szCs w:val="20"/>
              </w:rPr>
            </w:pPr>
            <w:r w:rsidRPr="001F1A70">
              <w:rPr>
                <w:sz w:val="20"/>
                <w:szCs w:val="20"/>
              </w:rPr>
              <w:t>.016</w:t>
            </w:r>
          </w:p>
        </w:tc>
        <w:tc>
          <w:tcPr>
            <w:tcW w:w="221" w:type="pct"/>
            <w:tcBorders>
              <w:top w:val="single" w:sz="4" w:space="0" w:color="auto"/>
              <w:left w:val="single" w:sz="4" w:space="0" w:color="auto"/>
              <w:right w:val="single" w:sz="4" w:space="0" w:color="auto"/>
            </w:tcBorders>
            <w:shd w:val="clear" w:color="auto" w:fill="auto"/>
          </w:tcPr>
          <w:p w14:paraId="2585BF0F" w14:textId="77777777" w:rsidR="00DA69E1" w:rsidRPr="001F1A70" w:rsidRDefault="00DA69E1" w:rsidP="008435A0">
            <w:pPr>
              <w:spacing w:after="0" w:line="240" w:lineRule="auto"/>
              <w:jc w:val="right"/>
              <w:rPr>
                <w:sz w:val="20"/>
                <w:szCs w:val="20"/>
              </w:rPr>
            </w:pPr>
            <w:r w:rsidRPr="001F1A70">
              <w:rPr>
                <w:sz w:val="20"/>
                <w:szCs w:val="20"/>
              </w:rPr>
              <w:t>175</w:t>
            </w:r>
          </w:p>
        </w:tc>
        <w:tc>
          <w:tcPr>
            <w:tcW w:w="266" w:type="pct"/>
            <w:tcBorders>
              <w:top w:val="single" w:sz="4" w:space="0" w:color="auto"/>
              <w:left w:val="single" w:sz="4" w:space="0" w:color="auto"/>
              <w:right w:val="single" w:sz="4" w:space="0" w:color="auto"/>
            </w:tcBorders>
            <w:shd w:val="clear" w:color="auto" w:fill="auto"/>
          </w:tcPr>
          <w:p w14:paraId="16FF6969" w14:textId="77777777" w:rsidR="00DA69E1" w:rsidRPr="001F1A70" w:rsidRDefault="00DA69E1" w:rsidP="008435A0">
            <w:pPr>
              <w:spacing w:after="0" w:line="240" w:lineRule="auto"/>
              <w:jc w:val="right"/>
              <w:rPr>
                <w:sz w:val="20"/>
                <w:szCs w:val="20"/>
              </w:rPr>
            </w:pPr>
            <w:r w:rsidRPr="001F1A70">
              <w:rPr>
                <w:sz w:val="20"/>
                <w:szCs w:val="20"/>
              </w:rPr>
              <w:t>.682</w:t>
            </w:r>
          </w:p>
        </w:tc>
        <w:tc>
          <w:tcPr>
            <w:tcW w:w="267" w:type="pct"/>
            <w:tcBorders>
              <w:top w:val="single" w:sz="4" w:space="0" w:color="auto"/>
              <w:left w:val="single" w:sz="4" w:space="0" w:color="auto"/>
              <w:right w:val="single" w:sz="4" w:space="0" w:color="auto"/>
            </w:tcBorders>
          </w:tcPr>
          <w:p w14:paraId="5F7B9525" w14:textId="06667A7D" w:rsidR="00DA69E1" w:rsidRPr="001F1A70" w:rsidRDefault="005E1D6E" w:rsidP="008435A0">
            <w:pPr>
              <w:spacing w:after="0" w:line="240" w:lineRule="auto"/>
              <w:jc w:val="right"/>
              <w:rPr>
                <w:sz w:val="20"/>
                <w:szCs w:val="20"/>
              </w:rPr>
            </w:pPr>
            <w:r w:rsidRPr="001F1A70">
              <w:rPr>
                <w:sz w:val="20"/>
                <w:szCs w:val="20"/>
              </w:rPr>
              <w:t>.018</w:t>
            </w:r>
          </w:p>
        </w:tc>
        <w:tc>
          <w:tcPr>
            <w:tcW w:w="222" w:type="pct"/>
            <w:tcBorders>
              <w:top w:val="single" w:sz="4" w:space="0" w:color="auto"/>
              <w:left w:val="single" w:sz="4" w:space="0" w:color="auto"/>
              <w:right w:val="single" w:sz="4" w:space="0" w:color="auto"/>
            </w:tcBorders>
          </w:tcPr>
          <w:p w14:paraId="23158888" w14:textId="77777777" w:rsidR="00DA69E1" w:rsidRPr="001F1A70" w:rsidRDefault="00DA69E1" w:rsidP="008435A0">
            <w:pPr>
              <w:spacing w:after="0" w:line="240" w:lineRule="auto"/>
              <w:jc w:val="right"/>
              <w:rPr>
                <w:sz w:val="20"/>
                <w:szCs w:val="20"/>
              </w:rPr>
            </w:pPr>
            <w:r w:rsidRPr="001F1A70">
              <w:rPr>
                <w:sz w:val="20"/>
                <w:szCs w:val="20"/>
              </w:rPr>
              <w:t>214</w:t>
            </w:r>
          </w:p>
        </w:tc>
        <w:tc>
          <w:tcPr>
            <w:tcW w:w="266" w:type="pct"/>
            <w:tcBorders>
              <w:top w:val="single" w:sz="4" w:space="0" w:color="auto"/>
              <w:left w:val="single" w:sz="4" w:space="0" w:color="auto"/>
              <w:right w:val="single" w:sz="4" w:space="0" w:color="auto"/>
            </w:tcBorders>
          </w:tcPr>
          <w:p w14:paraId="0C2385F4" w14:textId="08074BB9" w:rsidR="00DA69E1" w:rsidRPr="001F1A70" w:rsidRDefault="00DA69E1" w:rsidP="008435A0">
            <w:pPr>
              <w:tabs>
                <w:tab w:val="left" w:pos="372"/>
              </w:tabs>
              <w:spacing w:after="0" w:line="240" w:lineRule="auto"/>
              <w:jc w:val="right"/>
              <w:rPr>
                <w:sz w:val="20"/>
                <w:szCs w:val="20"/>
              </w:rPr>
            </w:pPr>
            <w:r w:rsidRPr="001F1A70">
              <w:rPr>
                <w:sz w:val="20"/>
                <w:szCs w:val="20"/>
              </w:rPr>
              <w:t>.</w:t>
            </w:r>
            <w:r w:rsidR="005E1D6E" w:rsidRPr="001F1A70">
              <w:rPr>
                <w:sz w:val="20"/>
                <w:szCs w:val="20"/>
              </w:rPr>
              <w:t>554</w:t>
            </w:r>
          </w:p>
        </w:tc>
        <w:tc>
          <w:tcPr>
            <w:tcW w:w="222" w:type="pct"/>
            <w:tcBorders>
              <w:top w:val="single" w:sz="4" w:space="0" w:color="auto"/>
              <w:left w:val="single" w:sz="4" w:space="0" w:color="auto"/>
              <w:right w:val="single" w:sz="4" w:space="0" w:color="auto"/>
            </w:tcBorders>
          </w:tcPr>
          <w:p w14:paraId="49D68C20" w14:textId="5DCF3478" w:rsidR="00DA69E1" w:rsidRPr="001F1A70" w:rsidRDefault="00DA69E1" w:rsidP="008435A0">
            <w:pPr>
              <w:spacing w:after="0" w:line="240" w:lineRule="auto"/>
              <w:jc w:val="right"/>
              <w:rPr>
                <w:sz w:val="20"/>
                <w:szCs w:val="20"/>
              </w:rPr>
            </w:pPr>
            <w:r w:rsidRPr="001F1A70">
              <w:rPr>
                <w:sz w:val="20"/>
                <w:szCs w:val="20"/>
              </w:rPr>
              <w:t>.</w:t>
            </w:r>
            <w:r w:rsidR="005E1D6E" w:rsidRPr="001F1A70">
              <w:rPr>
                <w:sz w:val="20"/>
                <w:szCs w:val="20"/>
              </w:rPr>
              <w:t>021</w:t>
            </w:r>
          </w:p>
        </w:tc>
        <w:tc>
          <w:tcPr>
            <w:tcW w:w="222" w:type="pct"/>
            <w:tcBorders>
              <w:top w:val="single" w:sz="4" w:space="0" w:color="auto"/>
              <w:left w:val="single" w:sz="4" w:space="0" w:color="auto"/>
              <w:right w:val="single" w:sz="4" w:space="0" w:color="auto"/>
            </w:tcBorders>
          </w:tcPr>
          <w:p w14:paraId="46CA8117" w14:textId="77777777" w:rsidR="00DA69E1" w:rsidRPr="001F1A70" w:rsidRDefault="00DA69E1" w:rsidP="008435A0">
            <w:pPr>
              <w:spacing w:after="0" w:line="240" w:lineRule="auto"/>
              <w:jc w:val="right"/>
              <w:rPr>
                <w:sz w:val="20"/>
                <w:szCs w:val="20"/>
              </w:rPr>
            </w:pPr>
            <w:r w:rsidRPr="001F1A70">
              <w:rPr>
                <w:sz w:val="20"/>
                <w:szCs w:val="20"/>
              </w:rPr>
              <w:t>175</w:t>
            </w:r>
          </w:p>
        </w:tc>
        <w:tc>
          <w:tcPr>
            <w:tcW w:w="286" w:type="pct"/>
            <w:tcBorders>
              <w:top w:val="single" w:sz="4" w:space="0" w:color="auto"/>
              <w:left w:val="single" w:sz="4" w:space="0" w:color="auto"/>
              <w:right w:val="single" w:sz="4" w:space="0" w:color="auto"/>
            </w:tcBorders>
          </w:tcPr>
          <w:p w14:paraId="61C7248C" w14:textId="77777777" w:rsidR="00DA69E1" w:rsidRPr="001F1A70" w:rsidRDefault="00DA69E1" w:rsidP="008435A0">
            <w:pPr>
              <w:tabs>
                <w:tab w:val="left" w:pos="192"/>
              </w:tabs>
              <w:spacing w:after="0" w:line="240" w:lineRule="auto"/>
              <w:jc w:val="right"/>
              <w:rPr>
                <w:sz w:val="20"/>
                <w:szCs w:val="20"/>
              </w:rPr>
            </w:pPr>
            <w:r w:rsidRPr="001F1A70">
              <w:rPr>
                <w:sz w:val="20"/>
                <w:szCs w:val="20"/>
              </w:rPr>
              <w:tab/>
              <w:t>.531</w:t>
            </w:r>
          </w:p>
        </w:tc>
        <w:tc>
          <w:tcPr>
            <w:tcW w:w="222" w:type="pct"/>
            <w:tcBorders>
              <w:top w:val="single" w:sz="4" w:space="0" w:color="auto"/>
              <w:left w:val="single" w:sz="4" w:space="0" w:color="auto"/>
              <w:right w:val="single" w:sz="4" w:space="0" w:color="auto"/>
            </w:tcBorders>
          </w:tcPr>
          <w:p w14:paraId="2FD1FCDB" w14:textId="1F425167" w:rsidR="00DA69E1" w:rsidRPr="001F1A70" w:rsidRDefault="00DA69E1" w:rsidP="008435A0">
            <w:pPr>
              <w:spacing w:after="0" w:line="240" w:lineRule="auto"/>
              <w:jc w:val="right"/>
              <w:rPr>
                <w:sz w:val="20"/>
                <w:szCs w:val="20"/>
              </w:rPr>
            </w:pPr>
            <w:r w:rsidRPr="001F1A70">
              <w:rPr>
                <w:sz w:val="20"/>
                <w:szCs w:val="20"/>
              </w:rPr>
              <w:t>.</w:t>
            </w:r>
            <w:r w:rsidR="005E1D6E" w:rsidRPr="001F1A70">
              <w:rPr>
                <w:sz w:val="20"/>
                <w:szCs w:val="20"/>
              </w:rPr>
              <w:t>025</w:t>
            </w:r>
          </w:p>
        </w:tc>
        <w:tc>
          <w:tcPr>
            <w:tcW w:w="222" w:type="pct"/>
            <w:tcBorders>
              <w:top w:val="single" w:sz="4" w:space="0" w:color="auto"/>
              <w:left w:val="single" w:sz="4" w:space="0" w:color="auto"/>
              <w:right w:val="single" w:sz="4" w:space="0" w:color="auto"/>
            </w:tcBorders>
          </w:tcPr>
          <w:p w14:paraId="25DE29EA" w14:textId="77777777" w:rsidR="00DA69E1" w:rsidRPr="001F1A70" w:rsidRDefault="00DA69E1" w:rsidP="008435A0">
            <w:pPr>
              <w:spacing w:after="0" w:line="240" w:lineRule="auto"/>
              <w:jc w:val="right"/>
              <w:rPr>
                <w:sz w:val="20"/>
                <w:szCs w:val="20"/>
              </w:rPr>
            </w:pPr>
            <w:r w:rsidRPr="001F1A70">
              <w:rPr>
                <w:sz w:val="20"/>
                <w:szCs w:val="20"/>
              </w:rPr>
              <w:t>214</w:t>
            </w:r>
          </w:p>
        </w:tc>
        <w:tc>
          <w:tcPr>
            <w:tcW w:w="266" w:type="pct"/>
            <w:tcBorders>
              <w:top w:val="single" w:sz="4" w:space="0" w:color="auto"/>
              <w:left w:val="single" w:sz="4" w:space="0" w:color="auto"/>
              <w:right w:val="single" w:sz="4" w:space="0" w:color="auto"/>
            </w:tcBorders>
          </w:tcPr>
          <w:p w14:paraId="56FAAD01" w14:textId="77777777" w:rsidR="00DA69E1" w:rsidRPr="001F1A70" w:rsidRDefault="00DA69E1" w:rsidP="008435A0">
            <w:pPr>
              <w:spacing w:after="0" w:line="240" w:lineRule="auto"/>
              <w:jc w:val="right"/>
              <w:rPr>
                <w:sz w:val="20"/>
                <w:szCs w:val="20"/>
              </w:rPr>
            </w:pPr>
            <w:r w:rsidRPr="001F1A70">
              <w:rPr>
                <w:sz w:val="20"/>
                <w:szCs w:val="20"/>
              </w:rPr>
              <w:t>.364</w:t>
            </w:r>
          </w:p>
        </w:tc>
        <w:tc>
          <w:tcPr>
            <w:tcW w:w="222" w:type="pct"/>
            <w:tcBorders>
              <w:top w:val="single" w:sz="4" w:space="0" w:color="auto"/>
              <w:left w:val="single" w:sz="4" w:space="0" w:color="auto"/>
              <w:right w:val="single" w:sz="4" w:space="0" w:color="auto"/>
            </w:tcBorders>
          </w:tcPr>
          <w:p w14:paraId="69CBE5A3" w14:textId="60908F60" w:rsidR="00DA69E1" w:rsidRPr="001F1A70" w:rsidRDefault="00DA69E1" w:rsidP="008435A0">
            <w:pPr>
              <w:spacing w:after="0" w:line="240" w:lineRule="auto"/>
              <w:jc w:val="right"/>
              <w:rPr>
                <w:sz w:val="20"/>
                <w:szCs w:val="20"/>
              </w:rPr>
            </w:pPr>
            <w:r w:rsidRPr="001F1A70">
              <w:rPr>
                <w:sz w:val="20"/>
                <w:szCs w:val="20"/>
              </w:rPr>
              <w:t>.</w:t>
            </w:r>
            <w:r w:rsidR="005E1D6E" w:rsidRPr="001F1A70">
              <w:rPr>
                <w:sz w:val="20"/>
                <w:szCs w:val="20"/>
              </w:rPr>
              <w:t>025</w:t>
            </w:r>
          </w:p>
        </w:tc>
        <w:tc>
          <w:tcPr>
            <w:tcW w:w="222" w:type="pct"/>
            <w:tcBorders>
              <w:top w:val="single" w:sz="4" w:space="0" w:color="auto"/>
              <w:left w:val="single" w:sz="4" w:space="0" w:color="auto"/>
              <w:right w:val="single" w:sz="4" w:space="0" w:color="auto"/>
            </w:tcBorders>
          </w:tcPr>
          <w:p w14:paraId="4E359C18" w14:textId="77777777" w:rsidR="00DA69E1" w:rsidRPr="001F1A70" w:rsidRDefault="00DA69E1" w:rsidP="008435A0">
            <w:pPr>
              <w:spacing w:after="0" w:line="240" w:lineRule="auto"/>
              <w:jc w:val="right"/>
              <w:rPr>
                <w:sz w:val="20"/>
                <w:szCs w:val="20"/>
              </w:rPr>
            </w:pPr>
            <w:r w:rsidRPr="001F1A70">
              <w:rPr>
                <w:sz w:val="20"/>
                <w:szCs w:val="20"/>
              </w:rPr>
              <w:t>175</w:t>
            </w:r>
          </w:p>
        </w:tc>
        <w:tc>
          <w:tcPr>
            <w:tcW w:w="286" w:type="pct"/>
            <w:tcBorders>
              <w:top w:val="single" w:sz="4" w:space="0" w:color="auto"/>
              <w:left w:val="single" w:sz="4" w:space="0" w:color="auto"/>
              <w:right w:val="single" w:sz="4" w:space="0" w:color="auto"/>
            </w:tcBorders>
          </w:tcPr>
          <w:p w14:paraId="79B2248D" w14:textId="77777777" w:rsidR="00DA69E1" w:rsidRPr="001F1A70" w:rsidRDefault="00DA69E1" w:rsidP="008435A0">
            <w:pPr>
              <w:tabs>
                <w:tab w:val="left" w:pos="192"/>
              </w:tabs>
              <w:spacing w:after="0" w:line="240" w:lineRule="auto"/>
              <w:jc w:val="right"/>
              <w:rPr>
                <w:sz w:val="20"/>
                <w:szCs w:val="20"/>
              </w:rPr>
            </w:pPr>
            <w:r w:rsidRPr="001F1A70">
              <w:rPr>
                <w:sz w:val="20"/>
                <w:szCs w:val="20"/>
              </w:rPr>
              <w:tab/>
              <w:t>.349</w:t>
            </w:r>
          </w:p>
        </w:tc>
        <w:tc>
          <w:tcPr>
            <w:tcW w:w="220" w:type="pct"/>
            <w:tcBorders>
              <w:top w:val="single" w:sz="4" w:space="0" w:color="auto"/>
              <w:left w:val="single" w:sz="4" w:space="0" w:color="auto"/>
              <w:right w:val="single" w:sz="4" w:space="0" w:color="auto"/>
            </w:tcBorders>
          </w:tcPr>
          <w:p w14:paraId="42311B46" w14:textId="6243BE61" w:rsidR="00DA69E1" w:rsidRPr="001F1A70" w:rsidRDefault="00DA69E1" w:rsidP="008435A0">
            <w:pPr>
              <w:tabs>
                <w:tab w:val="left" w:pos="252"/>
              </w:tabs>
              <w:spacing w:after="0" w:line="240" w:lineRule="auto"/>
              <w:jc w:val="right"/>
              <w:rPr>
                <w:sz w:val="20"/>
                <w:szCs w:val="20"/>
              </w:rPr>
            </w:pPr>
            <w:r w:rsidRPr="001F1A70">
              <w:rPr>
                <w:sz w:val="20"/>
                <w:szCs w:val="20"/>
              </w:rPr>
              <w:t>.</w:t>
            </w:r>
            <w:r w:rsidR="00790B6C" w:rsidRPr="001F1A70">
              <w:rPr>
                <w:sz w:val="20"/>
                <w:szCs w:val="20"/>
              </w:rPr>
              <w:t>025</w:t>
            </w:r>
          </w:p>
        </w:tc>
      </w:tr>
      <w:tr w:rsidR="00DA69E1" w:rsidRPr="001F1A70" w14:paraId="33720ADF" w14:textId="77777777" w:rsidTr="005B45D1">
        <w:tc>
          <w:tcPr>
            <w:tcW w:w="679" w:type="pct"/>
            <w:tcBorders>
              <w:left w:val="single" w:sz="4" w:space="0" w:color="auto"/>
              <w:bottom w:val="single" w:sz="4" w:space="0" w:color="auto"/>
              <w:right w:val="single" w:sz="4" w:space="0" w:color="auto"/>
            </w:tcBorders>
            <w:shd w:val="clear" w:color="auto" w:fill="auto"/>
          </w:tcPr>
          <w:p w14:paraId="4A435C5B" w14:textId="1CFCB1A7" w:rsidR="00DA69E1" w:rsidRPr="001F1A70" w:rsidRDefault="00DA69E1" w:rsidP="008435A0">
            <w:pPr>
              <w:spacing w:after="0" w:line="240" w:lineRule="auto"/>
              <w:rPr>
                <w:sz w:val="20"/>
                <w:szCs w:val="20"/>
              </w:rPr>
            </w:pPr>
            <w:r w:rsidRPr="001F1A70">
              <w:rPr>
                <w:sz w:val="20"/>
                <w:szCs w:val="20"/>
              </w:rPr>
              <w:t>EQ-5D-5L</w:t>
            </w:r>
            <w:r w:rsidR="005B45D1">
              <w:rPr>
                <w:sz w:val="20"/>
                <w:szCs w:val="20"/>
              </w:rPr>
              <w:t>*</w:t>
            </w:r>
            <w:r w:rsidRPr="001F1A70">
              <w:rPr>
                <w:sz w:val="20"/>
                <w:szCs w:val="20"/>
              </w:rPr>
              <w:t xml:space="preserve"> Patient/Relative or Staff</w:t>
            </w:r>
            <w:r w:rsidR="00790B6C" w:rsidRPr="001F1A70">
              <w:rPr>
                <w:sz w:val="20"/>
                <w:szCs w:val="20"/>
              </w:rPr>
              <w:t xml:space="preserve"> (CCA)</w:t>
            </w:r>
          </w:p>
        </w:tc>
        <w:tc>
          <w:tcPr>
            <w:tcW w:w="202" w:type="pct"/>
            <w:tcBorders>
              <w:left w:val="single" w:sz="4" w:space="0" w:color="auto"/>
              <w:bottom w:val="single" w:sz="4" w:space="0" w:color="auto"/>
              <w:right w:val="single" w:sz="4" w:space="0" w:color="auto"/>
            </w:tcBorders>
          </w:tcPr>
          <w:p w14:paraId="153AEBE6" w14:textId="77777777" w:rsidR="00DA69E1" w:rsidRPr="001F1A70" w:rsidRDefault="00DA69E1" w:rsidP="008435A0">
            <w:pPr>
              <w:spacing w:after="0" w:line="240" w:lineRule="auto"/>
              <w:jc w:val="right"/>
              <w:rPr>
                <w:sz w:val="20"/>
                <w:szCs w:val="20"/>
              </w:rPr>
            </w:pPr>
            <w:r w:rsidRPr="001F1A70">
              <w:rPr>
                <w:sz w:val="20"/>
                <w:szCs w:val="20"/>
              </w:rPr>
              <w:t>215</w:t>
            </w:r>
          </w:p>
        </w:tc>
        <w:tc>
          <w:tcPr>
            <w:tcW w:w="266" w:type="pct"/>
            <w:tcBorders>
              <w:left w:val="single" w:sz="4" w:space="0" w:color="auto"/>
              <w:bottom w:val="single" w:sz="4" w:space="0" w:color="auto"/>
              <w:right w:val="single" w:sz="4" w:space="0" w:color="auto"/>
            </w:tcBorders>
            <w:shd w:val="clear" w:color="auto" w:fill="auto"/>
          </w:tcPr>
          <w:p w14:paraId="10788C0F" w14:textId="77777777" w:rsidR="00DA69E1" w:rsidRPr="001F1A70" w:rsidRDefault="00DA69E1" w:rsidP="008435A0">
            <w:pPr>
              <w:spacing w:after="0" w:line="240" w:lineRule="auto"/>
              <w:jc w:val="right"/>
              <w:rPr>
                <w:sz w:val="20"/>
                <w:szCs w:val="20"/>
              </w:rPr>
            </w:pPr>
            <w:r w:rsidRPr="001F1A70">
              <w:rPr>
                <w:sz w:val="20"/>
                <w:szCs w:val="20"/>
              </w:rPr>
              <w:t>.702</w:t>
            </w:r>
          </w:p>
        </w:tc>
        <w:tc>
          <w:tcPr>
            <w:tcW w:w="223" w:type="pct"/>
            <w:tcBorders>
              <w:left w:val="single" w:sz="4" w:space="0" w:color="auto"/>
              <w:bottom w:val="single" w:sz="4" w:space="0" w:color="auto"/>
              <w:right w:val="single" w:sz="4" w:space="0" w:color="auto"/>
            </w:tcBorders>
            <w:shd w:val="clear" w:color="auto" w:fill="auto"/>
          </w:tcPr>
          <w:p w14:paraId="7BA1C315" w14:textId="6886C642" w:rsidR="00DA69E1" w:rsidRPr="001F1A70" w:rsidRDefault="00790B6C" w:rsidP="008435A0">
            <w:pPr>
              <w:spacing w:after="0" w:line="240" w:lineRule="auto"/>
              <w:jc w:val="right"/>
              <w:rPr>
                <w:sz w:val="20"/>
                <w:szCs w:val="20"/>
              </w:rPr>
            </w:pPr>
            <w:r w:rsidRPr="001F1A70">
              <w:rPr>
                <w:sz w:val="20"/>
                <w:szCs w:val="20"/>
              </w:rPr>
              <w:t>.016</w:t>
            </w:r>
          </w:p>
        </w:tc>
        <w:tc>
          <w:tcPr>
            <w:tcW w:w="221" w:type="pct"/>
            <w:tcBorders>
              <w:left w:val="single" w:sz="4" w:space="0" w:color="auto"/>
              <w:bottom w:val="single" w:sz="4" w:space="0" w:color="auto"/>
              <w:right w:val="single" w:sz="4" w:space="0" w:color="auto"/>
            </w:tcBorders>
            <w:shd w:val="clear" w:color="auto" w:fill="auto"/>
          </w:tcPr>
          <w:p w14:paraId="07C60035" w14:textId="77777777" w:rsidR="00DA69E1" w:rsidRPr="001F1A70" w:rsidRDefault="00DA69E1" w:rsidP="008435A0">
            <w:pPr>
              <w:spacing w:after="0" w:line="240" w:lineRule="auto"/>
              <w:jc w:val="right"/>
              <w:rPr>
                <w:sz w:val="20"/>
                <w:szCs w:val="20"/>
              </w:rPr>
            </w:pPr>
            <w:r w:rsidRPr="001F1A70">
              <w:rPr>
                <w:sz w:val="20"/>
                <w:szCs w:val="20"/>
              </w:rPr>
              <w:t>176</w:t>
            </w:r>
          </w:p>
        </w:tc>
        <w:tc>
          <w:tcPr>
            <w:tcW w:w="266" w:type="pct"/>
            <w:tcBorders>
              <w:left w:val="single" w:sz="4" w:space="0" w:color="auto"/>
              <w:bottom w:val="single" w:sz="4" w:space="0" w:color="auto"/>
              <w:right w:val="single" w:sz="4" w:space="0" w:color="auto"/>
            </w:tcBorders>
            <w:shd w:val="clear" w:color="auto" w:fill="auto"/>
          </w:tcPr>
          <w:p w14:paraId="5202A33B" w14:textId="77777777" w:rsidR="00DA69E1" w:rsidRPr="001F1A70" w:rsidRDefault="00DA69E1" w:rsidP="008435A0">
            <w:pPr>
              <w:tabs>
                <w:tab w:val="left" w:pos="444"/>
              </w:tabs>
              <w:spacing w:after="0" w:line="240" w:lineRule="auto"/>
              <w:jc w:val="right"/>
              <w:rPr>
                <w:sz w:val="20"/>
                <w:szCs w:val="20"/>
              </w:rPr>
            </w:pPr>
            <w:r w:rsidRPr="001F1A70">
              <w:rPr>
                <w:sz w:val="20"/>
                <w:szCs w:val="20"/>
              </w:rPr>
              <w:t>.716</w:t>
            </w:r>
          </w:p>
        </w:tc>
        <w:tc>
          <w:tcPr>
            <w:tcW w:w="267" w:type="pct"/>
            <w:tcBorders>
              <w:left w:val="single" w:sz="4" w:space="0" w:color="auto"/>
              <w:bottom w:val="single" w:sz="4" w:space="0" w:color="auto"/>
              <w:right w:val="single" w:sz="4" w:space="0" w:color="auto"/>
            </w:tcBorders>
          </w:tcPr>
          <w:p w14:paraId="4A3CEE31" w14:textId="6755581E" w:rsidR="00DA69E1" w:rsidRPr="001F1A70" w:rsidRDefault="00790B6C" w:rsidP="008435A0">
            <w:pPr>
              <w:tabs>
                <w:tab w:val="left" w:pos="324"/>
              </w:tabs>
              <w:spacing w:after="0" w:line="240" w:lineRule="auto"/>
              <w:jc w:val="right"/>
              <w:rPr>
                <w:sz w:val="20"/>
                <w:szCs w:val="20"/>
              </w:rPr>
            </w:pPr>
            <w:r w:rsidRPr="001F1A70">
              <w:rPr>
                <w:sz w:val="20"/>
                <w:szCs w:val="20"/>
              </w:rPr>
              <w:t>.019</w:t>
            </w:r>
          </w:p>
        </w:tc>
        <w:tc>
          <w:tcPr>
            <w:tcW w:w="222" w:type="pct"/>
            <w:tcBorders>
              <w:left w:val="single" w:sz="4" w:space="0" w:color="auto"/>
              <w:bottom w:val="single" w:sz="4" w:space="0" w:color="auto"/>
              <w:right w:val="single" w:sz="4" w:space="0" w:color="auto"/>
            </w:tcBorders>
          </w:tcPr>
          <w:p w14:paraId="1E8AACE3" w14:textId="77777777" w:rsidR="00DA69E1" w:rsidRPr="001F1A70" w:rsidRDefault="00DA69E1" w:rsidP="008435A0">
            <w:pPr>
              <w:spacing w:after="0" w:line="240" w:lineRule="auto"/>
              <w:jc w:val="right"/>
              <w:rPr>
                <w:sz w:val="20"/>
                <w:szCs w:val="20"/>
              </w:rPr>
            </w:pPr>
            <w:r w:rsidRPr="001F1A70">
              <w:rPr>
                <w:sz w:val="20"/>
                <w:szCs w:val="20"/>
              </w:rPr>
              <w:t>215</w:t>
            </w:r>
          </w:p>
        </w:tc>
        <w:tc>
          <w:tcPr>
            <w:tcW w:w="266" w:type="pct"/>
            <w:tcBorders>
              <w:left w:val="single" w:sz="4" w:space="0" w:color="auto"/>
              <w:bottom w:val="single" w:sz="4" w:space="0" w:color="auto"/>
              <w:right w:val="single" w:sz="4" w:space="0" w:color="auto"/>
            </w:tcBorders>
          </w:tcPr>
          <w:p w14:paraId="49174732" w14:textId="77777777" w:rsidR="00DA69E1" w:rsidRPr="001F1A70" w:rsidRDefault="00DA69E1" w:rsidP="008435A0">
            <w:pPr>
              <w:spacing w:after="0" w:line="240" w:lineRule="auto"/>
              <w:jc w:val="right"/>
              <w:rPr>
                <w:sz w:val="20"/>
                <w:szCs w:val="20"/>
              </w:rPr>
            </w:pPr>
            <w:r w:rsidRPr="001F1A70">
              <w:rPr>
                <w:sz w:val="20"/>
                <w:szCs w:val="20"/>
              </w:rPr>
              <w:t>.596</w:t>
            </w:r>
          </w:p>
        </w:tc>
        <w:tc>
          <w:tcPr>
            <w:tcW w:w="222" w:type="pct"/>
            <w:tcBorders>
              <w:left w:val="single" w:sz="4" w:space="0" w:color="auto"/>
              <w:bottom w:val="single" w:sz="4" w:space="0" w:color="auto"/>
              <w:right w:val="single" w:sz="4" w:space="0" w:color="auto"/>
            </w:tcBorders>
          </w:tcPr>
          <w:p w14:paraId="1D1334FD" w14:textId="1778AA04" w:rsidR="00DA69E1" w:rsidRPr="001F1A70" w:rsidRDefault="00790B6C" w:rsidP="008435A0">
            <w:pPr>
              <w:spacing w:after="0" w:line="240" w:lineRule="auto"/>
              <w:jc w:val="right"/>
              <w:rPr>
                <w:sz w:val="20"/>
                <w:szCs w:val="20"/>
              </w:rPr>
            </w:pPr>
            <w:r w:rsidRPr="001F1A70">
              <w:rPr>
                <w:sz w:val="20"/>
                <w:szCs w:val="20"/>
              </w:rPr>
              <w:t>.022</w:t>
            </w:r>
          </w:p>
        </w:tc>
        <w:tc>
          <w:tcPr>
            <w:tcW w:w="222" w:type="pct"/>
            <w:tcBorders>
              <w:left w:val="single" w:sz="4" w:space="0" w:color="auto"/>
              <w:bottom w:val="single" w:sz="4" w:space="0" w:color="auto"/>
              <w:right w:val="single" w:sz="4" w:space="0" w:color="auto"/>
            </w:tcBorders>
          </w:tcPr>
          <w:p w14:paraId="04E49000" w14:textId="77777777" w:rsidR="00DA69E1" w:rsidRPr="001F1A70" w:rsidRDefault="00DA69E1" w:rsidP="008435A0">
            <w:pPr>
              <w:spacing w:after="0" w:line="240" w:lineRule="auto"/>
              <w:jc w:val="right"/>
              <w:rPr>
                <w:sz w:val="20"/>
                <w:szCs w:val="20"/>
              </w:rPr>
            </w:pPr>
            <w:r w:rsidRPr="001F1A70">
              <w:rPr>
                <w:sz w:val="20"/>
                <w:szCs w:val="20"/>
              </w:rPr>
              <w:t>176</w:t>
            </w:r>
          </w:p>
        </w:tc>
        <w:tc>
          <w:tcPr>
            <w:tcW w:w="286" w:type="pct"/>
            <w:tcBorders>
              <w:left w:val="single" w:sz="4" w:space="0" w:color="auto"/>
              <w:bottom w:val="single" w:sz="4" w:space="0" w:color="auto"/>
              <w:right w:val="single" w:sz="4" w:space="0" w:color="auto"/>
            </w:tcBorders>
          </w:tcPr>
          <w:p w14:paraId="4F750B6B" w14:textId="77777777" w:rsidR="00DA69E1" w:rsidRPr="001F1A70" w:rsidRDefault="00DA69E1" w:rsidP="008435A0">
            <w:pPr>
              <w:tabs>
                <w:tab w:val="left" w:pos="360"/>
              </w:tabs>
              <w:spacing w:after="0" w:line="240" w:lineRule="auto"/>
              <w:jc w:val="right"/>
              <w:rPr>
                <w:sz w:val="20"/>
                <w:szCs w:val="20"/>
              </w:rPr>
            </w:pPr>
            <w:r w:rsidRPr="001F1A70">
              <w:rPr>
                <w:sz w:val="20"/>
                <w:szCs w:val="20"/>
              </w:rPr>
              <w:t>.555</w:t>
            </w:r>
          </w:p>
        </w:tc>
        <w:tc>
          <w:tcPr>
            <w:tcW w:w="222" w:type="pct"/>
            <w:tcBorders>
              <w:left w:val="single" w:sz="4" w:space="0" w:color="auto"/>
              <w:bottom w:val="single" w:sz="4" w:space="0" w:color="auto"/>
              <w:right w:val="single" w:sz="4" w:space="0" w:color="auto"/>
            </w:tcBorders>
          </w:tcPr>
          <w:p w14:paraId="5843E348" w14:textId="5D9E02AE" w:rsidR="00DA69E1" w:rsidRPr="001F1A70" w:rsidRDefault="00790B6C" w:rsidP="008435A0">
            <w:pPr>
              <w:spacing w:after="0" w:line="240" w:lineRule="auto"/>
              <w:jc w:val="right"/>
              <w:rPr>
                <w:sz w:val="20"/>
                <w:szCs w:val="20"/>
              </w:rPr>
            </w:pPr>
            <w:r w:rsidRPr="001F1A70">
              <w:rPr>
                <w:sz w:val="20"/>
                <w:szCs w:val="20"/>
              </w:rPr>
              <w:t>.026</w:t>
            </w:r>
          </w:p>
        </w:tc>
        <w:tc>
          <w:tcPr>
            <w:tcW w:w="222" w:type="pct"/>
            <w:tcBorders>
              <w:left w:val="single" w:sz="4" w:space="0" w:color="auto"/>
              <w:bottom w:val="single" w:sz="4" w:space="0" w:color="auto"/>
              <w:right w:val="single" w:sz="4" w:space="0" w:color="auto"/>
            </w:tcBorders>
          </w:tcPr>
          <w:p w14:paraId="3F733213" w14:textId="77777777" w:rsidR="00DA69E1" w:rsidRPr="001F1A70" w:rsidRDefault="00DA69E1" w:rsidP="008435A0">
            <w:pPr>
              <w:spacing w:after="0" w:line="240" w:lineRule="auto"/>
              <w:jc w:val="right"/>
              <w:rPr>
                <w:sz w:val="20"/>
                <w:szCs w:val="20"/>
              </w:rPr>
            </w:pPr>
            <w:r w:rsidRPr="001F1A70">
              <w:rPr>
                <w:sz w:val="20"/>
                <w:szCs w:val="20"/>
              </w:rPr>
              <w:t>215</w:t>
            </w:r>
          </w:p>
        </w:tc>
        <w:tc>
          <w:tcPr>
            <w:tcW w:w="266" w:type="pct"/>
            <w:tcBorders>
              <w:left w:val="single" w:sz="4" w:space="0" w:color="auto"/>
              <w:bottom w:val="single" w:sz="4" w:space="0" w:color="auto"/>
              <w:right w:val="single" w:sz="4" w:space="0" w:color="auto"/>
            </w:tcBorders>
          </w:tcPr>
          <w:p w14:paraId="4154D27A" w14:textId="77777777" w:rsidR="00DA69E1" w:rsidRPr="001F1A70" w:rsidRDefault="00DA69E1" w:rsidP="008435A0">
            <w:pPr>
              <w:tabs>
                <w:tab w:val="left" w:pos="408"/>
              </w:tabs>
              <w:spacing w:after="0" w:line="240" w:lineRule="auto"/>
              <w:jc w:val="right"/>
              <w:rPr>
                <w:sz w:val="20"/>
                <w:szCs w:val="20"/>
              </w:rPr>
            </w:pPr>
            <w:r w:rsidRPr="001F1A70">
              <w:rPr>
                <w:sz w:val="20"/>
                <w:szCs w:val="20"/>
              </w:rPr>
              <w:t>.383</w:t>
            </w:r>
          </w:p>
        </w:tc>
        <w:tc>
          <w:tcPr>
            <w:tcW w:w="222" w:type="pct"/>
            <w:tcBorders>
              <w:left w:val="single" w:sz="4" w:space="0" w:color="auto"/>
              <w:bottom w:val="single" w:sz="4" w:space="0" w:color="auto"/>
              <w:right w:val="single" w:sz="4" w:space="0" w:color="auto"/>
            </w:tcBorders>
          </w:tcPr>
          <w:p w14:paraId="6E1B6869" w14:textId="5C8422B9" w:rsidR="00DA69E1" w:rsidRPr="001F1A70" w:rsidRDefault="00790B6C" w:rsidP="008435A0">
            <w:pPr>
              <w:spacing w:after="0" w:line="240" w:lineRule="auto"/>
              <w:jc w:val="right"/>
              <w:rPr>
                <w:sz w:val="20"/>
                <w:szCs w:val="20"/>
              </w:rPr>
            </w:pPr>
            <w:r w:rsidRPr="001F1A70">
              <w:rPr>
                <w:sz w:val="20"/>
                <w:szCs w:val="20"/>
              </w:rPr>
              <w:t>.025</w:t>
            </w:r>
          </w:p>
        </w:tc>
        <w:tc>
          <w:tcPr>
            <w:tcW w:w="222" w:type="pct"/>
            <w:tcBorders>
              <w:left w:val="single" w:sz="4" w:space="0" w:color="auto"/>
              <w:bottom w:val="single" w:sz="4" w:space="0" w:color="auto"/>
              <w:right w:val="single" w:sz="4" w:space="0" w:color="auto"/>
            </w:tcBorders>
          </w:tcPr>
          <w:p w14:paraId="2C817909" w14:textId="77777777" w:rsidR="00DA69E1" w:rsidRPr="001F1A70" w:rsidRDefault="00DA69E1" w:rsidP="008435A0">
            <w:pPr>
              <w:spacing w:after="0" w:line="240" w:lineRule="auto"/>
              <w:jc w:val="right"/>
              <w:rPr>
                <w:sz w:val="20"/>
                <w:szCs w:val="20"/>
              </w:rPr>
            </w:pPr>
            <w:r w:rsidRPr="001F1A70">
              <w:rPr>
                <w:sz w:val="20"/>
                <w:szCs w:val="20"/>
              </w:rPr>
              <w:t>176</w:t>
            </w:r>
          </w:p>
        </w:tc>
        <w:tc>
          <w:tcPr>
            <w:tcW w:w="286" w:type="pct"/>
            <w:tcBorders>
              <w:left w:val="single" w:sz="4" w:space="0" w:color="auto"/>
              <w:bottom w:val="single" w:sz="4" w:space="0" w:color="auto"/>
              <w:right w:val="single" w:sz="4" w:space="0" w:color="auto"/>
            </w:tcBorders>
          </w:tcPr>
          <w:p w14:paraId="7E0D0F87" w14:textId="77777777" w:rsidR="00DA69E1" w:rsidRPr="001F1A70" w:rsidRDefault="00DA69E1" w:rsidP="008435A0">
            <w:pPr>
              <w:tabs>
                <w:tab w:val="left" w:pos="408"/>
              </w:tabs>
              <w:spacing w:after="0" w:line="240" w:lineRule="auto"/>
              <w:jc w:val="right"/>
              <w:rPr>
                <w:sz w:val="20"/>
                <w:szCs w:val="20"/>
              </w:rPr>
            </w:pPr>
            <w:r w:rsidRPr="001F1A70">
              <w:rPr>
                <w:sz w:val="20"/>
                <w:szCs w:val="20"/>
              </w:rPr>
              <w:t>.370</w:t>
            </w:r>
          </w:p>
        </w:tc>
        <w:tc>
          <w:tcPr>
            <w:tcW w:w="220" w:type="pct"/>
            <w:tcBorders>
              <w:left w:val="single" w:sz="4" w:space="0" w:color="auto"/>
              <w:bottom w:val="single" w:sz="4" w:space="0" w:color="auto"/>
              <w:right w:val="single" w:sz="4" w:space="0" w:color="auto"/>
            </w:tcBorders>
          </w:tcPr>
          <w:p w14:paraId="5619B643" w14:textId="087AE7ED" w:rsidR="00DA69E1" w:rsidRPr="001F1A70" w:rsidRDefault="00790B6C" w:rsidP="008435A0">
            <w:pPr>
              <w:spacing w:after="0" w:line="240" w:lineRule="auto"/>
              <w:jc w:val="right"/>
              <w:rPr>
                <w:sz w:val="20"/>
                <w:szCs w:val="20"/>
              </w:rPr>
            </w:pPr>
            <w:r w:rsidRPr="001F1A70">
              <w:rPr>
                <w:sz w:val="20"/>
                <w:szCs w:val="20"/>
              </w:rPr>
              <w:t>.027</w:t>
            </w:r>
          </w:p>
        </w:tc>
      </w:tr>
    </w:tbl>
    <w:p w14:paraId="5B998E05" w14:textId="6B13E94B" w:rsidR="00DA69E1" w:rsidRPr="00563AD3" w:rsidRDefault="005B45D1" w:rsidP="009B13F3">
      <w:pPr>
        <w:sectPr w:rsidR="00DA69E1" w:rsidRPr="00563AD3" w:rsidSect="0002782F">
          <w:pgSz w:w="16838" w:h="11906" w:orient="landscape"/>
          <w:pgMar w:top="1440" w:right="1440" w:bottom="1440" w:left="1440" w:header="708" w:footer="708" w:gutter="0"/>
          <w:cols w:space="708"/>
          <w:docGrid w:linePitch="360"/>
        </w:sectPr>
      </w:pPr>
      <w:r w:rsidRPr="005B45D1">
        <w:rPr>
          <w:sz w:val="16"/>
          <w:szCs w:val="16"/>
        </w:rPr>
        <w:t>*In these cases</w:t>
      </w:r>
      <w:r w:rsidR="00DA69E1" w:rsidRPr="001F1A70">
        <w:rPr>
          <w:sz w:val="16"/>
          <w:szCs w:val="16"/>
        </w:rPr>
        <w:t xml:space="preserve"> deaths </w:t>
      </w:r>
      <w:r>
        <w:rPr>
          <w:sz w:val="16"/>
          <w:szCs w:val="16"/>
        </w:rPr>
        <w:t xml:space="preserve">were </w:t>
      </w:r>
      <w:r w:rsidR="00DA69E1" w:rsidRPr="001F1A70">
        <w:rPr>
          <w:sz w:val="16"/>
          <w:szCs w:val="16"/>
        </w:rPr>
        <w:t>coded as zero; **Only those with completions at all 3 time-points</w:t>
      </w:r>
    </w:p>
    <w:p w14:paraId="2CEA2F0F" w14:textId="2D894691" w:rsidR="00DA69E1" w:rsidRPr="00563AD3" w:rsidRDefault="00E40A31" w:rsidP="009B13F3">
      <w:pPr>
        <w:pStyle w:val="Heading3"/>
      </w:pPr>
      <w:bookmarkStart w:id="197" w:name="_Toc525544025"/>
      <w:r w:rsidRPr="00563AD3">
        <w:t>4</w:t>
      </w:r>
      <w:r w:rsidR="00AE280F" w:rsidRPr="00563AD3">
        <w:t>.</w:t>
      </w:r>
      <w:r w:rsidRPr="00563AD3">
        <w:t>3</w:t>
      </w:r>
      <w:r w:rsidR="00AE280F" w:rsidRPr="00563AD3">
        <w:t>.</w:t>
      </w:r>
      <w:r w:rsidRPr="00563AD3">
        <w:t>1</w:t>
      </w:r>
      <w:r w:rsidR="00AE280F" w:rsidRPr="00563AD3">
        <w:t xml:space="preserve"> </w:t>
      </w:r>
      <w:r w:rsidR="00DA69E1" w:rsidRPr="00563AD3">
        <w:t>Cost-effectiveness</w:t>
      </w:r>
      <w:bookmarkEnd w:id="197"/>
    </w:p>
    <w:p w14:paraId="593BFD42" w14:textId="25B2E95B" w:rsidR="00F05433" w:rsidRPr="00563AD3" w:rsidRDefault="00F05433" w:rsidP="009B13F3">
      <w:r w:rsidRPr="00563AD3">
        <w:t xml:space="preserve">Table </w:t>
      </w:r>
      <w:r w:rsidR="0005048E" w:rsidRPr="00563AD3">
        <w:t>2</w:t>
      </w:r>
      <w:r w:rsidR="0005048E">
        <w:t>2</w:t>
      </w:r>
      <w:r w:rsidR="0005048E" w:rsidRPr="00563AD3">
        <w:t xml:space="preserve"> </w:t>
      </w:r>
      <w:r w:rsidRPr="00563AD3">
        <w:t xml:space="preserve">includes the ICERs for the primary and secondary analyses and for the various sensitivity analyses. In the base case cost-utility analysis, intervention is more costly (by £1,479) and more effective (.024 QALYs) than </w:t>
      </w:r>
      <w:r w:rsidR="00EE6ECE" w:rsidRPr="00563AD3">
        <w:t>control</w:t>
      </w:r>
      <w:r w:rsidRPr="00563AD3">
        <w:t xml:space="preserve">. This yielded an ICER of </w:t>
      </w:r>
      <w:r w:rsidRPr="00563AD3">
        <w:rPr>
          <w:bCs/>
        </w:rPr>
        <w:t>£60,627</w:t>
      </w:r>
      <w:r w:rsidR="00EE6ECE" w:rsidRPr="00563AD3">
        <w:rPr>
          <w:bCs/>
        </w:rPr>
        <w:t>;</w:t>
      </w:r>
      <w:r w:rsidRPr="00563AD3">
        <w:rPr>
          <w:bCs/>
        </w:rPr>
        <w:t xml:space="preserve"> well above the £20,000 NICE threshold, indicating that </w:t>
      </w:r>
      <w:r w:rsidR="00597D22" w:rsidRPr="00563AD3">
        <w:rPr>
          <w:lang w:eastAsia="en-US"/>
        </w:rPr>
        <w:t>DCM</w:t>
      </w:r>
      <w:r w:rsidR="00597D22" w:rsidRPr="00563AD3">
        <w:t>™</w:t>
      </w:r>
      <w:r w:rsidRPr="00563AD3">
        <w:rPr>
          <w:bCs/>
        </w:rPr>
        <w:t xml:space="preserve"> is not cost-effective. </w:t>
      </w:r>
      <w:r w:rsidRPr="00563AD3">
        <w:t xml:space="preserve">The complete case analysis had similar costs to the imputed sample but higher incremental QALYs for </w:t>
      </w:r>
      <w:r w:rsidR="00EE6ECE" w:rsidRPr="00563AD3">
        <w:t>the intervention</w:t>
      </w:r>
      <w:r w:rsidRPr="00563AD3">
        <w:t xml:space="preserve">. With the exception of the analyses which excluded high cost outliers, the ICERs from various sensitivity analyses (including those which restricted the </w:t>
      </w:r>
      <w:r w:rsidR="00EE6ECE" w:rsidRPr="00563AD3">
        <w:t>intervention</w:t>
      </w:r>
      <w:r w:rsidRPr="00563AD3">
        <w:t xml:space="preserve"> sample to intervention compliant care homes</w:t>
      </w:r>
      <w:r w:rsidR="0087696B" w:rsidRPr="00563AD3">
        <w:t xml:space="preserve"> i.e. those completing at least one cycle</w:t>
      </w:r>
      <w:r w:rsidRPr="00563AD3">
        <w:t>) als</w:t>
      </w:r>
      <w:r w:rsidR="00246670">
        <w:t xml:space="preserve">o all exceeded £20,000. </w:t>
      </w:r>
      <w:r w:rsidRPr="00563AD3">
        <w:t xml:space="preserve">These analyses included additional costs associated with </w:t>
      </w:r>
      <w:r w:rsidR="00EE6ECE" w:rsidRPr="00563AD3">
        <w:t>the intervention</w:t>
      </w:r>
      <w:r w:rsidRPr="00563AD3">
        <w:t xml:space="preserve"> of over £1,600 and an incremental</w:t>
      </w:r>
      <w:r w:rsidR="00246670">
        <w:t xml:space="preserve"> benefit ranging .024 to .036. </w:t>
      </w:r>
      <w:r w:rsidRPr="00563AD3">
        <w:t xml:space="preserve">The cross-sectional cohort analysis yielded lower incremental costs and higher incremental benefits for </w:t>
      </w:r>
      <w:r w:rsidR="00EE6ECE" w:rsidRPr="00563AD3">
        <w:t xml:space="preserve">the </w:t>
      </w:r>
      <w:r w:rsidR="0087696B" w:rsidRPr="00563AD3">
        <w:t>intervention</w:t>
      </w:r>
      <w:r w:rsidRPr="00563AD3">
        <w:t xml:space="preserve"> than found in the imputed sample.</w:t>
      </w:r>
    </w:p>
    <w:p w14:paraId="6D6FB367" w14:textId="6916AC1F" w:rsidR="00F05433" w:rsidRPr="00563AD3" w:rsidRDefault="00F05433" w:rsidP="009B13F3">
      <w:r w:rsidRPr="00563AD3">
        <w:t xml:space="preserve">In the sensitivity analyses which excluded the high cost outliers in the </w:t>
      </w:r>
      <w:r w:rsidR="00EE6ECE" w:rsidRPr="00563AD3">
        <w:t>intervention</w:t>
      </w:r>
      <w:r w:rsidRPr="00563AD3">
        <w:t xml:space="preserve"> arm (n=6 were excluded from the complete case analysis and prior to conducting MI for an analysis using MI data), incremental costs reduced dramatically and the ICER approached the cost-effectiveness threshold </w:t>
      </w:r>
      <w:r w:rsidRPr="00563AD3">
        <w:rPr>
          <w:bCs/>
        </w:rPr>
        <w:t>(£</w:t>
      </w:r>
      <w:r w:rsidRPr="00563AD3">
        <w:t>36,371</w:t>
      </w:r>
      <w:r w:rsidRPr="00563AD3">
        <w:rPr>
          <w:bCs/>
        </w:rPr>
        <w:t>/QALY</w:t>
      </w:r>
      <w:r w:rsidRPr="00563AD3">
        <w:t xml:space="preserve">) in the base case and fell below it in the complete case scenario (£10,975/QALY). </w:t>
      </w:r>
      <w:r w:rsidR="00C35146" w:rsidRPr="00563AD3">
        <w:t>The ICER also decreased in line with greater intervention compliance. An analysis adjusting for baseline costs yielded an ICER below £25,000 but this was based on a dramatically reduced sample and cannot be considered a robust estimate.</w:t>
      </w:r>
    </w:p>
    <w:p w14:paraId="71425BDE" w14:textId="2DDA29A8" w:rsidR="00F05433" w:rsidRPr="00563AD3" w:rsidRDefault="00F05433" w:rsidP="009B13F3">
      <w:r w:rsidRPr="00563AD3">
        <w:t xml:space="preserve">The cost-effectiveness analyses based on improvement </w:t>
      </w:r>
      <w:r w:rsidR="00EE6ECE" w:rsidRPr="00563AD3">
        <w:t>in CMAI indicate that while the intervention</w:t>
      </w:r>
      <w:r w:rsidRPr="00563AD3">
        <w:t xml:space="preserve"> was more costly, it was also more effective. Incremental cost per unit improvement in CMAI was £289 and £67 for </w:t>
      </w:r>
      <w:r w:rsidR="00EE6ECE" w:rsidRPr="00563AD3">
        <w:t>intervention</w:t>
      </w:r>
      <w:r w:rsidRPr="00563AD3">
        <w:t xml:space="preserve"> versus </w:t>
      </w:r>
      <w:r w:rsidR="00EE6ECE" w:rsidRPr="00563AD3">
        <w:t>control</w:t>
      </w:r>
      <w:r w:rsidRPr="00563AD3">
        <w:t xml:space="preserve"> for the imputed and complete case samples, respectively. </w:t>
      </w:r>
    </w:p>
    <w:p w14:paraId="19CB51C1" w14:textId="05156529" w:rsidR="00F05433" w:rsidRPr="00563AD3" w:rsidRDefault="00C35146" w:rsidP="009B13F3">
      <w:r w:rsidRPr="00563AD3">
        <w:t>Figures 5</w:t>
      </w:r>
      <w:r w:rsidR="00F05433" w:rsidRPr="00563AD3">
        <w:t xml:space="preserve"> and </w:t>
      </w:r>
      <w:r w:rsidRPr="00563AD3">
        <w:t>6</w:t>
      </w:r>
      <w:r w:rsidR="00F05433" w:rsidRPr="00563AD3">
        <w:t xml:space="preserve"> are the cost-effectiveness plane and the CEAC, respectively, for the base case cost utility analysis. The plane indicates the greatest uncertainty lies in the benefits of the intervention. All of the simulations lie above the willingness to pay threshold suggesting that, using the base case analysis, </w:t>
      </w:r>
      <w:r w:rsidR="00597D22" w:rsidRPr="00563AD3">
        <w:rPr>
          <w:lang w:eastAsia="en-US"/>
        </w:rPr>
        <w:t>DCM</w:t>
      </w:r>
      <w:r w:rsidR="00597D22" w:rsidRPr="00563AD3">
        <w:t>™</w:t>
      </w:r>
      <w:r w:rsidR="00F05433" w:rsidRPr="00563AD3">
        <w:t xml:space="preserve"> is unlikely to be cost-effective. The CEAC confirms this and indicates that, where λ= £20,000, there is a very low probability that </w:t>
      </w:r>
      <w:r w:rsidR="00EE6ECE" w:rsidRPr="00563AD3">
        <w:t>the intervention</w:t>
      </w:r>
      <w:r w:rsidR="00F05433" w:rsidRPr="00563AD3">
        <w:t xml:space="preserve"> will be cost-effective.  </w:t>
      </w:r>
    </w:p>
    <w:p w14:paraId="5556C132" w14:textId="77777777" w:rsidR="004B0847" w:rsidRPr="00563AD3" w:rsidRDefault="004B0847" w:rsidP="009B13F3">
      <w:pPr>
        <w:pStyle w:val="Tableheading"/>
        <w:sectPr w:rsidR="004B0847" w:rsidRPr="00563AD3">
          <w:pgSz w:w="11906" w:h="16838"/>
          <w:pgMar w:top="1440" w:right="1440" w:bottom="1440" w:left="1440" w:header="708" w:footer="708" w:gutter="0"/>
          <w:cols w:space="708"/>
          <w:docGrid w:linePitch="360"/>
        </w:sectPr>
      </w:pPr>
    </w:p>
    <w:p w14:paraId="6C094EB2" w14:textId="5BAF0A85" w:rsidR="00DA69E1" w:rsidRPr="00563AD3" w:rsidRDefault="00DA69E1" w:rsidP="009B13F3">
      <w:pPr>
        <w:pStyle w:val="Tableheading"/>
      </w:pPr>
      <w:bookmarkStart w:id="198" w:name="_Toc948219"/>
      <w:r w:rsidRPr="00563AD3">
        <w:t xml:space="preserve">Table </w:t>
      </w:r>
      <w:r w:rsidR="0005048E" w:rsidRPr="00563AD3">
        <w:t>2</w:t>
      </w:r>
      <w:r w:rsidR="0005048E">
        <w:t>2</w:t>
      </w:r>
      <w:r w:rsidRPr="00563AD3">
        <w:t>: Cost effectiveness</w:t>
      </w:r>
      <w:bookmarkEnd w:id="198"/>
      <w:r w:rsidRPr="00563AD3">
        <w:t xml:space="preserve"> </w:t>
      </w:r>
    </w:p>
    <w:tbl>
      <w:tblPr>
        <w:tblW w:w="143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67"/>
        <w:gridCol w:w="1134"/>
        <w:gridCol w:w="709"/>
        <w:gridCol w:w="850"/>
        <w:gridCol w:w="1134"/>
        <w:gridCol w:w="709"/>
        <w:gridCol w:w="1134"/>
        <w:gridCol w:w="596"/>
        <w:gridCol w:w="851"/>
        <w:gridCol w:w="963"/>
        <w:gridCol w:w="993"/>
      </w:tblGrid>
      <w:tr w:rsidR="00DA69E1" w:rsidRPr="008435A0" w14:paraId="06D20D83" w14:textId="77777777" w:rsidTr="008435A0">
        <w:tc>
          <w:tcPr>
            <w:tcW w:w="4678" w:type="dxa"/>
            <w:vMerge w:val="restart"/>
            <w:shd w:val="clear" w:color="auto" w:fill="auto"/>
          </w:tcPr>
          <w:p w14:paraId="3C1CF5E8" w14:textId="77777777" w:rsidR="00DA69E1" w:rsidRPr="008435A0" w:rsidRDefault="00DA69E1" w:rsidP="008435A0">
            <w:pPr>
              <w:spacing w:after="0" w:line="240" w:lineRule="auto"/>
              <w:jc w:val="center"/>
              <w:rPr>
                <w:b/>
                <w:bCs/>
                <w:sz w:val="18"/>
                <w:szCs w:val="18"/>
              </w:rPr>
            </w:pPr>
            <w:r w:rsidRPr="008435A0">
              <w:rPr>
                <w:b/>
                <w:bCs/>
                <w:sz w:val="18"/>
                <w:szCs w:val="18"/>
              </w:rPr>
              <w:t>Analysis*</w:t>
            </w:r>
          </w:p>
        </w:tc>
        <w:tc>
          <w:tcPr>
            <w:tcW w:w="4394" w:type="dxa"/>
            <w:gridSpan w:val="5"/>
          </w:tcPr>
          <w:p w14:paraId="3E1286D8" w14:textId="77777777" w:rsidR="00DA69E1" w:rsidRPr="008435A0" w:rsidRDefault="00DA69E1" w:rsidP="008435A0">
            <w:pPr>
              <w:spacing w:after="0" w:line="240" w:lineRule="auto"/>
              <w:jc w:val="center"/>
              <w:rPr>
                <w:b/>
                <w:bCs/>
                <w:sz w:val="18"/>
                <w:szCs w:val="18"/>
              </w:rPr>
            </w:pPr>
            <w:r w:rsidRPr="008435A0">
              <w:rPr>
                <w:b/>
                <w:bCs/>
                <w:sz w:val="18"/>
                <w:szCs w:val="18"/>
              </w:rPr>
              <w:t>Costs</w:t>
            </w:r>
          </w:p>
        </w:tc>
        <w:tc>
          <w:tcPr>
            <w:tcW w:w="4253" w:type="dxa"/>
            <w:gridSpan w:val="5"/>
          </w:tcPr>
          <w:p w14:paraId="67CBE3D5" w14:textId="77777777" w:rsidR="00DA69E1" w:rsidRPr="008435A0" w:rsidRDefault="00DA69E1" w:rsidP="008435A0">
            <w:pPr>
              <w:spacing w:after="0" w:line="240" w:lineRule="auto"/>
              <w:jc w:val="center"/>
              <w:rPr>
                <w:b/>
                <w:bCs/>
                <w:sz w:val="18"/>
                <w:szCs w:val="18"/>
              </w:rPr>
            </w:pPr>
            <w:r w:rsidRPr="008435A0">
              <w:rPr>
                <w:b/>
                <w:bCs/>
                <w:sz w:val="18"/>
                <w:szCs w:val="18"/>
              </w:rPr>
              <w:t>QALYs/Benefits</w:t>
            </w:r>
          </w:p>
        </w:tc>
        <w:tc>
          <w:tcPr>
            <w:tcW w:w="993" w:type="dxa"/>
            <w:shd w:val="clear" w:color="auto" w:fill="auto"/>
          </w:tcPr>
          <w:p w14:paraId="13F05AA4" w14:textId="77777777" w:rsidR="00DA69E1" w:rsidRPr="008435A0" w:rsidRDefault="00DA69E1" w:rsidP="008435A0">
            <w:pPr>
              <w:spacing w:after="0" w:line="240" w:lineRule="auto"/>
              <w:jc w:val="center"/>
              <w:rPr>
                <w:b/>
                <w:bCs/>
                <w:sz w:val="18"/>
                <w:szCs w:val="18"/>
              </w:rPr>
            </w:pPr>
          </w:p>
        </w:tc>
      </w:tr>
      <w:tr w:rsidR="004F6B9D" w:rsidRPr="008435A0" w14:paraId="1053180E" w14:textId="77777777" w:rsidTr="008435A0">
        <w:tc>
          <w:tcPr>
            <w:tcW w:w="4678" w:type="dxa"/>
            <w:vMerge/>
            <w:shd w:val="clear" w:color="auto" w:fill="auto"/>
          </w:tcPr>
          <w:p w14:paraId="435D1C74" w14:textId="77777777" w:rsidR="00DA69E1" w:rsidRPr="00CC3527" w:rsidRDefault="00DA69E1" w:rsidP="008435A0">
            <w:pPr>
              <w:spacing w:after="0" w:line="240" w:lineRule="auto"/>
              <w:jc w:val="center"/>
              <w:rPr>
                <w:b/>
                <w:bCs/>
                <w:sz w:val="18"/>
                <w:szCs w:val="18"/>
              </w:rPr>
            </w:pPr>
          </w:p>
        </w:tc>
        <w:tc>
          <w:tcPr>
            <w:tcW w:w="567" w:type="dxa"/>
          </w:tcPr>
          <w:p w14:paraId="66195B04" w14:textId="77777777" w:rsidR="00DA69E1" w:rsidRPr="008435A0" w:rsidRDefault="00DA69E1" w:rsidP="008435A0">
            <w:pPr>
              <w:spacing w:after="0" w:line="240" w:lineRule="auto"/>
              <w:jc w:val="center"/>
              <w:rPr>
                <w:b/>
                <w:bCs/>
                <w:sz w:val="18"/>
                <w:szCs w:val="18"/>
              </w:rPr>
            </w:pPr>
            <w:r w:rsidRPr="008435A0">
              <w:rPr>
                <w:b/>
                <w:bCs/>
                <w:sz w:val="18"/>
                <w:szCs w:val="18"/>
              </w:rPr>
              <w:t>N</w:t>
            </w:r>
          </w:p>
        </w:tc>
        <w:tc>
          <w:tcPr>
            <w:tcW w:w="1134" w:type="dxa"/>
            <w:shd w:val="clear" w:color="auto" w:fill="auto"/>
          </w:tcPr>
          <w:p w14:paraId="75C5903A" w14:textId="1DFE61FA" w:rsidR="00DA69E1" w:rsidRPr="008435A0" w:rsidRDefault="004407A8" w:rsidP="008435A0">
            <w:pPr>
              <w:spacing w:after="0" w:line="240" w:lineRule="auto"/>
              <w:jc w:val="center"/>
              <w:rPr>
                <w:b/>
                <w:bCs/>
                <w:sz w:val="18"/>
                <w:szCs w:val="18"/>
              </w:rPr>
            </w:pPr>
            <w:r w:rsidRPr="008435A0">
              <w:rPr>
                <w:b/>
                <w:bCs/>
                <w:sz w:val="18"/>
                <w:szCs w:val="18"/>
              </w:rPr>
              <w:t>Intervention</w:t>
            </w:r>
          </w:p>
        </w:tc>
        <w:tc>
          <w:tcPr>
            <w:tcW w:w="709" w:type="dxa"/>
          </w:tcPr>
          <w:p w14:paraId="373AF0DD" w14:textId="77777777" w:rsidR="00DA69E1" w:rsidRPr="008435A0" w:rsidRDefault="00DA69E1" w:rsidP="008435A0">
            <w:pPr>
              <w:spacing w:after="0" w:line="240" w:lineRule="auto"/>
              <w:jc w:val="center"/>
              <w:rPr>
                <w:b/>
                <w:bCs/>
                <w:sz w:val="18"/>
                <w:szCs w:val="18"/>
              </w:rPr>
            </w:pPr>
            <w:r w:rsidRPr="008435A0">
              <w:rPr>
                <w:b/>
                <w:bCs/>
                <w:sz w:val="18"/>
                <w:szCs w:val="18"/>
              </w:rPr>
              <w:t>N</w:t>
            </w:r>
          </w:p>
        </w:tc>
        <w:tc>
          <w:tcPr>
            <w:tcW w:w="850" w:type="dxa"/>
            <w:shd w:val="clear" w:color="auto" w:fill="auto"/>
          </w:tcPr>
          <w:p w14:paraId="6B37286C" w14:textId="6563A483" w:rsidR="00DA69E1" w:rsidRPr="008435A0" w:rsidRDefault="00EE6ECE" w:rsidP="008435A0">
            <w:pPr>
              <w:spacing w:after="0" w:line="240" w:lineRule="auto"/>
              <w:jc w:val="center"/>
              <w:rPr>
                <w:b/>
                <w:bCs/>
                <w:sz w:val="18"/>
                <w:szCs w:val="18"/>
              </w:rPr>
            </w:pPr>
            <w:r w:rsidRPr="008435A0">
              <w:rPr>
                <w:b/>
                <w:bCs/>
                <w:sz w:val="18"/>
                <w:szCs w:val="18"/>
              </w:rPr>
              <w:t>Control</w:t>
            </w:r>
          </w:p>
        </w:tc>
        <w:tc>
          <w:tcPr>
            <w:tcW w:w="1134" w:type="dxa"/>
            <w:shd w:val="clear" w:color="auto" w:fill="auto"/>
          </w:tcPr>
          <w:p w14:paraId="3E16A4C8" w14:textId="77777777" w:rsidR="00DA69E1" w:rsidRPr="008435A0" w:rsidRDefault="00DA69E1" w:rsidP="008435A0">
            <w:pPr>
              <w:spacing w:after="0" w:line="240" w:lineRule="auto"/>
              <w:jc w:val="center"/>
              <w:rPr>
                <w:b/>
                <w:bCs/>
                <w:sz w:val="18"/>
                <w:szCs w:val="18"/>
              </w:rPr>
            </w:pPr>
            <w:r w:rsidRPr="008435A0">
              <w:rPr>
                <w:b/>
                <w:bCs/>
                <w:sz w:val="18"/>
                <w:szCs w:val="18"/>
              </w:rPr>
              <w:t>Incremental</w:t>
            </w:r>
          </w:p>
        </w:tc>
        <w:tc>
          <w:tcPr>
            <w:tcW w:w="709" w:type="dxa"/>
          </w:tcPr>
          <w:p w14:paraId="05BC55B7" w14:textId="77777777" w:rsidR="00DA69E1" w:rsidRPr="008435A0" w:rsidRDefault="00DA69E1" w:rsidP="008435A0">
            <w:pPr>
              <w:spacing w:after="0" w:line="240" w:lineRule="auto"/>
              <w:jc w:val="center"/>
              <w:rPr>
                <w:b/>
                <w:bCs/>
                <w:sz w:val="18"/>
                <w:szCs w:val="18"/>
              </w:rPr>
            </w:pPr>
            <w:r w:rsidRPr="008435A0">
              <w:rPr>
                <w:b/>
                <w:bCs/>
                <w:sz w:val="18"/>
                <w:szCs w:val="18"/>
              </w:rPr>
              <w:t>N</w:t>
            </w:r>
          </w:p>
        </w:tc>
        <w:tc>
          <w:tcPr>
            <w:tcW w:w="1134" w:type="dxa"/>
            <w:shd w:val="clear" w:color="auto" w:fill="auto"/>
          </w:tcPr>
          <w:p w14:paraId="253104C8" w14:textId="3BC82B02" w:rsidR="00DA69E1" w:rsidRPr="008435A0" w:rsidRDefault="004407A8" w:rsidP="008435A0">
            <w:pPr>
              <w:spacing w:after="0" w:line="240" w:lineRule="auto"/>
              <w:jc w:val="center"/>
              <w:rPr>
                <w:b/>
                <w:bCs/>
                <w:sz w:val="18"/>
                <w:szCs w:val="18"/>
              </w:rPr>
            </w:pPr>
            <w:r w:rsidRPr="008435A0">
              <w:rPr>
                <w:b/>
                <w:bCs/>
                <w:sz w:val="18"/>
                <w:szCs w:val="18"/>
              </w:rPr>
              <w:t>Intervention</w:t>
            </w:r>
          </w:p>
        </w:tc>
        <w:tc>
          <w:tcPr>
            <w:tcW w:w="596" w:type="dxa"/>
          </w:tcPr>
          <w:p w14:paraId="64912214" w14:textId="77777777" w:rsidR="00DA69E1" w:rsidRPr="008435A0" w:rsidRDefault="00DA69E1" w:rsidP="008435A0">
            <w:pPr>
              <w:spacing w:after="0" w:line="240" w:lineRule="auto"/>
              <w:jc w:val="center"/>
              <w:rPr>
                <w:b/>
                <w:bCs/>
                <w:sz w:val="18"/>
                <w:szCs w:val="18"/>
              </w:rPr>
            </w:pPr>
            <w:r w:rsidRPr="008435A0">
              <w:rPr>
                <w:b/>
                <w:bCs/>
                <w:sz w:val="18"/>
                <w:szCs w:val="18"/>
              </w:rPr>
              <w:t>N</w:t>
            </w:r>
          </w:p>
        </w:tc>
        <w:tc>
          <w:tcPr>
            <w:tcW w:w="851" w:type="dxa"/>
            <w:shd w:val="clear" w:color="auto" w:fill="auto"/>
          </w:tcPr>
          <w:p w14:paraId="2ED546AA" w14:textId="1751E9BD" w:rsidR="00DA69E1" w:rsidRPr="008435A0" w:rsidRDefault="00EE6ECE" w:rsidP="008435A0">
            <w:pPr>
              <w:spacing w:after="0" w:line="240" w:lineRule="auto"/>
              <w:jc w:val="center"/>
              <w:rPr>
                <w:b/>
                <w:bCs/>
                <w:sz w:val="18"/>
                <w:szCs w:val="18"/>
              </w:rPr>
            </w:pPr>
            <w:r w:rsidRPr="008435A0">
              <w:rPr>
                <w:b/>
                <w:bCs/>
                <w:sz w:val="18"/>
                <w:szCs w:val="18"/>
              </w:rPr>
              <w:t>Control</w:t>
            </w:r>
          </w:p>
        </w:tc>
        <w:tc>
          <w:tcPr>
            <w:tcW w:w="963" w:type="dxa"/>
            <w:shd w:val="clear" w:color="auto" w:fill="auto"/>
          </w:tcPr>
          <w:p w14:paraId="4704A2BA" w14:textId="4BB2F0DC" w:rsidR="00DA69E1" w:rsidRPr="008435A0" w:rsidRDefault="00DA69E1" w:rsidP="008435A0">
            <w:pPr>
              <w:spacing w:after="0" w:line="240" w:lineRule="auto"/>
              <w:jc w:val="center"/>
              <w:rPr>
                <w:b/>
                <w:bCs/>
                <w:sz w:val="18"/>
                <w:szCs w:val="18"/>
              </w:rPr>
            </w:pPr>
            <w:r w:rsidRPr="008435A0">
              <w:rPr>
                <w:b/>
                <w:bCs/>
                <w:sz w:val="18"/>
                <w:szCs w:val="18"/>
              </w:rPr>
              <w:t>Increment</w:t>
            </w:r>
            <w:r w:rsidR="004F6B9D" w:rsidRPr="008435A0">
              <w:rPr>
                <w:b/>
                <w:bCs/>
                <w:sz w:val="18"/>
                <w:szCs w:val="18"/>
              </w:rPr>
              <w:t>al</w:t>
            </w:r>
          </w:p>
        </w:tc>
        <w:tc>
          <w:tcPr>
            <w:tcW w:w="993" w:type="dxa"/>
            <w:shd w:val="clear" w:color="auto" w:fill="auto"/>
          </w:tcPr>
          <w:p w14:paraId="17E3918A" w14:textId="77777777" w:rsidR="00DA69E1" w:rsidRPr="008435A0" w:rsidRDefault="00DA69E1" w:rsidP="008435A0">
            <w:pPr>
              <w:spacing w:after="0" w:line="240" w:lineRule="auto"/>
              <w:jc w:val="center"/>
              <w:rPr>
                <w:b/>
                <w:bCs/>
                <w:sz w:val="18"/>
                <w:szCs w:val="18"/>
              </w:rPr>
            </w:pPr>
            <w:r w:rsidRPr="008435A0">
              <w:rPr>
                <w:b/>
                <w:bCs/>
                <w:sz w:val="18"/>
                <w:szCs w:val="18"/>
              </w:rPr>
              <w:t>ICER</w:t>
            </w:r>
          </w:p>
        </w:tc>
      </w:tr>
      <w:tr w:rsidR="00DA69E1" w:rsidRPr="008435A0" w14:paraId="0559DE33" w14:textId="77777777" w:rsidTr="006352CA">
        <w:tc>
          <w:tcPr>
            <w:tcW w:w="14318" w:type="dxa"/>
            <w:gridSpan w:val="12"/>
            <w:shd w:val="clear" w:color="auto" w:fill="auto"/>
          </w:tcPr>
          <w:p w14:paraId="31E04F95" w14:textId="1F9DE4DD" w:rsidR="00DA69E1" w:rsidRPr="008435A0" w:rsidRDefault="00DA69E1" w:rsidP="008435A0">
            <w:pPr>
              <w:spacing w:after="0" w:line="240" w:lineRule="auto"/>
              <w:rPr>
                <w:sz w:val="18"/>
                <w:szCs w:val="18"/>
              </w:rPr>
            </w:pPr>
            <w:r w:rsidRPr="008435A0">
              <w:rPr>
                <w:b/>
                <w:sz w:val="18"/>
                <w:szCs w:val="18"/>
              </w:rPr>
              <w:t>Base case</w:t>
            </w:r>
          </w:p>
        </w:tc>
      </w:tr>
      <w:tr w:rsidR="004F6B9D" w:rsidRPr="008435A0" w14:paraId="4237C68B" w14:textId="77777777" w:rsidTr="008435A0">
        <w:tc>
          <w:tcPr>
            <w:tcW w:w="4678" w:type="dxa"/>
            <w:shd w:val="clear" w:color="auto" w:fill="auto"/>
          </w:tcPr>
          <w:p w14:paraId="63AE008C" w14:textId="77777777" w:rsidR="00EE6ECE" w:rsidRPr="008435A0" w:rsidRDefault="00EE6ECE" w:rsidP="008435A0">
            <w:pPr>
              <w:spacing w:after="0" w:line="240" w:lineRule="auto"/>
              <w:jc w:val="right"/>
              <w:rPr>
                <w:sz w:val="18"/>
                <w:szCs w:val="18"/>
              </w:rPr>
            </w:pPr>
            <w:r w:rsidRPr="008435A0">
              <w:rPr>
                <w:sz w:val="18"/>
                <w:szCs w:val="18"/>
              </w:rPr>
              <w:t>EQ-5D-5L – Staff MI</w:t>
            </w:r>
          </w:p>
        </w:tc>
        <w:tc>
          <w:tcPr>
            <w:tcW w:w="567" w:type="dxa"/>
          </w:tcPr>
          <w:p w14:paraId="2557F9A4" w14:textId="77777777" w:rsidR="00EE6ECE" w:rsidRPr="008435A0" w:rsidRDefault="00EE6ECE" w:rsidP="008435A0">
            <w:pPr>
              <w:spacing w:after="0" w:line="240" w:lineRule="auto"/>
              <w:jc w:val="right"/>
              <w:rPr>
                <w:bCs/>
                <w:sz w:val="18"/>
                <w:szCs w:val="18"/>
              </w:rPr>
            </w:pPr>
            <w:r w:rsidRPr="008435A0">
              <w:rPr>
                <w:bCs/>
                <w:sz w:val="18"/>
                <w:szCs w:val="18"/>
              </w:rPr>
              <w:t>418</w:t>
            </w:r>
          </w:p>
        </w:tc>
        <w:tc>
          <w:tcPr>
            <w:tcW w:w="1134" w:type="dxa"/>
            <w:shd w:val="clear" w:color="auto" w:fill="auto"/>
          </w:tcPr>
          <w:p w14:paraId="3B10C8F1" w14:textId="03E03896" w:rsidR="00EE6ECE" w:rsidRPr="008435A0" w:rsidRDefault="00EE6ECE" w:rsidP="008435A0">
            <w:pPr>
              <w:spacing w:line="240" w:lineRule="auto"/>
              <w:jc w:val="right"/>
              <w:rPr>
                <w:sz w:val="18"/>
                <w:szCs w:val="18"/>
              </w:rPr>
            </w:pPr>
            <w:r w:rsidRPr="008435A0">
              <w:rPr>
                <w:sz w:val="18"/>
                <w:szCs w:val="18"/>
              </w:rPr>
              <w:t>£3,539</w:t>
            </w:r>
          </w:p>
        </w:tc>
        <w:tc>
          <w:tcPr>
            <w:tcW w:w="709" w:type="dxa"/>
          </w:tcPr>
          <w:p w14:paraId="0DF9A084" w14:textId="77777777" w:rsidR="00EE6ECE" w:rsidRPr="008435A0" w:rsidRDefault="00EE6ECE" w:rsidP="008435A0">
            <w:pPr>
              <w:spacing w:line="240" w:lineRule="auto"/>
              <w:jc w:val="right"/>
              <w:rPr>
                <w:sz w:val="18"/>
                <w:szCs w:val="18"/>
              </w:rPr>
            </w:pPr>
            <w:r w:rsidRPr="008435A0">
              <w:rPr>
                <w:sz w:val="18"/>
                <w:szCs w:val="18"/>
              </w:rPr>
              <w:t>308</w:t>
            </w:r>
          </w:p>
        </w:tc>
        <w:tc>
          <w:tcPr>
            <w:tcW w:w="850" w:type="dxa"/>
            <w:shd w:val="clear" w:color="auto" w:fill="auto"/>
          </w:tcPr>
          <w:p w14:paraId="3C8FAF10" w14:textId="79C39D8A" w:rsidR="00EE6ECE" w:rsidRPr="008435A0" w:rsidRDefault="00EE6ECE" w:rsidP="008435A0">
            <w:pPr>
              <w:spacing w:line="240" w:lineRule="auto"/>
              <w:jc w:val="right"/>
              <w:rPr>
                <w:sz w:val="18"/>
                <w:szCs w:val="18"/>
              </w:rPr>
            </w:pPr>
            <w:r w:rsidRPr="008435A0">
              <w:rPr>
                <w:sz w:val="18"/>
                <w:szCs w:val="18"/>
              </w:rPr>
              <w:t>£2,060</w:t>
            </w:r>
          </w:p>
        </w:tc>
        <w:tc>
          <w:tcPr>
            <w:tcW w:w="1134" w:type="dxa"/>
            <w:shd w:val="clear" w:color="auto" w:fill="auto"/>
          </w:tcPr>
          <w:p w14:paraId="6F3BBABF" w14:textId="2FD7076D" w:rsidR="00EE6ECE" w:rsidRPr="008435A0" w:rsidRDefault="00EE6ECE" w:rsidP="008435A0">
            <w:pPr>
              <w:spacing w:line="240" w:lineRule="auto"/>
              <w:jc w:val="right"/>
              <w:rPr>
                <w:sz w:val="18"/>
                <w:szCs w:val="18"/>
              </w:rPr>
            </w:pPr>
            <w:r w:rsidRPr="008435A0">
              <w:rPr>
                <w:sz w:val="18"/>
                <w:szCs w:val="18"/>
              </w:rPr>
              <w:t>£1,479</w:t>
            </w:r>
          </w:p>
        </w:tc>
        <w:tc>
          <w:tcPr>
            <w:tcW w:w="709" w:type="dxa"/>
          </w:tcPr>
          <w:p w14:paraId="61782B98" w14:textId="52EAA9C6" w:rsidR="00EE6ECE" w:rsidRPr="008435A0" w:rsidRDefault="00EE6ECE" w:rsidP="008435A0">
            <w:pPr>
              <w:spacing w:after="0" w:line="240" w:lineRule="auto"/>
              <w:jc w:val="right"/>
              <w:rPr>
                <w:bCs/>
                <w:sz w:val="18"/>
                <w:szCs w:val="18"/>
              </w:rPr>
            </w:pPr>
            <w:r w:rsidRPr="008435A0">
              <w:rPr>
                <w:bCs/>
                <w:sz w:val="18"/>
                <w:szCs w:val="18"/>
              </w:rPr>
              <w:t>418</w:t>
            </w:r>
          </w:p>
        </w:tc>
        <w:tc>
          <w:tcPr>
            <w:tcW w:w="1134" w:type="dxa"/>
            <w:shd w:val="clear" w:color="auto" w:fill="auto"/>
          </w:tcPr>
          <w:p w14:paraId="5A2D49F2" w14:textId="3872A3D8" w:rsidR="00EE6ECE" w:rsidRPr="008435A0" w:rsidRDefault="00EE6ECE" w:rsidP="008435A0">
            <w:pPr>
              <w:spacing w:line="240" w:lineRule="auto"/>
              <w:jc w:val="right"/>
              <w:rPr>
                <w:sz w:val="18"/>
                <w:szCs w:val="18"/>
              </w:rPr>
            </w:pPr>
            <w:r w:rsidRPr="008435A0">
              <w:rPr>
                <w:sz w:val="18"/>
                <w:szCs w:val="18"/>
              </w:rPr>
              <w:t>.718</w:t>
            </w:r>
          </w:p>
        </w:tc>
        <w:tc>
          <w:tcPr>
            <w:tcW w:w="596" w:type="dxa"/>
          </w:tcPr>
          <w:p w14:paraId="167AC00E" w14:textId="410408D2" w:rsidR="00EE6ECE" w:rsidRPr="008435A0" w:rsidRDefault="00EE6ECE" w:rsidP="008435A0">
            <w:pPr>
              <w:spacing w:line="240" w:lineRule="auto"/>
              <w:jc w:val="right"/>
              <w:rPr>
                <w:sz w:val="18"/>
                <w:szCs w:val="18"/>
              </w:rPr>
            </w:pPr>
            <w:r w:rsidRPr="008435A0">
              <w:rPr>
                <w:sz w:val="18"/>
                <w:szCs w:val="18"/>
              </w:rPr>
              <w:t>308</w:t>
            </w:r>
          </w:p>
        </w:tc>
        <w:tc>
          <w:tcPr>
            <w:tcW w:w="851" w:type="dxa"/>
            <w:shd w:val="clear" w:color="auto" w:fill="auto"/>
          </w:tcPr>
          <w:p w14:paraId="7E268537" w14:textId="0D558B0F" w:rsidR="00EE6ECE" w:rsidRPr="008435A0" w:rsidRDefault="00EE6ECE" w:rsidP="008435A0">
            <w:pPr>
              <w:spacing w:line="240" w:lineRule="auto"/>
              <w:jc w:val="right"/>
              <w:rPr>
                <w:sz w:val="18"/>
                <w:szCs w:val="18"/>
              </w:rPr>
            </w:pPr>
            <w:r w:rsidRPr="008435A0">
              <w:rPr>
                <w:sz w:val="18"/>
                <w:szCs w:val="18"/>
              </w:rPr>
              <w:t>.708</w:t>
            </w:r>
          </w:p>
        </w:tc>
        <w:tc>
          <w:tcPr>
            <w:tcW w:w="963" w:type="dxa"/>
            <w:shd w:val="clear" w:color="auto" w:fill="auto"/>
          </w:tcPr>
          <w:p w14:paraId="26D18EA9" w14:textId="7D5BD6DE" w:rsidR="00EE6ECE" w:rsidRPr="008435A0" w:rsidRDefault="00EE6ECE" w:rsidP="008435A0">
            <w:pPr>
              <w:spacing w:line="240" w:lineRule="auto"/>
              <w:jc w:val="right"/>
              <w:rPr>
                <w:sz w:val="18"/>
                <w:szCs w:val="18"/>
              </w:rPr>
            </w:pPr>
            <w:r w:rsidRPr="008435A0">
              <w:rPr>
                <w:sz w:val="18"/>
                <w:szCs w:val="18"/>
              </w:rPr>
              <w:t>.024</w:t>
            </w:r>
          </w:p>
        </w:tc>
        <w:tc>
          <w:tcPr>
            <w:tcW w:w="993" w:type="dxa"/>
            <w:shd w:val="clear" w:color="auto" w:fill="auto"/>
          </w:tcPr>
          <w:p w14:paraId="505AB0A7" w14:textId="3DC86FF5" w:rsidR="00EE6ECE" w:rsidRPr="008435A0" w:rsidRDefault="00EE6ECE" w:rsidP="008435A0">
            <w:pPr>
              <w:spacing w:after="0" w:line="240" w:lineRule="auto"/>
              <w:jc w:val="right"/>
              <w:rPr>
                <w:bCs/>
                <w:sz w:val="18"/>
                <w:szCs w:val="18"/>
              </w:rPr>
            </w:pPr>
            <w:r w:rsidRPr="008435A0">
              <w:rPr>
                <w:bCs/>
                <w:sz w:val="18"/>
                <w:szCs w:val="18"/>
              </w:rPr>
              <w:t>£60,627</w:t>
            </w:r>
          </w:p>
        </w:tc>
      </w:tr>
      <w:tr w:rsidR="004F6B9D" w:rsidRPr="008435A0" w14:paraId="2AF04F11" w14:textId="77777777" w:rsidTr="008435A0">
        <w:tc>
          <w:tcPr>
            <w:tcW w:w="4678" w:type="dxa"/>
            <w:shd w:val="clear" w:color="auto" w:fill="auto"/>
          </w:tcPr>
          <w:p w14:paraId="70C88E19" w14:textId="77777777" w:rsidR="00EE6ECE" w:rsidRPr="008435A0" w:rsidRDefault="00EE6ECE" w:rsidP="008435A0">
            <w:pPr>
              <w:spacing w:after="0" w:line="240" w:lineRule="auto"/>
              <w:jc w:val="right"/>
              <w:rPr>
                <w:sz w:val="18"/>
                <w:szCs w:val="18"/>
              </w:rPr>
            </w:pPr>
            <w:r w:rsidRPr="008435A0">
              <w:rPr>
                <w:sz w:val="18"/>
                <w:szCs w:val="18"/>
              </w:rPr>
              <w:t>CMAI MI</w:t>
            </w:r>
          </w:p>
        </w:tc>
        <w:tc>
          <w:tcPr>
            <w:tcW w:w="567" w:type="dxa"/>
          </w:tcPr>
          <w:p w14:paraId="5900397C" w14:textId="591E6340" w:rsidR="00EE6ECE" w:rsidRPr="008435A0" w:rsidRDefault="00EE6ECE" w:rsidP="008435A0">
            <w:pPr>
              <w:spacing w:after="0" w:line="240" w:lineRule="auto"/>
              <w:jc w:val="right"/>
              <w:rPr>
                <w:bCs/>
                <w:sz w:val="18"/>
                <w:szCs w:val="18"/>
              </w:rPr>
            </w:pPr>
            <w:r w:rsidRPr="008435A0">
              <w:rPr>
                <w:bCs/>
                <w:sz w:val="18"/>
                <w:szCs w:val="18"/>
              </w:rPr>
              <w:t>219</w:t>
            </w:r>
          </w:p>
        </w:tc>
        <w:tc>
          <w:tcPr>
            <w:tcW w:w="1134" w:type="dxa"/>
            <w:shd w:val="clear" w:color="auto" w:fill="auto"/>
          </w:tcPr>
          <w:p w14:paraId="78AA332B" w14:textId="1BE4996F" w:rsidR="00EE6ECE" w:rsidRPr="008435A0" w:rsidRDefault="00EE6ECE" w:rsidP="008435A0">
            <w:pPr>
              <w:spacing w:line="240" w:lineRule="auto"/>
              <w:jc w:val="right"/>
              <w:rPr>
                <w:sz w:val="18"/>
                <w:szCs w:val="18"/>
              </w:rPr>
            </w:pPr>
            <w:r w:rsidRPr="008435A0">
              <w:rPr>
                <w:sz w:val="18"/>
                <w:szCs w:val="18"/>
              </w:rPr>
              <w:t>£3,318</w:t>
            </w:r>
          </w:p>
        </w:tc>
        <w:tc>
          <w:tcPr>
            <w:tcW w:w="709" w:type="dxa"/>
          </w:tcPr>
          <w:p w14:paraId="3479F2C1" w14:textId="5EE7CF45" w:rsidR="00EE6ECE" w:rsidRPr="008435A0" w:rsidRDefault="00EE6ECE" w:rsidP="008435A0">
            <w:pPr>
              <w:spacing w:line="240" w:lineRule="auto"/>
              <w:jc w:val="right"/>
              <w:rPr>
                <w:sz w:val="18"/>
                <w:szCs w:val="18"/>
              </w:rPr>
            </w:pPr>
            <w:r w:rsidRPr="008435A0">
              <w:rPr>
                <w:sz w:val="18"/>
                <w:szCs w:val="18"/>
              </w:rPr>
              <w:t>185</w:t>
            </w:r>
          </w:p>
        </w:tc>
        <w:tc>
          <w:tcPr>
            <w:tcW w:w="850" w:type="dxa"/>
            <w:shd w:val="clear" w:color="auto" w:fill="auto"/>
          </w:tcPr>
          <w:p w14:paraId="4562B2F3" w14:textId="50DBCB8F" w:rsidR="00EE6ECE" w:rsidRPr="008435A0" w:rsidRDefault="00EE6ECE" w:rsidP="008435A0">
            <w:pPr>
              <w:spacing w:line="240" w:lineRule="auto"/>
              <w:jc w:val="right"/>
              <w:rPr>
                <w:sz w:val="18"/>
                <w:szCs w:val="18"/>
              </w:rPr>
            </w:pPr>
            <w:r w:rsidRPr="008435A0">
              <w:rPr>
                <w:sz w:val="18"/>
                <w:szCs w:val="18"/>
              </w:rPr>
              <w:t>£2,345</w:t>
            </w:r>
          </w:p>
        </w:tc>
        <w:tc>
          <w:tcPr>
            <w:tcW w:w="1134" w:type="dxa"/>
            <w:shd w:val="clear" w:color="auto" w:fill="auto"/>
          </w:tcPr>
          <w:p w14:paraId="7677F023" w14:textId="26FFEEB3" w:rsidR="00EE6ECE" w:rsidRPr="008435A0" w:rsidRDefault="00EE6ECE" w:rsidP="008435A0">
            <w:pPr>
              <w:spacing w:line="240" w:lineRule="auto"/>
              <w:jc w:val="right"/>
              <w:rPr>
                <w:sz w:val="18"/>
                <w:szCs w:val="18"/>
              </w:rPr>
            </w:pPr>
            <w:r w:rsidRPr="008435A0">
              <w:rPr>
                <w:sz w:val="18"/>
                <w:szCs w:val="18"/>
              </w:rPr>
              <w:t>£974</w:t>
            </w:r>
          </w:p>
        </w:tc>
        <w:tc>
          <w:tcPr>
            <w:tcW w:w="709" w:type="dxa"/>
          </w:tcPr>
          <w:p w14:paraId="72446313" w14:textId="7DF8A523" w:rsidR="00EE6ECE" w:rsidRPr="008435A0" w:rsidRDefault="00EE6ECE" w:rsidP="008435A0">
            <w:pPr>
              <w:spacing w:after="0" w:line="240" w:lineRule="auto"/>
              <w:jc w:val="right"/>
              <w:rPr>
                <w:bCs/>
                <w:sz w:val="18"/>
                <w:szCs w:val="18"/>
              </w:rPr>
            </w:pPr>
            <w:r w:rsidRPr="008435A0">
              <w:rPr>
                <w:bCs/>
                <w:sz w:val="18"/>
                <w:szCs w:val="18"/>
              </w:rPr>
              <w:t>219</w:t>
            </w:r>
          </w:p>
        </w:tc>
        <w:tc>
          <w:tcPr>
            <w:tcW w:w="1134" w:type="dxa"/>
            <w:shd w:val="clear" w:color="auto" w:fill="auto"/>
          </w:tcPr>
          <w:p w14:paraId="4499D38D" w14:textId="3CAFE94B" w:rsidR="00EE6ECE" w:rsidRPr="008435A0" w:rsidRDefault="00EE6ECE" w:rsidP="008435A0">
            <w:pPr>
              <w:spacing w:line="240" w:lineRule="auto"/>
              <w:jc w:val="right"/>
              <w:rPr>
                <w:sz w:val="18"/>
                <w:szCs w:val="18"/>
              </w:rPr>
            </w:pPr>
            <w:r w:rsidRPr="008435A0">
              <w:rPr>
                <w:sz w:val="18"/>
                <w:szCs w:val="18"/>
              </w:rPr>
              <w:t>-1.767</w:t>
            </w:r>
          </w:p>
        </w:tc>
        <w:tc>
          <w:tcPr>
            <w:tcW w:w="596" w:type="dxa"/>
          </w:tcPr>
          <w:p w14:paraId="5C55A79B" w14:textId="5EFC3097" w:rsidR="00EE6ECE" w:rsidRPr="008435A0" w:rsidRDefault="00EE6ECE" w:rsidP="008435A0">
            <w:pPr>
              <w:spacing w:line="240" w:lineRule="auto"/>
              <w:jc w:val="right"/>
              <w:rPr>
                <w:sz w:val="18"/>
                <w:szCs w:val="18"/>
              </w:rPr>
            </w:pPr>
            <w:r w:rsidRPr="008435A0">
              <w:rPr>
                <w:sz w:val="18"/>
                <w:szCs w:val="18"/>
              </w:rPr>
              <w:t>185</w:t>
            </w:r>
          </w:p>
        </w:tc>
        <w:tc>
          <w:tcPr>
            <w:tcW w:w="851" w:type="dxa"/>
            <w:shd w:val="clear" w:color="auto" w:fill="auto"/>
          </w:tcPr>
          <w:p w14:paraId="5D0BC7EA" w14:textId="5072CAFF" w:rsidR="00EE6ECE" w:rsidRPr="008435A0" w:rsidRDefault="00EE6ECE" w:rsidP="008435A0">
            <w:pPr>
              <w:spacing w:line="240" w:lineRule="auto"/>
              <w:jc w:val="right"/>
              <w:rPr>
                <w:sz w:val="18"/>
                <w:szCs w:val="18"/>
              </w:rPr>
            </w:pPr>
            <w:r w:rsidRPr="008435A0">
              <w:rPr>
                <w:sz w:val="18"/>
                <w:szCs w:val="18"/>
              </w:rPr>
              <w:t>-.557</w:t>
            </w:r>
          </w:p>
        </w:tc>
        <w:tc>
          <w:tcPr>
            <w:tcW w:w="963" w:type="dxa"/>
            <w:shd w:val="clear" w:color="auto" w:fill="auto"/>
          </w:tcPr>
          <w:p w14:paraId="28013759" w14:textId="31D29289" w:rsidR="00EE6ECE" w:rsidRPr="008435A0" w:rsidRDefault="00EE6ECE" w:rsidP="008435A0">
            <w:pPr>
              <w:spacing w:line="240" w:lineRule="auto"/>
              <w:jc w:val="right"/>
              <w:rPr>
                <w:sz w:val="18"/>
                <w:szCs w:val="18"/>
              </w:rPr>
            </w:pPr>
            <w:r w:rsidRPr="008435A0">
              <w:rPr>
                <w:sz w:val="18"/>
                <w:szCs w:val="18"/>
              </w:rPr>
              <w:t>-3.37</w:t>
            </w:r>
          </w:p>
        </w:tc>
        <w:tc>
          <w:tcPr>
            <w:tcW w:w="993" w:type="dxa"/>
            <w:shd w:val="clear" w:color="auto" w:fill="auto"/>
          </w:tcPr>
          <w:p w14:paraId="51B514EB" w14:textId="69D5135B" w:rsidR="00EE6ECE" w:rsidRPr="008435A0" w:rsidRDefault="00EE6ECE" w:rsidP="008435A0">
            <w:pPr>
              <w:spacing w:after="0" w:line="240" w:lineRule="auto"/>
              <w:jc w:val="right"/>
              <w:rPr>
                <w:sz w:val="18"/>
                <w:szCs w:val="18"/>
              </w:rPr>
            </w:pPr>
            <w:r w:rsidRPr="008435A0">
              <w:rPr>
                <w:sz w:val="18"/>
                <w:szCs w:val="18"/>
              </w:rPr>
              <w:t>£288.88</w:t>
            </w:r>
          </w:p>
        </w:tc>
      </w:tr>
      <w:tr w:rsidR="00DA69E1" w:rsidRPr="008435A0" w14:paraId="24816508" w14:textId="77777777" w:rsidTr="006352CA">
        <w:tc>
          <w:tcPr>
            <w:tcW w:w="14318" w:type="dxa"/>
            <w:gridSpan w:val="12"/>
            <w:shd w:val="clear" w:color="auto" w:fill="auto"/>
          </w:tcPr>
          <w:p w14:paraId="4A2C673D" w14:textId="3589DF67" w:rsidR="00DA69E1" w:rsidRPr="008435A0" w:rsidRDefault="00DA69E1" w:rsidP="008435A0">
            <w:pPr>
              <w:spacing w:after="0" w:line="240" w:lineRule="auto"/>
              <w:rPr>
                <w:b/>
                <w:sz w:val="18"/>
                <w:szCs w:val="18"/>
              </w:rPr>
            </w:pPr>
            <w:r w:rsidRPr="008435A0">
              <w:rPr>
                <w:b/>
                <w:sz w:val="18"/>
                <w:szCs w:val="18"/>
              </w:rPr>
              <w:t>Sensitivity analyses</w:t>
            </w:r>
          </w:p>
        </w:tc>
      </w:tr>
      <w:tr w:rsidR="004F6B9D" w:rsidRPr="008435A0" w14:paraId="33872995" w14:textId="77777777" w:rsidTr="008435A0">
        <w:trPr>
          <w:trHeight w:val="265"/>
        </w:trPr>
        <w:tc>
          <w:tcPr>
            <w:tcW w:w="4678" w:type="dxa"/>
            <w:shd w:val="clear" w:color="auto" w:fill="auto"/>
          </w:tcPr>
          <w:p w14:paraId="130D9D87" w14:textId="054C46CB" w:rsidR="00EE6ECE" w:rsidRPr="008435A0" w:rsidRDefault="00EE6ECE" w:rsidP="008435A0">
            <w:pPr>
              <w:spacing w:after="0" w:line="240" w:lineRule="auto"/>
              <w:jc w:val="right"/>
              <w:rPr>
                <w:sz w:val="18"/>
                <w:szCs w:val="18"/>
              </w:rPr>
            </w:pPr>
            <w:r w:rsidRPr="008435A0">
              <w:rPr>
                <w:sz w:val="18"/>
                <w:szCs w:val="18"/>
              </w:rPr>
              <w:t>EQ-5D-5L CCA***</w:t>
            </w:r>
          </w:p>
        </w:tc>
        <w:tc>
          <w:tcPr>
            <w:tcW w:w="567" w:type="dxa"/>
          </w:tcPr>
          <w:p w14:paraId="0C6111AC" w14:textId="3A920851" w:rsidR="00EE6ECE" w:rsidRPr="008435A0" w:rsidRDefault="00EE6ECE" w:rsidP="008435A0">
            <w:pPr>
              <w:spacing w:after="0" w:line="240" w:lineRule="auto"/>
              <w:jc w:val="right"/>
              <w:rPr>
                <w:sz w:val="18"/>
                <w:szCs w:val="18"/>
              </w:rPr>
            </w:pPr>
            <w:r w:rsidRPr="008435A0">
              <w:rPr>
                <w:sz w:val="18"/>
                <w:szCs w:val="18"/>
              </w:rPr>
              <w:t>214</w:t>
            </w:r>
          </w:p>
        </w:tc>
        <w:tc>
          <w:tcPr>
            <w:tcW w:w="1134" w:type="dxa"/>
            <w:shd w:val="clear" w:color="auto" w:fill="auto"/>
          </w:tcPr>
          <w:p w14:paraId="02EFADDC" w14:textId="6EDBA144" w:rsidR="00EE6ECE" w:rsidRPr="008435A0" w:rsidRDefault="00EE6ECE" w:rsidP="008435A0">
            <w:pPr>
              <w:spacing w:line="240" w:lineRule="auto"/>
              <w:jc w:val="right"/>
              <w:rPr>
                <w:sz w:val="18"/>
                <w:szCs w:val="18"/>
              </w:rPr>
            </w:pPr>
            <w:r w:rsidRPr="008435A0">
              <w:rPr>
                <w:sz w:val="18"/>
                <w:szCs w:val="18"/>
              </w:rPr>
              <w:t>£3,380</w:t>
            </w:r>
          </w:p>
        </w:tc>
        <w:tc>
          <w:tcPr>
            <w:tcW w:w="709" w:type="dxa"/>
          </w:tcPr>
          <w:p w14:paraId="3FED7124" w14:textId="32BFB264" w:rsidR="00EE6ECE" w:rsidRPr="008435A0" w:rsidRDefault="00EE6ECE" w:rsidP="008435A0">
            <w:pPr>
              <w:spacing w:line="240" w:lineRule="auto"/>
              <w:jc w:val="right"/>
              <w:rPr>
                <w:sz w:val="18"/>
                <w:szCs w:val="18"/>
              </w:rPr>
            </w:pPr>
            <w:r w:rsidRPr="008435A0">
              <w:rPr>
                <w:sz w:val="18"/>
                <w:szCs w:val="18"/>
              </w:rPr>
              <w:t>175</w:t>
            </w:r>
          </w:p>
        </w:tc>
        <w:tc>
          <w:tcPr>
            <w:tcW w:w="850" w:type="dxa"/>
            <w:shd w:val="clear" w:color="auto" w:fill="auto"/>
          </w:tcPr>
          <w:p w14:paraId="131A4FF8" w14:textId="42AD059F" w:rsidR="00EE6ECE" w:rsidRPr="008435A0" w:rsidRDefault="00EE6ECE" w:rsidP="008435A0">
            <w:pPr>
              <w:spacing w:line="240" w:lineRule="auto"/>
              <w:jc w:val="right"/>
              <w:rPr>
                <w:sz w:val="18"/>
                <w:szCs w:val="18"/>
              </w:rPr>
            </w:pPr>
            <w:r w:rsidRPr="008435A0">
              <w:rPr>
                <w:sz w:val="18"/>
                <w:szCs w:val="18"/>
              </w:rPr>
              <w:t>£2,073</w:t>
            </w:r>
          </w:p>
        </w:tc>
        <w:tc>
          <w:tcPr>
            <w:tcW w:w="1134" w:type="dxa"/>
            <w:shd w:val="clear" w:color="auto" w:fill="auto"/>
          </w:tcPr>
          <w:p w14:paraId="737A980F" w14:textId="3A3BB0CA" w:rsidR="00EE6ECE" w:rsidRPr="008435A0" w:rsidRDefault="00EE6ECE" w:rsidP="008435A0">
            <w:pPr>
              <w:spacing w:line="240" w:lineRule="auto"/>
              <w:jc w:val="right"/>
              <w:rPr>
                <w:sz w:val="18"/>
                <w:szCs w:val="18"/>
              </w:rPr>
            </w:pPr>
            <w:r w:rsidRPr="008435A0">
              <w:rPr>
                <w:sz w:val="18"/>
                <w:szCs w:val="18"/>
              </w:rPr>
              <w:t>£1,307</w:t>
            </w:r>
          </w:p>
        </w:tc>
        <w:tc>
          <w:tcPr>
            <w:tcW w:w="709" w:type="dxa"/>
          </w:tcPr>
          <w:p w14:paraId="412875C7" w14:textId="7BCA937F" w:rsidR="00EE6ECE" w:rsidRPr="008435A0" w:rsidRDefault="00EE6ECE" w:rsidP="008435A0">
            <w:pPr>
              <w:spacing w:after="0" w:line="240" w:lineRule="auto"/>
              <w:jc w:val="right"/>
              <w:rPr>
                <w:sz w:val="18"/>
                <w:szCs w:val="18"/>
              </w:rPr>
            </w:pPr>
            <w:r w:rsidRPr="008435A0">
              <w:rPr>
                <w:sz w:val="18"/>
                <w:szCs w:val="18"/>
              </w:rPr>
              <w:t>214</w:t>
            </w:r>
          </w:p>
        </w:tc>
        <w:tc>
          <w:tcPr>
            <w:tcW w:w="1134" w:type="dxa"/>
            <w:shd w:val="clear" w:color="auto" w:fill="auto"/>
          </w:tcPr>
          <w:p w14:paraId="483B36B9" w14:textId="24E5C9E7" w:rsidR="00EE6ECE" w:rsidRPr="008435A0" w:rsidRDefault="00EE6ECE" w:rsidP="008435A0">
            <w:pPr>
              <w:spacing w:line="240" w:lineRule="auto"/>
              <w:jc w:val="right"/>
              <w:rPr>
                <w:sz w:val="18"/>
                <w:szCs w:val="18"/>
              </w:rPr>
            </w:pPr>
            <w:r w:rsidRPr="008435A0">
              <w:rPr>
                <w:sz w:val="18"/>
                <w:szCs w:val="18"/>
              </w:rPr>
              <w:t>.682</w:t>
            </w:r>
          </w:p>
        </w:tc>
        <w:tc>
          <w:tcPr>
            <w:tcW w:w="596" w:type="dxa"/>
          </w:tcPr>
          <w:p w14:paraId="22AF3279" w14:textId="19892B2E" w:rsidR="00EE6ECE" w:rsidRPr="008435A0" w:rsidRDefault="00EE6ECE" w:rsidP="008435A0">
            <w:pPr>
              <w:spacing w:line="240" w:lineRule="auto"/>
              <w:jc w:val="right"/>
              <w:rPr>
                <w:sz w:val="18"/>
                <w:szCs w:val="18"/>
              </w:rPr>
            </w:pPr>
            <w:r w:rsidRPr="008435A0">
              <w:rPr>
                <w:sz w:val="18"/>
                <w:szCs w:val="18"/>
              </w:rPr>
              <w:t>175</w:t>
            </w:r>
          </w:p>
        </w:tc>
        <w:tc>
          <w:tcPr>
            <w:tcW w:w="851" w:type="dxa"/>
            <w:shd w:val="clear" w:color="auto" w:fill="auto"/>
          </w:tcPr>
          <w:p w14:paraId="36300893" w14:textId="42BAC103" w:rsidR="00EE6ECE" w:rsidRPr="008435A0" w:rsidRDefault="00EE6ECE" w:rsidP="008435A0">
            <w:pPr>
              <w:spacing w:after="0" w:line="240" w:lineRule="auto"/>
              <w:jc w:val="right"/>
              <w:rPr>
                <w:sz w:val="18"/>
                <w:szCs w:val="18"/>
              </w:rPr>
            </w:pPr>
            <w:r w:rsidRPr="008435A0">
              <w:rPr>
                <w:sz w:val="18"/>
                <w:szCs w:val="18"/>
              </w:rPr>
              <w:t>.665</w:t>
            </w:r>
          </w:p>
        </w:tc>
        <w:tc>
          <w:tcPr>
            <w:tcW w:w="963" w:type="dxa"/>
            <w:shd w:val="clear" w:color="auto" w:fill="auto"/>
          </w:tcPr>
          <w:p w14:paraId="6BC5C737" w14:textId="2B604D29" w:rsidR="00EE6ECE" w:rsidRPr="008435A0" w:rsidRDefault="00EE6ECE" w:rsidP="008435A0">
            <w:pPr>
              <w:spacing w:line="240" w:lineRule="auto"/>
              <w:jc w:val="right"/>
              <w:rPr>
                <w:sz w:val="18"/>
                <w:szCs w:val="18"/>
              </w:rPr>
            </w:pPr>
            <w:r w:rsidRPr="008435A0">
              <w:rPr>
                <w:sz w:val="18"/>
                <w:szCs w:val="18"/>
              </w:rPr>
              <w:t>.029</w:t>
            </w:r>
          </w:p>
        </w:tc>
        <w:tc>
          <w:tcPr>
            <w:tcW w:w="993" w:type="dxa"/>
            <w:shd w:val="clear" w:color="auto" w:fill="auto"/>
          </w:tcPr>
          <w:p w14:paraId="1D7884B1" w14:textId="5D191A64" w:rsidR="00EE6ECE" w:rsidRPr="008435A0" w:rsidRDefault="00EE6ECE" w:rsidP="008435A0">
            <w:pPr>
              <w:spacing w:after="0" w:line="240" w:lineRule="auto"/>
              <w:jc w:val="right"/>
              <w:rPr>
                <w:sz w:val="18"/>
                <w:szCs w:val="18"/>
              </w:rPr>
            </w:pPr>
            <w:r w:rsidRPr="008435A0">
              <w:rPr>
                <w:sz w:val="18"/>
                <w:szCs w:val="18"/>
              </w:rPr>
              <w:t>£45,674</w:t>
            </w:r>
          </w:p>
        </w:tc>
      </w:tr>
      <w:tr w:rsidR="004F6B9D" w:rsidRPr="008435A0" w14:paraId="1043335F" w14:textId="77777777" w:rsidTr="008435A0">
        <w:tc>
          <w:tcPr>
            <w:tcW w:w="4678" w:type="dxa"/>
            <w:shd w:val="clear" w:color="auto" w:fill="auto"/>
          </w:tcPr>
          <w:p w14:paraId="63530435" w14:textId="77777777" w:rsidR="00EE6ECE" w:rsidRPr="008435A0" w:rsidRDefault="00EE6ECE" w:rsidP="008435A0">
            <w:pPr>
              <w:spacing w:after="0" w:line="240" w:lineRule="auto"/>
              <w:jc w:val="right"/>
              <w:rPr>
                <w:sz w:val="18"/>
                <w:szCs w:val="18"/>
              </w:rPr>
            </w:pPr>
            <w:r w:rsidRPr="008435A0">
              <w:rPr>
                <w:sz w:val="18"/>
                <w:szCs w:val="18"/>
              </w:rPr>
              <w:t>EQ-5D-5L – Staff MI, implemented cycle costs</w:t>
            </w:r>
          </w:p>
        </w:tc>
        <w:tc>
          <w:tcPr>
            <w:tcW w:w="567" w:type="dxa"/>
          </w:tcPr>
          <w:p w14:paraId="02D53F3F" w14:textId="1DD5800B" w:rsidR="00EE6ECE" w:rsidRPr="008435A0" w:rsidRDefault="00EE6ECE" w:rsidP="008435A0">
            <w:pPr>
              <w:spacing w:after="0" w:line="240" w:lineRule="auto"/>
              <w:jc w:val="right"/>
              <w:rPr>
                <w:sz w:val="18"/>
                <w:szCs w:val="18"/>
              </w:rPr>
            </w:pPr>
            <w:r w:rsidRPr="008435A0">
              <w:rPr>
                <w:sz w:val="18"/>
                <w:szCs w:val="18"/>
              </w:rPr>
              <w:t>418</w:t>
            </w:r>
          </w:p>
        </w:tc>
        <w:tc>
          <w:tcPr>
            <w:tcW w:w="1134" w:type="dxa"/>
            <w:shd w:val="clear" w:color="auto" w:fill="auto"/>
          </w:tcPr>
          <w:p w14:paraId="49E80D22" w14:textId="205E7E15" w:rsidR="00EE6ECE" w:rsidRPr="008435A0" w:rsidRDefault="00EE6ECE" w:rsidP="008435A0">
            <w:pPr>
              <w:spacing w:line="240" w:lineRule="auto"/>
              <w:jc w:val="right"/>
              <w:rPr>
                <w:sz w:val="18"/>
                <w:szCs w:val="18"/>
              </w:rPr>
            </w:pPr>
            <w:r w:rsidRPr="008435A0">
              <w:rPr>
                <w:sz w:val="18"/>
                <w:szCs w:val="18"/>
              </w:rPr>
              <w:t>£3,463</w:t>
            </w:r>
          </w:p>
        </w:tc>
        <w:tc>
          <w:tcPr>
            <w:tcW w:w="709" w:type="dxa"/>
          </w:tcPr>
          <w:p w14:paraId="664CA280" w14:textId="7CF715AC" w:rsidR="00EE6ECE" w:rsidRPr="008435A0" w:rsidRDefault="00EE6ECE" w:rsidP="008435A0">
            <w:pPr>
              <w:spacing w:line="240" w:lineRule="auto"/>
              <w:jc w:val="right"/>
              <w:rPr>
                <w:sz w:val="18"/>
                <w:szCs w:val="18"/>
              </w:rPr>
            </w:pPr>
            <w:r w:rsidRPr="008435A0">
              <w:rPr>
                <w:sz w:val="18"/>
                <w:szCs w:val="18"/>
              </w:rPr>
              <w:t>308</w:t>
            </w:r>
          </w:p>
        </w:tc>
        <w:tc>
          <w:tcPr>
            <w:tcW w:w="850" w:type="dxa"/>
            <w:shd w:val="clear" w:color="auto" w:fill="auto"/>
          </w:tcPr>
          <w:p w14:paraId="2502EE7B" w14:textId="69DD223E" w:rsidR="00EE6ECE" w:rsidRPr="008435A0" w:rsidRDefault="00EE6ECE" w:rsidP="008435A0">
            <w:pPr>
              <w:spacing w:line="240" w:lineRule="auto"/>
              <w:jc w:val="right"/>
              <w:rPr>
                <w:sz w:val="18"/>
                <w:szCs w:val="18"/>
              </w:rPr>
            </w:pPr>
            <w:r w:rsidRPr="008435A0">
              <w:rPr>
                <w:sz w:val="18"/>
                <w:szCs w:val="18"/>
              </w:rPr>
              <w:t>£2,060</w:t>
            </w:r>
          </w:p>
        </w:tc>
        <w:tc>
          <w:tcPr>
            <w:tcW w:w="1134" w:type="dxa"/>
            <w:shd w:val="clear" w:color="auto" w:fill="auto"/>
          </w:tcPr>
          <w:p w14:paraId="7C83A053" w14:textId="7BA49707" w:rsidR="00EE6ECE" w:rsidRPr="008435A0" w:rsidRDefault="00EE6ECE" w:rsidP="008435A0">
            <w:pPr>
              <w:spacing w:line="240" w:lineRule="auto"/>
              <w:jc w:val="right"/>
              <w:rPr>
                <w:sz w:val="18"/>
                <w:szCs w:val="18"/>
              </w:rPr>
            </w:pPr>
            <w:r w:rsidRPr="008435A0">
              <w:rPr>
                <w:sz w:val="18"/>
                <w:szCs w:val="18"/>
              </w:rPr>
              <w:t>£1,403</w:t>
            </w:r>
          </w:p>
        </w:tc>
        <w:tc>
          <w:tcPr>
            <w:tcW w:w="709" w:type="dxa"/>
          </w:tcPr>
          <w:p w14:paraId="60AA8078" w14:textId="47BE252B" w:rsidR="00EE6ECE" w:rsidRPr="008435A0" w:rsidRDefault="00EE6ECE" w:rsidP="008435A0">
            <w:pPr>
              <w:spacing w:after="0" w:line="240" w:lineRule="auto"/>
              <w:jc w:val="right"/>
              <w:rPr>
                <w:bCs/>
                <w:sz w:val="18"/>
                <w:szCs w:val="18"/>
              </w:rPr>
            </w:pPr>
            <w:r w:rsidRPr="008435A0">
              <w:rPr>
                <w:bCs/>
                <w:sz w:val="18"/>
                <w:szCs w:val="18"/>
              </w:rPr>
              <w:t>418</w:t>
            </w:r>
          </w:p>
        </w:tc>
        <w:tc>
          <w:tcPr>
            <w:tcW w:w="1134" w:type="dxa"/>
            <w:shd w:val="clear" w:color="auto" w:fill="auto"/>
          </w:tcPr>
          <w:p w14:paraId="080F603A" w14:textId="1EBC4E18" w:rsidR="00EE6ECE" w:rsidRPr="008435A0" w:rsidRDefault="00EE6ECE" w:rsidP="008435A0">
            <w:pPr>
              <w:spacing w:line="240" w:lineRule="auto"/>
              <w:jc w:val="right"/>
              <w:rPr>
                <w:sz w:val="18"/>
                <w:szCs w:val="18"/>
              </w:rPr>
            </w:pPr>
            <w:r w:rsidRPr="008435A0">
              <w:rPr>
                <w:sz w:val="18"/>
                <w:szCs w:val="18"/>
              </w:rPr>
              <w:t>.718</w:t>
            </w:r>
          </w:p>
        </w:tc>
        <w:tc>
          <w:tcPr>
            <w:tcW w:w="596" w:type="dxa"/>
          </w:tcPr>
          <w:p w14:paraId="50EB425F" w14:textId="364F5779" w:rsidR="00EE6ECE" w:rsidRPr="008435A0" w:rsidRDefault="00EE6ECE" w:rsidP="008435A0">
            <w:pPr>
              <w:spacing w:line="240" w:lineRule="auto"/>
              <w:jc w:val="right"/>
              <w:rPr>
                <w:sz w:val="18"/>
                <w:szCs w:val="18"/>
              </w:rPr>
            </w:pPr>
            <w:r w:rsidRPr="008435A0">
              <w:rPr>
                <w:sz w:val="18"/>
                <w:szCs w:val="18"/>
              </w:rPr>
              <w:t>308</w:t>
            </w:r>
          </w:p>
        </w:tc>
        <w:tc>
          <w:tcPr>
            <w:tcW w:w="851" w:type="dxa"/>
            <w:shd w:val="clear" w:color="auto" w:fill="auto"/>
          </w:tcPr>
          <w:p w14:paraId="6C5E2447" w14:textId="2DADF35F" w:rsidR="00EE6ECE" w:rsidRPr="008435A0" w:rsidRDefault="00EE6ECE" w:rsidP="008435A0">
            <w:pPr>
              <w:spacing w:line="240" w:lineRule="auto"/>
              <w:jc w:val="right"/>
              <w:rPr>
                <w:sz w:val="18"/>
                <w:szCs w:val="18"/>
              </w:rPr>
            </w:pPr>
            <w:r w:rsidRPr="008435A0">
              <w:rPr>
                <w:sz w:val="18"/>
                <w:szCs w:val="18"/>
              </w:rPr>
              <w:t>.708</w:t>
            </w:r>
          </w:p>
        </w:tc>
        <w:tc>
          <w:tcPr>
            <w:tcW w:w="963" w:type="dxa"/>
            <w:shd w:val="clear" w:color="auto" w:fill="auto"/>
          </w:tcPr>
          <w:p w14:paraId="72A2BBF7" w14:textId="0DDFF203" w:rsidR="00EE6ECE" w:rsidRPr="008435A0" w:rsidRDefault="00EE6ECE" w:rsidP="008435A0">
            <w:pPr>
              <w:spacing w:line="240" w:lineRule="auto"/>
              <w:jc w:val="right"/>
              <w:rPr>
                <w:sz w:val="18"/>
                <w:szCs w:val="18"/>
              </w:rPr>
            </w:pPr>
            <w:r w:rsidRPr="008435A0">
              <w:rPr>
                <w:sz w:val="18"/>
                <w:szCs w:val="18"/>
              </w:rPr>
              <w:t>.024</w:t>
            </w:r>
          </w:p>
        </w:tc>
        <w:tc>
          <w:tcPr>
            <w:tcW w:w="993" w:type="dxa"/>
            <w:shd w:val="clear" w:color="auto" w:fill="auto"/>
          </w:tcPr>
          <w:p w14:paraId="6811DC74" w14:textId="2BB8D497" w:rsidR="00EE6ECE" w:rsidRPr="008435A0" w:rsidRDefault="00EE6ECE" w:rsidP="008435A0">
            <w:pPr>
              <w:spacing w:after="0" w:line="240" w:lineRule="auto"/>
              <w:jc w:val="right"/>
              <w:rPr>
                <w:sz w:val="18"/>
                <w:szCs w:val="18"/>
              </w:rPr>
            </w:pPr>
            <w:r w:rsidRPr="008435A0">
              <w:rPr>
                <w:sz w:val="18"/>
                <w:szCs w:val="18"/>
              </w:rPr>
              <w:t>£57,509</w:t>
            </w:r>
          </w:p>
        </w:tc>
      </w:tr>
      <w:tr w:rsidR="004F6B9D" w:rsidRPr="008435A0" w14:paraId="44A001BE" w14:textId="77777777" w:rsidTr="008435A0">
        <w:tc>
          <w:tcPr>
            <w:tcW w:w="4678" w:type="dxa"/>
            <w:shd w:val="clear" w:color="auto" w:fill="auto"/>
          </w:tcPr>
          <w:p w14:paraId="7D168632" w14:textId="7E4E4452" w:rsidR="00EE6ECE" w:rsidRPr="008435A0" w:rsidRDefault="00EE6ECE" w:rsidP="008435A0">
            <w:pPr>
              <w:spacing w:after="0" w:line="240" w:lineRule="auto"/>
              <w:jc w:val="right"/>
              <w:rPr>
                <w:sz w:val="18"/>
                <w:szCs w:val="18"/>
              </w:rPr>
            </w:pPr>
            <w:r w:rsidRPr="008435A0">
              <w:rPr>
                <w:sz w:val="18"/>
                <w:szCs w:val="18"/>
              </w:rPr>
              <w:t>EQ-5D-5L – Staff MI, excluding intervention cost outliers</w:t>
            </w:r>
            <w:r w:rsidR="00A972EE" w:rsidRPr="008435A0">
              <w:rPr>
                <w:sz w:val="18"/>
                <w:szCs w:val="18"/>
              </w:rPr>
              <w:t xml:space="preserve"> in the imputations</w:t>
            </w:r>
          </w:p>
        </w:tc>
        <w:tc>
          <w:tcPr>
            <w:tcW w:w="567" w:type="dxa"/>
          </w:tcPr>
          <w:p w14:paraId="64271F54" w14:textId="2D28A29A" w:rsidR="00EE6ECE" w:rsidRPr="008435A0" w:rsidRDefault="00EE6ECE" w:rsidP="008435A0">
            <w:pPr>
              <w:spacing w:after="0" w:line="240" w:lineRule="auto"/>
              <w:jc w:val="right"/>
              <w:rPr>
                <w:sz w:val="18"/>
                <w:szCs w:val="18"/>
              </w:rPr>
            </w:pPr>
            <w:r w:rsidRPr="008435A0">
              <w:rPr>
                <w:sz w:val="18"/>
                <w:szCs w:val="18"/>
              </w:rPr>
              <w:t>412</w:t>
            </w:r>
          </w:p>
        </w:tc>
        <w:tc>
          <w:tcPr>
            <w:tcW w:w="1134" w:type="dxa"/>
            <w:shd w:val="clear" w:color="auto" w:fill="auto"/>
          </w:tcPr>
          <w:p w14:paraId="4BE9BA66" w14:textId="19DF75A2" w:rsidR="00EE6ECE" w:rsidRPr="008435A0" w:rsidRDefault="00EE6ECE" w:rsidP="008435A0">
            <w:pPr>
              <w:spacing w:line="240" w:lineRule="auto"/>
              <w:jc w:val="right"/>
              <w:rPr>
                <w:sz w:val="18"/>
                <w:szCs w:val="18"/>
              </w:rPr>
            </w:pPr>
            <w:r w:rsidRPr="008435A0">
              <w:rPr>
                <w:sz w:val="18"/>
                <w:szCs w:val="18"/>
              </w:rPr>
              <w:t>£ 3,046</w:t>
            </w:r>
          </w:p>
        </w:tc>
        <w:tc>
          <w:tcPr>
            <w:tcW w:w="709" w:type="dxa"/>
          </w:tcPr>
          <w:p w14:paraId="60A0AF92" w14:textId="0A1ECFB1" w:rsidR="00EE6ECE" w:rsidRPr="008435A0" w:rsidRDefault="00EE6ECE" w:rsidP="008435A0">
            <w:pPr>
              <w:spacing w:line="240" w:lineRule="auto"/>
              <w:jc w:val="right"/>
              <w:rPr>
                <w:sz w:val="18"/>
                <w:szCs w:val="18"/>
              </w:rPr>
            </w:pPr>
            <w:r w:rsidRPr="008435A0">
              <w:rPr>
                <w:sz w:val="18"/>
                <w:szCs w:val="18"/>
              </w:rPr>
              <w:t>308</w:t>
            </w:r>
          </w:p>
        </w:tc>
        <w:tc>
          <w:tcPr>
            <w:tcW w:w="850" w:type="dxa"/>
            <w:shd w:val="clear" w:color="auto" w:fill="auto"/>
          </w:tcPr>
          <w:p w14:paraId="0F7C700C" w14:textId="6B7F7000" w:rsidR="00EE6ECE" w:rsidRPr="008435A0" w:rsidRDefault="00EE6ECE" w:rsidP="008435A0">
            <w:pPr>
              <w:spacing w:line="240" w:lineRule="auto"/>
              <w:jc w:val="center"/>
              <w:rPr>
                <w:sz w:val="18"/>
                <w:szCs w:val="18"/>
              </w:rPr>
            </w:pPr>
            <w:r w:rsidRPr="008435A0">
              <w:rPr>
                <w:sz w:val="18"/>
                <w:szCs w:val="18"/>
              </w:rPr>
              <w:t>£2,060</w:t>
            </w:r>
          </w:p>
        </w:tc>
        <w:tc>
          <w:tcPr>
            <w:tcW w:w="1134" w:type="dxa"/>
            <w:shd w:val="clear" w:color="auto" w:fill="auto"/>
          </w:tcPr>
          <w:p w14:paraId="33E34770" w14:textId="6592FA6B" w:rsidR="00EE6ECE" w:rsidRPr="008435A0" w:rsidRDefault="00EE6ECE" w:rsidP="008435A0">
            <w:pPr>
              <w:spacing w:line="240" w:lineRule="auto"/>
              <w:jc w:val="right"/>
              <w:rPr>
                <w:sz w:val="18"/>
                <w:szCs w:val="18"/>
              </w:rPr>
            </w:pPr>
            <w:r w:rsidRPr="008435A0">
              <w:rPr>
                <w:sz w:val="18"/>
                <w:szCs w:val="18"/>
              </w:rPr>
              <w:t>£533</w:t>
            </w:r>
          </w:p>
        </w:tc>
        <w:tc>
          <w:tcPr>
            <w:tcW w:w="709" w:type="dxa"/>
          </w:tcPr>
          <w:p w14:paraId="31386DAD" w14:textId="084CCEBB" w:rsidR="00EE6ECE" w:rsidRPr="008435A0" w:rsidRDefault="00EE6ECE" w:rsidP="008435A0">
            <w:pPr>
              <w:spacing w:after="0" w:line="240" w:lineRule="auto"/>
              <w:jc w:val="right"/>
              <w:rPr>
                <w:sz w:val="18"/>
                <w:szCs w:val="18"/>
              </w:rPr>
            </w:pPr>
            <w:r w:rsidRPr="008435A0">
              <w:rPr>
                <w:sz w:val="18"/>
                <w:szCs w:val="18"/>
              </w:rPr>
              <w:t>412</w:t>
            </w:r>
          </w:p>
        </w:tc>
        <w:tc>
          <w:tcPr>
            <w:tcW w:w="1134" w:type="dxa"/>
            <w:shd w:val="clear" w:color="auto" w:fill="auto"/>
          </w:tcPr>
          <w:p w14:paraId="5CD46574" w14:textId="6F8D97A2" w:rsidR="00EE6ECE" w:rsidRPr="008435A0" w:rsidRDefault="00EE6ECE" w:rsidP="008435A0">
            <w:pPr>
              <w:spacing w:line="240" w:lineRule="auto"/>
              <w:jc w:val="right"/>
              <w:rPr>
                <w:sz w:val="18"/>
                <w:szCs w:val="18"/>
              </w:rPr>
            </w:pPr>
            <w:r w:rsidRPr="008435A0">
              <w:rPr>
                <w:sz w:val="18"/>
                <w:szCs w:val="18"/>
              </w:rPr>
              <w:t>.722</w:t>
            </w:r>
          </w:p>
        </w:tc>
        <w:tc>
          <w:tcPr>
            <w:tcW w:w="596" w:type="dxa"/>
          </w:tcPr>
          <w:p w14:paraId="5B450AA6" w14:textId="441E4F0C" w:rsidR="00EE6ECE" w:rsidRPr="008435A0" w:rsidRDefault="00EE6ECE" w:rsidP="008435A0">
            <w:pPr>
              <w:spacing w:line="240" w:lineRule="auto"/>
              <w:jc w:val="right"/>
              <w:rPr>
                <w:sz w:val="18"/>
                <w:szCs w:val="18"/>
              </w:rPr>
            </w:pPr>
            <w:r w:rsidRPr="008435A0">
              <w:rPr>
                <w:sz w:val="18"/>
                <w:szCs w:val="18"/>
              </w:rPr>
              <w:t>308</w:t>
            </w:r>
          </w:p>
        </w:tc>
        <w:tc>
          <w:tcPr>
            <w:tcW w:w="851" w:type="dxa"/>
            <w:shd w:val="clear" w:color="auto" w:fill="auto"/>
          </w:tcPr>
          <w:p w14:paraId="02B677A5" w14:textId="280401F7" w:rsidR="00EE6ECE" w:rsidRPr="008435A0" w:rsidRDefault="00EE6ECE" w:rsidP="008435A0">
            <w:pPr>
              <w:tabs>
                <w:tab w:val="left" w:pos="387"/>
              </w:tabs>
              <w:spacing w:line="240" w:lineRule="auto"/>
              <w:jc w:val="right"/>
              <w:rPr>
                <w:sz w:val="18"/>
                <w:szCs w:val="18"/>
              </w:rPr>
            </w:pPr>
            <w:r w:rsidRPr="008435A0">
              <w:rPr>
                <w:sz w:val="18"/>
                <w:szCs w:val="18"/>
              </w:rPr>
              <w:t>.708</w:t>
            </w:r>
          </w:p>
        </w:tc>
        <w:tc>
          <w:tcPr>
            <w:tcW w:w="963" w:type="dxa"/>
            <w:shd w:val="clear" w:color="auto" w:fill="auto"/>
          </w:tcPr>
          <w:p w14:paraId="2D18B9A7" w14:textId="20754D90" w:rsidR="00EE6ECE" w:rsidRPr="008435A0" w:rsidRDefault="00EE6ECE" w:rsidP="008435A0">
            <w:pPr>
              <w:spacing w:line="240" w:lineRule="auto"/>
              <w:jc w:val="right"/>
              <w:rPr>
                <w:sz w:val="18"/>
                <w:szCs w:val="18"/>
              </w:rPr>
            </w:pPr>
            <w:r w:rsidRPr="008435A0">
              <w:rPr>
                <w:sz w:val="18"/>
                <w:szCs w:val="18"/>
              </w:rPr>
              <w:t>.027</w:t>
            </w:r>
          </w:p>
        </w:tc>
        <w:tc>
          <w:tcPr>
            <w:tcW w:w="993" w:type="dxa"/>
            <w:shd w:val="clear" w:color="auto" w:fill="auto"/>
          </w:tcPr>
          <w:p w14:paraId="289704CD" w14:textId="79EA38B3" w:rsidR="00EE6ECE" w:rsidRPr="008435A0" w:rsidRDefault="00EE6ECE" w:rsidP="008435A0">
            <w:pPr>
              <w:spacing w:after="0" w:line="240" w:lineRule="auto"/>
              <w:jc w:val="right"/>
              <w:rPr>
                <w:sz w:val="18"/>
                <w:szCs w:val="18"/>
              </w:rPr>
            </w:pPr>
            <w:r w:rsidRPr="008435A0">
              <w:rPr>
                <w:sz w:val="18"/>
                <w:szCs w:val="18"/>
              </w:rPr>
              <w:t>£36,371</w:t>
            </w:r>
          </w:p>
        </w:tc>
      </w:tr>
      <w:tr w:rsidR="004F6B9D" w:rsidRPr="008435A0" w14:paraId="2880E77A" w14:textId="77777777" w:rsidTr="008435A0">
        <w:tc>
          <w:tcPr>
            <w:tcW w:w="4678" w:type="dxa"/>
            <w:shd w:val="clear" w:color="auto" w:fill="auto"/>
          </w:tcPr>
          <w:p w14:paraId="496FA49F" w14:textId="1D7B5253" w:rsidR="00A972EE" w:rsidRPr="008435A0" w:rsidRDefault="00597D22" w:rsidP="008435A0">
            <w:pPr>
              <w:spacing w:after="0" w:line="240" w:lineRule="auto"/>
              <w:jc w:val="right"/>
              <w:rPr>
                <w:sz w:val="18"/>
                <w:szCs w:val="18"/>
              </w:rPr>
            </w:pPr>
            <w:r w:rsidRPr="008435A0">
              <w:rPr>
                <w:sz w:val="18"/>
                <w:szCs w:val="18"/>
              </w:rPr>
              <w:t xml:space="preserve">EQ-5D-5L CCA excluding </w:t>
            </w:r>
            <w:r w:rsidRPr="008435A0">
              <w:rPr>
                <w:sz w:val="18"/>
                <w:szCs w:val="18"/>
                <w:lang w:eastAsia="en-US"/>
              </w:rPr>
              <w:t>intervention</w:t>
            </w:r>
            <w:r w:rsidR="00A972EE" w:rsidRPr="008435A0">
              <w:rPr>
                <w:sz w:val="18"/>
                <w:szCs w:val="18"/>
              </w:rPr>
              <w:t xml:space="preserve"> cost outliers***</w:t>
            </w:r>
          </w:p>
        </w:tc>
        <w:tc>
          <w:tcPr>
            <w:tcW w:w="567" w:type="dxa"/>
          </w:tcPr>
          <w:p w14:paraId="5B0B565B" w14:textId="1FCCF443" w:rsidR="00A972EE" w:rsidRPr="008435A0" w:rsidRDefault="00A972EE" w:rsidP="008435A0">
            <w:pPr>
              <w:tabs>
                <w:tab w:val="left" w:pos="400"/>
              </w:tabs>
              <w:spacing w:after="0" w:line="240" w:lineRule="auto"/>
              <w:jc w:val="right"/>
              <w:rPr>
                <w:sz w:val="18"/>
                <w:szCs w:val="18"/>
              </w:rPr>
            </w:pPr>
            <w:r w:rsidRPr="008435A0">
              <w:rPr>
                <w:sz w:val="18"/>
                <w:szCs w:val="18"/>
              </w:rPr>
              <w:t>208</w:t>
            </w:r>
          </w:p>
        </w:tc>
        <w:tc>
          <w:tcPr>
            <w:tcW w:w="1134" w:type="dxa"/>
            <w:shd w:val="clear" w:color="auto" w:fill="auto"/>
          </w:tcPr>
          <w:p w14:paraId="5CFCBECB" w14:textId="5DD6B411" w:rsidR="00A972EE" w:rsidRPr="008435A0" w:rsidRDefault="00A972EE" w:rsidP="008435A0">
            <w:pPr>
              <w:spacing w:line="240" w:lineRule="auto"/>
              <w:jc w:val="right"/>
              <w:rPr>
                <w:sz w:val="18"/>
                <w:szCs w:val="18"/>
              </w:rPr>
            </w:pPr>
            <w:r w:rsidRPr="008435A0">
              <w:rPr>
                <w:sz w:val="18"/>
                <w:szCs w:val="18"/>
              </w:rPr>
              <w:t>£2,437</w:t>
            </w:r>
          </w:p>
        </w:tc>
        <w:tc>
          <w:tcPr>
            <w:tcW w:w="709" w:type="dxa"/>
          </w:tcPr>
          <w:p w14:paraId="67305480" w14:textId="395CDDCB" w:rsidR="00A972EE" w:rsidRPr="008435A0" w:rsidRDefault="00A972EE" w:rsidP="008435A0">
            <w:pPr>
              <w:spacing w:line="240" w:lineRule="auto"/>
              <w:jc w:val="right"/>
              <w:rPr>
                <w:sz w:val="18"/>
                <w:szCs w:val="18"/>
              </w:rPr>
            </w:pPr>
            <w:r w:rsidRPr="008435A0">
              <w:rPr>
                <w:sz w:val="18"/>
                <w:szCs w:val="18"/>
              </w:rPr>
              <w:t>175</w:t>
            </w:r>
          </w:p>
        </w:tc>
        <w:tc>
          <w:tcPr>
            <w:tcW w:w="850" w:type="dxa"/>
            <w:shd w:val="clear" w:color="auto" w:fill="auto"/>
          </w:tcPr>
          <w:p w14:paraId="44269BC6" w14:textId="6048F7E4" w:rsidR="00A972EE" w:rsidRPr="008435A0" w:rsidRDefault="00A972EE" w:rsidP="008435A0">
            <w:pPr>
              <w:spacing w:line="240" w:lineRule="auto"/>
              <w:jc w:val="center"/>
              <w:rPr>
                <w:sz w:val="18"/>
                <w:szCs w:val="18"/>
              </w:rPr>
            </w:pPr>
            <w:r w:rsidRPr="008435A0">
              <w:rPr>
                <w:sz w:val="18"/>
                <w:szCs w:val="18"/>
              </w:rPr>
              <w:t>£2,073</w:t>
            </w:r>
          </w:p>
        </w:tc>
        <w:tc>
          <w:tcPr>
            <w:tcW w:w="1134" w:type="dxa"/>
            <w:shd w:val="clear" w:color="auto" w:fill="auto"/>
          </w:tcPr>
          <w:p w14:paraId="1832DCA4" w14:textId="36AB9277" w:rsidR="00A972EE" w:rsidRPr="008435A0" w:rsidRDefault="00A972EE" w:rsidP="008435A0">
            <w:pPr>
              <w:spacing w:line="240" w:lineRule="auto"/>
              <w:jc w:val="right"/>
              <w:rPr>
                <w:sz w:val="18"/>
                <w:szCs w:val="18"/>
              </w:rPr>
            </w:pPr>
            <w:r w:rsidRPr="008435A0">
              <w:rPr>
                <w:sz w:val="18"/>
                <w:szCs w:val="18"/>
              </w:rPr>
              <w:t>£364</w:t>
            </w:r>
          </w:p>
        </w:tc>
        <w:tc>
          <w:tcPr>
            <w:tcW w:w="709" w:type="dxa"/>
          </w:tcPr>
          <w:p w14:paraId="72472DA8" w14:textId="600D5C8C" w:rsidR="00A972EE" w:rsidRPr="008435A0" w:rsidRDefault="00A972EE" w:rsidP="008435A0">
            <w:pPr>
              <w:tabs>
                <w:tab w:val="left" w:pos="400"/>
              </w:tabs>
              <w:spacing w:after="0" w:line="240" w:lineRule="auto"/>
              <w:jc w:val="right"/>
              <w:rPr>
                <w:sz w:val="18"/>
                <w:szCs w:val="18"/>
              </w:rPr>
            </w:pPr>
            <w:r w:rsidRPr="008435A0">
              <w:rPr>
                <w:sz w:val="18"/>
                <w:szCs w:val="18"/>
              </w:rPr>
              <w:t>208</w:t>
            </w:r>
          </w:p>
        </w:tc>
        <w:tc>
          <w:tcPr>
            <w:tcW w:w="1134" w:type="dxa"/>
            <w:shd w:val="clear" w:color="auto" w:fill="auto"/>
          </w:tcPr>
          <w:p w14:paraId="2FAF7B12" w14:textId="40916E5F" w:rsidR="00A972EE" w:rsidRPr="008435A0" w:rsidRDefault="00A972EE" w:rsidP="008435A0">
            <w:pPr>
              <w:spacing w:line="240" w:lineRule="auto"/>
              <w:jc w:val="right"/>
              <w:rPr>
                <w:sz w:val="18"/>
                <w:szCs w:val="18"/>
              </w:rPr>
            </w:pPr>
            <w:r w:rsidRPr="008435A0">
              <w:rPr>
                <w:sz w:val="18"/>
                <w:szCs w:val="18"/>
              </w:rPr>
              <w:t>.688</w:t>
            </w:r>
          </w:p>
        </w:tc>
        <w:tc>
          <w:tcPr>
            <w:tcW w:w="596" w:type="dxa"/>
          </w:tcPr>
          <w:p w14:paraId="7A1130E3" w14:textId="1ABA7475" w:rsidR="00A972EE" w:rsidRPr="008435A0" w:rsidRDefault="00A972EE" w:rsidP="008435A0">
            <w:pPr>
              <w:spacing w:line="240" w:lineRule="auto"/>
              <w:jc w:val="right"/>
              <w:rPr>
                <w:sz w:val="18"/>
                <w:szCs w:val="18"/>
              </w:rPr>
            </w:pPr>
            <w:r w:rsidRPr="008435A0">
              <w:rPr>
                <w:sz w:val="18"/>
                <w:szCs w:val="18"/>
              </w:rPr>
              <w:t>175</w:t>
            </w:r>
          </w:p>
        </w:tc>
        <w:tc>
          <w:tcPr>
            <w:tcW w:w="851" w:type="dxa"/>
            <w:shd w:val="clear" w:color="auto" w:fill="auto"/>
          </w:tcPr>
          <w:p w14:paraId="008D5C05" w14:textId="2415598B" w:rsidR="00A972EE" w:rsidRPr="008435A0" w:rsidRDefault="00A972EE" w:rsidP="008435A0">
            <w:pPr>
              <w:tabs>
                <w:tab w:val="left" w:pos="387"/>
              </w:tabs>
              <w:spacing w:line="240" w:lineRule="auto"/>
              <w:jc w:val="right"/>
              <w:rPr>
                <w:sz w:val="18"/>
                <w:szCs w:val="18"/>
              </w:rPr>
            </w:pPr>
            <w:r w:rsidRPr="008435A0">
              <w:rPr>
                <w:sz w:val="18"/>
                <w:szCs w:val="18"/>
              </w:rPr>
              <w:t>.665</w:t>
            </w:r>
          </w:p>
        </w:tc>
        <w:tc>
          <w:tcPr>
            <w:tcW w:w="963" w:type="dxa"/>
            <w:shd w:val="clear" w:color="auto" w:fill="auto"/>
          </w:tcPr>
          <w:p w14:paraId="4A0FE07E" w14:textId="7376D95C" w:rsidR="00A972EE" w:rsidRPr="008435A0" w:rsidRDefault="00A972EE" w:rsidP="008435A0">
            <w:pPr>
              <w:spacing w:line="240" w:lineRule="auto"/>
              <w:jc w:val="right"/>
              <w:rPr>
                <w:sz w:val="18"/>
                <w:szCs w:val="18"/>
              </w:rPr>
            </w:pPr>
            <w:r w:rsidRPr="008435A0">
              <w:rPr>
                <w:sz w:val="18"/>
                <w:szCs w:val="18"/>
              </w:rPr>
              <w:t>.033</w:t>
            </w:r>
          </w:p>
        </w:tc>
        <w:tc>
          <w:tcPr>
            <w:tcW w:w="993" w:type="dxa"/>
            <w:shd w:val="clear" w:color="auto" w:fill="auto"/>
          </w:tcPr>
          <w:p w14:paraId="5E240FD9" w14:textId="3C26E745" w:rsidR="00A972EE" w:rsidRPr="008435A0" w:rsidRDefault="00A972EE" w:rsidP="008435A0">
            <w:pPr>
              <w:spacing w:after="0" w:line="240" w:lineRule="auto"/>
              <w:jc w:val="right"/>
              <w:rPr>
                <w:sz w:val="18"/>
                <w:szCs w:val="18"/>
              </w:rPr>
            </w:pPr>
            <w:r w:rsidRPr="008435A0">
              <w:rPr>
                <w:sz w:val="18"/>
                <w:szCs w:val="18"/>
              </w:rPr>
              <w:t>£10,975</w:t>
            </w:r>
          </w:p>
        </w:tc>
      </w:tr>
      <w:tr w:rsidR="004F6B9D" w:rsidRPr="008435A0" w14:paraId="3CF07FE8" w14:textId="77777777" w:rsidTr="008435A0">
        <w:tc>
          <w:tcPr>
            <w:tcW w:w="4678" w:type="dxa"/>
            <w:shd w:val="clear" w:color="auto" w:fill="auto"/>
          </w:tcPr>
          <w:p w14:paraId="743CFF85" w14:textId="2C266F3F" w:rsidR="00A972EE" w:rsidRPr="008435A0" w:rsidRDefault="00A972EE" w:rsidP="008435A0">
            <w:pPr>
              <w:spacing w:after="0" w:line="240" w:lineRule="auto"/>
              <w:jc w:val="right"/>
              <w:rPr>
                <w:sz w:val="18"/>
                <w:szCs w:val="18"/>
              </w:rPr>
            </w:pPr>
            <w:r w:rsidRPr="008435A0">
              <w:rPr>
                <w:sz w:val="18"/>
                <w:szCs w:val="18"/>
              </w:rPr>
              <w:t>EQ-5D-5L Staff MI Mapped to 3L</w:t>
            </w:r>
          </w:p>
        </w:tc>
        <w:tc>
          <w:tcPr>
            <w:tcW w:w="567" w:type="dxa"/>
          </w:tcPr>
          <w:p w14:paraId="6323871A" w14:textId="174794D4" w:rsidR="00A972EE" w:rsidRPr="008435A0" w:rsidRDefault="00A972EE" w:rsidP="008435A0">
            <w:pPr>
              <w:spacing w:after="0" w:line="240" w:lineRule="auto"/>
              <w:jc w:val="right"/>
              <w:rPr>
                <w:bCs/>
                <w:sz w:val="18"/>
                <w:szCs w:val="18"/>
              </w:rPr>
            </w:pPr>
            <w:r w:rsidRPr="008435A0">
              <w:rPr>
                <w:bCs/>
                <w:sz w:val="18"/>
                <w:szCs w:val="18"/>
              </w:rPr>
              <w:t>418</w:t>
            </w:r>
          </w:p>
        </w:tc>
        <w:tc>
          <w:tcPr>
            <w:tcW w:w="1134" w:type="dxa"/>
            <w:shd w:val="clear" w:color="auto" w:fill="auto"/>
          </w:tcPr>
          <w:p w14:paraId="6502DEF6" w14:textId="234BB462" w:rsidR="00A972EE" w:rsidRPr="008435A0" w:rsidRDefault="00A972EE" w:rsidP="008435A0">
            <w:pPr>
              <w:spacing w:line="240" w:lineRule="auto"/>
              <w:jc w:val="right"/>
              <w:rPr>
                <w:sz w:val="18"/>
                <w:szCs w:val="18"/>
              </w:rPr>
            </w:pPr>
            <w:r w:rsidRPr="008435A0">
              <w:rPr>
                <w:sz w:val="18"/>
                <w:szCs w:val="18"/>
              </w:rPr>
              <w:t>£3,539</w:t>
            </w:r>
          </w:p>
        </w:tc>
        <w:tc>
          <w:tcPr>
            <w:tcW w:w="709" w:type="dxa"/>
          </w:tcPr>
          <w:p w14:paraId="3A308080" w14:textId="6C482D94" w:rsidR="00A972EE" w:rsidRPr="008435A0" w:rsidRDefault="00A972EE" w:rsidP="008435A0">
            <w:pPr>
              <w:spacing w:line="240" w:lineRule="auto"/>
              <w:jc w:val="right"/>
              <w:rPr>
                <w:sz w:val="18"/>
                <w:szCs w:val="18"/>
              </w:rPr>
            </w:pPr>
            <w:r w:rsidRPr="008435A0">
              <w:rPr>
                <w:sz w:val="18"/>
                <w:szCs w:val="18"/>
              </w:rPr>
              <w:t>308</w:t>
            </w:r>
          </w:p>
        </w:tc>
        <w:tc>
          <w:tcPr>
            <w:tcW w:w="850" w:type="dxa"/>
            <w:shd w:val="clear" w:color="auto" w:fill="auto"/>
          </w:tcPr>
          <w:p w14:paraId="71BE6F03" w14:textId="10EA8580" w:rsidR="00A972EE" w:rsidRPr="008435A0" w:rsidRDefault="00A972EE" w:rsidP="008435A0">
            <w:pPr>
              <w:spacing w:line="240" w:lineRule="auto"/>
              <w:jc w:val="right"/>
              <w:rPr>
                <w:sz w:val="18"/>
                <w:szCs w:val="18"/>
              </w:rPr>
            </w:pPr>
            <w:r w:rsidRPr="008435A0">
              <w:rPr>
                <w:sz w:val="18"/>
                <w:szCs w:val="18"/>
              </w:rPr>
              <w:t>£2,060</w:t>
            </w:r>
          </w:p>
        </w:tc>
        <w:tc>
          <w:tcPr>
            <w:tcW w:w="1134" w:type="dxa"/>
            <w:shd w:val="clear" w:color="auto" w:fill="auto"/>
          </w:tcPr>
          <w:p w14:paraId="31B5AEFE" w14:textId="5B0CF522" w:rsidR="00A972EE" w:rsidRPr="008435A0" w:rsidRDefault="00A972EE" w:rsidP="008435A0">
            <w:pPr>
              <w:spacing w:line="240" w:lineRule="auto"/>
              <w:jc w:val="right"/>
              <w:rPr>
                <w:sz w:val="18"/>
                <w:szCs w:val="18"/>
              </w:rPr>
            </w:pPr>
            <w:r w:rsidRPr="008435A0">
              <w:rPr>
                <w:sz w:val="18"/>
                <w:szCs w:val="18"/>
              </w:rPr>
              <w:t>£1,479</w:t>
            </w:r>
          </w:p>
        </w:tc>
        <w:tc>
          <w:tcPr>
            <w:tcW w:w="709" w:type="dxa"/>
          </w:tcPr>
          <w:p w14:paraId="22070524" w14:textId="770AA882" w:rsidR="00A972EE" w:rsidRPr="008435A0" w:rsidRDefault="00A972EE" w:rsidP="008435A0">
            <w:pPr>
              <w:spacing w:after="0" w:line="240" w:lineRule="auto"/>
              <w:jc w:val="right"/>
              <w:rPr>
                <w:bCs/>
                <w:sz w:val="18"/>
                <w:szCs w:val="18"/>
              </w:rPr>
            </w:pPr>
            <w:r w:rsidRPr="008435A0">
              <w:rPr>
                <w:bCs/>
                <w:sz w:val="18"/>
                <w:szCs w:val="18"/>
              </w:rPr>
              <w:t>418</w:t>
            </w:r>
          </w:p>
        </w:tc>
        <w:tc>
          <w:tcPr>
            <w:tcW w:w="1134" w:type="dxa"/>
            <w:shd w:val="clear" w:color="auto" w:fill="auto"/>
          </w:tcPr>
          <w:p w14:paraId="025CF8C5" w14:textId="7464125C" w:rsidR="00A972EE" w:rsidRPr="008435A0" w:rsidRDefault="00A972EE" w:rsidP="008435A0">
            <w:pPr>
              <w:spacing w:line="240" w:lineRule="auto"/>
              <w:jc w:val="right"/>
              <w:rPr>
                <w:sz w:val="18"/>
                <w:szCs w:val="18"/>
              </w:rPr>
            </w:pPr>
            <w:r w:rsidRPr="008435A0">
              <w:rPr>
                <w:sz w:val="18"/>
                <w:szCs w:val="18"/>
              </w:rPr>
              <w:t>.457</w:t>
            </w:r>
          </w:p>
        </w:tc>
        <w:tc>
          <w:tcPr>
            <w:tcW w:w="596" w:type="dxa"/>
          </w:tcPr>
          <w:p w14:paraId="43C04401" w14:textId="1D758B30" w:rsidR="00A972EE" w:rsidRPr="008435A0" w:rsidRDefault="00A972EE" w:rsidP="008435A0">
            <w:pPr>
              <w:spacing w:line="240" w:lineRule="auto"/>
              <w:jc w:val="right"/>
              <w:rPr>
                <w:sz w:val="18"/>
                <w:szCs w:val="18"/>
              </w:rPr>
            </w:pPr>
            <w:r w:rsidRPr="008435A0">
              <w:rPr>
                <w:sz w:val="18"/>
                <w:szCs w:val="18"/>
              </w:rPr>
              <w:t>308</w:t>
            </w:r>
          </w:p>
        </w:tc>
        <w:tc>
          <w:tcPr>
            <w:tcW w:w="851" w:type="dxa"/>
            <w:shd w:val="clear" w:color="auto" w:fill="auto"/>
          </w:tcPr>
          <w:p w14:paraId="41FDBB2C" w14:textId="05446180" w:rsidR="00A972EE" w:rsidRPr="008435A0" w:rsidRDefault="00A972EE" w:rsidP="008435A0">
            <w:pPr>
              <w:spacing w:line="240" w:lineRule="auto"/>
              <w:jc w:val="right"/>
              <w:rPr>
                <w:sz w:val="18"/>
                <w:szCs w:val="18"/>
              </w:rPr>
            </w:pPr>
            <w:r w:rsidRPr="008435A0">
              <w:rPr>
                <w:sz w:val="18"/>
                <w:szCs w:val="18"/>
              </w:rPr>
              <w:t>.459</w:t>
            </w:r>
          </w:p>
        </w:tc>
        <w:tc>
          <w:tcPr>
            <w:tcW w:w="963" w:type="dxa"/>
            <w:shd w:val="clear" w:color="auto" w:fill="auto"/>
          </w:tcPr>
          <w:p w14:paraId="3E026B8A" w14:textId="2DE79517" w:rsidR="00A972EE" w:rsidRPr="008435A0" w:rsidRDefault="00A972EE" w:rsidP="008435A0">
            <w:pPr>
              <w:spacing w:line="240" w:lineRule="auto"/>
              <w:jc w:val="right"/>
              <w:rPr>
                <w:sz w:val="18"/>
                <w:szCs w:val="18"/>
              </w:rPr>
            </w:pPr>
            <w:r w:rsidRPr="008435A0">
              <w:rPr>
                <w:sz w:val="18"/>
                <w:szCs w:val="18"/>
              </w:rPr>
              <w:t>.026</w:t>
            </w:r>
          </w:p>
        </w:tc>
        <w:tc>
          <w:tcPr>
            <w:tcW w:w="993" w:type="dxa"/>
            <w:shd w:val="clear" w:color="auto" w:fill="auto"/>
          </w:tcPr>
          <w:p w14:paraId="7DE45DD4" w14:textId="070C2C25" w:rsidR="00A972EE" w:rsidRPr="008435A0" w:rsidRDefault="00A972EE" w:rsidP="008435A0">
            <w:pPr>
              <w:spacing w:after="0" w:line="240" w:lineRule="auto"/>
              <w:jc w:val="right"/>
              <w:rPr>
                <w:bCs/>
                <w:sz w:val="18"/>
                <w:szCs w:val="18"/>
              </w:rPr>
            </w:pPr>
            <w:r w:rsidRPr="008435A0">
              <w:rPr>
                <w:bCs/>
                <w:sz w:val="18"/>
                <w:szCs w:val="18"/>
              </w:rPr>
              <w:t>£57,208</w:t>
            </w:r>
          </w:p>
        </w:tc>
      </w:tr>
      <w:tr w:rsidR="004F6B9D" w:rsidRPr="008435A0" w14:paraId="4894E12C" w14:textId="77777777" w:rsidTr="008435A0">
        <w:tc>
          <w:tcPr>
            <w:tcW w:w="4678" w:type="dxa"/>
            <w:shd w:val="clear" w:color="auto" w:fill="auto"/>
          </w:tcPr>
          <w:p w14:paraId="00DDE63A" w14:textId="77777777" w:rsidR="00A972EE" w:rsidRPr="008435A0" w:rsidRDefault="00A972EE" w:rsidP="008435A0">
            <w:pPr>
              <w:spacing w:after="0" w:line="240" w:lineRule="auto"/>
              <w:jc w:val="right"/>
              <w:rPr>
                <w:sz w:val="18"/>
                <w:szCs w:val="18"/>
              </w:rPr>
            </w:pPr>
            <w:r w:rsidRPr="008435A0">
              <w:rPr>
                <w:sz w:val="18"/>
                <w:szCs w:val="18"/>
              </w:rPr>
              <w:t>DEMQoL – Staff MI</w:t>
            </w:r>
          </w:p>
          <w:p w14:paraId="34F28DBA" w14:textId="790646FA" w:rsidR="00A972EE" w:rsidRPr="008435A0" w:rsidRDefault="00A972EE" w:rsidP="008435A0">
            <w:pPr>
              <w:spacing w:after="0" w:line="240" w:lineRule="auto"/>
              <w:jc w:val="right"/>
              <w:rPr>
                <w:sz w:val="18"/>
                <w:szCs w:val="18"/>
              </w:rPr>
            </w:pPr>
          </w:p>
        </w:tc>
        <w:tc>
          <w:tcPr>
            <w:tcW w:w="567" w:type="dxa"/>
          </w:tcPr>
          <w:p w14:paraId="5833EC1D" w14:textId="38064AB5" w:rsidR="00A972EE" w:rsidRPr="008435A0" w:rsidRDefault="00A972EE" w:rsidP="008435A0">
            <w:pPr>
              <w:spacing w:after="0" w:line="240" w:lineRule="auto"/>
              <w:jc w:val="right"/>
              <w:rPr>
                <w:bCs/>
                <w:sz w:val="18"/>
                <w:szCs w:val="18"/>
              </w:rPr>
            </w:pPr>
            <w:r w:rsidRPr="008435A0">
              <w:rPr>
                <w:bCs/>
                <w:sz w:val="18"/>
                <w:szCs w:val="18"/>
              </w:rPr>
              <w:t>418</w:t>
            </w:r>
          </w:p>
        </w:tc>
        <w:tc>
          <w:tcPr>
            <w:tcW w:w="1134" w:type="dxa"/>
            <w:shd w:val="clear" w:color="auto" w:fill="auto"/>
          </w:tcPr>
          <w:p w14:paraId="5AF602AE" w14:textId="3F7344EB" w:rsidR="00A972EE" w:rsidRPr="008435A0" w:rsidRDefault="00A972EE" w:rsidP="008435A0">
            <w:pPr>
              <w:spacing w:line="240" w:lineRule="auto"/>
              <w:jc w:val="right"/>
              <w:rPr>
                <w:sz w:val="18"/>
                <w:szCs w:val="18"/>
              </w:rPr>
            </w:pPr>
            <w:r w:rsidRPr="008435A0">
              <w:rPr>
                <w:sz w:val="18"/>
                <w:szCs w:val="18"/>
              </w:rPr>
              <w:t>£3,539</w:t>
            </w:r>
          </w:p>
        </w:tc>
        <w:tc>
          <w:tcPr>
            <w:tcW w:w="709" w:type="dxa"/>
          </w:tcPr>
          <w:p w14:paraId="2AD1A780" w14:textId="41FF7A3C" w:rsidR="00A972EE" w:rsidRPr="008435A0" w:rsidRDefault="00A972EE" w:rsidP="008435A0">
            <w:pPr>
              <w:spacing w:line="240" w:lineRule="auto"/>
              <w:jc w:val="right"/>
              <w:rPr>
                <w:sz w:val="18"/>
                <w:szCs w:val="18"/>
              </w:rPr>
            </w:pPr>
            <w:r w:rsidRPr="008435A0">
              <w:rPr>
                <w:sz w:val="18"/>
                <w:szCs w:val="18"/>
              </w:rPr>
              <w:t>308</w:t>
            </w:r>
          </w:p>
        </w:tc>
        <w:tc>
          <w:tcPr>
            <w:tcW w:w="850" w:type="dxa"/>
            <w:shd w:val="clear" w:color="auto" w:fill="auto"/>
          </w:tcPr>
          <w:p w14:paraId="4813AE9E" w14:textId="21E6E393" w:rsidR="00A972EE" w:rsidRPr="008435A0" w:rsidRDefault="00A972EE" w:rsidP="008435A0">
            <w:pPr>
              <w:spacing w:line="240" w:lineRule="auto"/>
              <w:jc w:val="right"/>
              <w:rPr>
                <w:sz w:val="18"/>
                <w:szCs w:val="18"/>
              </w:rPr>
            </w:pPr>
            <w:r w:rsidRPr="008435A0">
              <w:rPr>
                <w:sz w:val="18"/>
                <w:szCs w:val="18"/>
              </w:rPr>
              <w:t>£2,060</w:t>
            </w:r>
          </w:p>
        </w:tc>
        <w:tc>
          <w:tcPr>
            <w:tcW w:w="1134" w:type="dxa"/>
            <w:shd w:val="clear" w:color="auto" w:fill="auto"/>
          </w:tcPr>
          <w:p w14:paraId="361ECA6D" w14:textId="110AAD9C" w:rsidR="00A972EE" w:rsidRPr="008435A0" w:rsidRDefault="00A972EE" w:rsidP="008435A0">
            <w:pPr>
              <w:spacing w:line="240" w:lineRule="auto"/>
              <w:jc w:val="right"/>
              <w:rPr>
                <w:sz w:val="18"/>
                <w:szCs w:val="18"/>
              </w:rPr>
            </w:pPr>
            <w:r w:rsidRPr="008435A0">
              <w:rPr>
                <w:sz w:val="18"/>
                <w:szCs w:val="18"/>
              </w:rPr>
              <w:t>£1,479</w:t>
            </w:r>
          </w:p>
        </w:tc>
        <w:tc>
          <w:tcPr>
            <w:tcW w:w="709" w:type="dxa"/>
          </w:tcPr>
          <w:p w14:paraId="56488812" w14:textId="2B27AB0C" w:rsidR="00A972EE" w:rsidRPr="008435A0" w:rsidRDefault="00A972EE" w:rsidP="008435A0">
            <w:pPr>
              <w:spacing w:after="0" w:line="240" w:lineRule="auto"/>
              <w:jc w:val="right"/>
              <w:rPr>
                <w:bCs/>
                <w:sz w:val="18"/>
                <w:szCs w:val="18"/>
              </w:rPr>
            </w:pPr>
            <w:r w:rsidRPr="008435A0">
              <w:rPr>
                <w:bCs/>
                <w:sz w:val="18"/>
                <w:szCs w:val="18"/>
              </w:rPr>
              <w:t>418</w:t>
            </w:r>
          </w:p>
        </w:tc>
        <w:tc>
          <w:tcPr>
            <w:tcW w:w="1134" w:type="dxa"/>
            <w:shd w:val="clear" w:color="auto" w:fill="auto"/>
          </w:tcPr>
          <w:p w14:paraId="3798F787" w14:textId="5AD3F9B1" w:rsidR="00A972EE" w:rsidRPr="008435A0" w:rsidRDefault="00A972EE" w:rsidP="008435A0">
            <w:pPr>
              <w:spacing w:line="240" w:lineRule="auto"/>
              <w:jc w:val="right"/>
              <w:rPr>
                <w:sz w:val="18"/>
                <w:szCs w:val="18"/>
              </w:rPr>
            </w:pPr>
            <w:r w:rsidRPr="008435A0">
              <w:rPr>
                <w:sz w:val="18"/>
                <w:szCs w:val="18"/>
              </w:rPr>
              <w:t>.836</w:t>
            </w:r>
          </w:p>
        </w:tc>
        <w:tc>
          <w:tcPr>
            <w:tcW w:w="596" w:type="dxa"/>
          </w:tcPr>
          <w:p w14:paraId="025CB97C" w14:textId="68E62099" w:rsidR="00A972EE" w:rsidRPr="008435A0" w:rsidRDefault="00A972EE" w:rsidP="008435A0">
            <w:pPr>
              <w:spacing w:line="240" w:lineRule="auto"/>
              <w:jc w:val="right"/>
              <w:rPr>
                <w:sz w:val="18"/>
                <w:szCs w:val="18"/>
              </w:rPr>
            </w:pPr>
            <w:r w:rsidRPr="008435A0">
              <w:rPr>
                <w:sz w:val="18"/>
                <w:szCs w:val="18"/>
              </w:rPr>
              <w:t>308</w:t>
            </w:r>
          </w:p>
        </w:tc>
        <w:tc>
          <w:tcPr>
            <w:tcW w:w="851" w:type="dxa"/>
            <w:shd w:val="clear" w:color="auto" w:fill="auto"/>
          </w:tcPr>
          <w:p w14:paraId="3A446971" w14:textId="6D539999" w:rsidR="00A972EE" w:rsidRPr="008435A0" w:rsidRDefault="00A972EE" w:rsidP="008435A0">
            <w:pPr>
              <w:spacing w:line="240" w:lineRule="auto"/>
              <w:jc w:val="right"/>
              <w:rPr>
                <w:sz w:val="18"/>
                <w:szCs w:val="18"/>
              </w:rPr>
            </w:pPr>
            <w:r w:rsidRPr="008435A0">
              <w:rPr>
                <w:sz w:val="18"/>
                <w:szCs w:val="18"/>
              </w:rPr>
              <w:t>.799</w:t>
            </w:r>
          </w:p>
        </w:tc>
        <w:tc>
          <w:tcPr>
            <w:tcW w:w="963" w:type="dxa"/>
            <w:shd w:val="clear" w:color="auto" w:fill="auto"/>
          </w:tcPr>
          <w:p w14:paraId="6D8DF203" w14:textId="7D667FBB" w:rsidR="00A972EE" w:rsidRPr="008435A0" w:rsidRDefault="00A972EE" w:rsidP="008435A0">
            <w:pPr>
              <w:spacing w:line="240" w:lineRule="auto"/>
              <w:jc w:val="right"/>
              <w:rPr>
                <w:sz w:val="18"/>
                <w:szCs w:val="18"/>
              </w:rPr>
            </w:pPr>
            <w:r w:rsidRPr="008435A0">
              <w:rPr>
                <w:sz w:val="18"/>
                <w:szCs w:val="18"/>
              </w:rPr>
              <w:t>.032</w:t>
            </w:r>
          </w:p>
        </w:tc>
        <w:tc>
          <w:tcPr>
            <w:tcW w:w="993" w:type="dxa"/>
            <w:shd w:val="clear" w:color="auto" w:fill="auto"/>
          </w:tcPr>
          <w:p w14:paraId="798A4563" w14:textId="73C08286" w:rsidR="00A972EE" w:rsidRPr="008435A0" w:rsidRDefault="00A972EE" w:rsidP="008435A0">
            <w:pPr>
              <w:spacing w:after="0" w:line="240" w:lineRule="auto"/>
              <w:jc w:val="right"/>
              <w:rPr>
                <w:bCs/>
                <w:sz w:val="18"/>
                <w:szCs w:val="18"/>
              </w:rPr>
            </w:pPr>
            <w:r w:rsidRPr="008435A0">
              <w:rPr>
                <w:bCs/>
                <w:sz w:val="18"/>
                <w:szCs w:val="18"/>
              </w:rPr>
              <w:t>£45,918</w:t>
            </w:r>
          </w:p>
        </w:tc>
      </w:tr>
      <w:tr w:rsidR="004F6B9D" w:rsidRPr="008435A0" w14:paraId="1C783EB9" w14:textId="77777777" w:rsidTr="008435A0">
        <w:tc>
          <w:tcPr>
            <w:tcW w:w="4678" w:type="dxa"/>
            <w:shd w:val="clear" w:color="auto" w:fill="auto"/>
          </w:tcPr>
          <w:p w14:paraId="128F38B8" w14:textId="3B5C3E06" w:rsidR="00A972EE" w:rsidRPr="008435A0" w:rsidRDefault="00A972EE" w:rsidP="008435A0">
            <w:pPr>
              <w:spacing w:after="0" w:line="240" w:lineRule="auto"/>
              <w:jc w:val="right"/>
              <w:rPr>
                <w:sz w:val="18"/>
                <w:szCs w:val="18"/>
              </w:rPr>
            </w:pPr>
            <w:r w:rsidRPr="008435A0">
              <w:rPr>
                <w:sz w:val="18"/>
                <w:szCs w:val="18"/>
              </w:rPr>
              <w:t>EQ-5D-5L – Staff MI Open cohort**</w:t>
            </w:r>
          </w:p>
        </w:tc>
        <w:tc>
          <w:tcPr>
            <w:tcW w:w="567" w:type="dxa"/>
          </w:tcPr>
          <w:p w14:paraId="1B7F9541" w14:textId="704C04A9" w:rsidR="00A972EE" w:rsidRPr="008435A0" w:rsidRDefault="00A972EE" w:rsidP="008435A0">
            <w:pPr>
              <w:spacing w:after="0" w:line="240" w:lineRule="auto"/>
              <w:jc w:val="right"/>
              <w:rPr>
                <w:sz w:val="18"/>
                <w:szCs w:val="18"/>
              </w:rPr>
            </w:pPr>
            <w:r w:rsidRPr="008435A0">
              <w:rPr>
                <w:sz w:val="18"/>
                <w:szCs w:val="18"/>
              </w:rPr>
              <w:t>523</w:t>
            </w:r>
          </w:p>
        </w:tc>
        <w:tc>
          <w:tcPr>
            <w:tcW w:w="1134" w:type="dxa"/>
            <w:shd w:val="clear" w:color="auto" w:fill="auto"/>
          </w:tcPr>
          <w:p w14:paraId="088DB11D" w14:textId="6AE8F9A9" w:rsidR="00A972EE" w:rsidRPr="008435A0" w:rsidRDefault="00A972EE" w:rsidP="008435A0">
            <w:pPr>
              <w:spacing w:line="240" w:lineRule="auto"/>
              <w:jc w:val="right"/>
              <w:rPr>
                <w:sz w:val="18"/>
                <w:szCs w:val="18"/>
              </w:rPr>
            </w:pPr>
            <w:r w:rsidRPr="008435A0">
              <w:rPr>
                <w:sz w:val="18"/>
                <w:szCs w:val="18"/>
              </w:rPr>
              <w:t>£2,830</w:t>
            </w:r>
          </w:p>
        </w:tc>
        <w:tc>
          <w:tcPr>
            <w:tcW w:w="709" w:type="dxa"/>
          </w:tcPr>
          <w:p w14:paraId="3ED0587D" w14:textId="5D2E6944" w:rsidR="00A972EE" w:rsidRPr="008435A0" w:rsidRDefault="00A972EE" w:rsidP="008435A0">
            <w:pPr>
              <w:spacing w:line="240" w:lineRule="auto"/>
              <w:jc w:val="right"/>
              <w:rPr>
                <w:sz w:val="18"/>
                <w:szCs w:val="18"/>
              </w:rPr>
            </w:pPr>
            <w:r w:rsidRPr="008435A0">
              <w:rPr>
                <w:sz w:val="18"/>
                <w:szCs w:val="18"/>
              </w:rPr>
              <w:t>394</w:t>
            </w:r>
          </w:p>
        </w:tc>
        <w:tc>
          <w:tcPr>
            <w:tcW w:w="850" w:type="dxa"/>
            <w:shd w:val="clear" w:color="auto" w:fill="auto"/>
          </w:tcPr>
          <w:p w14:paraId="59DF7AAA" w14:textId="23534943" w:rsidR="00A972EE" w:rsidRPr="008435A0" w:rsidRDefault="00A972EE" w:rsidP="008435A0">
            <w:pPr>
              <w:spacing w:line="240" w:lineRule="auto"/>
              <w:jc w:val="right"/>
              <w:rPr>
                <w:sz w:val="18"/>
                <w:szCs w:val="18"/>
              </w:rPr>
            </w:pPr>
            <w:r w:rsidRPr="008435A0">
              <w:rPr>
                <w:sz w:val="18"/>
                <w:szCs w:val="18"/>
              </w:rPr>
              <w:t>£1,608</w:t>
            </w:r>
          </w:p>
        </w:tc>
        <w:tc>
          <w:tcPr>
            <w:tcW w:w="1134" w:type="dxa"/>
            <w:shd w:val="clear" w:color="auto" w:fill="auto"/>
          </w:tcPr>
          <w:p w14:paraId="6D71C1FE" w14:textId="073B4A42" w:rsidR="00A972EE" w:rsidRPr="008435A0" w:rsidRDefault="00A972EE" w:rsidP="008435A0">
            <w:pPr>
              <w:spacing w:line="240" w:lineRule="auto"/>
              <w:jc w:val="right"/>
              <w:rPr>
                <w:sz w:val="18"/>
                <w:szCs w:val="18"/>
              </w:rPr>
            </w:pPr>
            <w:r w:rsidRPr="008435A0">
              <w:rPr>
                <w:sz w:val="18"/>
                <w:szCs w:val="18"/>
              </w:rPr>
              <w:t>£1,222</w:t>
            </w:r>
          </w:p>
        </w:tc>
        <w:tc>
          <w:tcPr>
            <w:tcW w:w="709" w:type="dxa"/>
          </w:tcPr>
          <w:p w14:paraId="402C1F3D" w14:textId="77E3322D" w:rsidR="00A972EE" w:rsidRPr="008435A0" w:rsidRDefault="00A972EE" w:rsidP="008435A0">
            <w:pPr>
              <w:spacing w:after="0" w:line="240" w:lineRule="auto"/>
              <w:jc w:val="right"/>
              <w:rPr>
                <w:sz w:val="18"/>
                <w:szCs w:val="18"/>
              </w:rPr>
            </w:pPr>
            <w:r w:rsidRPr="008435A0">
              <w:rPr>
                <w:sz w:val="18"/>
                <w:szCs w:val="18"/>
              </w:rPr>
              <w:t>523</w:t>
            </w:r>
          </w:p>
        </w:tc>
        <w:tc>
          <w:tcPr>
            <w:tcW w:w="1134" w:type="dxa"/>
            <w:shd w:val="clear" w:color="auto" w:fill="auto"/>
          </w:tcPr>
          <w:p w14:paraId="77B74BA3" w14:textId="0BE50E5A" w:rsidR="00A972EE" w:rsidRPr="008435A0" w:rsidRDefault="00A972EE" w:rsidP="008435A0">
            <w:pPr>
              <w:spacing w:line="240" w:lineRule="auto"/>
              <w:jc w:val="right"/>
              <w:rPr>
                <w:sz w:val="18"/>
                <w:szCs w:val="18"/>
              </w:rPr>
            </w:pPr>
            <w:r w:rsidRPr="008435A0">
              <w:rPr>
                <w:sz w:val="18"/>
                <w:szCs w:val="18"/>
              </w:rPr>
              <w:t>.577</w:t>
            </w:r>
          </w:p>
        </w:tc>
        <w:tc>
          <w:tcPr>
            <w:tcW w:w="596" w:type="dxa"/>
          </w:tcPr>
          <w:p w14:paraId="4DDD9C4F" w14:textId="3E295206" w:rsidR="00A972EE" w:rsidRPr="008435A0" w:rsidRDefault="00A972EE" w:rsidP="008435A0">
            <w:pPr>
              <w:spacing w:line="240" w:lineRule="auto"/>
              <w:jc w:val="right"/>
              <w:rPr>
                <w:sz w:val="18"/>
                <w:szCs w:val="18"/>
              </w:rPr>
            </w:pPr>
            <w:r w:rsidRPr="008435A0">
              <w:rPr>
                <w:sz w:val="18"/>
                <w:szCs w:val="18"/>
              </w:rPr>
              <w:t>394</w:t>
            </w:r>
          </w:p>
        </w:tc>
        <w:tc>
          <w:tcPr>
            <w:tcW w:w="851" w:type="dxa"/>
            <w:shd w:val="clear" w:color="auto" w:fill="auto"/>
          </w:tcPr>
          <w:p w14:paraId="49C25259" w14:textId="75FB0555" w:rsidR="00A972EE" w:rsidRPr="008435A0" w:rsidRDefault="00A972EE" w:rsidP="008435A0">
            <w:pPr>
              <w:spacing w:after="0" w:line="240" w:lineRule="auto"/>
              <w:jc w:val="right"/>
              <w:rPr>
                <w:sz w:val="18"/>
                <w:szCs w:val="18"/>
              </w:rPr>
            </w:pPr>
            <w:r w:rsidRPr="008435A0">
              <w:rPr>
                <w:sz w:val="18"/>
                <w:szCs w:val="18"/>
              </w:rPr>
              <w:t>.548</w:t>
            </w:r>
          </w:p>
        </w:tc>
        <w:tc>
          <w:tcPr>
            <w:tcW w:w="963" w:type="dxa"/>
            <w:shd w:val="clear" w:color="auto" w:fill="auto"/>
          </w:tcPr>
          <w:p w14:paraId="3EDDFD65" w14:textId="742B99CA" w:rsidR="00A972EE" w:rsidRPr="008435A0" w:rsidRDefault="00A972EE" w:rsidP="008435A0">
            <w:pPr>
              <w:spacing w:line="240" w:lineRule="auto"/>
              <w:jc w:val="right"/>
              <w:rPr>
                <w:sz w:val="18"/>
                <w:szCs w:val="18"/>
              </w:rPr>
            </w:pPr>
            <w:r w:rsidRPr="008435A0">
              <w:rPr>
                <w:sz w:val="18"/>
                <w:szCs w:val="18"/>
              </w:rPr>
              <w:t>.028</w:t>
            </w:r>
          </w:p>
        </w:tc>
        <w:tc>
          <w:tcPr>
            <w:tcW w:w="993" w:type="dxa"/>
            <w:shd w:val="clear" w:color="auto" w:fill="auto"/>
          </w:tcPr>
          <w:p w14:paraId="654ED618" w14:textId="704FC095" w:rsidR="00A972EE" w:rsidRPr="008435A0" w:rsidRDefault="00A972EE" w:rsidP="008435A0">
            <w:pPr>
              <w:spacing w:after="0" w:line="240" w:lineRule="auto"/>
              <w:jc w:val="right"/>
              <w:rPr>
                <w:sz w:val="18"/>
                <w:szCs w:val="18"/>
              </w:rPr>
            </w:pPr>
            <w:r w:rsidRPr="008435A0">
              <w:rPr>
                <w:sz w:val="18"/>
                <w:szCs w:val="18"/>
              </w:rPr>
              <w:t>£42,953</w:t>
            </w:r>
          </w:p>
        </w:tc>
      </w:tr>
      <w:tr w:rsidR="004F6B9D" w:rsidRPr="008435A0" w14:paraId="3BB3F7DA" w14:textId="77777777" w:rsidTr="008435A0">
        <w:tc>
          <w:tcPr>
            <w:tcW w:w="4678" w:type="dxa"/>
            <w:shd w:val="clear" w:color="auto" w:fill="auto"/>
          </w:tcPr>
          <w:p w14:paraId="4C0AF72E" w14:textId="03B97EBB" w:rsidR="00A972EE" w:rsidRPr="008435A0" w:rsidRDefault="00A972EE" w:rsidP="008435A0">
            <w:pPr>
              <w:spacing w:after="0" w:line="240" w:lineRule="auto"/>
              <w:jc w:val="right"/>
              <w:rPr>
                <w:sz w:val="18"/>
                <w:szCs w:val="18"/>
              </w:rPr>
            </w:pPr>
            <w:r w:rsidRPr="008435A0">
              <w:rPr>
                <w:sz w:val="18"/>
                <w:szCs w:val="18"/>
              </w:rPr>
              <w:t>DEMQoL – Staff MI Open cohort**</w:t>
            </w:r>
          </w:p>
        </w:tc>
        <w:tc>
          <w:tcPr>
            <w:tcW w:w="567" w:type="dxa"/>
          </w:tcPr>
          <w:p w14:paraId="5BB96D7C" w14:textId="66FEBA2F" w:rsidR="00A972EE" w:rsidRPr="008435A0" w:rsidRDefault="00A972EE" w:rsidP="008435A0">
            <w:pPr>
              <w:spacing w:after="0" w:line="240" w:lineRule="auto"/>
              <w:jc w:val="right"/>
              <w:rPr>
                <w:sz w:val="18"/>
                <w:szCs w:val="18"/>
              </w:rPr>
            </w:pPr>
            <w:r w:rsidRPr="008435A0">
              <w:rPr>
                <w:sz w:val="18"/>
                <w:szCs w:val="18"/>
              </w:rPr>
              <w:t>523</w:t>
            </w:r>
          </w:p>
        </w:tc>
        <w:tc>
          <w:tcPr>
            <w:tcW w:w="1134" w:type="dxa"/>
            <w:shd w:val="clear" w:color="auto" w:fill="auto"/>
          </w:tcPr>
          <w:p w14:paraId="73AA1CB7" w14:textId="19AD7402" w:rsidR="00A972EE" w:rsidRPr="008435A0" w:rsidRDefault="00A972EE" w:rsidP="008435A0">
            <w:pPr>
              <w:spacing w:line="240" w:lineRule="auto"/>
              <w:jc w:val="right"/>
              <w:rPr>
                <w:sz w:val="18"/>
                <w:szCs w:val="18"/>
              </w:rPr>
            </w:pPr>
            <w:r w:rsidRPr="008435A0">
              <w:rPr>
                <w:sz w:val="18"/>
                <w:szCs w:val="18"/>
              </w:rPr>
              <w:t>£2,830</w:t>
            </w:r>
          </w:p>
        </w:tc>
        <w:tc>
          <w:tcPr>
            <w:tcW w:w="709" w:type="dxa"/>
          </w:tcPr>
          <w:p w14:paraId="601C7D2F" w14:textId="2348120B" w:rsidR="00A972EE" w:rsidRPr="008435A0" w:rsidRDefault="00A972EE" w:rsidP="008435A0">
            <w:pPr>
              <w:spacing w:line="240" w:lineRule="auto"/>
              <w:jc w:val="right"/>
              <w:rPr>
                <w:sz w:val="18"/>
                <w:szCs w:val="18"/>
              </w:rPr>
            </w:pPr>
            <w:r w:rsidRPr="008435A0">
              <w:rPr>
                <w:sz w:val="18"/>
                <w:szCs w:val="18"/>
              </w:rPr>
              <w:t>394</w:t>
            </w:r>
          </w:p>
        </w:tc>
        <w:tc>
          <w:tcPr>
            <w:tcW w:w="850" w:type="dxa"/>
            <w:shd w:val="clear" w:color="auto" w:fill="auto"/>
          </w:tcPr>
          <w:p w14:paraId="3FFB52B5" w14:textId="6B148077" w:rsidR="00A972EE" w:rsidRPr="008435A0" w:rsidRDefault="00A972EE" w:rsidP="008435A0">
            <w:pPr>
              <w:spacing w:line="240" w:lineRule="auto"/>
              <w:jc w:val="right"/>
              <w:rPr>
                <w:sz w:val="18"/>
                <w:szCs w:val="18"/>
              </w:rPr>
            </w:pPr>
            <w:r w:rsidRPr="008435A0">
              <w:rPr>
                <w:sz w:val="18"/>
                <w:szCs w:val="18"/>
              </w:rPr>
              <w:t>£1,608</w:t>
            </w:r>
          </w:p>
        </w:tc>
        <w:tc>
          <w:tcPr>
            <w:tcW w:w="1134" w:type="dxa"/>
            <w:shd w:val="clear" w:color="auto" w:fill="auto"/>
          </w:tcPr>
          <w:p w14:paraId="27A0D368" w14:textId="3E595724" w:rsidR="00A972EE" w:rsidRPr="008435A0" w:rsidRDefault="00A972EE" w:rsidP="008435A0">
            <w:pPr>
              <w:spacing w:line="240" w:lineRule="auto"/>
              <w:jc w:val="right"/>
              <w:rPr>
                <w:sz w:val="18"/>
                <w:szCs w:val="18"/>
              </w:rPr>
            </w:pPr>
            <w:r w:rsidRPr="008435A0">
              <w:rPr>
                <w:sz w:val="18"/>
                <w:szCs w:val="18"/>
              </w:rPr>
              <w:t>£1,222</w:t>
            </w:r>
          </w:p>
        </w:tc>
        <w:tc>
          <w:tcPr>
            <w:tcW w:w="709" w:type="dxa"/>
          </w:tcPr>
          <w:p w14:paraId="5FDAF49A" w14:textId="77C10569" w:rsidR="00A972EE" w:rsidRPr="008435A0" w:rsidRDefault="00A972EE" w:rsidP="008435A0">
            <w:pPr>
              <w:spacing w:after="0" w:line="240" w:lineRule="auto"/>
              <w:jc w:val="right"/>
              <w:rPr>
                <w:sz w:val="18"/>
                <w:szCs w:val="18"/>
              </w:rPr>
            </w:pPr>
            <w:r w:rsidRPr="008435A0">
              <w:rPr>
                <w:sz w:val="18"/>
                <w:szCs w:val="18"/>
              </w:rPr>
              <w:t>523</w:t>
            </w:r>
          </w:p>
        </w:tc>
        <w:tc>
          <w:tcPr>
            <w:tcW w:w="1134" w:type="dxa"/>
            <w:shd w:val="clear" w:color="auto" w:fill="auto"/>
          </w:tcPr>
          <w:p w14:paraId="6DE69E25" w14:textId="7B5439A1" w:rsidR="00A972EE" w:rsidRPr="008435A0" w:rsidRDefault="00A972EE" w:rsidP="008435A0">
            <w:pPr>
              <w:spacing w:line="240" w:lineRule="auto"/>
              <w:jc w:val="right"/>
              <w:rPr>
                <w:sz w:val="18"/>
                <w:szCs w:val="18"/>
              </w:rPr>
            </w:pPr>
            <w:r w:rsidRPr="008435A0">
              <w:rPr>
                <w:sz w:val="18"/>
                <w:szCs w:val="18"/>
              </w:rPr>
              <w:t>.665</w:t>
            </w:r>
          </w:p>
        </w:tc>
        <w:tc>
          <w:tcPr>
            <w:tcW w:w="596" w:type="dxa"/>
          </w:tcPr>
          <w:p w14:paraId="434DE85A" w14:textId="03D3620D" w:rsidR="00A972EE" w:rsidRPr="008435A0" w:rsidRDefault="00A972EE" w:rsidP="008435A0">
            <w:pPr>
              <w:spacing w:line="240" w:lineRule="auto"/>
              <w:jc w:val="right"/>
              <w:rPr>
                <w:sz w:val="18"/>
                <w:szCs w:val="18"/>
              </w:rPr>
            </w:pPr>
            <w:r w:rsidRPr="008435A0">
              <w:rPr>
                <w:sz w:val="18"/>
                <w:szCs w:val="18"/>
              </w:rPr>
              <w:t>394</w:t>
            </w:r>
          </w:p>
        </w:tc>
        <w:tc>
          <w:tcPr>
            <w:tcW w:w="851" w:type="dxa"/>
            <w:shd w:val="clear" w:color="auto" w:fill="auto"/>
          </w:tcPr>
          <w:p w14:paraId="1ED7A8BA" w14:textId="4900E5D9" w:rsidR="00A972EE" w:rsidRPr="008435A0" w:rsidRDefault="00A972EE" w:rsidP="008435A0">
            <w:pPr>
              <w:spacing w:after="0" w:line="240" w:lineRule="auto"/>
              <w:jc w:val="right"/>
              <w:rPr>
                <w:sz w:val="18"/>
                <w:szCs w:val="18"/>
              </w:rPr>
            </w:pPr>
            <w:r w:rsidRPr="008435A0">
              <w:rPr>
                <w:sz w:val="18"/>
                <w:szCs w:val="18"/>
              </w:rPr>
              <w:t>.629</w:t>
            </w:r>
          </w:p>
        </w:tc>
        <w:tc>
          <w:tcPr>
            <w:tcW w:w="963" w:type="dxa"/>
            <w:shd w:val="clear" w:color="auto" w:fill="auto"/>
          </w:tcPr>
          <w:p w14:paraId="5270ADDA" w14:textId="0C466C11" w:rsidR="00A972EE" w:rsidRPr="008435A0" w:rsidRDefault="00A972EE" w:rsidP="008435A0">
            <w:pPr>
              <w:spacing w:line="240" w:lineRule="auto"/>
              <w:jc w:val="right"/>
              <w:rPr>
                <w:sz w:val="18"/>
                <w:szCs w:val="18"/>
              </w:rPr>
            </w:pPr>
            <w:r w:rsidRPr="008435A0">
              <w:rPr>
                <w:sz w:val="18"/>
                <w:szCs w:val="18"/>
              </w:rPr>
              <w:t>.036</w:t>
            </w:r>
          </w:p>
        </w:tc>
        <w:tc>
          <w:tcPr>
            <w:tcW w:w="993" w:type="dxa"/>
            <w:shd w:val="clear" w:color="auto" w:fill="auto"/>
          </w:tcPr>
          <w:p w14:paraId="47CA6C92" w14:textId="6692388A" w:rsidR="00A972EE" w:rsidRPr="008435A0" w:rsidRDefault="00A972EE" w:rsidP="008435A0">
            <w:pPr>
              <w:spacing w:after="0" w:line="240" w:lineRule="auto"/>
              <w:jc w:val="right"/>
              <w:rPr>
                <w:sz w:val="18"/>
                <w:szCs w:val="18"/>
              </w:rPr>
            </w:pPr>
            <w:r w:rsidRPr="008435A0">
              <w:rPr>
                <w:sz w:val="18"/>
                <w:szCs w:val="18"/>
              </w:rPr>
              <w:t>£34,234</w:t>
            </w:r>
          </w:p>
        </w:tc>
      </w:tr>
      <w:tr w:rsidR="004F6B9D" w:rsidRPr="008435A0" w14:paraId="5871DC8D" w14:textId="77777777" w:rsidTr="008435A0">
        <w:tc>
          <w:tcPr>
            <w:tcW w:w="4678" w:type="dxa"/>
            <w:shd w:val="clear" w:color="auto" w:fill="auto"/>
          </w:tcPr>
          <w:p w14:paraId="023845BC" w14:textId="54C35C67" w:rsidR="00A972EE" w:rsidRPr="008435A0" w:rsidRDefault="00A972EE" w:rsidP="008435A0">
            <w:pPr>
              <w:spacing w:after="0" w:line="240" w:lineRule="auto"/>
              <w:jc w:val="right"/>
              <w:rPr>
                <w:sz w:val="18"/>
                <w:szCs w:val="18"/>
              </w:rPr>
            </w:pPr>
            <w:r w:rsidRPr="008435A0">
              <w:rPr>
                <w:sz w:val="18"/>
                <w:szCs w:val="18"/>
              </w:rPr>
              <w:t xml:space="preserve">EQ-5D-5L Staff MI (int </w:t>
            </w:r>
            <w:r w:rsidR="00182DC5" w:rsidRPr="008435A0">
              <w:rPr>
                <w:sz w:val="18"/>
                <w:szCs w:val="18"/>
              </w:rPr>
              <w:t>arm</w:t>
            </w:r>
            <w:r w:rsidR="0087696B" w:rsidRPr="008435A0">
              <w:rPr>
                <w:sz w:val="18"/>
                <w:szCs w:val="18"/>
              </w:rPr>
              <w:t xml:space="preserve"> </w:t>
            </w:r>
            <w:r w:rsidRPr="008435A0">
              <w:rPr>
                <w:sz w:val="18"/>
                <w:szCs w:val="18"/>
              </w:rPr>
              <w:t xml:space="preserve">= only those who </w:t>
            </w:r>
            <w:r w:rsidR="0087696B" w:rsidRPr="008435A0">
              <w:rPr>
                <w:sz w:val="18"/>
                <w:szCs w:val="18"/>
              </w:rPr>
              <w:t xml:space="preserve">completed </w:t>
            </w:r>
            <w:r w:rsidR="004872B6" w:rsidRPr="008435A0">
              <w:rPr>
                <w:sz w:val="18"/>
                <w:szCs w:val="18"/>
              </w:rPr>
              <w:t>at least two</w:t>
            </w:r>
            <w:r w:rsidR="0087696B" w:rsidRPr="008435A0">
              <w:rPr>
                <w:sz w:val="18"/>
                <w:szCs w:val="18"/>
              </w:rPr>
              <w:t xml:space="preserve"> </w:t>
            </w:r>
            <w:r w:rsidR="00597D22" w:rsidRPr="008435A0">
              <w:rPr>
                <w:sz w:val="18"/>
                <w:szCs w:val="18"/>
                <w:lang w:eastAsia="en-US"/>
              </w:rPr>
              <w:t>DCM</w:t>
            </w:r>
            <w:r w:rsidR="00597D22" w:rsidRPr="008435A0">
              <w:rPr>
                <w:sz w:val="18"/>
                <w:szCs w:val="18"/>
              </w:rPr>
              <w:t>™</w:t>
            </w:r>
            <w:r w:rsidR="0087696B" w:rsidRPr="008435A0">
              <w:rPr>
                <w:sz w:val="18"/>
                <w:szCs w:val="18"/>
              </w:rPr>
              <w:t xml:space="preserve"> cycle</w:t>
            </w:r>
            <w:r w:rsidR="004872B6" w:rsidRPr="008435A0">
              <w:rPr>
                <w:sz w:val="18"/>
                <w:szCs w:val="18"/>
              </w:rPr>
              <w:t>s to an acceptable level</w:t>
            </w:r>
          </w:p>
        </w:tc>
        <w:tc>
          <w:tcPr>
            <w:tcW w:w="567" w:type="dxa"/>
          </w:tcPr>
          <w:p w14:paraId="43D7E11D" w14:textId="3E18A0D9" w:rsidR="00A972EE" w:rsidRPr="008435A0" w:rsidRDefault="004872B6" w:rsidP="008435A0">
            <w:pPr>
              <w:spacing w:after="0" w:line="240" w:lineRule="auto"/>
              <w:jc w:val="right"/>
              <w:rPr>
                <w:sz w:val="18"/>
                <w:szCs w:val="18"/>
              </w:rPr>
            </w:pPr>
            <w:r w:rsidRPr="008435A0">
              <w:rPr>
                <w:sz w:val="18"/>
                <w:szCs w:val="18"/>
              </w:rPr>
              <w:t>100</w:t>
            </w:r>
          </w:p>
        </w:tc>
        <w:tc>
          <w:tcPr>
            <w:tcW w:w="1134" w:type="dxa"/>
            <w:shd w:val="clear" w:color="auto" w:fill="auto"/>
          </w:tcPr>
          <w:p w14:paraId="4BE3E8A2" w14:textId="4263A582" w:rsidR="00A972EE" w:rsidRPr="008435A0" w:rsidRDefault="00A972EE" w:rsidP="008435A0">
            <w:pPr>
              <w:spacing w:line="240" w:lineRule="auto"/>
              <w:jc w:val="right"/>
              <w:rPr>
                <w:sz w:val="18"/>
                <w:szCs w:val="18"/>
              </w:rPr>
            </w:pPr>
            <w:r w:rsidRPr="008435A0">
              <w:rPr>
                <w:sz w:val="18"/>
                <w:szCs w:val="18"/>
              </w:rPr>
              <w:t>£</w:t>
            </w:r>
            <w:r w:rsidR="00095926" w:rsidRPr="008435A0">
              <w:rPr>
                <w:sz w:val="18"/>
                <w:szCs w:val="18"/>
              </w:rPr>
              <w:t>2,856</w:t>
            </w:r>
          </w:p>
        </w:tc>
        <w:tc>
          <w:tcPr>
            <w:tcW w:w="709" w:type="dxa"/>
          </w:tcPr>
          <w:p w14:paraId="01606A31" w14:textId="7AFDA1FC" w:rsidR="00A972EE" w:rsidRPr="008435A0" w:rsidRDefault="00A972EE" w:rsidP="008435A0">
            <w:pPr>
              <w:spacing w:line="240" w:lineRule="auto"/>
              <w:jc w:val="right"/>
              <w:rPr>
                <w:sz w:val="18"/>
                <w:szCs w:val="18"/>
              </w:rPr>
            </w:pPr>
            <w:r w:rsidRPr="008435A0">
              <w:rPr>
                <w:sz w:val="18"/>
                <w:szCs w:val="18"/>
              </w:rPr>
              <w:t>308</w:t>
            </w:r>
          </w:p>
        </w:tc>
        <w:tc>
          <w:tcPr>
            <w:tcW w:w="850" w:type="dxa"/>
            <w:shd w:val="clear" w:color="auto" w:fill="auto"/>
          </w:tcPr>
          <w:p w14:paraId="6AD69D62" w14:textId="76E0083C" w:rsidR="00A972EE" w:rsidRPr="008435A0" w:rsidRDefault="00A972EE" w:rsidP="008435A0">
            <w:pPr>
              <w:spacing w:line="240" w:lineRule="auto"/>
              <w:jc w:val="center"/>
              <w:rPr>
                <w:sz w:val="18"/>
                <w:szCs w:val="18"/>
              </w:rPr>
            </w:pPr>
            <w:r w:rsidRPr="008435A0">
              <w:rPr>
                <w:sz w:val="18"/>
                <w:szCs w:val="18"/>
              </w:rPr>
              <w:t>£2,060</w:t>
            </w:r>
          </w:p>
        </w:tc>
        <w:tc>
          <w:tcPr>
            <w:tcW w:w="1134" w:type="dxa"/>
            <w:shd w:val="clear" w:color="auto" w:fill="auto"/>
          </w:tcPr>
          <w:p w14:paraId="4660B2A9" w14:textId="1EE40BC4" w:rsidR="00A972EE" w:rsidRPr="008435A0" w:rsidRDefault="00A972EE" w:rsidP="008435A0">
            <w:pPr>
              <w:spacing w:line="240" w:lineRule="auto"/>
              <w:jc w:val="right"/>
              <w:rPr>
                <w:sz w:val="18"/>
                <w:szCs w:val="18"/>
              </w:rPr>
            </w:pPr>
            <w:r w:rsidRPr="008435A0">
              <w:rPr>
                <w:sz w:val="18"/>
                <w:szCs w:val="18"/>
              </w:rPr>
              <w:t xml:space="preserve">£ </w:t>
            </w:r>
            <w:r w:rsidR="00095926" w:rsidRPr="008435A0">
              <w:rPr>
                <w:sz w:val="18"/>
                <w:szCs w:val="18"/>
              </w:rPr>
              <w:t>796</w:t>
            </w:r>
          </w:p>
        </w:tc>
        <w:tc>
          <w:tcPr>
            <w:tcW w:w="709" w:type="dxa"/>
          </w:tcPr>
          <w:p w14:paraId="06B2DEBB" w14:textId="4BF994AA" w:rsidR="00A972EE" w:rsidRPr="008435A0" w:rsidRDefault="00095926" w:rsidP="008435A0">
            <w:pPr>
              <w:spacing w:after="0" w:line="240" w:lineRule="auto"/>
              <w:jc w:val="right"/>
              <w:rPr>
                <w:sz w:val="18"/>
                <w:szCs w:val="18"/>
              </w:rPr>
            </w:pPr>
            <w:r w:rsidRPr="008435A0">
              <w:rPr>
                <w:sz w:val="18"/>
                <w:szCs w:val="18"/>
              </w:rPr>
              <w:t>100</w:t>
            </w:r>
          </w:p>
        </w:tc>
        <w:tc>
          <w:tcPr>
            <w:tcW w:w="1134" w:type="dxa"/>
            <w:shd w:val="clear" w:color="auto" w:fill="auto"/>
          </w:tcPr>
          <w:p w14:paraId="17175D8A" w14:textId="287121C5" w:rsidR="00A972EE" w:rsidRPr="008435A0" w:rsidRDefault="00A972EE" w:rsidP="008435A0">
            <w:pPr>
              <w:spacing w:line="240" w:lineRule="auto"/>
              <w:jc w:val="right"/>
              <w:rPr>
                <w:sz w:val="18"/>
                <w:szCs w:val="18"/>
              </w:rPr>
            </w:pPr>
            <w:r w:rsidRPr="008435A0">
              <w:rPr>
                <w:sz w:val="18"/>
                <w:szCs w:val="18"/>
              </w:rPr>
              <w:t>.</w:t>
            </w:r>
            <w:r w:rsidR="00095926" w:rsidRPr="008435A0">
              <w:rPr>
                <w:sz w:val="18"/>
                <w:szCs w:val="18"/>
              </w:rPr>
              <w:t>734</w:t>
            </w:r>
          </w:p>
        </w:tc>
        <w:tc>
          <w:tcPr>
            <w:tcW w:w="596" w:type="dxa"/>
          </w:tcPr>
          <w:p w14:paraId="766C340C" w14:textId="5AC454B2" w:rsidR="00A972EE" w:rsidRPr="008435A0" w:rsidRDefault="00095926" w:rsidP="008435A0">
            <w:pPr>
              <w:spacing w:line="240" w:lineRule="auto"/>
              <w:jc w:val="right"/>
              <w:rPr>
                <w:sz w:val="18"/>
                <w:szCs w:val="18"/>
              </w:rPr>
            </w:pPr>
            <w:r w:rsidRPr="008435A0">
              <w:rPr>
                <w:sz w:val="18"/>
                <w:szCs w:val="18"/>
              </w:rPr>
              <w:t>308</w:t>
            </w:r>
          </w:p>
        </w:tc>
        <w:tc>
          <w:tcPr>
            <w:tcW w:w="851" w:type="dxa"/>
            <w:shd w:val="clear" w:color="auto" w:fill="auto"/>
          </w:tcPr>
          <w:p w14:paraId="3015A40D" w14:textId="56CBDEDD" w:rsidR="00A972EE" w:rsidRPr="008435A0" w:rsidRDefault="00A972EE" w:rsidP="008435A0">
            <w:pPr>
              <w:spacing w:after="0" w:line="240" w:lineRule="auto"/>
              <w:jc w:val="right"/>
              <w:rPr>
                <w:sz w:val="18"/>
                <w:szCs w:val="18"/>
              </w:rPr>
            </w:pPr>
            <w:r w:rsidRPr="008435A0">
              <w:rPr>
                <w:sz w:val="18"/>
                <w:szCs w:val="18"/>
              </w:rPr>
              <w:t>.708</w:t>
            </w:r>
          </w:p>
        </w:tc>
        <w:tc>
          <w:tcPr>
            <w:tcW w:w="963" w:type="dxa"/>
            <w:shd w:val="clear" w:color="auto" w:fill="auto"/>
          </w:tcPr>
          <w:p w14:paraId="49434B95" w14:textId="2548D6C0" w:rsidR="00A972EE" w:rsidRPr="008435A0" w:rsidRDefault="00A972EE" w:rsidP="008435A0">
            <w:pPr>
              <w:spacing w:line="240" w:lineRule="auto"/>
              <w:jc w:val="right"/>
              <w:rPr>
                <w:sz w:val="18"/>
                <w:szCs w:val="18"/>
              </w:rPr>
            </w:pPr>
            <w:r w:rsidRPr="008435A0">
              <w:rPr>
                <w:sz w:val="18"/>
                <w:szCs w:val="18"/>
              </w:rPr>
              <w:t>.0</w:t>
            </w:r>
            <w:r w:rsidR="00095926" w:rsidRPr="008435A0">
              <w:rPr>
                <w:sz w:val="18"/>
                <w:szCs w:val="18"/>
              </w:rPr>
              <w:t>26</w:t>
            </w:r>
          </w:p>
        </w:tc>
        <w:tc>
          <w:tcPr>
            <w:tcW w:w="993" w:type="dxa"/>
            <w:shd w:val="clear" w:color="auto" w:fill="auto"/>
          </w:tcPr>
          <w:p w14:paraId="35B76A32" w14:textId="77FAFA19" w:rsidR="00A972EE" w:rsidRPr="008435A0" w:rsidRDefault="00A972EE" w:rsidP="008435A0">
            <w:pPr>
              <w:spacing w:after="0" w:line="240" w:lineRule="auto"/>
              <w:jc w:val="right"/>
              <w:rPr>
                <w:sz w:val="18"/>
                <w:szCs w:val="18"/>
              </w:rPr>
            </w:pPr>
            <w:r w:rsidRPr="008435A0">
              <w:rPr>
                <w:sz w:val="18"/>
                <w:szCs w:val="18"/>
              </w:rPr>
              <w:t>£</w:t>
            </w:r>
            <w:r w:rsidR="00095926" w:rsidRPr="008435A0">
              <w:rPr>
                <w:sz w:val="18"/>
                <w:szCs w:val="18"/>
              </w:rPr>
              <w:t>30,447</w:t>
            </w:r>
          </w:p>
        </w:tc>
      </w:tr>
      <w:tr w:rsidR="004F6B9D" w:rsidRPr="008435A0" w14:paraId="4761FA05" w14:textId="77777777" w:rsidTr="008435A0">
        <w:tc>
          <w:tcPr>
            <w:tcW w:w="4678" w:type="dxa"/>
            <w:shd w:val="clear" w:color="auto" w:fill="auto"/>
          </w:tcPr>
          <w:p w14:paraId="2326E5A4" w14:textId="249A4C38" w:rsidR="00A972EE" w:rsidRPr="008435A0" w:rsidRDefault="00A972EE" w:rsidP="008435A0">
            <w:pPr>
              <w:spacing w:after="0" w:line="240" w:lineRule="auto"/>
              <w:jc w:val="right"/>
              <w:rPr>
                <w:sz w:val="18"/>
                <w:szCs w:val="18"/>
              </w:rPr>
            </w:pPr>
            <w:r w:rsidRPr="008435A0">
              <w:rPr>
                <w:sz w:val="18"/>
                <w:szCs w:val="18"/>
              </w:rPr>
              <w:t xml:space="preserve">EQ-5D-5L Staff MI (int </w:t>
            </w:r>
            <w:r w:rsidR="00182DC5" w:rsidRPr="008435A0">
              <w:rPr>
                <w:sz w:val="18"/>
                <w:szCs w:val="18"/>
              </w:rPr>
              <w:t>arm</w:t>
            </w:r>
            <w:r w:rsidR="0087696B" w:rsidRPr="008435A0">
              <w:rPr>
                <w:sz w:val="18"/>
                <w:szCs w:val="18"/>
              </w:rPr>
              <w:t xml:space="preserve"> </w:t>
            </w:r>
            <w:r w:rsidRPr="008435A0">
              <w:rPr>
                <w:sz w:val="18"/>
                <w:szCs w:val="18"/>
              </w:rPr>
              <w:t xml:space="preserve">= only those who </w:t>
            </w:r>
            <w:r w:rsidR="0087696B" w:rsidRPr="008435A0">
              <w:rPr>
                <w:sz w:val="18"/>
                <w:szCs w:val="18"/>
              </w:rPr>
              <w:t xml:space="preserve">completed </w:t>
            </w:r>
            <w:r w:rsidR="004872B6" w:rsidRPr="008435A0">
              <w:rPr>
                <w:sz w:val="18"/>
                <w:szCs w:val="18"/>
              </w:rPr>
              <w:t xml:space="preserve">at least one </w:t>
            </w:r>
            <w:r w:rsidR="00597D22" w:rsidRPr="008435A0">
              <w:rPr>
                <w:sz w:val="18"/>
                <w:szCs w:val="18"/>
                <w:lang w:eastAsia="en-US"/>
              </w:rPr>
              <w:t>DCM</w:t>
            </w:r>
            <w:r w:rsidR="00597D22" w:rsidRPr="008435A0">
              <w:rPr>
                <w:sz w:val="18"/>
                <w:szCs w:val="18"/>
              </w:rPr>
              <w:t>™</w:t>
            </w:r>
            <w:r w:rsidR="004872B6" w:rsidRPr="008435A0">
              <w:rPr>
                <w:sz w:val="18"/>
                <w:szCs w:val="18"/>
              </w:rPr>
              <w:t xml:space="preserve"> cycle to an acceptable level</w:t>
            </w:r>
            <w:r w:rsidRPr="008435A0">
              <w:rPr>
                <w:sz w:val="18"/>
                <w:szCs w:val="18"/>
              </w:rPr>
              <w:t>****</w:t>
            </w:r>
          </w:p>
        </w:tc>
        <w:tc>
          <w:tcPr>
            <w:tcW w:w="567" w:type="dxa"/>
          </w:tcPr>
          <w:p w14:paraId="264484F2" w14:textId="0EC329DD" w:rsidR="00A972EE" w:rsidRPr="008435A0" w:rsidRDefault="00A972EE" w:rsidP="008435A0">
            <w:pPr>
              <w:spacing w:after="0" w:line="240" w:lineRule="auto"/>
              <w:jc w:val="right"/>
              <w:rPr>
                <w:sz w:val="18"/>
                <w:szCs w:val="18"/>
              </w:rPr>
            </w:pPr>
            <w:r w:rsidRPr="008435A0">
              <w:rPr>
                <w:sz w:val="18"/>
                <w:szCs w:val="18"/>
              </w:rPr>
              <w:t>328</w:t>
            </w:r>
          </w:p>
        </w:tc>
        <w:tc>
          <w:tcPr>
            <w:tcW w:w="1134" w:type="dxa"/>
            <w:shd w:val="clear" w:color="auto" w:fill="auto"/>
          </w:tcPr>
          <w:p w14:paraId="2DACEC84" w14:textId="0D774FF1" w:rsidR="00A972EE" w:rsidRPr="008435A0" w:rsidRDefault="00A972EE" w:rsidP="008435A0">
            <w:pPr>
              <w:spacing w:line="240" w:lineRule="auto"/>
              <w:jc w:val="right"/>
              <w:rPr>
                <w:sz w:val="18"/>
                <w:szCs w:val="18"/>
              </w:rPr>
            </w:pPr>
            <w:r w:rsidRPr="008435A0">
              <w:rPr>
                <w:sz w:val="18"/>
                <w:szCs w:val="18"/>
              </w:rPr>
              <w:t>£3,833</w:t>
            </w:r>
          </w:p>
        </w:tc>
        <w:tc>
          <w:tcPr>
            <w:tcW w:w="709" w:type="dxa"/>
          </w:tcPr>
          <w:p w14:paraId="5DFA4B0F" w14:textId="5722ABEF" w:rsidR="00A972EE" w:rsidRPr="008435A0" w:rsidRDefault="00A972EE" w:rsidP="008435A0">
            <w:pPr>
              <w:spacing w:line="240" w:lineRule="auto"/>
              <w:jc w:val="right"/>
              <w:rPr>
                <w:sz w:val="18"/>
                <w:szCs w:val="18"/>
              </w:rPr>
            </w:pPr>
            <w:r w:rsidRPr="008435A0">
              <w:rPr>
                <w:sz w:val="18"/>
                <w:szCs w:val="18"/>
              </w:rPr>
              <w:t>308</w:t>
            </w:r>
          </w:p>
        </w:tc>
        <w:tc>
          <w:tcPr>
            <w:tcW w:w="850" w:type="dxa"/>
            <w:shd w:val="clear" w:color="auto" w:fill="auto"/>
          </w:tcPr>
          <w:p w14:paraId="661E66BF" w14:textId="4DA103C1" w:rsidR="00A972EE" w:rsidRPr="008435A0" w:rsidRDefault="00A972EE" w:rsidP="008435A0">
            <w:pPr>
              <w:spacing w:line="240" w:lineRule="auto"/>
              <w:jc w:val="right"/>
              <w:rPr>
                <w:sz w:val="18"/>
                <w:szCs w:val="18"/>
              </w:rPr>
            </w:pPr>
            <w:r w:rsidRPr="008435A0">
              <w:rPr>
                <w:sz w:val="18"/>
                <w:szCs w:val="18"/>
              </w:rPr>
              <w:t>£2,060</w:t>
            </w:r>
          </w:p>
        </w:tc>
        <w:tc>
          <w:tcPr>
            <w:tcW w:w="1134" w:type="dxa"/>
            <w:shd w:val="clear" w:color="auto" w:fill="auto"/>
          </w:tcPr>
          <w:p w14:paraId="3758A798" w14:textId="3EE4AFCB" w:rsidR="00A972EE" w:rsidRPr="008435A0" w:rsidRDefault="00A972EE" w:rsidP="008435A0">
            <w:pPr>
              <w:spacing w:line="240" w:lineRule="auto"/>
              <w:jc w:val="right"/>
              <w:rPr>
                <w:sz w:val="18"/>
                <w:szCs w:val="18"/>
              </w:rPr>
            </w:pPr>
            <w:r w:rsidRPr="008435A0">
              <w:rPr>
                <w:sz w:val="18"/>
                <w:szCs w:val="18"/>
              </w:rPr>
              <w:t>£1,774</w:t>
            </w:r>
          </w:p>
        </w:tc>
        <w:tc>
          <w:tcPr>
            <w:tcW w:w="709" w:type="dxa"/>
          </w:tcPr>
          <w:p w14:paraId="5F2255DF" w14:textId="2BC31C38" w:rsidR="00A972EE" w:rsidRPr="008435A0" w:rsidRDefault="00A972EE" w:rsidP="008435A0">
            <w:pPr>
              <w:spacing w:after="0" w:line="240" w:lineRule="auto"/>
              <w:jc w:val="right"/>
              <w:rPr>
                <w:sz w:val="18"/>
                <w:szCs w:val="18"/>
              </w:rPr>
            </w:pPr>
            <w:r w:rsidRPr="008435A0">
              <w:rPr>
                <w:sz w:val="18"/>
                <w:szCs w:val="18"/>
              </w:rPr>
              <w:t>328</w:t>
            </w:r>
          </w:p>
        </w:tc>
        <w:tc>
          <w:tcPr>
            <w:tcW w:w="1134" w:type="dxa"/>
            <w:shd w:val="clear" w:color="auto" w:fill="auto"/>
          </w:tcPr>
          <w:p w14:paraId="43453C2E" w14:textId="2712C775" w:rsidR="00A972EE" w:rsidRPr="008435A0" w:rsidRDefault="00A972EE" w:rsidP="008435A0">
            <w:pPr>
              <w:spacing w:line="240" w:lineRule="auto"/>
              <w:jc w:val="right"/>
              <w:rPr>
                <w:sz w:val="18"/>
                <w:szCs w:val="18"/>
              </w:rPr>
            </w:pPr>
            <w:r w:rsidRPr="008435A0">
              <w:rPr>
                <w:sz w:val="18"/>
                <w:szCs w:val="18"/>
              </w:rPr>
              <w:t>.744</w:t>
            </w:r>
          </w:p>
        </w:tc>
        <w:tc>
          <w:tcPr>
            <w:tcW w:w="596" w:type="dxa"/>
          </w:tcPr>
          <w:p w14:paraId="52228754" w14:textId="70B7C303" w:rsidR="00A972EE" w:rsidRPr="008435A0" w:rsidRDefault="00A972EE" w:rsidP="008435A0">
            <w:pPr>
              <w:spacing w:line="240" w:lineRule="auto"/>
              <w:jc w:val="right"/>
              <w:rPr>
                <w:sz w:val="18"/>
                <w:szCs w:val="18"/>
              </w:rPr>
            </w:pPr>
            <w:r w:rsidRPr="008435A0">
              <w:rPr>
                <w:sz w:val="18"/>
                <w:szCs w:val="18"/>
              </w:rPr>
              <w:t>308</w:t>
            </w:r>
          </w:p>
        </w:tc>
        <w:tc>
          <w:tcPr>
            <w:tcW w:w="851" w:type="dxa"/>
            <w:shd w:val="clear" w:color="auto" w:fill="auto"/>
          </w:tcPr>
          <w:p w14:paraId="11AE7A75" w14:textId="7D0D8E0A" w:rsidR="00A972EE" w:rsidRPr="008435A0" w:rsidRDefault="00A972EE" w:rsidP="008435A0">
            <w:pPr>
              <w:spacing w:after="0" w:line="240" w:lineRule="auto"/>
              <w:jc w:val="right"/>
              <w:rPr>
                <w:sz w:val="18"/>
                <w:szCs w:val="18"/>
              </w:rPr>
            </w:pPr>
            <w:r w:rsidRPr="008435A0">
              <w:rPr>
                <w:sz w:val="18"/>
                <w:szCs w:val="18"/>
              </w:rPr>
              <w:t>.708</w:t>
            </w:r>
          </w:p>
        </w:tc>
        <w:tc>
          <w:tcPr>
            <w:tcW w:w="963" w:type="dxa"/>
            <w:shd w:val="clear" w:color="auto" w:fill="auto"/>
          </w:tcPr>
          <w:p w14:paraId="6D9CA548" w14:textId="6ECB8531" w:rsidR="00A972EE" w:rsidRPr="008435A0" w:rsidRDefault="00A972EE" w:rsidP="008435A0">
            <w:pPr>
              <w:spacing w:line="240" w:lineRule="auto"/>
              <w:jc w:val="right"/>
              <w:rPr>
                <w:sz w:val="18"/>
                <w:szCs w:val="18"/>
              </w:rPr>
            </w:pPr>
            <w:r w:rsidRPr="008435A0">
              <w:rPr>
                <w:sz w:val="18"/>
                <w:szCs w:val="18"/>
              </w:rPr>
              <w:t>.044</w:t>
            </w:r>
          </w:p>
        </w:tc>
        <w:tc>
          <w:tcPr>
            <w:tcW w:w="993" w:type="dxa"/>
            <w:shd w:val="clear" w:color="auto" w:fill="auto"/>
          </w:tcPr>
          <w:p w14:paraId="2D7D9FA3" w14:textId="704F5F2D" w:rsidR="00A972EE" w:rsidRPr="008435A0" w:rsidRDefault="00A972EE" w:rsidP="008435A0">
            <w:pPr>
              <w:spacing w:after="0" w:line="240" w:lineRule="auto"/>
              <w:jc w:val="right"/>
              <w:rPr>
                <w:sz w:val="18"/>
                <w:szCs w:val="18"/>
              </w:rPr>
            </w:pPr>
            <w:r w:rsidRPr="008435A0">
              <w:rPr>
                <w:sz w:val="18"/>
                <w:szCs w:val="18"/>
              </w:rPr>
              <w:t>£40,062</w:t>
            </w:r>
          </w:p>
        </w:tc>
      </w:tr>
      <w:tr w:rsidR="004F6B9D" w:rsidRPr="008435A0" w14:paraId="5442BBDE" w14:textId="77777777" w:rsidTr="008435A0">
        <w:tc>
          <w:tcPr>
            <w:tcW w:w="4678" w:type="dxa"/>
            <w:shd w:val="clear" w:color="auto" w:fill="auto"/>
          </w:tcPr>
          <w:p w14:paraId="2DC349D6" w14:textId="16B22C3A" w:rsidR="00A972EE" w:rsidRPr="008435A0" w:rsidRDefault="00A972EE" w:rsidP="008435A0">
            <w:pPr>
              <w:spacing w:after="0" w:line="240" w:lineRule="auto"/>
              <w:jc w:val="right"/>
              <w:rPr>
                <w:sz w:val="18"/>
                <w:szCs w:val="18"/>
              </w:rPr>
            </w:pPr>
            <w:r w:rsidRPr="008435A0">
              <w:rPr>
                <w:sz w:val="18"/>
                <w:szCs w:val="18"/>
              </w:rPr>
              <w:t>CMAI CCA</w:t>
            </w:r>
          </w:p>
        </w:tc>
        <w:tc>
          <w:tcPr>
            <w:tcW w:w="567" w:type="dxa"/>
          </w:tcPr>
          <w:p w14:paraId="37F45CCD" w14:textId="0752B76B" w:rsidR="00A972EE" w:rsidRPr="008435A0" w:rsidRDefault="00A972EE" w:rsidP="008435A0">
            <w:pPr>
              <w:spacing w:after="0" w:line="240" w:lineRule="auto"/>
              <w:jc w:val="right"/>
              <w:rPr>
                <w:sz w:val="18"/>
                <w:szCs w:val="18"/>
              </w:rPr>
            </w:pPr>
            <w:r w:rsidRPr="008435A0">
              <w:rPr>
                <w:sz w:val="18"/>
                <w:szCs w:val="18"/>
              </w:rPr>
              <w:t>129</w:t>
            </w:r>
          </w:p>
        </w:tc>
        <w:tc>
          <w:tcPr>
            <w:tcW w:w="1134" w:type="dxa"/>
            <w:shd w:val="clear" w:color="auto" w:fill="auto"/>
          </w:tcPr>
          <w:p w14:paraId="3498F7F2" w14:textId="0B53498F" w:rsidR="00A972EE" w:rsidRPr="008435A0" w:rsidRDefault="00A972EE" w:rsidP="008435A0">
            <w:pPr>
              <w:spacing w:line="240" w:lineRule="auto"/>
              <w:jc w:val="right"/>
              <w:rPr>
                <w:sz w:val="18"/>
                <w:szCs w:val="18"/>
              </w:rPr>
            </w:pPr>
            <w:r w:rsidRPr="008435A0">
              <w:rPr>
                <w:sz w:val="18"/>
                <w:szCs w:val="18"/>
              </w:rPr>
              <w:t>£2,768</w:t>
            </w:r>
          </w:p>
        </w:tc>
        <w:tc>
          <w:tcPr>
            <w:tcW w:w="709" w:type="dxa"/>
          </w:tcPr>
          <w:p w14:paraId="6B6CBFBA" w14:textId="1539A395" w:rsidR="00A972EE" w:rsidRPr="008435A0" w:rsidRDefault="00A972EE" w:rsidP="008435A0">
            <w:pPr>
              <w:spacing w:line="240" w:lineRule="auto"/>
              <w:jc w:val="right"/>
              <w:rPr>
                <w:sz w:val="18"/>
                <w:szCs w:val="18"/>
              </w:rPr>
            </w:pPr>
            <w:r w:rsidRPr="008435A0">
              <w:rPr>
                <w:sz w:val="18"/>
                <w:szCs w:val="18"/>
              </w:rPr>
              <w:t>101</w:t>
            </w:r>
          </w:p>
        </w:tc>
        <w:tc>
          <w:tcPr>
            <w:tcW w:w="850" w:type="dxa"/>
            <w:shd w:val="clear" w:color="auto" w:fill="auto"/>
          </w:tcPr>
          <w:p w14:paraId="460420FB" w14:textId="5F453A2F" w:rsidR="00A972EE" w:rsidRPr="008435A0" w:rsidRDefault="00A972EE" w:rsidP="008435A0">
            <w:pPr>
              <w:spacing w:line="240" w:lineRule="auto"/>
              <w:jc w:val="right"/>
              <w:rPr>
                <w:sz w:val="18"/>
                <w:szCs w:val="18"/>
              </w:rPr>
            </w:pPr>
            <w:r w:rsidRPr="008435A0">
              <w:rPr>
                <w:sz w:val="18"/>
                <w:szCs w:val="18"/>
              </w:rPr>
              <w:t>£2,424</w:t>
            </w:r>
          </w:p>
        </w:tc>
        <w:tc>
          <w:tcPr>
            <w:tcW w:w="1134" w:type="dxa"/>
            <w:shd w:val="clear" w:color="auto" w:fill="auto"/>
          </w:tcPr>
          <w:p w14:paraId="277211EE" w14:textId="7DD5F99B" w:rsidR="00A972EE" w:rsidRPr="008435A0" w:rsidRDefault="00A972EE" w:rsidP="008435A0">
            <w:pPr>
              <w:spacing w:line="240" w:lineRule="auto"/>
              <w:jc w:val="right"/>
              <w:rPr>
                <w:sz w:val="18"/>
                <w:szCs w:val="18"/>
              </w:rPr>
            </w:pPr>
            <w:r w:rsidRPr="008435A0">
              <w:rPr>
                <w:sz w:val="18"/>
                <w:szCs w:val="18"/>
              </w:rPr>
              <w:t>£344</w:t>
            </w:r>
          </w:p>
        </w:tc>
        <w:tc>
          <w:tcPr>
            <w:tcW w:w="709" w:type="dxa"/>
          </w:tcPr>
          <w:p w14:paraId="5E269BA5" w14:textId="14D5BC07" w:rsidR="00A972EE" w:rsidRPr="008435A0" w:rsidRDefault="00A972EE" w:rsidP="008435A0">
            <w:pPr>
              <w:spacing w:after="0" w:line="240" w:lineRule="auto"/>
              <w:jc w:val="right"/>
              <w:rPr>
                <w:sz w:val="18"/>
                <w:szCs w:val="18"/>
              </w:rPr>
            </w:pPr>
            <w:r w:rsidRPr="008435A0">
              <w:rPr>
                <w:sz w:val="18"/>
                <w:szCs w:val="18"/>
              </w:rPr>
              <w:t>129</w:t>
            </w:r>
          </w:p>
        </w:tc>
        <w:tc>
          <w:tcPr>
            <w:tcW w:w="1134" w:type="dxa"/>
            <w:shd w:val="clear" w:color="auto" w:fill="auto"/>
          </w:tcPr>
          <w:p w14:paraId="0A2DEE06" w14:textId="669B10D0" w:rsidR="00A972EE" w:rsidRPr="008435A0" w:rsidRDefault="00A972EE" w:rsidP="008435A0">
            <w:pPr>
              <w:spacing w:line="240" w:lineRule="auto"/>
              <w:jc w:val="right"/>
              <w:rPr>
                <w:sz w:val="18"/>
                <w:szCs w:val="18"/>
              </w:rPr>
            </w:pPr>
            <w:r w:rsidRPr="008435A0">
              <w:rPr>
                <w:sz w:val="18"/>
                <w:szCs w:val="18"/>
              </w:rPr>
              <w:t>-1.78</w:t>
            </w:r>
          </w:p>
        </w:tc>
        <w:tc>
          <w:tcPr>
            <w:tcW w:w="596" w:type="dxa"/>
          </w:tcPr>
          <w:p w14:paraId="1F1110EE" w14:textId="65E0E536" w:rsidR="00A972EE" w:rsidRPr="008435A0" w:rsidRDefault="00A972EE" w:rsidP="008435A0">
            <w:pPr>
              <w:spacing w:line="240" w:lineRule="auto"/>
              <w:jc w:val="right"/>
              <w:rPr>
                <w:sz w:val="18"/>
                <w:szCs w:val="18"/>
              </w:rPr>
            </w:pPr>
            <w:r w:rsidRPr="008435A0">
              <w:rPr>
                <w:sz w:val="18"/>
                <w:szCs w:val="18"/>
              </w:rPr>
              <w:t>101</w:t>
            </w:r>
          </w:p>
        </w:tc>
        <w:tc>
          <w:tcPr>
            <w:tcW w:w="851" w:type="dxa"/>
            <w:shd w:val="clear" w:color="auto" w:fill="auto"/>
          </w:tcPr>
          <w:p w14:paraId="6CC34F81" w14:textId="7FC626CC" w:rsidR="00A972EE" w:rsidRPr="008435A0" w:rsidRDefault="00A972EE" w:rsidP="008435A0">
            <w:pPr>
              <w:spacing w:after="0" w:line="240" w:lineRule="auto"/>
              <w:jc w:val="right"/>
              <w:rPr>
                <w:sz w:val="18"/>
                <w:szCs w:val="18"/>
              </w:rPr>
            </w:pPr>
            <w:r w:rsidRPr="008435A0">
              <w:rPr>
                <w:sz w:val="18"/>
                <w:szCs w:val="18"/>
              </w:rPr>
              <w:t>1.06</w:t>
            </w:r>
          </w:p>
        </w:tc>
        <w:tc>
          <w:tcPr>
            <w:tcW w:w="963" w:type="dxa"/>
            <w:shd w:val="clear" w:color="auto" w:fill="auto"/>
          </w:tcPr>
          <w:p w14:paraId="1BCDE7ED" w14:textId="6FCB6CAC" w:rsidR="00A972EE" w:rsidRPr="008435A0" w:rsidRDefault="00A972EE" w:rsidP="008435A0">
            <w:pPr>
              <w:spacing w:line="240" w:lineRule="auto"/>
              <w:jc w:val="right"/>
              <w:rPr>
                <w:sz w:val="18"/>
                <w:szCs w:val="18"/>
              </w:rPr>
            </w:pPr>
            <w:r w:rsidRPr="008435A0">
              <w:rPr>
                <w:sz w:val="18"/>
                <w:szCs w:val="18"/>
              </w:rPr>
              <w:t>-5.12</w:t>
            </w:r>
          </w:p>
        </w:tc>
        <w:tc>
          <w:tcPr>
            <w:tcW w:w="993" w:type="dxa"/>
            <w:shd w:val="clear" w:color="auto" w:fill="auto"/>
          </w:tcPr>
          <w:p w14:paraId="45471D7A" w14:textId="6A14F965" w:rsidR="00A972EE" w:rsidRPr="008435A0" w:rsidRDefault="00A972EE" w:rsidP="008435A0">
            <w:pPr>
              <w:spacing w:after="0" w:line="240" w:lineRule="auto"/>
              <w:jc w:val="right"/>
              <w:rPr>
                <w:sz w:val="18"/>
                <w:szCs w:val="18"/>
              </w:rPr>
            </w:pPr>
            <w:r w:rsidRPr="008435A0">
              <w:rPr>
                <w:sz w:val="18"/>
                <w:szCs w:val="18"/>
              </w:rPr>
              <w:t>£67.20</w:t>
            </w:r>
            <w:r w:rsidRPr="008435A0">
              <w:rPr>
                <w:sz w:val="18"/>
                <w:szCs w:val="18"/>
                <w:vertAlign w:val="superscript"/>
              </w:rPr>
              <w:t>1</w:t>
            </w:r>
          </w:p>
        </w:tc>
      </w:tr>
      <w:tr w:rsidR="004F6B9D" w:rsidRPr="008435A0" w14:paraId="175185EE" w14:textId="77777777" w:rsidTr="008435A0">
        <w:trPr>
          <w:trHeight w:val="299"/>
        </w:trPr>
        <w:tc>
          <w:tcPr>
            <w:tcW w:w="4678" w:type="dxa"/>
            <w:shd w:val="clear" w:color="auto" w:fill="auto"/>
          </w:tcPr>
          <w:p w14:paraId="53FA1C54" w14:textId="41B07BB9" w:rsidR="00A972EE" w:rsidRPr="008435A0" w:rsidRDefault="00A972EE" w:rsidP="008435A0">
            <w:pPr>
              <w:spacing w:after="0" w:line="240" w:lineRule="auto"/>
              <w:jc w:val="right"/>
              <w:rPr>
                <w:sz w:val="18"/>
                <w:szCs w:val="18"/>
              </w:rPr>
            </w:pPr>
            <w:r w:rsidRPr="008435A0">
              <w:rPr>
                <w:sz w:val="18"/>
                <w:szCs w:val="18"/>
              </w:rPr>
              <w:t>EQ-5D-5L – Staff MI, with adjustment for baseline costs</w:t>
            </w:r>
          </w:p>
        </w:tc>
        <w:tc>
          <w:tcPr>
            <w:tcW w:w="567" w:type="dxa"/>
          </w:tcPr>
          <w:p w14:paraId="3D1DA798" w14:textId="2A872E7E" w:rsidR="00A972EE" w:rsidRPr="008435A0" w:rsidRDefault="00A972EE" w:rsidP="008435A0">
            <w:pPr>
              <w:spacing w:after="0" w:line="240" w:lineRule="auto"/>
              <w:jc w:val="right"/>
              <w:rPr>
                <w:sz w:val="18"/>
                <w:szCs w:val="18"/>
              </w:rPr>
            </w:pPr>
            <w:r w:rsidRPr="008435A0">
              <w:rPr>
                <w:sz w:val="18"/>
                <w:szCs w:val="18"/>
              </w:rPr>
              <w:t>262</w:t>
            </w:r>
          </w:p>
        </w:tc>
        <w:tc>
          <w:tcPr>
            <w:tcW w:w="1134" w:type="dxa"/>
            <w:shd w:val="clear" w:color="auto" w:fill="auto"/>
          </w:tcPr>
          <w:p w14:paraId="35B34D55" w14:textId="1F0F59CA" w:rsidR="00A972EE" w:rsidRPr="008435A0" w:rsidRDefault="00A972EE" w:rsidP="008435A0">
            <w:pPr>
              <w:spacing w:line="240" w:lineRule="auto"/>
              <w:jc w:val="right"/>
              <w:rPr>
                <w:sz w:val="18"/>
                <w:szCs w:val="18"/>
              </w:rPr>
            </w:pPr>
            <w:r w:rsidRPr="008435A0">
              <w:rPr>
                <w:sz w:val="18"/>
                <w:szCs w:val="18"/>
              </w:rPr>
              <w:t>£3,366</w:t>
            </w:r>
          </w:p>
        </w:tc>
        <w:tc>
          <w:tcPr>
            <w:tcW w:w="709" w:type="dxa"/>
          </w:tcPr>
          <w:p w14:paraId="3AAA8AEC" w14:textId="2AF44ED6" w:rsidR="00A972EE" w:rsidRPr="008435A0" w:rsidRDefault="00A972EE" w:rsidP="008435A0">
            <w:pPr>
              <w:spacing w:line="240" w:lineRule="auto"/>
              <w:jc w:val="right"/>
              <w:rPr>
                <w:sz w:val="18"/>
                <w:szCs w:val="18"/>
              </w:rPr>
            </w:pPr>
            <w:r w:rsidRPr="008435A0">
              <w:rPr>
                <w:sz w:val="18"/>
                <w:szCs w:val="18"/>
              </w:rPr>
              <w:t>225</w:t>
            </w:r>
          </w:p>
        </w:tc>
        <w:tc>
          <w:tcPr>
            <w:tcW w:w="850" w:type="dxa"/>
            <w:shd w:val="clear" w:color="auto" w:fill="auto"/>
          </w:tcPr>
          <w:p w14:paraId="3BA05FCB" w14:textId="798120E9" w:rsidR="00A972EE" w:rsidRPr="008435A0" w:rsidRDefault="00A972EE" w:rsidP="008435A0">
            <w:pPr>
              <w:spacing w:line="240" w:lineRule="auto"/>
              <w:jc w:val="right"/>
              <w:rPr>
                <w:sz w:val="18"/>
                <w:szCs w:val="18"/>
              </w:rPr>
            </w:pPr>
            <w:r w:rsidRPr="008435A0">
              <w:rPr>
                <w:sz w:val="18"/>
                <w:szCs w:val="18"/>
              </w:rPr>
              <w:t>£1,924</w:t>
            </w:r>
          </w:p>
        </w:tc>
        <w:tc>
          <w:tcPr>
            <w:tcW w:w="1134" w:type="dxa"/>
            <w:shd w:val="clear" w:color="auto" w:fill="auto"/>
          </w:tcPr>
          <w:p w14:paraId="1287C358" w14:textId="69D87B2F" w:rsidR="00A972EE" w:rsidRPr="008435A0" w:rsidRDefault="00A972EE" w:rsidP="008435A0">
            <w:pPr>
              <w:spacing w:line="240" w:lineRule="auto"/>
              <w:jc w:val="right"/>
              <w:rPr>
                <w:sz w:val="18"/>
                <w:szCs w:val="18"/>
              </w:rPr>
            </w:pPr>
            <w:r w:rsidRPr="008435A0">
              <w:rPr>
                <w:sz w:val="18"/>
                <w:szCs w:val="18"/>
              </w:rPr>
              <w:t>£1,464</w:t>
            </w:r>
          </w:p>
        </w:tc>
        <w:tc>
          <w:tcPr>
            <w:tcW w:w="709" w:type="dxa"/>
          </w:tcPr>
          <w:p w14:paraId="7D5DBD37" w14:textId="30FAB3AF" w:rsidR="00A972EE" w:rsidRPr="008435A0" w:rsidRDefault="00A972EE" w:rsidP="008435A0">
            <w:pPr>
              <w:spacing w:after="0" w:line="240" w:lineRule="auto"/>
              <w:jc w:val="right"/>
              <w:rPr>
                <w:sz w:val="18"/>
                <w:szCs w:val="18"/>
              </w:rPr>
            </w:pPr>
            <w:r w:rsidRPr="008435A0">
              <w:rPr>
                <w:sz w:val="18"/>
                <w:szCs w:val="18"/>
              </w:rPr>
              <w:t>262</w:t>
            </w:r>
          </w:p>
        </w:tc>
        <w:tc>
          <w:tcPr>
            <w:tcW w:w="1134" w:type="dxa"/>
            <w:shd w:val="clear" w:color="auto" w:fill="auto"/>
          </w:tcPr>
          <w:p w14:paraId="1030D44E" w14:textId="4676708B" w:rsidR="00A972EE" w:rsidRPr="008435A0" w:rsidRDefault="00A972EE" w:rsidP="008435A0">
            <w:pPr>
              <w:spacing w:line="240" w:lineRule="auto"/>
              <w:jc w:val="right"/>
              <w:rPr>
                <w:sz w:val="18"/>
                <w:szCs w:val="18"/>
              </w:rPr>
            </w:pPr>
            <w:r w:rsidRPr="008435A0">
              <w:rPr>
                <w:sz w:val="18"/>
                <w:szCs w:val="18"/>
              </w:rPr>
              <w:t>.732</w:t>
            </w:r>
          </w:p>
        </w:tc>
        <w:tc>
          <w:tcPr>
            <w:tcW w:w="596" w:type="dxa"/>
          </w:tcPr>
          <w:p w14:paraId="3C4D6869" w14:textId="5BFBD33D" w:rsidR="00A972EE" w:rsidRPr="008435A0" w:rsidRDefault="00A972EE" w:rsidP="008435A0">
            <w:pPr>
              <w:spacing w:line="240" w:lineRule="auto"/>
              <w:jc w:val="right"/>
              <w:rPr>
                <w:sz w:val="18"/>
                <w:szCs w:val="18"/>
              </w:rPr>
            </w:pPr>
            <w:r w:rsidRPr="008435A0">
              <w:rPr>
                <w:sz w:val="18"/>
                <w:szCs w:val="18"/>
              </w:rPr>
              <w:t>225</w:t>
            </w:r>
          </w:p>
        </w:tc>
        <w:tc>
          <w:tcPr>
            <w:tcW w:w="851" w:type="dxa"/>
            <w:shd w:val="clear" w:color="auto" w:fill="auto"/>
          </w:tcPr>
          <w:p w14:paraId="00AB6734" w14:textId="21FDDE94" w:rsidR="00A972EE" w:rsidRPr="008435A0" w:rsidRDefault="00A972EE" w:rsidP="008435A0">
            <w:pPr>
              <w:spacing w:after="0" w:line="240" w:lineRule="auto"/>
              <w:jc w:val="right"/>
              <w:rPr>
                <w:sz w:val="18"/>
                <w:szCs w:val="18"/>
              </w:rPr>
            </w:pPr>
            <w:r w:rsidRPr="008435A0">
              <w:rPr>
                <w:sz w:val="18"/>
                <w:szCs w:val="18"/>
              </w:rPr>
              <w:t>.692</w:t>
            </w:r>
          </w:p>
        </w:tc>
        <w:tc>
          <w:tcPr>
            <w:tcW w:w="963" w:type="dxa"/>
            <w:shd w:val="clear" w:color="auto" w:fill="auto"/>
          </w:tcPr>
          <w:p w14:paraId="4AA2EE50" w14:textId="4B0EEB31" w:rsidR="00A972EE" w:rsidRPr="008435A0" w:rsidRDefault="00A972EE" w:rsidP="008435A0">
            <w:pPr>
              <w:spacing w:line="240" w:lineRule="auto"/>
              <w:jc w:val="right"/>
              <w:rPr>
                <w:sz w:val="18"/>
                <w:szCs w:val="18"/>
              </w:rPr>
            </w:pPr>
            <w:r w:rsidRPr="008435A0">
              <w:rPr>
                <w:sz w:val="18"/>
                <w:szCs w:val="18"/>
              </w:rPr>
              <w:t>.061</w:t>
            </w:r>
          </w:p>
        </w:tc>
        <w:tc>
          <w:tcPr>
            <w:tcW w:w="993" w:type="dxa"/>
            <w:shd w:val="clear" w:color="auto" w:fill="auto"/>
          </w:tcPr>
          <w:p w14:paraId="679D4449" w14:textId="36886354" w:rsidR="00A972EE" w:rsidRPr="008435A0" w:rsidRDefault="008F757C" w:rsidP="008435A0">
            <w:pPr>
              <w:spacing w:after="0" w:line="240" w:lineRule="auto"/>
              <w:jc w:val="right"/>
              <w:rPr>
                <w:sz w:val="18"/>
                <w:szCs w:val="18"/>
              </w:rPr>
            </w:pPr>
            <w:r w:rsidRPr="008435A0">
              <w:rPr>
                <w:sz w:val="18"/>
                <w:szCs w:val="18"/>
              </w:rPr>
              <w:t>£24</w:t>
            </w:r>
            <w:r w:rsidR="00A972EE" w:rsidRPr="008435A0">
              <w:rPr>
                <w:sz w:val="18"/>
                <w:szCs w:val="18"/>
              </w:rPr>
              <w:t>,</w:t>
            </w:r>
            <w:r w:rsidRPr="008435A0">
              <w:rPr>
                <w:sz w:val="18"/>
                <w:szCs w:val="18"/>
              </w:rPr>
              <w:t>139</w:t>
            </w:r>
          </w:p>
        </w:tc>
      </w:tr>
    </w:tbl>
    <w:p w14:paraId="1C968E97" w14:textId="3EB0DDC6" w:rsidR="004B0847" w:rsidRPr="00563AD3" w:rsidRDefault="004F6B9D" w:rsidP="006352CA">
      <w:r w:rsidRPr="006352CA">
        <w:rPr>
          <w:sz w:val="16"/>
          <w:szCs w:val="16"/>
        </w:rPr>
        <w:t>A</w:t>
      </w:r>
      <w:r w:rsidR="00A972EE" w:rsidRPr="006352CA">
        <w:rPr>
          <w:sz w:val="16"/>
          <w:szCs w:val="16"/>
        </w:rPr>
        <w:t xml:space="preserve">ll costs and benefits (with the exception of CMAI) occurring in the final 4-months are discounted; **unadjusted as baseline data not collected; </w:t>
      </w:r>
      <w:r w:rsidR="00A972EE" w:rsidRPr="006352CA">
        <w:rPr>
          <w:sz w:val="16"/>
          <w:szCs w:val="16"/>
          <w:vertAlign w:val="superscript"/>
        </w:rPr>
        <w:t>1</w:t>
      </w:r>
      <w:r w:rsidR="00A972EE" w:rsidRPr="006352CA">
        <w:rPr>
          <w:sz w:val="16"/>
          <w:szCs w:val="16"/>
        </w:rPr>
        <w:t xml:space="preserve">Cost per unit change in CMAI no adjustment for baseline costs except where shown; **** Residents </w:t>
      </w:r>
      <w:r w:rsidR="008F757C" w:rsidRPr="006352CA">
        <w:rPr>
          <w:sz w:val="16"/>
          <w:szCs w:val="16"/>
        </w:rPr>
        <w:t xml:space="preserve">residing </w:t>
      </w:r>
      <w:r w:rsidR="00A972EE" w:rsidRPr="006352CA">
        <w:rPr>
          <w:sz w:val="16"/>
          <w:szCs w:val="16"/>
        </w:rPr>
        <w:t xml:space="preserve">in care homes </w:t>
      </w:r>
      <w:r w:rsidR="004872B6" w:rsidRPr="006352CA">
        <w:rPr>
          <w:sz w:val="16"/>
          <w:szCs w:val="16"/>
        </w:rPr>
        <w:t xml:space="preserve">in the intervention </w:t>
      </w:r>
      <w:r w:rsidR="00182DC5" w:rsidRPr="006352CA">
        <w:rPr>
          <w:sz w:val="16"/>
          <w:szCs w:val="16"/>
        </w:rPr>
        <w:t>arm</w:t>
      </w:r>
      <w:r w:rsidR="004872B6" w:rsidRPr="006352CA">
        <w:rPr>
          <w:sz w:val="16"/>
          <w:szCs w:val="16"/>
        </w:rPr>
        <w:t xml:space="preserve"> </w:t>
      </w:r>
      <w:r w:rsidR="008F757C" w:rsidRPr="006352CA">
        <w:rPr>
          <w:sz w:val="16"/>
          <w:szCs w:val="16"/>
        </w:rPr>
        <w:t>that</w:t>
      </w:r>
      <w:r w:rsidR="00A972EE" w:rsidRPr="006352CA">
        <w:rPr>
          <w:sz w:val="16"/>
          <w:szCs w:val="16"/>
        </w:rPr>
        <w:t xml:space="preserve"> did not </w:t>
      </w:r>
      <w:r w:rsidR="004872B6" w:rsidRPr="006352CA">
        <w:rPr>
          <w:sz w:val="16"/>
          <w:szCs w:val="16"/>
        </w:rPr>
        <w:t>complete any cycles to an acceptable level of compliance</w:t>
      </w:r>
      <w:r w:rsidR="008F757C" w:rsidRPr="006352CA">
        <w:rPr>
          <w:sz w:val="16"/>
          <w:szCs w:val="16"/>
        </w:rPr>
        <w:t>,</w:t>
      </w:r>
      <w:r w:rsidR="00A972EE" w:rsidRPr="006352CA">
        <w:rPr>
          <w:sz w:val="16"/>
          <w:szCs w:val="16"/>
        </w:rPr>
        <w:t xml:space="preserve"> were excluded from the analysis.</w:t>
      </w:r>
      <w:r w:rsidR="004B0847" w:rsidRPr="00563AD3">
        <w:br w:type="page"/>
      </w:r>
    </w:p>
    <w:p w14:paraId="5DE86783" w14:textId="77777777" w:rsidR="004B0847" w:rsidRPr="00563AD3" w:rsidRDefault="004B0847" w:rsidP="009B13F3">
      <w:pPr>
        <w:pStyle w:val="Figure"/>
        <w:sectPr w:rsidR="004B0847" w:rsidRPr="00563AD3" w:rsidSect="005E065C">
          <w:pgSz w:w="16838" w:h="11906" w:orient="landscape"/>
          <w:pgMar w:top="1440" w:right="1440" w:bottom="1440" w:left="1440" w:header="708" w:footer="708" w:gutter="0"/>
          <w:cols w:space="708"/>
          <w:docGrid w:linePitch="360"/>
        </w:sectPr>
      </w:pPr>
    </w:p>
    <w:p w14:paraId="6B23D66D" w14:textId="083E6902" w:rsidR="0087696B" w:rsidRPr="00563AD3" w:rsidRDefault="0087696B" w:rsidP="009B13F3">
      <w:r w:rsidRPr="00563AD3">
        <w:rPr>
          <w:noProof/>
        </w:rPr>
        <w:drawing>
          <wp:inline distT="0" distB="0" distL="0" distR="0" wp14:anchorId="1AC3C3CB" wp14:editId="48155EF4">
            <wp:extent cx="5114290" cy="3742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p>
    <w:p w14:paraId="5D4F3935" w14:textId="77777777" w:rsidR="009B13F3" w:rsidRPr="00563AD3" w:rsidRDefault="009B13F3" w:rsidP="009B13F3">
      <w:pPr>
        <w:pStyle w:val="Figure"/>
      </w:pPr>
      <w:bookmarkStart w:id="199" w:name="_Toc525805241"/>
      <w:r w:rsidRPr="00563AD3">
        <w:t>Figure 5: Cost-effectiveness plane</w:t>
      </w:r>
      <w:bookmarkEnd w:id="199"/>
    </w:p>
    <w:p w14:paraId="7F6D3D4E" w14:textId="4645F4C1" w:rsidR="00DA69E1" w:rsidRPr="00563AD3" w:rsidRDefault="0087696B" w:rsidP="009B13F3">
      <w:r w:rsidRPr="00563AD3">
        <w:rPr>
          <w:noProof/>
        </w:rPr>
        <w:drawing>
          <wp:inline distT="0" distB="0" distL="0" distR="0" wp14:anchorId="603F2AF3" wp14:editId="75C94AC2">
            <wp:extent cx="5114290" cy="3742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p>
    <w:p w14:paraId="685A072F" w14:textId="77777777" w:rsidR="009B13F3" w:rsidRPr="00563AD3" w:rsidRDefault="009B13F3" w:rsidP="009B13F3">
      <w:pPr>
        <w:pStyle w:val="Figure"/>
      </w:pPr>
      <w:bookmarkStart w:id="200" w:name="_Toc525805242"/>
      <w:r w:rsidRPr="00563AD3">
        <w:t>Figure 6: Cost-effectiveness acceptability curve</w:t>
      </w:r>
      <w:bookmarkEnd w:id="200"/>
    </w:p>
    <w:p w14:paraId="3A17BB82" w14:textId="77777777" w:rsidR="009B13F3" w:rsidRDefault="009B13F3" w:rsidP="009B13F3"/>
    <w:p w14:paraId="319024BC" w14:textId="1032F4AE" w:rsidR="0087696B" w:rsidRPr="00563AD3" w:rsidRDefault="0087696B" w:rsidP="009B13F3">
      <w:r w:rsidRPr="00563AD3">
        <w:t xml:space="preserve">Table </w:t>
      </w:r>
      <w:r w:rsidR="0005048E" w:rsidRPr="00563AD3">
        <w:t>2</w:t>
      </w:r>
      <w:r w:rsidR="0005048E">
        <w:t>3</w:t>
      </w:r>
      <w:r w:rsidR="0005048E" w:rsidRPr="00563AD3">
        <w:t xml:space="preserve"> </w:t>
      </w:r>
      <w:r w:rsidRPr="00563AD3">
        <w:t xml:space="preserve">reports the outcomes from the net benefit regression model including the covariates employed in the main statistical model and an interaction between trial arm and compliance indicator variable. The only significant predictors of net benefit were baseline EQ-5D (higher QoL leads to higher net benefit) and CDR (lower values lead to higher net benefit).  In this model, neither the intervention nor the compliance*intervention interaction terms are statistically significant. The CACE analysis yielded similar results in that the active treatment variable including only </w:t>
      </w:r>
      <w:r w:rsidR="00DB6295" w:rsidRPr="00563AD3">
        <w:t>intervention</w:t>
      </w:r>
      <w:r w:rsidRPr="00563AD3">
        <w:t xml:space="preserve"> care homes who complied with the intervention</w:t>
      </w:r>
      <w:r w:rsidR="00DB6295" w:rsidRPr="00563AD3">
        <w:t xml:space="preserve"> (completed at least one acceptable cycle)</w:t>
      </w:r>
      <w:r w:rsidRPr="00563AD3">
        <w:t xml:space="preserve"> was not statistically significant.</w:t>
      </w:r>
    </w:p>
    <w:p w14:paraId="7FADB393" w14:textId="0DE16A17" w:rsidR="00DA69E1" w:rsidRPr="00563AD3" w:rsidRDefault="00DA69E1" w:rsidP="009B13F3">
      <w:pPr>
        <w:pStyle w:val="Tableheading"/>
      </w:pPr>
      <w:bookmarkStart w:id="201" w:name="_Toc948220"/>
      <w:r w:rsidRPr="00563AD3">
        <w:t xml:space="preserve">Table </w:t>
      </w:r>
      <w:r w:rsidR="0005048E" w:rsidRPr="00563AD3">
        <w:t>2</w:t>
      </w:r>
      <w:r w:rsidR="0005048E">
        <w:t>3</w:t>
      </w:r>
      <w:r w:rsidRPr="00563AD3">
        <w:t>: Net Benefit Regression</w:t>
      </w:r>
      <w:bookmarkEnd w:id="201"/>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1481"/>
        <w:gridCol w:w="1480"/>
        <w:gridCol w:w="1091"/>
        <w:gridCol w:w="1480"/>
        <w:gridCol w:w="1480"/>
      </w:tblGrid>
      <w:tr w:rsidR="00DB6295" w:rsidRPr="00563AD3" w14:paraId="0BCF7AB5" w14:textId="77777777" w:rsidTr="00DB6295">
        <w:trPr>
          <w:trHeight w:val="426"/>
        </w:trPr>
        <w:tc>
          <w:tcPr>
            <w:tcW w:w="2395" w:type="dxa"/>
            <w:tcBorders>
              <w:top w:val="nil"/>
              <w:left w:val="nil"/>
              <w:bottom w:val="nil"/>
              <w:right w:val="nil"/>
            </w:tcBorders>
            <w:shd w:val="clear" w:color="auto" w:fill="auto"/>
            <w:vAlign w:val="center"/>
          </w:tcPr>
          <w:p w14:paraId="040F2769" w14:textId="77777777" w:rsidR="00DB6295" w:rsidRPr="00563AD3" w:rsidRDefault="00DB6295" w:rsidP="008435A0">
            <w:pPr>
              <w:autoSpaceDE/>
              <w:autoSpaceDN/>
              <w:adjustRightInd/>
              <w:spacing w:after="0" w:line="240" w:lineRule="auto"/>
              <w:rPr>
                <w:rFonts w:eastAsia="Times New Roman"/>
                <w:color w:val="000000"/>
                <w:sz w:val="20"/>
                <w:szCs w:val="20"/>
              </w:rPr>
            </w:pPr>
          </w:p>
        </w:tc>
        <w:tc>
          <w:tcPr>
            <w:tcW w:w="1481" w:type="dxa"/>
            <w:tcBorders>
              <w:top w:val="nil"/>
              <w:left w:val="nil"/>
              <w:bottom w:val="nil"/>
              <w:right w:val="nil"/>
            </w:tcBorders>
            <w:shd w:val="clear" w:color="auto" w:fill="auto"/>
            <w:noWrap/>
            <w:vAlign w:val="bottom"/>
          </w:tcPr>
          <w:p w14:paraId="5467A7BB" w14:textId="77777777" w:rsidR="00DB6295" w:rsidRPr="00563AD3" w:rsidRDefault="00DB6295" w:rsidP="008435A0">
            <w:pPr>
              <w:autoSpaceDE/>
              <w:autoSpaceDN/>
              <w:adjustRightInd/>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tcPr>
          <w:p w14:paraId="279AA0CE" w14:textId="77777777" w:rsidR="00DB6295" w:rsidRPr="00563AD3" w:rsidRDefault="00DB6295" w:rsidP="008435A0">
            <w:pPr>
              <w:autoSpaceDE/>
              <w:autoSpaceDN/>
              <w:adjustRightInd/>
              <w:spacing w:after="0" w:line="240" w:lineRule="auto"/>
              <w:rPr>
                <w:rFonts w:eastAsia="Times New Roman"/>
                <w:color w:val="000000"/>
                <w:sz w:val="20"/>
                <w:szCs w:val="20"/>
              </w:rPr>
            </w:pPr>
          </w:p>
        </w:tc>
        <w:tc>
          <w:tcPr>
            <w:tcW w:w="1091" w:type="dxa"/>
            <w:tcBorders>
              <w:top w:val="nil"/>
              <w:left w:val="nil"/>
              <w:bottom w:val="nil"/>
              <w:right w:val="single" w:sz="4" w:space="0" w:color="auto"/>
            </w:tcBorders>
            <w:shd w:val="clear" w:color="auto" w:fill="auto"/>
            <w:noWrap/>
            <w:vAlign w:val="bottom"/>
          </w:tcPr>
          <w:p w14:paraId="7217B994" w14:textId="77777777" w:rsidR="00DB6295" w:rsidRPr="00563AD3" w:rsidRDefault="00DB6295" w:rsidP="008435A0">
            <w:pPr>
              <w:autoSpaceDE/>
              <w:autoSpaceDN/>
              <w:adjustRightInd/>
              <w:spacing w:after="0" w:line="240" w:lineRule="auto"/>
              <w:rPr>
                <w:rFonts w:eastAsia="Times New Roman"/>
                <w:color w:val="000000"/>
                <w:sz w:val="20"/>
                <w:szCs w:val="20"/>
              </w:rPr>
            </w:pPr>
          </w:p>
        </w:tc>
        <w:tc>
          <w:tcPr>
            <w:tcW w:w="1480" w:type="dxa"/>
            <w:tcBorders>
              <w:top w:val="single" w:sz="4" w:space="0" w:color="auto"/>
              <w:left w:val="single" w:sz="4" w:space="0" w:color="auto"/>
              <w:bottom w:val="nil"/>
              <w:right w:val="nil"/>
            </w:tcBorders>
            <w:shd w:val="clear" w:color="auto" w:fill="auto"/>
            <w:noWrap/>
            <w:vAlign w:val="bottom"/>
          </w:tcPr>
          <w:p w14:paraId="13374C31"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 xml:space="preserve">N = </w:t>
            </w:r>
          </w:p>
        </w:tc>
        <w:tc>
          <w:tcPr>
            <w:tcW w:w="1480" w:type="dxa"/>
            <w:tcBorders>
              <w:top w:val="single" w:sz="4" w:space="0" w:color="auto"/>
              <w:left w:val="nil"/>
              <w:bottom w:val="nil"/>
              <w:right w:val="single" w:sz="4" w:space="0" w:color="auto"/>
            </w:tcBorders>
            <w:shd w:val="clear" w:color="auto" w:fill="auto"/>
            <w:noWrap/>
            <w:vAlign w:val="bottom"/>
          </w:tcPr>
          <w:p w14:paraId="4B72BD28" w14:textId="77777777" w:rsidR="00DB6295" w:rsidRPr="00563AD3" w:rsidRDefault="00DB6295" w:rsidP="008435A0">
            <w:pPr>
              <w:autoSpaceDE/>
              <w:autoSpaceDN/>
              <w:adjustRightInd/>
              <w:spacing w:after="0" w:line="240" w:lineRule="auto"/>
              <w:jc w:val="center"/>
              <w:rPr>
                <w:rFonts w:eastAsia="Times New Roman"/>
                <w:color w:val="000000"/>
                <w:sz w:val="20"/>
                <w:szCs w:val="20"/>
              </w:rPr>
            </w:pPr>
            <w:r w:rsidRPr="00563AD3">
              <w:rPr>
                <w:rFonts w:eastAsia="Times New Roman"/>
                <w:color w:val="000000"/>
                <w:sz w:val="20"/>
                <w:szCs w:val="20"/>
              </w:rPr>
              <w:t>726</w:t>
            </w:r>
          </w:p>
        </w:tc>
      </w:tr>
      <w:tr w:rsidR="00DB6295" w:rsidRPr="00563AD3" w14:paraId="28EEFD0B" w14:textId="77777777" w:rsidTr="00DB6295">
        <w:trPr>
          <w:trHeight w:val="273"/>
        </w:trPr>
        <w:tc>
          <w:tcPr>
            <w:tcW w:w="2395" w:type="dxa"/>
            <w:tcBorders>
              <w:top w:val="nil"/>
              <w:left w:val="nil"/>
              <w:bottom w:val="nil"/>
              <w:right w:val="nil"/>
            </w:tcBorders>
            <w:shd w:val="clear" w:color="auto" w:fill="auto"/>
            <w:vAlign w:val="center"/>
          </w:tcPr>
          <w:p w14:paraId="31A316B2" w14:textId="77777777" w:rsidR="00DB6295" w:rsidRPr="00563AD3" w:rsidRDefault="00DB6295" w:rsidP="008435A0">
            <w:pPr>
              <w:autoSpaceDE/>
              <w:autoSpaceDN/>
              <w:adjustRightInd/>
              <w:spacing w:after="0" w:line="240" w:lineRule="auto"/>
              <w:rPr>
                <w:rFonts w:eastAsia="Times New Roman"/>
                <w:color w:val="000000"/>
                <w:sz w:val="20"/>
                <w:szCs w:val="20"/>
              </w:rPr>
            </w:pPr>
          </w:p>
        </w:tc>
        <w:tc>
          <w:tcPr>
            <w:tcW w:w="1481" w:type="dxa"/>
            <w:tcBorders>
              <w:top w:val="nil"/>
              <w:left w:val="nil"/>
              <w:bottom w:val="nil"/>
              <w:right w:val="nil"/>
            </w:tcBorders>
            <w:shd w:val="clear" w:color="auto" w:fill="auto"/>
            <w:noWrap/>
            <w:vAlign w:val="bottom"/>
          </w:tcPr>
          <w:p w14:paraId="58AA7332" w14:textId="77777777" w:rsidR="00DB6295" w:rsidRPr="00563AD3" w:rsidRDefault="00DB6295" w:rsidP="008435A0">
            <w:pPr>
              <w:autoSpaceDE/>
              <w:autoSpaceDN/>
              <w:adjustRightInd/>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tcPr>
          <w:p w14:paraId="1E121869" w14:textId="77777777" w:rsidR="00DB6295" w:rsidRPr="00563AD3" w:rsidRDefault="00DB6295" w:rsidP="008435A0">
            <w:pPr>
              <w:autoSpaceDE/>
              <w:autoSpaceDN/>
              <w:adjustRightInd/>
              <w:spacing w:after="0" w:line="240" w:lineRule="auto"/>
              <w:rPr>
                <w:rFonts w:eastAsia="Times New Roman"/>
                <w:color w:val="000000"/>
                <w:sz w:val="20"/>
                <w:szCs w:val="20"/>
              </w:rPr>
            </w:pPr>
          </w:p>
        </w:tc>
        <w:tc>
          <w:tcPr>
            <w:tcW w:w="1091" w:type="dxa"/>
            <w:tcBorders>
              <w:top w:val="nil"/>
              <w:left w:val="nil"/>
              <w:bottom w:val="nil"/>
              <w:right w:val="single" w:sz="4" w:space="0" w:color="auto"/>
            </w:tcBorders>
            <w:shd w:val="clear" w:color="auto" w:fill="auto"/>
            <w:noWrap/>
            <w:vAlign w:val="bottom"/>
          </w:tcPr>
          <w:p w14:paraId="373F466B" w14:textId="77777777" w:rsidR="00DB6295" w:rsidRPr="00563AD3" w:rsidRDefault="00DB6295" w:rsidP="008435A0">
            <w:pPr>
              <w:autoSpaceDE/>
              <w:autoSpaceDN/>
              <w:adjustRightInd/>
              <w:spacing w:after="0" w:line="240" w:lineRule="auto"/>
              <w:rPr>
                <w:rFonts w:eastAsia="Times New Roman"/>
                <w:color w:val="000000"/>
                <w:sz w:val="20"/>
                <w:szCs w:val="20"/>
              </w:rPr>
            </w:pPr>
          </w:p>
        </w:tc>
        <w:tc>
          <w:tcPr>
            <w:tcW w:w="1480" w:type="dxa"/>
            <w:tcBorders>
              <w:top w:val="nil"/>
              <w:left w:val="single" w:sz="4" w:space="0" w:color="auto"/>
              <w:bottom w:val="nil"/>
              <w:right w:val="nil"/>
            </w:tcBorders>
            <w:shd w:val="clear" w:color="auto" w:fill="auto"/>
            <w:noWrap/>
            <w:vAlign w:val="bottom"/>
          </w:tcPr>
          <w:p w14:paraId="117D3B49"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Prob &gt; F</w:t>
            </w:r>
          </w:p>
        </w:tc>
        <w:tc>
          <w:tcPr>
            <w:tcW w:w="1480" w:type="dxa"/>
            <w:tcBorders>
              <w:top w:val="nil"/>
              <w:left w:val="nil"/>
              <w:bottom w:val="nil"/>
              <w:right w:val="single" w:sz="4" w:space="0" w:color="auto"/>
            </w:tcBorders>
            <w:shd w:val="clear" w:color="auto" w:fill="auto"/>
            <w:noWrap/>
            <w:vAlign w:val="bottom"/>
          </w:tcPr>
          <w:p w14:paraId="0C580CC8" w14:textId="77777777" w:rsidR="00DB6295" w:rsidRPr="00563AD3" w:rsidRDefault="00DB6295" w:rsidP="008435A0">
            <w:pPr>
              <w:autoSpaceDE/>
              <w:autoSpaceDN/>
              <w:adjustRightInd/>
              <w:spacing w:after="0" w:line="240" w:lineRule="auto"/>
              <w:jc w:val="center"/>
              <w:rPr>
                <w:rFonts w:eastAsia="Times New Roman"/>
                <w:color w:val="000000"/>
                <w:sz w:val="20"/>
                <w:szCs w:val="20"/>
              </w:rPr>
            </w:pPr>
            <w:r w:rsidRPr="00563AD3">
              <w:rPr>
                <w:rFonts w:eastAsia="Times New Roman"/>
                <w:color w:val="000000"/>
                <w:sz w:val="20"/>
                <w:szCs w:val="20"/>
              </w:rPr>
              <w:t>0.0000</w:t>
            </w:r>
          </w:p>
        </w:tc>
      </w:tr>
      <w:tr w:rsidR="00DB6295" w:rsidRPr="00563AD3" w14:paraId="77C943F6" w14:textId="77777777" w:rsidTr="00DB6295">
        <w:trPr>
          <w:trHeight w:val="528"/>
        </w:trPr>
        <w:tc>
          <w:tcPr>
            <w:tcW w:w="2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1A0C9" w14:textId="77777777" w:rsidR="00DB6295" w:rsidRPr="00563AD3" w:rsidRDefault="00DB6295" w:rsidP="008435A0">
            <w:pPr>
              <w:autoSpaceDE/>
              <w:autoSpaceDN/>
              <w:adjustRightInd/>
              <w:spacing w:after="0" w:line="240" w:lineRule="auto"/>
              <w:rPr>
                <w:rFonts w:eastAsia="Times New Roman"/>
                <w:b/>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1F472"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Coefficient</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B8072"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Robust SE</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B76BE"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P value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7555A"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Lower CI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24120"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Upper CI</w:t>
            </w:r>
          </w:p>
        </w:tc>
      </w:tr>
      <w:tr w:rsidR="00DB6295" w:rsidRPr="00563AD3" w14:paraId="2F24A381" w14:textId="77777777" w:rsidTr="00DB6295">
        <w:trPr>
          <w:trHeight w:val="528"/>
        </w:trPr>
        <w:tc>
          <w:tcPr>
            <w:tcW w:w="2395" w:type="dxa"/>
            <w:tcBorders>
              <w:top w:val="single" w:sz="4" w:space="0" w:color="auto"/>
              <w:left w:val="single" w:sz="4" w:space="0" w:color="auto"/>
              <w:bottom w:val="nil"/>
              <w:right w:val="single" w:sz="4" w:space="0" w:color="auto"/>
            </w:tcBorders>
            <w:shd w:val="clear" w:color="auto" w:fill="auto"/>
            <w:vAlign w:val="center"/>
          </w:tcPr>
          <w:p w14:paraId="7F411E50"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Constant</w:t>
            </w:r>
          </w:p>
        </w:tc>
        <w:tc>
          <w:tcPr>
            <w:tcW w:w="1481" w:type="dxa"/>
            <w:tcBorders>
              <w:top w:val="single" w:sz="4" w:space="0" w:color="auto"/>
              <w:left w:val="single" w:sz="4" w:space="0" w:color="auto"/>
              <w:bottom w:val="nil"/>
              <w:right w:val="single" w:sz="4" w:space="0" w:color="auto"/>
            </w:tcBorders>
            <w:shd w:val="clear" w:color="auto" w:fill="auto"/>
            <w:noWrap/>
            <w:vAlign w:val="center"/>
          </w:tcPr>
          <w:p w14:paraId="0034DD46"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5282.33</w:t>
            </w:r>
          </w:p>
        </w:tc>
        <w:tc>
          <w:tcPr>
            <w:tcW w:w="1480" w:type="dxa"/>
            <w:tcBorders>
              <w:top w:val="single" w:sz="4" w:space="0" w:color="auto"/>
              <w:left w:val="single" w:sz="4" w:space="0" w:color="auto"/>
              <w:bottom w:val="nil"/>
              <w:right w:val="single" w:sz="4" w:space="0" w:color="auto"/>
            </w:tcBorders>
            <w:shd w:val="clear" w:color="auto" w:fill="auto"/>
            <w:noWrap/>
            <w:vAlign w:val="center"/>
          </w:tcPr>
          <w:p w14:paraId="071983CD"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1726.75</w:t>
            </w:r>
          </w:p>
        </w:tc>
        <w:tc>
          <w:tcPr>
            <w:tcW w:w="1091" w:type="dxa"/>
            <w:tcBorders>
              <w:top w:val="single" w:sz="4" w:space="0" w:color="auto"/>
              <w:left w:val="single" w:sz="4" w:space="0" w:color="auto"/>
              <w:bottom w:val="nil"/>
              <w:right w:val="single" w:sz="4" w:space="0" w:color="auto"/>
            </w:tcBorders>
            <w:shd w:val="clear" w:color="auto" w:fill="auto"/>
            <w:noWrap/>
            <w:vAlign w:val="center"/>
          </w:tcPr>
          <w:p w14:paraId="78E1F9E1" w14:textId="77777777" w:rsidR="00DB6295" w:rsidRPr="00563AD3" w:rsidRDefault="00DB6295" w:rsidP="008435A0">
            <w:pPr>
              <w:autoSpaceDE/>
              <w:autoSpaceDN/>
              <w:adjustRightInd/>
              <w:spacing w:after="0" w:line="240" w:lineRule="auto"/>
              <w:jc w:val="right"/>
              <w:rPr>
                <w:rFonts w:eastAsia="Times New Roman"/>
                <w:b/>
                <w:color w:val="000000"/>
                <w:sz w:val="20"/>
                <w:szCs w:val="20"/>
              </w:rPr>
            </w:pPr>
            <w:r w:rsidRPr="00563AD3">
              <w:rPr>
                <w:rFonts w:eastAsia="Times New Roman"/>
                <w:b/>
                <w:color w:val="000000"/>
                <w:sz w:val="20"/>
                <w:szCs w:val="20"/>
              </w:rPr>
              <w:t>0.004</w:t>
            </w:r>
          </w:p>
        </w:tc>
        <w:tc>
          <w:tcPr>
            <w:tcW w:w="1480" w:type="dxa"/>
            <w:tcBorders>
              <w:top w:val="single" w:sz="4" w:space="0" w:color="auto"/>
              <w:left w:val="single" w:sz="4" w:space="0" w:color="auto"/>
              <w:bottom w:val="nil"/>
              <w:right w:val="single" w:sz="4" w:space="0" w:color="auto"/>
            </w:tcBorders>
            <w:shd w:val="clear" w:color="auto" w:fill="auto"/>
            <w:noWrap/>
            <w:vAlign w:val="center"/>
          </w:tcPr>
          <w:p w14:paraId="103C33FA"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1802.20</w:t>
            </w:r>
          </w:p>
        </w:tc>
        <w:tc>
          <w:tcPr>
            <w:tcW w:w="1480" w:type="dxa"/>
            <w:tcBorders>
              <w:top w:val="single" w:sz="4" w:space="0" w:color="auto"/>
              <w:left w:val="single" w:sz="4" w:space="0" w:color="auto"/>
              <w:bottom w:val="nil"/>
              <w:right w:val="single" w:sz="4" w:space="0" w:color="auto"/>
            </w:tcBorders>
            <w:shd w:val="clear" w:color="auto" w:fill="auto"/>
            <w:noWrap/>
            <w:vAlign w:val="center"/>
          </w:tcPr>
          <w:p w14:paraId="70A2C320"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8762.46</w:t>
            </w:r>
          </w:p>
        </w:tc>
      </w:tr>
      <w:tr w:rsidR="00DB6295" w:rsidRPr="00563AD3" w14:paraId="07BE0942" w14:textId="77777777" w:rsidTr="00DB6295">
        <w:trPr>
          <w:trHeight w:val="528"/>
        </w:trPr>
        <w:tc>
          <w:tcPr>
            <w:tcW w:w="2395" w:type="dxa"/>
            <w:tcBorders>
              <w:top w:val="nil"/>
              <w:left w:val="single" w:sz="4" w:space="0" w:color="auto"/>
              <w:bottom w:val="nil"/>
              <w:right w:val="single" w:sz="4" w:space="0" w:color="auto"/>
            </w:tcBorders>
            <w:shd w:val="clear" w:color="auto" w:fill="auto"/>
            <w:vAlign w:val="center"/>
          </w:tcPr>
          <w:p w14:paraId="2BA14F86"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Treatment*Compliance</w:t>
            </w:r>
          </w:p>
        </w:tc>
        <w:tc>
          <w:tcPr>
            <w:tcW w:w="1481" w:type="dxa"/>
            <w:tcBorders>
              <w:top w:val="nil"/>
              <w:left w:val="single" w:sz="4" w:space="0" w:color="auto"/>
              <w:bottom w:val="nil"/>
              <w:right w:val="single" w:sz="4" w:space="0" w:color="auto"/>
            </w:tcBorders>
            <w:shd w:val="clear" w:color="auto" w:fill="auto"/>
            <w:noWrap/>
            <w:vAlign w:val="center"/>
          </w:tcPr>
          <w:p w14:paraId="6674A257"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p>
        </w:tc>
        <w:tc>
          <w:tcPr>
            <w:tcW w:w="1480" w:type="dxa"/>
            <w:tcBorders>
              <w:top w:val="nil"/>
              <w:left w:val="single" w:sz="4" w:space="0" w:color="auto"/>
              <w:bottom w:val="nil"/>
              <w:right w:val="single" w:sz="4" w:space="0" w:color="auto"/>
            </w:tcBorders>
            <w:shd w:val="clear" w:color="auto" w:fill="auto"/>
            <w:noWrap/>
            <w:vAlign w:val="center"/>
          </w:tcPr>
          <w:p w14:paraId="2384DB91"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p>
        </w:tc>
        <w:tc>
          <w:tcPr>
            <w:tcW w:w="1091" w:type="dxa"/>
            <w:tcBorders>
              <w:top w:val="nil"/>
              <w:left w:val="single" w:sz="4" w:space="0" w:color="auto"/>
              <w:bottom w:val="nil"/>
              <w:right w:val="single" w:sz="4" w:space="0" w:color="auto"/>
            </w:tcBorders>
            <w:shd w:val="clear" w:color="auto" w:fill="auto"/>
            <w:noWrap/>
            <w:vAlign w:val="center"/>
          </w:tcPr>
          <w:p w14:paraId="3AE81C19"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p>
        </w:tc>
        <w:tc>
          <w:tcPr>
            <w:tcW w:w="1480" w:type="dxa"/>
            <w:tcBorders>
              <w:top w:val="nil"/>
              <w:left w:val="single" w:sz="4" w:space="0" w:color="auto"/>
              <w:bottom w:val="nil"/>
              <w:right w:val="single" w:sz="4" w:space="0" w:color="auto"/>
            </w:tcBorders>
            <w:shd w:val="clear" w:color="auto" w:fill="auto"/>
            <w:noWrap/>
            <w:vAlign w:val="center"/>
          </w:tcPr>
          <w:p w14:paraId="758ABD6D"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p>
        </w:tc>
        <w:tc>
          <w:tcPr>
            <w:tcW w:w="1480" w:type="dxa"/>
            <w:tcBorders>
              <w:top w:val="nil"/>
              <w:left w:val="single" w:sz="4" w:space="0" w:color="auto"/>
              <w:bottom w:val="nil"/>
              <w:right w:val="single" w:sz="4" w:space="0" w:color="auto"/>
            </w:tcBorders>
            <w:shd w:val="clear" w:color="auto" w:fill="auto"/>
            <w:noWrap/>
            <w:vAlign w:val="center"/>
          </w:tcPr>
          <w:p w14:paraId="6691F056"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p>
        </w:tc>
      </w:tr>
      <w:tr w:rsidR="00DB6295" w:rsidRPr="00563AD3" w14:paraId="3F341637" w14:textId="77777777" w:rsidTr="00DB6295">
        <w:trPr>
          <w:trHeight w:val="264"/>
        </w:trPr>
        <w:tc>
          <w:tcPr>
            <w:tcW w:w="2395" w:type="dxa"/>
            <w:tcBorders>
              <w:top w:val="nil"/>
              <w:left w:val="single" w:sz="4" w:space="0" w:color="auto"/>
              <w:bottom w:val="nil"/>
              <w:right w:val="single" w:sz="4" w:space="0" w:color="auto"/>
            </w:tcBorders>
            <w:shd w:val="clear" w:color="auto" w:fill="auto"/>
            <w:vAlign w:val="center"/>
            <w:hideMark/>
          </w:tcPr>
          <w:p w14:paraId="2075DFAD"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w:t>
            </w:r>
          </w:p>
        </w:tc>
        <w:tc>
          <w:tcPr>
            <w:tcW w:w="1481" w:type="dxa"/>
            <w:tcBorders>
              <w:top w:val="nil"/>
              <w:left w:val="single" w:sz="4" w:space="0" w:color="auto"/>
              <w:bottom w:val="nil"/>
              <w:right w:val="single" w:sz="4" w:space="0" w:color="auto"/>
            </w:tcBorders>
            <w:shd w:val="clear" w:color="auto" w:fill="auto"/>
            <w:vAlign w:val="center"/>
            <w:hideMark/>
          </w:tcPr>
          <w:p w14:paraId="6512BA40"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-1617.88</w:t>
            </w:r>
          </w:p>
        </w:tc>
        <w:tc>
          <w:tcPr>
            <w:tcW w:w="1480" w:type="dxa"/>
            <w:tcBorders>
              <w:top w:val="nil"/>
              <w:left w:val="single" w:sz="4" w:space="0" w:color="auto"/>
              <w:bottom w:val="nil"/>
              <w:right w:val="single" w:sz="4" w:space="0" w:color="auto"/>
            </w:tcBorders>
            <w:shd w:val="clear" w:color="auto" w:fill="auto"/>
            <w:vAlign w:val="center"/>
            <w:hideMark/>
          </w:tcPr>
          <w:p w14:paraId="1A801141"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840.149</w:t>
            </w:r>
          </w:p>
        </w:tc>
        <w:tc>
          <w:tcPr>
            <w:tcW w:w="1091" w:type="dxa"/>
            <w:tcBorders>
              <w:top w:val="nil"/>
              <w:left w:val="single" w:sz="4" w:space="0" w:color="auto"/>
              <w:bottom w:val="nil"/>
              <w:right w:val="single" w:sz="4" w:space="0" w:color="auto"/>
            </w:tcBorders>
            <w:shd w:val="clear" w:color="auto" w:fill="auto"/>
            <w:vAlign w:val="center"/>
            <w:hideMark/>
          </w:tcPr>
          <w:p w14:paraId="3E22A296"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0.061</w:t>
            </w:r>
          </w:p>
        </w:tc>
        <w:tc>
          <w:tcPr>
            <w:tcW w:w="1480" w:type="dxa"/>
            <w:tcBorders>
              <w:top w:val="nil"/>
              <w:left w:val="single" w:sz="4" w:space="0" w:color="auto"/>
              <w:bottom w:val="nil"/>
              <w:right w:val="single" w:sz="4" w:space="0" w:color="auto"/>
            </w:tcBorders>
            <w:shd w:val="clear" w:color="auto" w:fill="auto"/>
            <w:vAlign w:val="center"/>
            <w:hideMark/>
          </w:tcPr>
          <w:p w14:paraId="51C42244"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-3311.72</w:t>
            </w:r>
          </w:p>
        </w:tc>
        <w:tc>
          <w:tcPr>
            <w:tcW w:w="1480" w:type="dxa"/>
            <w:tcBorders>
              <w:top w:val="nil"/>
              <w:left w:val="single" w:sz="4" w:space="0" w:color="auto"/>
              <w:bottom w:val="nil"/>
              <w:right w:val="single" w:sz="4" w:space="0" w:color="auto"/>
            </w:tcBorders>
            <w:shd w:val="clear" w:color="auto" w:fill="auto"/>
            <w:vAlign w:val="center"/>
            <w:hideMark/>
          </w:tcPr>
          <w:p w14:paraId="6C63795F"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75.96</w:t>
            </w:r>
          </w:p>
        </w:tc>
      </w:tr>
      <w:tr w:rsidR="00DB6295" w:rsidRPr="00563AD3" w14:paraId="3399B383" w14:textId="77777777" w:rsidTr="00DB6295">
        <w:trPr>
          <w:trHeight w:val="264"/>
        </w:trPr>
        <w:tc>
          <w:tcPr>
            <w:tcW w:w="2395" w:type="dxa"/>
            <w:tcBorders>
              <w:top w:val="nil"/>
              <w:left w:val="single" w:sz="4" w:space="0" w:color="auto"/>
              <w:bottom w:val="nil"/>
              <w:right w:val="single" w:sz="4" w:space="0" w:color="auto"/>
            </w:tcBorders>
            <w:shd w:val="clear" w:color="auto" w:fill="auto"/>
            <w:vAlign w:val="center"/>
            <w:hideMark/>
          </w:tcPr>
          <w:p w14:paraId="4C451A9D" w14:textId="77777777" w:rsidR="00DB6295" w:rsidRPr="00563AD3" w:rsidRDefault="00DB6295" w:rsidP="008435A0">
            <w:pPr>
              <w:autoSpaceDE/>
              <w:autoSpaceDN/>
              <w:adjustRightInd/>
              <w:spacing w:after="0" w:line="240" w:lineRule="auto"/>
              <w:jc w:val="right"/>
              <w:rPr>
                <w:rFonts w:eastAsia="Times New Roman"/>
                <w:b/>
                <w:color w:val="000000"/>
                <w:sz w:val="20"/>
                <w:szCs w:val="20"/>
              </w:rPr>
            </w:pPr>
            <w:r w:rsidRPr="00563AD3">
              <w:rPr>
                <w:rFonts w:eastAsia="Times New Roman"/>
                <w:b/>
                <w:color w:val="000000"/>
                <w:sz w:val="20"/>
                <w:szCs w:val="20"/>
              </w:rPr>
              <w:t>1</w:t>
            </w:r>
          </w:p>
        </w:tc>
        <w:tc>
          <w:tcPr>
            <w:tcW w:w="1481" w:type="dxa"/>
            <w:tcBorders>
              <w:top w:val="nil"/>
              <w:left w:val="single" w:sz="4" w:space="0" w:color="auto"/>
              <w:bottom w:val="nil"/>
              <w:right w:val="single" w:sz="4" w:space="0" w:color="auto"/>
            </w:tcBorders>
            <w:shd w:val="clear" w:color="auto" w:fill="auto"/>
            <w:vAlign w:val="center"/>
            <w:hideMark/>
          </w:tcPr>
          <w:p w14:paraId="121AE2B0"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-1427.81</w:t>
            </w:r>
          </w:p>
        </w:tc>
        <w:tc>
          <w:tcPr>
            <w:tcW w:w="1480" w:type="dxa"/>
            <w:tcBorders>
              <w:top w:val="nil"/>
              <w:left w:val="single" w:sz="4" w:space="0" w:color="auto"/>
              <w:bottom w:val="nil"/>
              <w:right w:val="single" w:sz="4" w:space="0" w:color="auto"/>
            </w:tcBorders>
            <w:shd w:val="clear" w:color="auto" w:fill="auto"/>
            <w:vAlign w:val="center"/>
            <w:hideMark/>
          </w:tcPr>
          <w:p w14:paraId="2C7731C3"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1159.62</w:t>
            </w:r>
          </w:p>
        </w:tc>
        <w:tc>
          <w:tcPr>
            <w:tcW w:w="1091" w:type="dxa"/>
            <w:tcBorders>
              <w:top w:val="nil"/>
              <w:left w:val="single" w:sz="4" w:space="0" w:color="auto"/>
              <w:bottom w:val="nil"/>
              <w:right w:val="single" w:sz="4" w:space="0" w:color="auto"/>
            </w:tcBorders>
            <w:shd w:val="clear" w:color="auto" w:fill="auto"/>
            <w:vAlign w:val="center"/>
            <w:hideMark/>
          </w:tcPr>
          <w:p w14:paraId="73BCC5AD"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0.225</w:t>
            </w:r>
          </w:p>
        </w:tc>
        <w:tc>
          <w:tcPr>
            <w:tcW w:w="1480" w:type="dxa"/>
            <w:tcBorders>
              <w:top w:val="nil"/>
              <w:left w:val="single" w:sz="4" w:space="0" w:color="auto"/>
              <w:bottom w:val="nil"/>
              <w:right w:val="single" w:sz="4" w:space="0" w:color="auto"/>
            </w:tcBorders>
            <w:shd w:val="clear" w:color="auto" w:fill="auto"/>
            <w:hideMark/>
          </w:tcPr>
          <w:p w14:paraId="2BF874C3"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t>-3762.80</w:t>
            </w:r>
          </w:p>
        </w:tc>
        <w:tc>
          <w:tcPr>
            <w:tcW w:w="1480" w:type="dxa"/>
            <w:tcBorders>
              <w:top w:val="nil"/>
              <w:left w:val="single" w:sz="4" w:space="0" w:color="auto"/>
              <w:bottom w:val="nil"/>
              <w:right w:val="single" w:sz="4" w:space="0" w:color="auto"/>
            </w:tcBorders>
            <w:shd w:val="clear" w:color="auto" w:fill="auto"/>
            <w:hideMark/>
          </w:tcPr>
          <w:p w14:paraId="75A41A81"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t>907.18</w:t>
            </w:r>
          </w:p>
        </w:tc>
      </w:tr>
      <w:tr w:rsidR="00DB6295" w:rsidRPr="00563AD3" w14:paraId="3AA9F454" w14:textId="77777777" w:rsidTr="00DB6295">
        <w:trPr>
          <w:trHeight w:val="264"/>
        </w:trPr>
        <w:tc>
          <w:tcPr>
            <w:tcW w:w="2395" w:type="dxa"/>
            <w:tcBorders>
              <w:top w:val="nil"/>
              <w:left w:val="single" w:sz="4" w:space="0" w:color="auto"/>
              <w:bottom w:val="nil"/>
              <w:right w:val="single" w:sz="4" w:space="0" w:color="auto"/>
            </w:tcBorders>
            <w:shd w:val="clear" w:color="auto" w:fill="auto"/>
            <w:vAlign w:val="center"/>
            <w:hideMark/>
          </w:tcPr>
          <w:p w14:paraId="2A886AC1" w14:textId="77777777" w:rsidR="00DB6295" w:rsidRPr="00563AD3" w:rsidRDefault="00DB6295" w:rsidP="008435A0">
            <w:pPr>
              <w:autoSpaceDE/>
              <w:autoSpaceDN/>
              <w:adjustRightInd/>
              <w:spacing w:after="0" w:line="240" w:lineRule="auto"/>
              <w:jc w:val="right"/>
              <w:rPr>
                <w:rFonts w:eastAsia="Times New Roman"/>
                <w:b/>
                <w:color w:val="000000"/>
                <w:sz w:val="20"/>
                <w:szCs w:val="20"/>
              </w:rPr>
            </w:pPr>
            <w:r w:rsidRPr="00563AD3">
              <w:rPr>
                <w:rFonts w:eastAsia="Times New Roman"/>
                <w:b/>
                <w:color w:val="000000"/>
                <w:sz w:val="20"/>
                <w:szCs w:val="20"/>
              </w:rPr>
              <w:t>2</w:t>
            </w:r>
          </w:p>
        </w:tc>
        <w:tc>
          <w:tcPr>
            <w:tcW w:w="1481" w:type="dxa"/>
            <w:tcBorders>
              <w:top w:val="nil"/>
              <w:left w:val="single" w:sz="4" w:space="0" w:color="auto"/>
              <w:bottom w:val="nil"/>
              <w:right w:val="single" w:sz="4" w:space="0" w:color="auto"/>
            </w:tcBorders>
            <w:shd w:val="clear" w:color="auto" w:fill="auto"/>
            <w:vAlign w:val="center"/>
            <w:hideMark/>
          </w:tcPr>
          <w:p w14:paraId="4E743080"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177.53</w:t>
            </w:r>
          </w:p>
        </w:tc>
        <w:tc>
          <w:tcPr>
            <w:tcW w:w="1480" w:type="dxa"/>
            <w:tcBorders>
              <w:top w:val="nil"/>
              <w:left w:val="single" w:sz="4" w:space="0" w:color="auto"/>
              <w:bottom w:val="nil"/>
              <w:right w:val="single" w:sz="4" w:space="0" w:color="auto"/>
            </w:tcBorders>
            <w:shd w:val="clear" w:color="auto" w:fill="auto"/>
            <w:vAlign w:val="center"/>
            <w:hideMark/>
          </w:tcPr>
          <w:p w14:paraId="5A7575CA"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1139.85</w:t>
            </w:r>
          </w:p>
        </w:tc>
        <w:tc>
          <w:tcPr>
            <w:tcW w:w="1091" w:type="dxa"/>
            <w:tcBorders>
              <w:top w:val="nil"/>
              <w:left w:val="single" w:sz="4" w:space="0" w:color="auto"/>
              <w:bottom w:val="nil"/>
              <w:right w:val="single" w:sz="4" w:space="0" w:color="auto"/>
            </w:tcBorders>
            <w:shd w:val="clear" w:color="auto" w:fill="auto"/>
            <w:vAlign w:val="center"/>
            <w:hideMark/>
          </w:tcPr>
          <w:p w14:paraId="6734B7AC"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0.88</w:t>
            </w:r>
          </w:p>
        </w:tc>
        <w:tc>
          <w:tcPr>
            <w:tcW w:w="1480" w:type="dxa"/>
            <w:tcBorders>
              <w:top w:val="nil"/>
              <w:left w:val="single" w:sz="4" w:space="0" w:color="auto"/>
              <w:bottom w:val="nil"/>
              <w:right w:val="single" w:sz="4" w:space="0" w:color="auto"/>
            </w:tcBorders>
            <w:shd w:val="clear" w:color="auto" w:fill="auto"/>
            <w:vAlign w:val="center"/>
            <w:hideMark/>
          </w:tcPr>
          <w:p w14:paraId="6C7733E6"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-2117.28</w:t>
            </w:r>
          </w:p>
        </w:tc>
        <w:tc>
          <w:tcPr>
            <w:tcW w:w="1480" w:type="dxa"/>
            <w:tcBorders>
              <w:top w:val="nil"/>
              <w:left w:val="single" w:sz="4" w:space="0" w:color="auto"/>
              <w:bottom w:val="nil"/>
              <w:right w:val="single" w:sz="4" w:space="0" w:color="auto"/>
            </w:tcBorders>
            <w:shd w:val="clear" w:color="auto" w:fill="auto"/>
            <w:vAlign w:val="center"/>
            <w:hideMark/>
          </w:tcPr>
          <w:p w14:paraId="340EE668"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2472.34</w:t>
            </w:r>
          </w:p>
        </w:tc>
      </w:tr>
      <w:tr w:rsidR="00DB6295" w:rsidRPr="00563AD3" w14:paraId="0A0E49FD" w14:textId="77777777" w:rsidTr="00DB6295">
        <w:trPr>
          <w:trHeight w:val="264"/>
        </w:trPr>
        <w:tc>
          <w:tcPr>
            <w:tcW w:w="2395" w:type="dxa"/>
            <w:tcBorders>
              <w:top w:val="nil"/>
              <w:left w:val="single" w:sz="4" w:space="0" w:color="auto"/>
              <w:bottom w:val="nil"/>
              <w:right w:val="single" w:sz="4" w:space="0" w:color="auto"/>
            </w:tcBorders>
            <w:shd w:val="clear" w:color="auto" w:fill="auto"/>
            <w:vAlign w:val="center"/>
            <w:hideMark/>
          </w:tcPr>
          <w:p w14:paraId="250F1E79"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Date of birth</w:t>
            </w:r>
          </w:p>
        </w:tc>
        <w:tc>
          <w:tcPr>
            <w:tcW w:w="1481" w:type="dxa"/>
            <w:tcBorders>
              <w:top w:val="nil"/>
              <w:left w:val="single" w:sz="4" w:space="0" w:color="auto"/>
              <w:bottom w:val="nil"/>
              <w:right w:val="single" w:sz="4" w:space="0" w:color="auto"/>
            </w:tcBorders>
            <w:shd w:val="clear" w:color="auto" w:fill="auto"/>
            <w:vAlign w:val="center"/>
            <w:hideMark/>
          </w:tcPr>
          <w:p w14:paraId="5010C745"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0.16</w:t>
            </w:r>
          </w:p>
        </w:tc>
        <w:tc>
          <w:tcPr>
            <w:tcW w:w="1480" w:type="dxa"/>
            <w:tcBorders>
              <w:top w:val="nil"/>
              <w:left w:val="single" w:sz="4" w:space="0" w:color="auto"/>
              <w:bottom w:val="nil"/>
              <w:right w:val="single" w:sz="4" w:space="0" w:color="auto"/>
            </w:tcBorders>
            <w:shd w:val="clear" w:color="auto" w:fill="auto"/>
            <w:vAlign w:val="center"/>
            <w:hideMark/>
          </w:tcPr>
          <w:p w14:paraId="2EB98E90"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0.09</w:t>
            </w:r>
          </w:p>
        </w:tc>
        <w:tc>
          <w:tcPr>
            <w:tcW w:w="1091" w:type="dxa"/>
            <w:tcBorders>
              <w:top w:val="nil"/>
              <w:left w:val="single" w:sz="4" w:space="0" w:color="auto"/>
              <w:bottom w:val="nil"/>
              <w:right w:val="single" w:sz="4" w:space="0" w:color="auto"/>
            </w:tcBorders>
            <w:shd w:val="clear" w:color="auto" w:fill="auto"/>
            <w:vAlign w:val="center"/>
            <w:hideMark/>
          </w:tcPr>
          <w:p w14:paraId="1F9F04C1"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0.115</w:t>
            </w:r>
          </w:p>
        </w:tc>
        <w:tc>
          <w:tcPr>
            <w:tcW w:w="1480" w:type="dxa"/>
            <w:tcBorders>
              <w:top w:val="nil"/>
              <w:left w:val="single" w:sz="4" w:space="0" w:color="auto"/>
              <w:bottom w:val="nil"/>
              <w:right w:val="single" w:sz="4" w:space="0" w:color="auto"/>
            </w:tcBorders>
            <w:shd w:val="clear" w:color="auto" w:fill="auto"/>
            <w:vAlign w:val="center"/>
            <w:hideMark/>
          </w:tcPr>
          <w:p w14:paraId="32861CCE"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-0.04</w:t>
            </w:r>
          </w:p>
        </w:tc>
        <w:tc>
          <w:tcPr>
            <w:tcW w:w="1480" w:type="dxa"/>
            <w:tcBorders>
              <w:top w:val="nil"/>
              <w:left w:val="single" w:sz="4" w:space="0" w:color="auto"/>
              <w:bottom w:val="nil"/>
              <w:right w:val="single" w:sz="4" w:space="0" w:color="auto"/>
            </w:tcBorders>
            <w:shd w:val="clear" w:color="auto" w:fill="auto"/>
            <w:vAlign w:val="center"/>
            <w:hideMark/>
          </w:tcPr>
          <w:p w14:paraId="5E0BE99E"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0.35</w:t>
            </w:r>
          </w:p>
        </w:tc>
      </w:tr>
      <w:tr w:rsidR="00DB6295" w:rsidRPr="00563AD3" w14:paraId="578FCBE1" w14:textId="77777777" w:rsidTr="00DB6295">
        <w:trPr>
          <w:trHeight w:val="528"/>
        </w:trPr>
        <w:tc>
          <w:tcPr>
            <w:tcW w:w="2395" w:type="dxa"/>
            <w:tcBorders>
              <w:top w:val="nil"/>
              <w:left w:val="single" w:sz="4" w:space="0" w:color="auto"/>
              <w:bottom w:val="nil"/>
              <w:right w:val="single" w:sz="4" w:space="0" w:color="auto"/>
            </w:tcBorders>
            <w:shd w:val="clear" w:color="auto" w:fill="auto"/>
            <w:vAlign w:val="center"/>
            <w:hideMark/>
          </w:tcPr>
          <w:p w14:paraId="61391E7D"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Baseline EQ-5D</w:t>
            </w:r>
          </w:p>
        </w:tc>
        <w:tc>
          <w:tcPr>
            <w:tcW w:w="1481" w:type="dxa"/>
            <w:tcBorders>
              <w:top w:val="nil"/>
              <w:left w:val="single" w:sz="4" w:space="0" w:color="auto"/>
              <w:bottom w:val="nil"/>
              <w:right w:val="single" w:sz="4" w:space="0" w:color="auto"/>
            </w:tcBorders>
            <w:shd w:val="clear" w:color="auto" w:fill="auto"/>
            <w:vAlign w:val="center"/>
            <w:hideMark/>
          </w:tcPr>
          <w:p w14:paraId="6753885C"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14628.21</w:t>
            </w:r>
          </w:p>
        </w:tc>
        <w:tc>
          <w:tcPr>
            <w:tcW w:w="1480" w:type="dxa"/>
            <w:tcBorders>
              <w:top w:val="nil"/>
              <w:left w:val="single" w:sz="4" w:space="0" w:color="auto"/>
              <w:bottom w:val="nil"/>
              <w:right w:val="single" w:sz="4" w:space="0" w:color="auto"/>
            </w:tcBorders>
            <w:shd w:val="clear" w:color="auto" w:fill="auto"/>
            <w:vAlign w:val="center"/>
            <w:hideMark/>
          </w:tcPr>
          <w:p w14:paraId="0AA3214B"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1381.11</w:t>
            </w:r>
          </w:p>
        </w:tc>
        <w:tc>
          <w:tcPr>
            <w:tcW w:w="1091" w:type="dxa"/>
            <w:tcBorders>
              <w:top w:val="nil"/>
              <w:left w:val="single" w:sz="4" w:space="0" w:color="auto"/>
              <w:bottom w:val="nil"/>
              <w:right w:val="single" w:sz="4" w:space="0" w:color="auto"/>
            </w:tcBorders>
            <w:shd w:val="clear" w:color="auto" w:fill="auto"/>
            <w:vAlign w:val="center"/>
            <w:hideMark/>
          </w:tcPr>
          <w:p w14:paraId="2F40F4FE" w14:textId="77777777" w:rsidR="00DB6295" w:rsidRPr="00563AD3" w:rsidRDefault="00DB6295" w:rsidP="008435A0">
            <w:pPr>
              <w:autoSpaceDE/>
              <w:autoSpaceDN/>
              <w:adjustRightInd/>
              <w:spacing w:after="0" w:line="240" w:lineRule="auto"/>
              <w:jc w:val="right"/>
              <w:rPr>
                <w:rFonts w:eastAsia="Times New Roman"/>
                <w:b/>
                <w:color w:val="000000"/>
                <w:sz w:val="20"/>
                <w:szCs w:val="20"/>
              </w:rPr>
            </w:pPr>
            <w:r w:rsidRPr="00563AD3">
              <w:rPr>
                <w:rFonts w:eastAsia="Times New Roman"/>
                <w:b/>
                <w:color w:val="000000"/>
                <w:sz w:val="20"/>
                <w:szCs w:val="20"/>
              </w:rPr>
              <w:t>0.000</w:t>
            </w:r>
          </w:p>
        </w:tc>
        <w:tc>
          <w:tcPr>
            <w:tcW w:w="1480" w:type="dxa"/>
            <w:tcBorders>
              <w:top w:val="nil"/>
              <w:left w:val="single" w:sz="4" w:space="0" w:color="auto"/>
              <w:bottom w:val="nil"/>
              <w:right w:val="single" w:sz="4" w:space="0" w:color="auto"/>
            </w:tcBorders>
            <w:shd w:val="clear" w:color="auto" w:fill="auto"/>
            <w:vAlign w:val="center"/>
            <w:hideMark/>
          </w:tcPr>
          <w:p w14:paraId="6A037755"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11847.35</w:t>
            </w:r>
          </w:p>
        </w:tc>
        <w:tc>
          <w:tcPr>
            <w:tcW w:w="1480" w:type="dxa"/>
            <w:tcBorders>
              <w:top w:val="nil"/>
              <w:left w:val="single" w:sz="4" w:space="0" w:color="auto"/>
              <w:bottom w:val="nil"/>
              <w:right w:val="single" w:sz="4" w:space="0" w:color="auto"/>
            </w:tcBorders>
            <w:shd w:val="clear" w:color="auto" w:fill="auto"/>
            <w:vAlign w:val="center"/>
            <w:hideMark/>
          </w:tcPr>
          <w:p w14:paraId="2205E786"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17409.07</w:t>
            </w:r>
          </w:p>
        </w:tc>
      </w:tr>
      <w:tr w:rsidR="00DB6295" w:rsidRPr="00563AD3" w14:paraId="1F382050" w14:textId="77777777" w:rsidTr="00DB6295">
        <w:trPr>
          <w:trHeight w:val="528"/>
        </w:trPr>
        <w:tc>
          <w:tcPr>
            <w:tcW w:w="2395" w:type="dxa"/>
            <w:tcBorders>
              <w:top w:val="nil"/>
              <w:left w:val="single" w:sz="4" w:space="0" w:color="auto"/>
              <w:bottom w:val="nil"/>
              <w:right w:val="single" w:sz="4" w:space="0" w:color="auto"/>
            </w:tcBorders>
            <w:shd w:val="clear" w:color="auto" w:fill="auto"/>
            <w:vAlign w:val="center"/>
            <w:hideMark/>
          </w:tcPr>
          <w:p w14:paraId="428D6C87"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Baseline CDR</w:t>
            </w:r>
          </w:p>
        </w:tc>
        <w:tc>
          <w:tcPr>
            <w:tcW w:w="1481" w:type="dxa"/>
            <w:tcBorders>
              <w:top w:val="nil"/>
              <w:left w:val="single" w:sz="4" w:space="0" w:color="auto"/>
              <w:bottom w:val="nil"/>
              <w:right w:val="single" w:sz="4" w:space="0" w:color="auto"/>
            </w:tcBorders>
            <w:shd w:val="clear" w:color="auto" w:fill="auto"/>
            <w:vAlign w:val="center"/>
            <w:hideMark/>
          </w:tcPr>
          <w:p w14:paraId="46893F33"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-807.31</w:t>
            </w:r>
          </w:p>
        </w:tc>
        <w:tc>
          <w:tcPr>
            <w:tcW w:w="1480" w:type="dxa"/>
            <w:tcBorders>
              <w:top w:val="nil"/>
              <w:left w:val="single" w:sz="4" w:space="0" w:color="auto"/>
              <w:bottom w:val="nil"/>
              <w:right w:val="single" w:sz="4" w:space="0" w:color="auto"/>
            </w:tcBorders>
            <w:shd w:val="clear" w:color="auto" w:fill="auto"/>
            <w:vAlign w:val="center"/>
            <w:hideMark/>
          </w:tcPr>
          <w:p w14:paraId="1A4A5E4C"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389.57</w:t>
            </w:r>
          </w:p>
        </w:tc>
        <w:tc>
          <w:tcPr>
            <w:tcW w:w="1091" w:type="dxa"/>
            <w:tcBorders>
              <w:top w:val="nil"/>
              <w:left w:val="single" w:sz="4" w:space="0" w:color="auto"/>
              <w:bottom w:val="nil"/>
              <w:right w:val="single" w:sz="4" w:space="0" w:color="auto"/>
            </w:tcBorders>
            <w:shd w:val="clear" w:color="auto" w:fill="auto"/>
            <w:vAlign w:val="center"/>
            <w:hideMark/>
          </w:tcPr>
          <w:p w14:paraId="32104A20" w14:textId="77777777" w:rsidR="00DB6295" w:rsidRPr="00563AD3" w:rsidRDefault="00DB6295" w:rsidP="008435A0">
            <w:pPr>
              <w:autoSpaceDE/>
              <w:autoSpaceDN/>
              <w:adjustRightInd/>
              <w:spacing w:after="0" w:line="240" w:lineRule="auto"/>
              <w:jc w:val="right"/>
              <w:rPr>
                <w:rFonts w:eastAsia="Times New Roman"/>
                <w:b/>
                <w:color w:val="000000"/>
                <w:sz w:val="20"/>
                <w:szCs w:val="20"/>
              </w:rPr>
            </w:pPr>
            <w:r w:rsidRPr="00563AD3">
              <w:rPr>
                <w:rFonts w:eastAsia="Times New Roman"/>
                <w:b/>
                <w:color w:val="000000"/>
                <w:sz w:val="20"/>
                <w:szCs w:val="20"/>
              </w:rPr>
              <w:t>0.044</w:t>
            </w:r>
          </w:p>
        </w:tc>
        <w:tc>
          <w:tcPr>
            <w:tcW w:w="1480" w:type="dxa"/>
            <w:tcBorders>
              <w:top w:val="nil"/>
              <w:left w:val="single" w:sz="4" w:space="0" w:color="auto"/>
              <w:bottom w:val="nil"/>
              <w:right w:val="single" w:sz="4" w:space="0" w:color="auto"/>
            </w:tcBorders>
            <w:shd w:val="clear" w:color="auto" w:fill="auto"/>
            <w:vAlign w:val="center"/>
            <w:hideMark/>
          </w:tcPr>
          <w:p w14:paraId="35F8702A"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-1592.07</w:t>
            </w:r>
          </w:p>
        </w:tc>
        <w:tc>
          <w:tcPr>
            <w:tcW w:w="1480" w:type="dxa"/>
            <w:tcBorders>
              <w:top w:val="nil"/>
              <w:left w:val="single" w:sz="4" w:space="0" w:color="auto"/>
              <w:bottom w:val="nil"/>
              <w:right w:val="single" w:sz="4" w:space="0" w:color="auto"/>
            </w:tcBorders>
            <w:shd w:val="clear" w:color="auto" w:fill="auto"/>
            <w:vAlign w:val="center"/>
            <w:hideMark/>
          </w:tcPr>
          <w:p w14:paraId="16F3BA20"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-22.56</w:t>
            </w:r>
          </w:p>
        </w:tc>
      </w:tr>
      <w:tr w:rsidR="00DB6295" w:rsidRPr="00563AD3" w14:paraId="768B0A21" w14:textId="77777777" w:rsidTr="00DB6295">
        <w:trPr>
          <w:trHeight w:val="528"/>
        </w:trPr>
        <w:tc>
          <w:tcPr>
            <w:tcW w:w="2395" w:type="dxa"/>
            <w:tcBorders>
              <w:top w:val="nil"/>
              <w:left w:val="single" w:sz="4" w:space="0" w:color="auto"/>
              <w:bottom w:val="nil"/>
              <w:right w:val="single" w:sz="4" w:space="0" w:color="auto"/>
            </w:tcBorders>
            <w:shd w:val="clear" w:color="auto" w:fill="auto"/>
            <w:vAlign w:val="center"/>
            <w:hideMark/>
          </w:tcPr>
          <w:p w14:paraId="473C69DD"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Care home type</w:t>
            </w:r>
          </w:p>
        </w:tc>
        <w:tc>
          <w:tcPr>
            <w:tcW w:w="1481" w:type="dxa"/>
            <w:tcBorders>
              <w:top w:val="nil"/>
              <w:left w:val="single" w:sz="4" w:space="0" w:color="auto"/>
              <w:bottom w:val="nil"/>
              <w:right w:val="single" w:sz="4" w:space="0" w:color="auto"/>
            </w:tcBorders>
            <w:shd w:val="clear" w:color="auto" w:fill="auto"/>
            <w:vAlign w:val="center"/>
            <w:hideMark/>
          </w:tcPr>
          <w:p w14:paraId="73B62417"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-463.22</w:t>
            </w:r>
          </w:p>
        </w:tc>
        <w:tc>
          <w:tcPr>
            <w:tcW w:w="1480" w:type="dxa"/>
            <w:tcBorders>
              <w:top w:val="nil"/>
              <w:left w:val="single" w:sz="4" w:space="0" w:color="auto"/>
              <w:bottom w:val="nil"/>
              <w:right w:val="single" w:sz="4" w:space="0" w:color="auto"/>
            </w:tcBorders>
            <w:shd w:val="clear" w:color="auto" w:fill="auto"/>
            <w:vAlign w:val="center"/>
            <w:hideMark/>
          </w:tcPr>
          <w:p w14:paraId="2D937A45"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835.22</w:t>
            </w:r>
          </w:p>
        </w:tc>
        <w:tc>
          <w:tcPr>
            <w:tcW w:w="1091" w:type="dxa"/>
            <w:tcBorders>
              <w:top w:val="nil"/>
              <w:left w:val="single" w:sz="4" w:space="0" w:color="auto"/>
              <w:bottom w:val="nil"/>
              <w:right w:val="single" w:sz="4" w:space="0" w:color="auto"/>
            </w:tcBorders>
            <w:shd w:val="clear" w:color="auto" w:fill="auto"/>
            <w:vAlign w:val="center"/>
            <w:hideMark/>
          </w:tcPr>
          <w:p w14:paraId="0DC682E9"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0.582</w:t>
            </w:r>
          </w:p>
        </w:tc>
        <w:tc>
          <w:tcPr>
            <w:tcW w:w="1480" w:type="dxa"/>
            <w:tcBorders>
              <w:top w:val="nil"/>
              <w:left w:val="single" w:sz="4" w:space="0" w:color="auto"/>
              <w:bottom w:val="nil"/>
              <w:right w:val="single" w:sz="4" w:space="0" w:color="auto"/>
            </w:tcBorders>
            <w:shd w:val="clear" w:color="auto" w:fill="auto"/>
            <w:vAlign w:val="center"/>
            <w:hideMark/>
          </w:tcPr>
          <w:p w14:paraId="1398CFF5"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-2144.57</w:t>
            </w:r>
          </w:p>
        </w:tc>
        <w:tc>
          <w:tcPr>
            <w:tcW w:w="1480" w:type="dxa"/>
            <w:tcBorders>
              <w:top w:val="nil"/>
              <w:left w:val="single" w:sz="4" w:space="0" w:color="auto"/>
              <w:bottom w:val="nil"/>
              <w:right w:val="single" w:sz="4" w:space="0" w:color="auto"/>
            </w:tcBorders>
            <w:shd w:val="clear" w:color="auto" w:fill="auto"/>
            <w:vAlign w:val="center"/>
            <w:hideMark/>
          </w:tcPr>
          <w:p w14:paraId="686E9D07"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1218.125</w:t>
            </w:r>
          </w:p>
        </w:tc>
      </w:tr>
      <w:tr w:rsidR="00DB6295" w:rsidRPr="00563AD3" w14:paraId="4B7776E6" w14:textId="77777777" w:rsidTr="00DB6295">
        <w:trPr>
          <w:trHeight w:val="528"/>
        </w:trPr>
        <w:tc>
          <w:tcPr>
            <w:tcW w:w="2395" w:type="dxa"/>
            <w:tcBorders>
              <w:top w:val="nil"/>
              <w:left w:val="single" w:sz="4" w:space="0" w:color="auto"/>
              <w:bottom w:val="nil"/>
              <w:right w:val="single" w:sz="4" w:space="0" w:color="auto"/>
            </w:tcBorders>
            <w:shd w:val="clear" w:color="auto" w:fill="auto"/>
            <w:vAlign w:val="center"/>
            <w:hideMark/>
          </w:tcPr>
          <w:p w14:paraId="4F10861A"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Care home size</w:t>
            </w:r>
          </w:p>
        </w:tc>
        <w:tc>
          <w:tcPr>
            <w:tcW w:w="1481" w:type="dxa"/>
            <w:tcBorders>
              <w:top w:val="nil"/>
              <w:left w:val="single" w:sz="4" w:space="0" w:color="auto"/>
              <w:bottom w:val="nil"/>
              <w:right w:val="single" w:sz="4" w:space="0" w:color="auto"/>
            </w:tcBorders>
            <w:shd w:val="clear" w:color="auto" w:fill="auto"/>
            <w:vAlign w:val="center"/>
            <w:hideMark/>
          </w:tcPr>
          <w:p w14:paraId="47F585DC"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856.64</w:t>
            </w:r>
          </w:p>
        </w:tc>
        <w:tc>
          <w:tcPr>
            <w:tcW w:w="1480" w:type="dxa"/>
            <w:tcBorders>
              <w:top w:val="nil"/>
              <w:left w:val="single" w:sz="4" w:space="0" w:color="auto"/>
              <w:bottom w:val="nil"/>
              <w:right w:val="single" w:sz="4" w:space="0" w:color="auto"/>
            </w:tcBorders>
            <w:shd w:val="clear" w:color="auto" w:fill="auto"/>
            <w:vAlign w:val="center"/>
            <w:hideMark/>
          </w:tcPr>
          <w:p w14:paraId="311D30C6"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1032.51</w:t>
            </w:r>
          </w:p>
        </w:tc>
        <w:tc>
          <w:tcPr>
            <w:tcW w:w="1091" w:type="dxa"/>
            <w:tcBorders>
              <w:top w:val="nil"/>
              <w:left w:val="single" w:sz="4" w:space="0" w:color="auto"/>
              <w:bottom w:val="nil"/>
              <w:right w:val="single" w:sz="4" w:space="0" w:color="auto"/>
            </w:tcBorders>
            <w:shd w:val="clear" w:color="auto" w:fill="auto"/>
            <w:vAlign w:val="center"/>
            <w:hideMark/>
          </w:tcPr>
          <w:p w14:paraId="47E4EC54"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0.411</w:t>
            </w:r>
          </w:p>
        </w:tc>
        <w:tc>
          <w:tcPr>
            <w:tcW w:w="1480" w:type="dxa"/>
            <w:tcBorders>
              <w:top w:val="nil"/>
              <w:left w:val="single" w:sz="4" w:space="0" w:color="auto"/>
              <w:bottom w:val="nil"/>
              <w:right w:val="single" w:sz="4" w:space="0" w:color="auto"/>
            </w:tcBorders>
            <w:shd w:val="clear" w:color="auto" w:fill="auto"/>
            <w:vAlign w:val="center"/>
            <w:hideMark/>
          </w:tcPr>
          <w:p w14:paraId="344B2889"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-1221.49</w:t>
            </w:r>
          </w:p>
        </w:tc>
        <w:tc>
          <w:tcPr>
            <w:tcW w:w="1480" w:type="dxa"/>
            <w:tcBorders>
              <w:top w:val="nil"/>
              <w:left w:val="single" w:sz="4" w:space="0" w:color="auto"/>
              <w:bottom w:val="nil"/>
              <w:right w:val="single" w:sz="4" w:space="0" w:color="auto"/>
            </w:tcBorders>
            <w:shd w:val="clear" w:color="auto" w:fill="auto"/>
            <w:vAlign w:val="center"/>
            <w:hideMark/>
          </w:tcPr>
          <w:p w14:paraId="425ED754"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2934.77</w:t>
            </w:r>
          </w:p>
        </w:tc>
      </w:tr>
      <w:tr w:rsidR="00DB6295" w:rsidRPr="00563AD3" w14:paraId="26D49911" w14:textId="77777777" w:rsidTr="00DB6295">
        <w:trPr>
          <w:trHeight w:val="528"/>
        </w:trPr>
        <w:tc>
          <w:tcPr>
            <w:tcW w:w="2395" w:type="dxa"/>
            <w:tcBorders>
              <w:top w:val="nil"/>
              <w:left w:val="single" w:sz="4" w:space="0" w:color="auto"/>
              <w:bottom w:val="nil"/>
              <w:right w:val="single" w:sz="4" w:space="0" w:color="auto"/>
            </w:tcBorders>
            <w:shd w:val="clear" w:color="auto" w:fill="auto"/>
            <w:vAlign w:val="center"/>
            <w:hideMark/>
          </w:tcPr>
          <w:p w14:paraId="41193709"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Care home training</w:t>
            </w:r>
          </w:p>
        </w:tc>
        <w:tc>
          <w:tcPr>
            <w:tcW w:w="1481" w:type="dxa"/>
            <w:tcBorders>
              <w:top w:val="nil"/>
              <w:left w:val="single" w:sz="4" w:space="0" w:color="auto"/>
              <w:bottom w:val="nil"/>
              <w:right w:val="single" w:sz="4" w:space="0" w:color="auto"/>
            </w:tcBorders>
            <w:shd w:val="clear" w:color="auto" w:fill="auto"/>
            <w:vAlign w:val="center"/>
            <w:hideMark/>
          </w:tcPr>
          <w:p w14:paraId="7F613A2B"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353.93</w:t>
            </w:r>
          </w:p>
        </w:tc>
        <w:tc>
          <w:tcPr>
            <w:tcW w:w="1480" w:type="dxa"/>
            <w:tcBorders>
              <w:top w:val="nil"/>
              <w:left w:val="single" w:sz="4" w:space="0" w:color="auto"/>
              <w:bottom w:val="nil"/>
              <w:right w:val="single" w:sz="4" w:space="0" w:color="auto"/>
            </w:tcBorders>
            <w:shd w:val="clear" w:color="auto" w:fill="auto"/>
            <w:vAlign w:val="center"/>
            <w:hideMark/>
          </w:tcPr>
          <w:p w14:paraId="50018506"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1107.15</w:t>
            </w:r>
          </w:p>
        </w:tc>
        <w:tc>
          <w:tcPr>
            <w:tcW w:w="1091" w:type="dxa"/>
            <w:tcBorders>
              <w:top w:val="nil"/>
              <w:left w:val="single" w:sz="4" w:space="0" w:color="auto"/>
              <w:bottom w:val="nil"/>
              <w:right w:val="single" w:sz="4" w:space="0" w:color="auto"/>
            </w:tcBorders>
            <w:shd w:val="clear" w:color="auto" w:fill="auto"/>
            <w:vAlign w:val="center"/>
            <w:hideMark/>
          </w:tcPr>
          <w:p w14:paraId="65590554"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0.751</w:t>
            </w:r>
          </w:p>
        </w:tc>
        <w:tc>
          <w:tcPr>
            <w:tcW w:w="1480" w:type="dxa"/>
            <w:tcBorders>
              <w:top w:val="nil"/>
              <w:left w:val="single" w:sz="4" w:space="0" w:color="auto"/>
              <w:bottom w:val="nil"/>
              <w:right w:val="single" w:sz="4" w:space="0" w:color="auto"/>
            </w:tcBorders>
            <w:shd w:val="clear" w:color="auto" w:fill="auto"/>
            <w:vAlign w:val="center"/>
            <w:hideMark/>
          </w:tcPr>
          <w:p w14:paraId="232E52AA"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-1874.86</w:t>
            </w:r>
          </w:p>
        </w:tc>
        <w:tc>
          <w:tcPr>
            <w:tcW w:w="1480" w:type="dxa"/>
            <w:tcBorders>
              <w:top w:val="nil"/>
              <w:left w:val="single" w:sz="4" w:space="0" w:color="auto"/>
              <w:bottom w:val="nil"/>
              <w:right w:val="single" w:sz="4" w:space="0" w:color="auto"/>
            </w:tcBorders>
            <w:shd w:val="clear" w:color="auto" w:fill="auto"/>
            <w:vAlign w:val="center"/>
            <w:hideMark/>
          </w:tcPr>
          <w:p w14:paraId="432613DB"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2582.727</w:t>
            </w:r>
          </w:p>
        </w:tc>
      </w:tr>
      <w:tr w:rsidR="00DB6295" w:rsidRPr="00563AD3" w14:paraId="4400C814" w14:textId="77777777" w:rsidTr="00DB6295">
        <w:trPr>
          <w:trHeight w:val="264"/>
        </w:trPr>
        <w:tc>
          <w:tcPr>
            <w:tcW w:w="2395" w:type="dxa"/>
            <w:tcBorders>
              <w:top w:val="nil"/>
              <w:left w:val="single" w:sz="4" w:space="0" w:color="auto"/>
              <w:bottom w:val="nil"/>
              <w:right w:val="single" w:sz="4" w:space="0" w:color="auto"/>
            </w:tcBorders>
            <w:shd w:val="clear" w:color="auto" w:fill="auto"/>
            <w:vAlign w:val="center"/>
            <w:hideMark/>
          </w:tcPr>
          <w:p w14:paraId="4500F937" w14:textId="77777777" w:rsidR="00DB6295" w:rsidRPr="00563AD3" w:rsidRDefault="00DB6295" w:rsidP="008435A0">
            <w:pPr>
              <w:autoSpaceDE/>
              <w:autoSpaceDN/>
              <w:adjustRightInd/>
              <w:spacing w:after="0" w:line="240" w:lineRule="auto"/>
              <w:rPr>
                <w:rFonts w:eastAsia="Times New Roman"/>
                <w:b/>
                <w:color w:val="000000"/>
                <w:sz w:val="20"/>
                <w:szCs w:val="20"/>
              </w:rPr>
            </w:pPr>
            <w:r w:rsidRPr="00563AD3">
              <w:rPr>
                <w:rFonts w:eastAsia="Times New Roman"/>
                <w:b/>
                <w:color w:val="000000"/>
                <w:sz w:val="20"/>
                <w:szCs w:val="20"/>
              </w:rPr>
              <w:t>Care home hub</w:t>
            </w:r>
          </w:p>
        </w:tc>
        <w:tc>
          <w:tcPr>
            <w:tcW w:w="1481" w:type="dxa"/>
            <w:tcBorders>
              <w:top w:val="nil"/>
              <w:left w:val="single" w:sz="4" w:space="0" w:color="auto"/>
              <w:bottom w:val="nil"/>
              <w:right w:val="single" w:sz="4" w:space="0" w:color="auto"/>
            </w:tcBorders>
            <w:shd w:val="clear" w:color="auto" w:fill="auto"/>
            <w:noWrap/>
            <w:vAlign w:val="bottom"/>
            <w:hideMark/>
          </w:tcPr>
          <w:p w14:paraId="51659D3A" w14:textId="77777777" w:rsidR="00DB6295" w:rsidRPr="00563AD3" w:rsidRDefault="00DB6295" w:rsidP="008435A0">
            <w:pPr>
              <w:autoSpaceDE/>
              <w:autoSpaceDN/>
              <w:adjustRightInd/>
              <w:spacing w:after="0" w:line="240" w:lineRule="auto"/>
              <w:rPr>
                <w:rFonts w:eastAsia="Times New Roman"/>
                <w:color w:val="000000"/>
                <w:sz w:val="20"/>
                <w:szCs w:val="20"/>
              </w:rPr>
            </w:pPr>
          </w:p>
        </w:tc>
        <w:tc>
          <w:tcPr>
            <w:tcW w:w="1480" w:type="dxa"/>
            <w:tcBorders>
              <w:top w:val="nil"/>
              <w:left w:val="single" w:sz="4" w:space="0" w:color="auto"/>
              <w:bottom w:val="nil"/>
              <w:right w:val="single" w:sz="4" w:space="0" w:color="auto"/>
            </w:tcBorders>
            <w:shd w:val="clear" w:color="auto" w:fill="auto"/>
            <w:noWrap/>
            <w:vAlign w:val="bottom"/>
            <w:hideMark/>
          </w:tcPr>
          <w:p w14:paraId="424DA9A4" w14:textId="77777777" w:rsidR="00DB6295" w:rsidRPr="00563AD3" w:rsidRDefault="00DB6295" w:rsidP="008435A0">
            <w:pPr>
              <w:autoSpaceDE/>
              <w:autoSpaceDN/>
              <w:adjustRightInd/>
              <w:spacing w:after="0" w:line="240" w:lineRule="auto"/>
              <w:rPr>
                <w:rFonts w:eastAsia="Times New Roman"/>
                <w:sz w:val="20"/>
                <w:szCs w:val="20"/>
              </w:rPr>
            </w:pPr>
          </w:p>
        </w:tc>
        <w:tc>
          <w:tcPr>
            <w:tcW w:w="1091" w:type="dxa"/>
            <w:tcBorders>
              <w:top w:val="nil"/>
              <w:left w:val="single" w:sz="4" w:space="0" w:color="auto"/>
              <w:bottom w:val="nil"/>
              <w:right w:val="single" w:sz="4" w:space="0" w:color="auto"/>
            </w:tcBorders>
            <w:shd w:val="clear" w:color="auto" w:fill="auto"/>
            <w:noWrap/>
            <w:vAlign w:val="bottom"/>
            <w:hideMark/>
          </w:tcPr>
          <w:p w14:paraId="3871BDD0" w14:textId="77777777" w:rsidR="00DB6295" w:rsidRPr="00563AD3" w:rsidRDefault="00DB6295" w:rsidP="008435A0">
            <w:pPr>
              <w:autoSpaceDE/>
              <w:autoSpaceDN/>
              <w:adjustRightInd/>
              <w:spacing w:after="0" w:line="240" w:lineRule="auto"/>
              <w:rPr>
                <w:rFonts w:eastAsia="Times New Roman"/>
                <w:sz w:val="20"/>
                <w:szCs w:val="20"/>
              </w:rPr>
            </w:pPr>
          </w:p>
        </w:tc>
        <w:tc>
          <w:tcPr>
            <w:tcW w:w="1480" w:type="dxa"/>
            <w:tcBorders>
              <w:top w:val="nil"/>
              <w:left w:val="single" w:sz="4" w:space="0" w:color="auto"/>
              <w:bottom w:val="nil"/>
              <w:right w:val="single" w:sz="4" w:space="0" w:color="auto"/>
            </w:tcBorders>
            <w:shd w:val="clear" w:color="auto" w:fill="auto"/>
            <w:noWrap/>
            <w:vAlign w:val="bottom"/>
            <w:hideMark/>
          </w:tcPr>
          <w:p w14:paraId="7E8BA81B" w14:textId="77777777" w:rsidR="00DB6295" w:rsidRPr="00563AD3" w:rsidRDefault="00DB6295" w:rsidP="008435A0">
            <w:pPr>
              <w:autoSpaceDE/>
              <w:autoSpaceDN/>
              <w:adjustRightInd/>
              <w:spacing w:after="0" w:line="240" w:lineRule="auto"/>
              <w:rPr>
                <w:rFonts w:eastAsia="Times New Roman"/>
                <w:sz w:val="20"/>
                <w:szCs w:val="20"/>
              </w:rPr>
            </w:pPr>
          </w:p>
        </w:tc>
        <w:tc>
          <w:tcPr>
            <w:tcW w:w="1480" w:type="dxa"/>
            <w:tcBorders>
              <w:top w:val="nil"/>
              <w:left w:val="single" w:sz="4" w:space="0" w:color="auto"/>
              <w:bottom w:val="nil"/>
              <w:right w:val="single" w:sz="4" w:space="0" w:color="auto"/>
            </w:tcBorders>
            <w:shd w:val="clear" w:color="auto" w:fill="auto"/>
            <w:noWrap/>
            <w:vAlign w:val="bottom"/>
            <w:hideMark/>
          </w:tcPr>
          <w:p w14:paraId="4EBD01F4" w14:textId="77777777" w:rsidR="00DB6295" w:rsidRPr="00563AD3" w:rsidRDefault="00DB6295" w:rsidP="008435A0">
            <w:pPr>
              <w:autoSpaceDE/>
              <w:autoSpaceDN/>
              <w:adjustRightInd/>
              <w:spacing w:after="0" w:line="240" w:lineRule="auto"/>
              <w:rPr>
                <w:rFonts w:eastAsia="Times New Roman"/>
                <w:color w:val="000000"/>
                <w:sz w:val="20"/>
                <w:szCs w:val="20"/>
              </w:rPr>
            </w:pPr>
            <w:r w:rsidRPr="00563AD3">
              <w:rPr>
                <w:rFonts w:eastAsia="Times New Roman"/>
                <w:color w:val="000000"/>
                <w:sz w:val="20"/>
                <w:szCs w:val="20"/>
              </w:rPr>
              <w:t> </w:t>
            </w:r>
          </w:p>
        </w:tc>
      </w:tr>
      <w:tr w:rsidR="00DB6295" w:rsidRPr="00563AD3" w14:paraId="7E7A0E73" w14:textId="77777777" w:rsidTr="00DB6295">
        <w:trPr>
          <w:trHeight w:val="264"/>
        </w:trPr>
        <w:tc>
          <w:tcPr>
            <w:tcW w:w="2395" w:type="dxa"/>
            <w:tcBorders>
              <w:top w:val="nil"/>
              <w:left w:val="single" w:sz="4" w:space="0" w:color="auto"/>
              <w:bottom w:val="nil"/>
              <w:right w:val="single" w:sz="4" w:space="0" w:color="auto"/>
            </w:tcBorders>
            <w:shd w:val="clear" w:color="auto" w:fill="auto"/>
            <w:vAlign w:val="center"/>
            <w:hideMark/>
          </w:tcPr>
          <w:p w14:paraId="6D088A52" w14:textId="77777777" w:rsidR="00DB6295" w:rsidRPr="00563AD3" w:rsidRDefault="00DB6295" w:rsidP="008435A0">
            <w:pPr>
              <w:autoSpaceDE/>
              <w:autoSpaceDN/>
              <w:adjustRightInd/>
              <w:spacing w:after="0" w:line="240" w:lineRule="auto"/>
              <w:jc w:val="right"/>
              <w:rPr>
                <w:rFonts w:eastAsia="Times New Roman"/>
                <w:b/>
                <w:color w:val="000000"/>
                <w:sz w:val="20"/>
                <w:szCs w:val="20"/>
              </w:rPr>
            </w:pPr>
            <w:r w:rsidRPr="00563AD3">
              <w:rPr>
                <w:rFonts w:eastAsia="Times New Roman"/>
                <w:b/>
                <w:color w:val="000000"/>
                <w:sz w:val="20"/>
                <w:szCs w:val="20"/>
              </w:rPr>
              <w:t>2</w:t>
            </w:r>
          </w:p>
        </w:tc>
        <w:tc>
          <w:tcPr>
            <w:tcW w:w="1481" w:type="dxa"/>
            <w:tcBorders>
              <w:top w:val="nil"/>
              <w:left w:val="single" w:sz="4" w:space="0" w:color="auto"/>
              <w:bottom w:val="nil"/>
              <w:right w:val="single" w:sz="4" w:space="0" w:color="auto"/>
            </w:tcBorders>
            <w:shd w:val="clear" w:color="auto" w:fill="auto"/>
            <w:vAlign w:val="center"/>
            <w:hideMark/>
          </w:tcPr>
          <w:p w14:paraId="7BAF4A92"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23.62</w:t>
            </w:r>
          </w:p>
        </w:tc>
        <w:tc>
          <w:tcPr>
            <w:tcW w:w="1480" w:type="dxa"/>
            <w:tcBorders>
              <w:top w:val="nil"/>
              <w:left w:val="single" w:sz="4" w:space="0" w:color="auto"/>
              <w:bottom w:val="nil"/>
              <w:right w:val="single" w:sz="4" w:space="0" w:color="auto"/>
            </w:tcBorders>
            <w:shd w:val="clear" w:color="auto" w:fill="auto"/>
            <w:vAlign w:val="center"/>
            <w:hideMark/>
          </w:tcPr>
          <w:p w14:paraId="0ECCBAB4"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1359.16</w:t>
            </w:r>
          </w:p>
        </w:tc>
        <w:tc>
          <w:tcPr>
            <w:tcW w:w="1091" w:type="dxa"/>
            <w:tcBorders>
              <w:top w:val="nil"/>
              <w:left w:val="single" w:sz="4" w:space="0" w:color="auto"/>
              <w:bottom w:val="nil"/>
              <w:right w:val="single" w:sz="4" w:space="0" w:color="auto"/>
            </w:tcBorders>
            <w:shd w:val="clear" w:color="auto" w:fill="auto"/>
            <w:vAlign w:val="center"/>
            <w:hideMark/>
          </w:tcPr>
          <w:p w14:paraId="5F234203"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0.986</w:t>
            </w:r>
          </w:p>
        </w:tc>
        <w:tc>
          <w:tcPr>
            <w:tcW w:w="1480" w:type="dxa"/>
            <w:tcBorders>
              <w:top w:val="nil"/>
              <w:left w:val="single" w:sz="4" w:space="0" w:color="auto"/>
              <w:bottom w:val="nil"/>
              <w:right w:val="single" w:sz="4" w:space="0" w:color="auto"/>
            </w:tcBorders>
            <w:shd w:val="clear" w:color="auto" w:fill="auto"/>
            <w:vAlign w:val="center"/>
            <w:hideMark/>
          </w:tcPr>
          <w:p w14:paraId="66A856E3"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-2713.0556</w:t>
            </w:r>
          </w:p>
        </w:tc>
        <w:tc>
          <w:tcPr>
            <w:tcW w:w="1480" w:type="dxa"/>
            <w:tcBorders>
              <w:top w:val="nil"/>
              <w:left w:val="single" w:sz="4" w:space="0" w:color="auto"/>
              <w:bottom w:val="nil"/>
              <w:right w:val="single" w:sz="4" w:space="0" w:color="auto"/>
            </w:tcBorders>
            <w:shd w:val="clear" w:color="auto" w:fill="auto"/>
            <w:vAlign w:val="center"/>
            <w:hideMark/>
          </w:tcPr>
          <w:p w14:paraId="631A2E96"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2760.31</w:t>
            </w:r>
          </w:p>
        </w:tc>
      </w:tr>
      <w:tr w:rsidR="00DB6295" w:rsidRPr="00563AD3" w14:paraId="1367AB0F" w14:textId="77777777" w:rsidTr="00DB6295">
        <w:trPr>
          <w:trHeight w:val="264"/>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2B894970" w14:textId="77777777" w:rsidR="00DB6295" w:rsidRPr="00563AD3" w:rsidRDefault="00DB6295" w:rsidP="008435A0">
            <w:pPr>
              <w:autoSpaceDE/>
              <w:autoSpaceDN/>
              <w:adjustRightInd/>
              <w:spacing w:after="0" w:line="240" w:lineRule="auto"/>
              <w:jc w:val="right"/>
              <w:rPr>
                <w:rFonts w:eastAsia="Times New Roman"/>
                <w:b/>
                <w:color w:val="000000"/>
                <w:sz w:val="20"/>
                <w:szCs w:val="20"/>
              </w:rPr>
            </w:pPr>
            <w:r w:rsidRPr="00563AD3">
              <w:rPr>
                <w:rFonts w:eastAsia="Times New Roman"/>
                <w:b/>
                <w:color w:val="000000"/>
                <w:sz w:val="20"/>
                <w:szCs w:val="20"/>
              </w:rPr>
              <w:t>3</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14:paraId="4CD32AAC"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-1152.31</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5C18F248"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1215.883</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4413A047"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0.348</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3FF8A1C1"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-3599.056</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40623A69" w14:textId="77777777" w:rsidR="00DB6295" w:rsidRPr="00563AD3" w:rsidRDefault="00DB6295" w:rsidP="008435A0">
            <w:pPr>
              <w:autoSpaceDE/>
              <w:autoSpaceDN/>
              <w:adjustRightInd/>
              <w:spacing w:after="0" w:line="240" w:lineRule="auto"/>
              <w:jc w:val="right"/>
              <w:rPr>
                <w:rFonts w:eastAsia="Times New Roman"/>
                <w:color w:val="000000"/>
                <w:sz w:val="20"/>
                <w:szCs w:val="20"/>
              </w:rPr>
            </w:pPr>
            <w:r w:rsidRPr="00563AD3">
              <w:rPr>
                <w:rFonts w:eastAsia="Times New Roman"/>
                <w:color w:val="000000"/>
                <w:sz w:val="20"/>
                <w:szCs w:val="20"/>
              </w:rPr>
              <w:t>1294.44</w:t>
            </w:r>
          </w:p>
        </w:tc>
      </w:tr>
    </w:tbl>
    <w:p w14:paraId="4DDDB8B0" w14:textId="73116C68" w:rsidR="00DB6295" w:rsidRPr="00563AD3" w:rsidRDefault="00DB6295" w:rsidP="009B13F3">
      <w:pPr>
        <w:pStyle w:val="ListParagraph"/>
        <w:ind w:left="0"/>
      </w:pPr>
      <w:r w:rsidRPr="00563AD3">
        <w:t>Within VCE adjusted for 50 clusters in site</w:t>
      </w:r>
    </w:p>
    <w:p w14:paraId="6D40C814" w14:textId="77777777" w:rsidR="00DA69E1" w:rsidRPr="00563AD3" w:rsidRDefault="00DA69E1" w:rsidP="009B13F3">
      <w:pPr>
        <w:pStyle w:val="ListParagraph"/>
        <w:ind w:left="0"/>
      </w:pPr>
    </w:p>
    <w:p w14:paraId="69489ED9" w14:textId="77777777" w:rsidR="00DA69E1" w:rsidRPr="00563AD3" w:rsidRDefault="00DA69E1" w:rsidP="009B13F3">
      <w:pPr>
        <w:pStyle w:val="ListParagraph"/>
        <w:ind w:left="0"/>
      </w:pPr>
    </w:p>
    <w:p w14:paraId="646A10AA" w14:textId="77777777" w:rsidR="00DA69E1" w:rsidRPr="00563AD3" w:rsidRDefault="00DA69E1" w:rsidP="009B13F3">
      <w:pPr>
        <w:pStyle w:val="ListParagraph"/>
        <w:ind w:left="0"/>
      </w:pPr>
    </w:p>
    <w:p w14:paraId="540E39A0" w14:textId="77777777" w:rsidR="00DA69E1" w:rsidRPr="00563AD3" w:rsidRDefault="00DA69E1" w:rsidP="009B13F3">
      <w:pPr>
        <w:pStyle w:val="ListParagraph"/>
        <w:ind w:left="0"/>
        <w:sectPr w:rsidR="00DA69E1" w:rsidRPr="00563AD3" w:rsidSect="005E065C">
          <w:pgSz w:w="11906" w:h="16838"/>
          <w:pgMar w:top="1440" w:right="1440" w:bottom="1440" w:left="1440" w:header="708" w:footer="708" w:gutter="0"/>
          <w:cols w:space="708"/>
          <w:docGrid w:linePitch="360"/>
        </w:sectPr>
      </w:pPr>
    </w:p>
    <w:p w14:paraId="2BDA2BB5" w14:textId="77777777" w:rsidR="00DA69E1" w:rsidRPr="00563AD3" w:rsidRDefault="00DA69E1" w:rsidP="009B13F3"/>
    <w:p w14:paraId="5BCD3B6E" w14:textId="77777777" w:rsidR="00A540A2" w:rsidRPr="00563AD3" w:rsidRDefault="00A540A2" w:rsidP="009B13F3">
      <w:pPr>
        <w:pStyle w:val="Heading2"/>
        <w:sectPr w:rsidR="00A540A2" w:rsidRPr="00563AD3" w:rsidSect="00A540A2">
          <w:type w:val="continuous"/>
          <w:pgSz w:w="11906" w:h="16838"/>
          <w:pgMar w:top="1440" w:right="1440" w:bottom="1440" w:left="1440" w:header="708" w:footer="708" w:gutter="0"/>
          <w:cols w:space="708"/>
          <w:docGrid w:linePitch="360"/>
        </w:sectPr>
      </w:pPr>
    </w:p>
    <w:p w14:paraId="0A3D8FDF" w14:textId="2C065C3E" w:rsidR="001E3D61" w:rsidRPr="00563AD3" w:rsidRDefault="00E40A31" w:rsidP="009B13F3">
      <w:pPr>
        <w:pStyle w:val="Heading1"/>
        <w:spacing w:line="360" w:lineRule="auto"/>
      </w:pPr>
      <w:bookmarkStart w:id="202" w:name="_Toc525544026"/>
      <w:r w:rsidRPr="00563AD3">
        <w:t>5.</w:t>
      </w:r>
      <w:r w:rsidR="001E3D61" w:rsidRPr="00563AD3">
        <w:t xml:space="preserve"> Process evaluation</w:t>
      </w:r>
      <w:bookmarkEnd w:id="202"/>
    </w:p>
    <w:p w14:paraId="7C7F3A87" w14:textId="3DE2FBAC" w:rsidR="00885B11" w:rsidRPr="00563AD3" w:rsidRDefault="00E40A31" w:rsidP="009B13F3">
      <w:pPr>
        <w:pStyle w:val="Heading2"/>
      </w:pPr>
      <w:bookmarkStart w:id="203" w:name="_Toc525544027"/>
      <w:r w:rsidRPr="00563AD3">
        <w:t>5</w:t>
      </w:r>
      <w:r w:rsidR="00885B11" w:rsidRPr="00563AD3">
        <w:t>.1 Participants</w:t>
      </w:r>
      <w:bookmarkEnd w:id="203"/>
    </w:p>
    <w:p w14:paraId="401A6B65" w14:textId="25942D01" w:rsidR="004765FE" w:rsidRPr="00563AD3" w:rsidRDefault="007E4967" w:rsidP="009B13F3">
      <w:pPr>
        <w:rPr>
          <w:rFonts w:eastAsia="Times New Roman"/>
          <w:color w:val="333333"/>
        </w:rPr>
      </w:pPr>
      <w:r w:rsidRPr="00563AD3">
        <w:t>In total, 75 interviews were conducted. Of these interviews, 67 were with staff members who had undertaken various roles during the trial. Interviews took place with 17 managers, 25 mappers (2 of which were also managers), and 27 ‘other’ members of staff who reflected a range of roles in the care home and varying degrees of involvement with the intervention. Due to the high losses to follow up and the requirement of having to be able to provide informed consent to participate in an interview, only two residents participated. Six relatives agreed to participate in interviews. Interviews ranged greatly in duration (from 3 - 38 minutes) depending on the interviewee’s knowledge and awareness of the intervention.</w:t>
      </w:r>
    </w:p>
    <w:p w14:paraId="594A4860" w14:textId="27098B76" w:rsidR="00885B11" w:rsidRPr="00563AD3" w:rsidRDefault="00E40A31" w:rsidP="009B13F3">
      <w:pPr>
        <w:pStyle w:val="Heading2"/>
      </w:pPr>
      <w:bookmarkStart w:id="204" w:name="_Toc525544028"/>
      <w:r w:rsidRPr="00563AD3">
        <w:t>5</w:t>
      </w:r>
      <w:r w:rsidR="00885B11" w:rsidRPr="00563AD3">
        <w:t>.2 What was implemented?</w:t>
      </w:r>
      <w:bookmarkEnd w:id="204"/>
    </w:p>
    <w:p w14:paraId="11C75FEC" w14:textId="1F4360F8" w:rsidR="00885B11" w:rsidRPr="00563AD3" w:rsidRDefault="00885B11" w:rsidP="009B13F3">
      <w:r w:rsidRPr="00563AD3">
        <w:t>Each care home was requested to implement DCM</w:t>
      </w:r>
      <w:r w:rsidR="00CE3499" w:rsidRPr="00563AD3">
        <w:rPr>
          <w:vertAlign w:val="superscript"/>
        </w:rPr>
        <w:t>TM</w:t>
      </w:r>
      <w:r w:rsidRPr="00563AD3">
        <w:t xml:space="preserve"> as detailed in the protoco</w:t>
      </w:r>
      <w:r w:rsidR="00CE3499" w:rsidRPr="00563AD3">
        <w:t xml:space="preserve">l </w:t>
      </w:r>
      <w:r w:rsidR="00FC2CE0">
        <w:t>and described above (section 3.3</w:t>
      </w:r>
      <w:r w:rsidR="00CE3499" w:rsidRPr="00563AD3">
        <w:t>.2</w:t>
      </w:r>
      <w:r w:rsidRPr="00563AD3">
        <w:t xml:space="preserve">). There was considerable variation of implementation across the 31 intervention homes, as well as variable compliance with return of </w:t>
      </w:r>
      <w:r w:rsidR="008A0C14" w:rsidRPr="00563AD3">
        <w:t xml:space="preserve">required </w:t>
      </w:r>
      <w:r w:rsidRPr="00563AD3">
        <w:t>trial documentation to evidence DCM</w:t>
      </w:r>
      <w:r w:rsidR="00CE3499" w:rsidRPr="00563AD3">
        <w:rPr>
          <w:vertAlign w:val="superscript"/>
        </w:rPr>
        <w:t>TM</w:t>
      </w:r>
      <w:r w:rsidRPr="00563AD3">
        <w:t xml:space="preserve"> implementation. A range of approaches was used to increase return rates of trial documentation including multiple phone and e-mail remainders being sent by the </w:t>
      </w:r>
      <w:r w:rsidR="008A0C14" w:rsidRPr="00563AD3">
        <w:t>Intervention</w:t>
      </w:r>
      <w:r w:rsidRPr="00563AD3">
        <w:t xml:space="preserve"> Lead and </w:t>
      </w:r>
      <w:r w:rsidR="008A0C14" w:rsidRPr="00563AD3">
        <w:t>CTRU staff</w:t>
      </w:r>
      <w:r w:rsidRPr="00563AD3">
        <w:t xml:space="preserve"> and in some cases un-blinded researchers attending the care home to collect copies of documentation. </w:t>
      </w:r>
      <w:r w:rsidR="006C1450" w:rsidRPr="00563AD3">
        <w:t xml:space="preserve">In some care homes documented evidence of all components of intervention completion (e.g. attendance sheets for briefing and feedback sessions, mapping data, feedback reports, action plans) were not </w:t>
      </w:r>
      <w:r w:rsidRPr="00563AD3">
        <w:t xml:space="preserve">always available even though mappers or managers reported a cycle of mapping had occurred. </w:t>
      </w:r>
      <w:r w:rsidR="00CE3499" w:rsidRPr="00563AD3">
        <w:t>We made the assumption that undocumented earlier phases of a DCM</w:t>
      </w:r>
      <w:r w:rsidR="00CE3499" w:rsidRPr="00563AD3">
        <w:rPr>
          <w:vertAlign w:val="superscript"/>
        </w:rPr>
        <w:t>TM</w:t>
      </w:r>
      <w:r w:rsidR="00CE3499" w:rsidRPr="00563AD3">
        <w:t xml:space="preserve"> cycle (e.g. briefing session) had been completed if documentation for later phases was provided (e.g. mapping data or feedback report)</w:t>
      </w:r>
      <w:r w:rsidR="00587C4D" w:rsidRPr="00563AD3">
        <w:t>. W</w:t>
      </w:r>
      <w:r w:rsidR="00CE3499" w:rsidRPr="00563AD3">
        <w:t xml:space="preserve">e </w:t>
      </w:r>
      <w:r w:rsidR="00587C4D" w:rsidRPr="00563AD3">
        <w:t xml:space="preserve">also </w:t>
      </w:r>
      <w:r w:rsidR="00CE3499" w:rsidRPr="00563AD3">
        <w:t xml:space="preserve">only </w:t>
      </w:r>
      <w:r w:rsidR="00587C4D" w:rsidRPr="00563AD3">
        <w:t>recorded</w:t>
      </w:r>
      <w:r w:rsidR="00CE3499" w:rsidRPr="00563AD3">
        <w:t xml:space="preserve"> a component of a cycle as complete if we had documentary evidence for completion of it or a later stage of the process</w:t>
      </w:r>
      <w:r w:rsidR="00587C4D" w:rsidRPr="00563AD3">
        <w:t xml:space="preserve">. In some </w:t>
      </w:r>
      <w:r w:rsidR="007E4967" w:rsidRPr="00563AD3">
        <w:t>cases,</w:t>
      </w:r>
      <w:r w:rsidR="00587C4D" w:rsidRPr="00563AD3">
        <w:t xml:space="preserve"> mappers reported verbally to the intervention lead or CTRU staff that a DCM</w:t>
      </w:r>
      <w:r w:rsidR="00587C4D" w:rsidRPr="00563AD3">
        <w:rPr>
          <w:vertAlign w:val="superscript"/>
        </w:rPr>
        <w:t xml:space="preserve">TM </w:t>
      </w:r>
      <w:r w:rsidR="00587C4D" w:rsidRPr="00563AD3">
        <w:t>cycle or components of it had been completed, but failed to provide documentary evidence of this. Therefore</w:t>
      </w:r>
      <w:r w:rsidR="00CE3499" w:rsidRPr="00563AD3">
        <w:t xml:space="preserve">, our final compliance data may be subject to inaccuracies of both under and over reporting </w:t>
      </w:r>
      <w:r w:rsidR="00587C4D" w:rsidRPr="00563AD3">
        <w:t xml:space="preserve">of the components of each cycle </w:t>
      </w:r>
      <w:r w:rsidR="00CE3499" w:rsidRPr="00563AD3">
        <w:t>that actually occurred.</w:t>
      </w:r>
      <w:r w:rsidR="00587C4D" w:rsidRPr="00563AD3">
        <w:t xml:space="preserve"> </w:t>
      </w:r>
    </w:p>
    <w:p w14:paraId="28B79A6E" w14:textId="754D4C0E" w:rsidR="00885B11" w:rsidRPr="00563AD3" w:rsidRDefault="009A707D" w:rsidP="009B13F3">
      <w:pPr>
        <w:pStyle w:val="Heading3"/>
      </w:pPr>
      <w:bookmarkStart w:id="205" w:name="_Toc525544029"/>
      <w:r w:rsidRPr="00563AD3">
        <w:t>5</w:t>
      </w:r>
      <w:r w:rsidR="00885B11" w:rsidRPr="00563AD3">
        <w:t>.</w:t>
      </w:r>
      <w:r w:rsidRPr="00563AD3">
        <w:t>2</w:t>
      </w:r>
      <w:r w:rsidR="00885B11" w:rsidRPr="00563AD3">
        <w:t>.1 Mapper training and retention</w:t>
      </w:r>
      <w:bookmarkEnd w:id="205"/>
    </w:p>
    <w:p w14:paraId="26AC428F" w14:textId="59AC535C" w:rsidR="00885B11" w:rsidRPr="00563AD3" w:rsidRDefault="00885B11" w:rsidP="009B13F3">
      <w:r w:rsidRPr="00563AD3">
        <w:t>Mapper training was delivered per protocol (within 2-months of randomisation) in 21/31 (68%) homes</w:t>
      </w:r>
      <w:r w:rsidR="006C1450" w:rsidRPr="00563AD3">
        <w:t>.</w:t>
      </w:r>
      <w:r w:rsidRPr="00563AD3">
        <w:t xml:space="preserve"> </w:t>
      </w:r>
      <w:r w:rsidR="006C1450" w:rsidRPr="00563AD3">
        <w:t>T</w:t>
      </w:r>
      <w:r w:rsidRPr="00563AD3">
        <w:t>here were delays in training mappers from 9 care homes (29%) and no mappers were trained in one home (3%). In two homes (6%) only one mapper was trained compared to the stipulated two. Withdrawal of one or both of the mappers occurred in 17 homes (55%). The reasons for withdrawal were resignation</w:t>
      </w:r>
      <w:r w:rsidR="006C1450" w:rsidRPr="00563AD3">
        <w:t xml:space="preserve"> from the care home</w:t>
      </w:r>
      <w:r w:rsidRPr="00563AD3">
        <w:t>, ill-health/long-term sickness, maternity leave</w:t>
      </w:r>
      <w:r w:rsidR="006C1450" w:rsidRPr="00563AD3">
        <w:t>,</w:t>
      </w:r>
      <w:r w:rsidRPr="00563AD3">
        <w:t xml:space="preserve"> and in one home</w:t>
      </w:r>
      <w:r w:rsidR="006C1450" w:rsidRPr="00563AD3">
        <w:t>,</w:t>
      </w:r>
      <w:r w:rsidRPr="00563AD3">
        <w:t xml:space="preserve"> both mappers withdrew due to lack of management support to map. At 16-month follow-up 14 homes (45%) had two trained mappers still in post, 7 had one mapper (23%) and 10 (32%) had no mappers. While there was funding to train additional mappers this only occurred in one home due to </w:t>
      </w:r>
      <w:r w:rsidR="006C1450" w:rsidRPr="00563AD3">
        <w:t>insufficient</w:t>
      </w:r>
      <w:r w:rsidRPr="00563AD3">
        <w:t xml:space="preserve"> time before the end of the trial to train further mappers, being unable to identify a suitable replacement mapper or the consented mapper being unable to attend scheduled </w:t>
      </w:r>
      <w:r w:rsidR="00597D22" w:rsidRPr="00563AD3">
        <w:rPr>
          <w:lang w:eastAsia="en-US"/>
        </w:rPr>
        <w:t>DCM</w:t>
      </w:r>
      <w:r w:rsidR="00597D22" w:rsidRPr="00563AD3">
        <w:t>™</w:t>
      </w:r>
      <w:r w:rsidRPr="00563AD3">
        <w:t xml:space="preserve"> training due to personal or organisational reasons.</w:t>
      </w:r>
    </w:p>
    <w:p w14:paraId="39821E33" w14:textId="62092B73" w:rsidR="00885B11" w:rsidRPr="00563AD3" w:rsidRDefault="009A707D" w:rsidP="009B13F3">
      <w:pPr>
        <w:pStyle w:val="Heading3"/>
      </w:pPr>
      <w:bookmarkStart w:id="206" w:name="_Toc525544030"/>
      <w:r w:rsidRPr="00563AD3">
        <w:t>5.2.2</w:t>
      </w:r>
      <w:r w:rsidR="00885B11" w:rsidRPr="00563AD3">
        <w:t xml:space="preserve"> Mapping cycles</w:t>
      </w:r>
      <w:bookmarkEnd w:id="206"/>
    </w:p>
    <w:p w14:paraId="4FCD517C" w14:textId="26808578" w:rsidR="00885B11" w:rsidRDefault="002B20F2" w:rsidP="009B13F3">
      <w:r w:rsidRPr="00563AD3">
        <w:t xml:space="preserve">As is reported in section 3.2.2 </w:t>
      </w:r>
      <w:r w:rsidR="00A4193C" w:rsidRPr="00563AD3">
        <w:t>DCM™</w:t>
      </w:r>
      <w:r w:rsidR="00577921" w:rsidRPr="00563AD3">
        <w:t xml:space="preserve"> </w:t>
      </w:r>
      <w:r w:rsidR="00885B11" w:rsidRPr="00563AD3">
        <w:t xml:space="preserve">implementation </w:t>
      </w:r>
      <w:r w:rsidR="00577921" w:rsidRPr="00563AD3">
        <w:t>was</w:t>
      </w:r>
      <w:r w:rsidR="00885B11" w:rsidRPr="00563AD3">
        <w:t xml:space="preserve"> considerably less than the per protocol three acceptable cycles, in the majority of the 31 intervention homes</w:t>
      </w:r>
      <w:r w:rsidRPr="00563AD3">
        <w:t>, with only four homes completing three full cycles</w:t>
      </w:r>
      <w:r w:rsidR="00885B11" w:rsidRPr="00563AD3">
        <w:t xml:space="preserve">. </w:t>
      </w:r>
      <w:r w:rsidRPr="00563AD3">
        <w:t xml:space="preserve">The first cycle of mapping was commenced per protocol (within 3-months of randomisation) in 22/31 homes (71%). The </w:t>
      </w:r>
      <w:r w:rsidR="00A4193C" w:rsidRPr="00563AD3">
        <w:t>DCM™</w:t>
      </w:r>
      <w:r w:rsidR="00AD61AB" w:rsidRPr="00563AD3">
        <w:t xml:space="preserve"> expert</w:t>
      </w:r>
      <w:r w:rsidR="00A4193C" w:rsidRPr="00563AD3">
        <w:t xml:space="preserve"> mappers</w:t>
      </w:r>
      <w:r w:rsidR="00AD61AB" w:rsidRPr="00563AD3">
        <w:t xml:space="preserve"> reported spending considerable time contacting care homes to rearrange mapping dates following cancellations by the care home and in prompting production of feedback reports and actions plans during the first supported</w:t>
      </w:r>
      <w:r w:rsidRPr="00563AD3">
        <w:t xml:space="preserve"> cycle (see discussion below).</w:t>
      </w:r>
    </w:p>
    <w:p w14:paraId="2B8D0A30" w14:textId="77777777" w:rsidR="008435A0" w:rsidRPr="00563AD3" w:rsidRDefault="008435A0" w:rsidP="009B13F3"/>
    <w:p w14:paraId="44526B92" w14:textId="77399FCF" w:rsidR="002D5157" w:rsidRPr="00563AD3" w:rsidRDefault="00F17B0C" w:rsidP="009B13F3">
      <w:pPr>
        <w:pStyle w:val="Heading2"/>
        <w:numPr>
          <w:ilvl w:val="1"/>
          <w:numId w:val="16"/>
        </w:numPr>
      </w:pPr>
      <w:bookmarkStart w:id="207" w:name="_Toc525544031"/>
      <w:r w:rsidRPr="00563AD3">
        <w:t>How did participant</w:t>
      </w:r>
      <w:r w:rsidR="00D94EC7" w:rsidRPr="00563AD3">
        <w:t xml:space="preserve">s react to </w:t>
      </w:r>
      <w:r w:rsidR="002D5157" w:rsidRPr="00563AD3">
        <w:t>the intervention?</w:t>
      </w:r>
      <w:bookmarkEnd w:id="207"/>
    </w:p>
    <w:p w14:paraId="5CE245B7" w14:textId="5D10B209" w:rsidR="00030D43" w:rsidRPr="00563AD3" w:rsidRDefault="00421D22" w:rsidP="009B13F3">
      <w:pPr>
        <w:pStyle w:val="Heading3"/>
      </w:pPr>
      <w:bookmarkStart w:id="208" w:name="_Toc525544032"/>
      <w:r w:rsidRPr="00563AD3">
        <w:t xml:space="preserve">5.3.1 </w:t>
      </w:r>
      <w:r w:rsidR="000766D7" w:rsidRPr="00563AD3">
        <w:t>Experiences of the intervention</w:t>
      </w:r>
      <w:bookmarkEnd w:id="208"/>
      <w:r w:rsidR="000766D7" w:rsidRPr="00563AD3">
        <w:t xml:space="preserve"> </w:t>
      </w:r>
    </w:p>
    <w:p w14:paraId="7A965243" w14:textId="47B1E8AB" w:rsidR="00922ECB" w:rsidRPr="00563AD3" w:rsidRDefault="00093267" w:rsidP="009B13F3">
      <w:pPr>
        <w:rPr>
          <w:u w:val="single"/>
        </w:rPr>
      </w:pPr>
      <w:r w:rsidRPr="00563AD3">
        <w:t>As with implementation of the intervention, experiences of the intervention and its success varied between homes, and also between stakeholder groups (e.g. mappers, managers, staff, relatives and residents). Discussion around experiences of the intervention predominantly focused around the impacts of DCM</w:t>
      </w:r>
      <w:r w:rsidRPr="00563AD3">
        <w:rPr>
          <w:vertAlign w:val="superscript"/>
        </w:rPr>
        <w:t>TM</w:t>
      </w:r>
      <w:r w:rsidRPr="00563AD3">
        <w:t xml:space="preserve"> and the challenging and facilitating factors experienced when implementing DCM</w:t>
      </w:r>
      <w:r w:rsidRPr="00563AD3">
        <w:rPr>
          <w:vertAlign w:val="superscript"/>
        </w:rPr>
        <w:t>TM</w:t>
      </w:r>
      <w:r w:rsidRPr="00563AD3">
        <w:t xml:space="preserve">. Experiences of the intervention are therefore explored under these two broad themes – Section </w:t>
      </w:r>
      <w:r w:rsidR="00714318" w:rsidRPr="00563AD3">
        <w:t>5.3.2</w:t>
      </w:r>
      <w:r w:rsidRPr="00563AD3">
        <w:t xml:space="preserve"> focuses on perceptions of DCM</w:t>
      </w:r>
      <w:r w:rsidRPr="00563AD3">
        <w:rPr>
          <w:vertAlign w:val="superscript"/>
        </w:rPr>
        <w:t>TM</w:t>
      </w:r>
      <w:r w:rsidRPr="00563AD3">
        <w:t xml:space="preserve">’s impact, and Section </w:t>
      </w:r>
      <w:r w:rsidR="00714318" w:rsidRPr="00563AD3">
        <w:t>5.4.1</w:t>
      </w:r>
      <w:r w:rsidRPr="00563AD3">
        <w:t xml:space="preserve"> focuses on barriers and facilitators to DCM</w:t>
      </w:r>
      <w:r w:rsidRPr="00563AD3">
        <w:rPr>
          <w:vertAlign w:val="superscript"/>
        </w:rPr>
        <w:t>TM</w:t>
      </w:r>
      <w:r w:rsidRPr="00563AD3">
        <w:t xml:space="preserve"> implementation and impact.</w:t>
      </w:r>
    </w:p>
    <w:p w14:paraId="5904F5FC" w14:textId="77777777" w:rsidR="008435A0" w:rsidRDefault="008435A0" w:rsidP="004456A2"/>
    <w:p w14:paraId="7C0226D8" w14:textId="2EDFC13C" w:rsidR="00BF2742" w:rsidRPr="00563AD3" w:rsidRDefault="00421D22" w:rsidP="009B13F3">
      <w:pPr>
        <w:pStyle w:val="Heading3"/>
      </w:pPr>
      <w:bookmarkStart w:id="209" w:name="_Toc525544033"/>
      <w:r w:rsidRPr="00563AD3">
        <w:t>5</w:t>
      </w:r>
      <w:r w:rsidR="000766D7" w:rsidRPr="00563AD3">
        <w:t xml:space="preserve">.3.2 </w:t>
      </w:r>
      <w:r w:rsidR="00BF2742" w:rsidRPr="00563AD3">
        <w:t>Perceptions of intervention impact</w:t>
      </w:r>
      <w:bookmarkEnd w:id="209"/>
    </w:p>
    <w:p w14:paraId="15114C5F" w14:textId="5FB77224" w:rsidR="00093267" w:rsidRPr="00563AD3" w:rsidRDefault="00093267" w:rsidP="009B13F3">
      <w:r w:rsidRPr="00563AD3">
        <w:t xml:space="preserve">In keeping with the findings of the statistical analyses (Section </w:t>
      </w:r>
      <w:r w:rsidR="00714318" w:rsidRPr="00563AD3">
        <w:t>3.5</w:t>
      </w:r>
      <w:r w:rsidRPr="00563AD3">
        <w:t>) which identified variability in impacts between care homes, the process evaluation identified variability in how much participants felt DCM</w:t>
      </w:r>
      <w:r w:rsidRPr="00563AD3">
        <w:rPr>
          <w:vertAlign w:val="superscript"/>
        </w:rPr>
        <w:t xml:space="preserve"> TM</w:t>
      </w:r>
      <w:r w:rsidRPr="00563AD3">
        <w:t xml:space="preserve"> had an impact within their care home. Examples of positive impacts are considered below, before moving on to consider examples of when DCM</w:t>
      </w:r>
      <w:r w:rsidRPr="00563AD3">
        <w:rPr>
          <w:vertAlign w:val="superscript"/>
        </w:rPr>
        <w:t xml:space="preserve"> TM</w:t>
      </w:r>
      <w:r w:rsidRPr="00563AD3">
        <w:t xml:space="preserve"> was felt to have variable or little impact.</w:t>
      </w:r>
    </w:p>
    <w:p w14:paraId="6F7EBEDA" w14:textId="77777777" w:rsidR="008435A0" w:rsidRDefault="008435A0" w:rsidP="004456A2"/>
    <w:p w14:paraId="12479082" w14:textId="40CF65BC" w:rsidR="00AD61AB" w:rsidRPr="00563AD3" w:rsidRDefault="00421D22" w:rsidP="009B13F3">
      <w:pPr>
        <w:pStyle w:val="Heading4"/>
      </w:pPr>
      <w:r w:rsidRPr="00563AD3">
        <w:t>5</w:t>
      </w:r>
      <w:r w:rsidR="00C2649C" w:rsidRPr="00563AD3">
        <w:t>.3.</w:t>
      </w:r>
      <w:r w:rsidR="000766D7" w:rsidRPr="00563AD3">
        <w:t>2.1</w:t>
      </w:r>
      <w:r w:rsidR="00C2649C" w:rsidRPr="00563AD3">
        <w:t xml:space="preserve"> </w:t>
      </w:r>
      <w:r w:rsidR="00BF2742" w:rsidRPr="00563AD3">
        <w:t>Perceptions of i</w:t>
      </w:r>
      <w:r w:rsidR="00AD61AB" w:rsidRPr="00563AD3">
        <w:t xml:space="preserve">mpacts </w:t>
      </w:r>
      <w:r w:rsidR="000766D7" w:rsidRPr="00563AD3">
        <w:t>for</w:t>
      </w:r>
      <w:r w:rsidR="00AD61AB" w:rsidRPr="00563AD3">
        <w:t xml:space="preserve"> people with dementia</w:t>
      </w:r>
    </w:p>
    <w:p w14:paraId="1D0C3D77" w14:textId="46AEB95F" w:rsidR="00BF2742" w:rsidRPr="00563AD3" w:rsidRDefault="00093267" w:rsidP="009B13F3">
      <w:r w:rsidRPr="00563AD3">
        <w:t>A range of impacts of DCM</w:t>
      </w:r>
      <w:r w:rsidRPr="00563AD3">
        <w:rPr>
          <w:vertAlign w:val="superscript"/>
        </w:rPr>
        <w:t xml:space="preserve"> TM</w:t>
      </w:r>
      <w:r w:rsidRPr="00563AD3">
        <w:t xml:space="preserve"> were identified for people with dementia at an individual and home level, as indicated in the key themes below. </w:t>
      </w:r>
      <w:r w:rsidR="00AD61AB" w:rsidRPr="00563AD3">
        <w:t xml:space="preserve"> </w:t>
      </w:r>
    </w:p>
    <w:p w14:paraId="70346E6C" w14:textId="77777777" w:rsidR="008435A0" w:rsidRDefault="008435A0" w:rsidP="004456A2"/>
    <w:p w14:paraId="117AB173" w14:textId="2169BAEA" w:rsidR="00BF2742" w:rsidRPr="00563AD3" w:rsidRDefault="00421D22" w:rsidP="009B13F3">
      <w:pPr>
        <w:pStyle w:val="Heading5"/>
      </w:pPr>
      <w:r w:rsidRPr="00563AD3">
        <w:t xml:space="preserve">5.3.2.1.1 </w:t>
      </w:r>
      <w:r w:rsidR="00BF2742" w:rsidRPr="00563AD3">
        <w:t>Improved responses to individual</w:t>
      </w:r>
      <w:r w:rsidR="000766D7" w:rsidRPr="00563AD3">
        <w:t>s’</w:t>
      </w:r>
      <w:r w:rsidR="00BF2742" w:rsidRPr="00563AD3">
        <w:t xml:space="preserve"> needs</w:t>
      </w:r>
      <w:r w:rsidR="00F55D90" w:rsidRPr="00563AD3">
        <w:t>, personalities and interests</w:t>
      </w:r>
    </w:p>
    <w:p w14:paraId="2F8B84E4" w14:textId="4F70175B" w:rsidR="00093267" w:rsidRPr="00563AD3" w:rsidRDefault="00093267" w:rsidP="009B13F3">
      <w:r w:rsidRPr="00563AD3">
        <w:t>A repeated positive experience was the ability of DCM</w:t>
      </w:r>
      <w:r w:rsidRPr="00563AD3">
        <w:rPr>
          <w:vertAlign w:val="superscript"/>
        </w:rPr>
        <w:t xml:space="preserve"> TM</w:t>
      </w:r>
      <w:r w:rsidRPr="00563AD3">
        <w:t xml:space="preserve">, and the observational element in particular, to help staff to identify, and so respond to, residents’ individual needs, personalities and interests: </w:t>
      </w:r>
    </w:p>
    <w:p w14:paraId="1675EB7C" w14:textId="77777777" w:rsidR="00093267" w:rsidRPr="00563AD3" w:rsidRDefault="00093267" w:rsidP="009B13F3">
      <w:pPr>
        <w:pStyle w:val="Quote"/>
      </w:pPr>
      <w:r w:rsidRPr="00563AD3">
        <w:t xml:space="preserve"> “One of our gentleman that we did the observation on, we found that he made his own wellbeing by playing with food and chucking it. So then I could go to the chef and say… ‘This gentleman plays with his food, what can we do?’ We saw him doing it before but because of the mapping it makes you look into it a bit more… He was happier, he’d have a lot more things that he could play with.” (50028/10394)</w:t>
      </w:r>
    </w:p>
    <w:p w14:paraId="44D7A08E" w14:textId="77777777" w:rsidR="00093267" w:rsidRPr="00563AD3" w:rsidRDefault="00093267" w:rsidP="009B13F3">
      <w:pPr>
        <w:pStyle w:val="Quote"/>
      </w:pPr>
      <w:r w:rsidRPr="00563AD3">
        <w:t>“When you’re mapping somebody and you see that they’re not joining the group activities you, we thought right let’s just try and see if we can do an activity that’s just for her.” (50069/10475)</w:t>
      </w:r>
    </w:p>
    <w:p w14:paraId="1F373D62" w14:textId="5991F05A" w:rsidR="00093267" w:rsidRPr="00563AD3" w:rsidRDefault="00093267" w:rsidP="009B13F3">
      <w:r w:rsidRPr="00563AD3">
        <w:t>DCM</w:t>
      </w:r>
      <w:r w:rsidRPr="00563AD3">
        <w:rPr>
          <w:vertAlign w:val="superscript"/>
        </w:rPr>
        <w:t xml:space="preserve"> TM</w:t>
      </w:r>
      <w:r w:rsidRPr="00563AD3">
        <w:t xml:space="preserve"> was repeatedly cited as enabling individualised tailoring of care and activities which helped staff to better meet residents’ preferences, needs and interests. This ability to better identify individual needs extended to groups of residents that staff could find more difficult to care for, as discussed below. </w:t>
      </w:r>
    </w:p>
    <w:p w14:paraId="2C40C4C5" w14:textId="77777777" w:rsidR="008435A0" w:rsidRDefault="008435A0" w:rsidP="004456A2"/>
    <w:p w14:paraId="3E9E9937" w14:textId="5A272EF1" w:rsidR="00F55D90" w:rsidRPr="00563AD3" w:rsidRDefault="00421D22" w:rsidP="009B13F3">
      <w:pPr>
        <w:pStyle w:val="Heading5"/>
      </w:pPr>
      <w:r w:rsidRPr="00563AD3">
        <w:t xml:space="preserve">5.3.2.1.2 </w:t>
      </w:r>
      <w:r w:rsidR="00F55D90" w:rsidRPr="00563AD3">
        <w:t>Improved anticipation, understanding</w:t>
      </w:r>
      <w:r w:rsidR="00862E8C" w:rsidRPr="00563AD3">
        <w:t xml:space="preserve"> and prevention of </w:t>
      </w:r>
      <w:r w:rsidR="00D61733" w:rsidRPr="00563AD3">
        <w:t>complex behaviours</w:t>
      </w:r>
    </w:p>
    <w:p w14:paraId="7F025660" w14:textId="77777777" w:rsidR="00093267" w:rsidRPr="00563AD3" w:rsidRDefault="00093267" w:rsidP="009B13F3">
      <w:r w:rsidRPr="00563AD3">
        <w:t xml:space="preserve">Examples of enhanced identification of individual needs were made in reference to ‘behaviour that is challenging’, which included agitation (the primary trial outcome measure), aggression and distress: </w:t>
      </w:r>
    </w:p>
    <w:p w14:paraId="17B8A3C7" w14:textId="77777777" w:rsidR="00093267" w:rsidRPr="00563AD3" w:rsidRDefault="00093267" w:rsidP="009B13F3">
      <w:pPr>
        <w:pStyle w:val="Quote"/>
      </w:pPr>
      <w:r w:rsidRPr="00563AD3">
        <w:t xml:space="preserve"> “I’m finding this really interesting because we can just observe all of the behaves of our residents, and then we can just think about this, what can we change? How can we make them more happy? …How can we reduce of their really low behaves, which make them distract or distressed?” (50028/10637)</w:t>
      </w:r>
    </w:p>
    <w:p w14:paraId="216FC95C" w14:textId="77777777" w:rsidR="00093267" w:rsidRPr="00563AD3" w:rsidRDefault="00093267" w:rsidP="009B13F3">
      <w:pPr>
        <w:pStyle w:val="Quote"/>
      </w:pPr>
      <w:r w:rsidRPr="00563AD3">
        <w:t>“In terms of challenging behaviours… it became predictable, but then it is preventable through your interventions. The mapping itself helped us identify the individual needs and once that is identified we tried to set up plans and how to deal with or approach the challenge, the behaviour that is challenging.” (50011/10160)</w:t>
      </w:r>
    </w:p>
    <w:p w14:paraId="4A648398" w14:textId="45CE06B9" w:rsidR="00460751" w:rsidRPr="00563AD3" w:rsidRDefault="00093267" w:rsidP="009B13F3">
      <w:pPr>
        <w:rPr>
          <w:i/>
        </w:rPr>
      </w:pPr>
      <w:r w:rsidRPr="00563AD3">
        <w:t xml:space="preserve">Participants repeatedly described how mapping helped to identify, and so to anticipate, preventable patterns of challenging behaviour by recognising antecedents, warning signs and early points of intervention. This supports the trial’s hypothesis that </w:t>
      </w:r>
      <w:r w:rsidR="00597D22" w:rsidRPr="00563AD3">
        <w:rPr>
          <w:lang w:eastAsia="en-US"/>
        </w:rPr>
        <w:t>DCM</w:t>
      </w:r>
      <w:r w:rsidR="00597D22" w:rsidRPr="00563AD3">
        <w:t>™</w:t>
      </w:r>
      <w:r w:rsidRPr="00563AD3">
        <w:t xml:space="preserve"> would have an impact on agitation, although the above quotes suggest that reducing agitation would only have been a focus for residents who were identified by staff or mappers as being agitated, rather than a blanket intervention for all residents.</w:t>
      </w:r>
    </w:p>
    <w:p w14:paraId="6207983F" w14:textId="77777777" w:rsidR="008435A0" w:rsidRDefault="008435A0" w:rsidP="004456A2"/>
    <w:p w14:paraId="7A9F4B49" w14:textId="741EF0C5" w:rsidR="00093267" w:rsidRPr="00563AD3" w:rsidRDefault="00421D22" w:rsidP="009B13F3">
      <w:pPr>
        <w:pStyle w:val="Heading5"/>
      </w:pPr>
      <w:r w:rsidRPr="00563AD3">
        <w:t xml:space="preserve">5.3.2.1.3 </w:t>
      </w:r>
      <w:r w:rsidR="00093267" w:rsidRPr="00563AD3">
        <w:t>Increased quality and quantity of interactions</w:t>
      </w:r>
    </w:p>
    <w:p w14:paraId="4C182E00" w14:textId="77777777" w:rsidR="00093267" w:rsidRPr="00563AD3" w:rsidRDefault="00093267" w:rsidP="009B13F3">
      <w:r w:rsidRPr="00563AD3">
        <w:t>Alongside impacts at an individual level, staff also spoke of impacts for all residents at a care home level. The impact most frequently referred to was improvements in the quantity and quality of staff-resident and resident-resident interactions:</w:t>
      </w:r>
    </w:p>
    <w:p w14:paraId="56A980DA" w14:textId="77777777" w:rsidR="00093267" w:rsidRPr="00563AD3" w:rsidRDefault="00093267" w:rsidP="009B13F3">
      <w:pPr>
        <w:pStyle w:val="Quote"/>
      </w:pPr>
      <w:r w:rsidRPr="00563AD3">
        <w:t>“You know, they [staff] try and engage with people more.” (50010/10095)</w:t>
      </w:r>
    </w:p>
    <w:p w14:paraId="3FC116A5" w14:textId="77777777" w:rsidR="00093267" w:rsidRPr="00563AD3" w:rsidRDefault="00093267" w:rsidP="009B13F3">
      <w:pPr>
        <w:pStyle w:val="Quote"/>
      </w:pPr>
      <w:r w:rsidRPr="00563AD3">
        <w:t>“We’ve got another lady who’s end stage dementia who’s just been people chatting with her, she’s actually started speaking again! Now whether that would have happened anyway I don’t know, but she’s not spoken for ever such a long time but now odd words are coming out.” (Manager 58930)</w:t>
      </w:r>
    </w:p>
    <w:p w14:paraId="6D8E7D8C" w14:textId="77777777" w:rsidR="00093267" w:rsidRPr="00563AD3" w:rsidRDefault="00093267" w:rsidP="009B13F3">
      <w:r w:rsidRPr="00563AD3">
        <w:t>Increases in staff-resident interaction were repeatedly cited, as in the example above, as having a visual impact on the person’s mood:</w:t>
      </w:r>
    </w:p>
    <w:p w14:paraId="0E735A40" w14:textId="77777777" w:rsidR="00093267" w:rsidRPr="00563AD3" w:rsidRDefault="00093267" w:rsidP="009B13F3">
      <w:pPr>
        <w:pStyle w:val="Quote"/>
      </w:pPr>
      <w:r w:rsidRPr="00563AD3">
        <w:t>“Sometimes even one little smile to residents, one little joke, or one interaction can make a big change, for the rest of the day even... It’s like our lunchtimes there is around thirty something residents plus six carers in one room, and how someone can still feel lonely, and one interaction can change that.” (50028/10637)</w:t>
      </w:r>
    </w:p>
    <w:p w14:paraId="7A59FC6C" w14:textId="77777777" w:rsidR="00093267" w:rsidRPr="00563AD3" w:rsidRDefault="00093267" w:rsidP="009B13F3">
      <w:pPr>
        <w:pStyle w:val="Quote"/>
      </w:pPr>
      <w:r w:rsidRPr="00563AD3">
        <w:t>“One of our care staff, he just went to her [lady with dementia] with a bright smile and started joking and how that changed her mood! …She was much more brighter, she was much more involved in all the situation.” (50028/10637)</w:t>
      </w:r>
    </w:p>
    <w:p w14:paraId="6935BDC2" w14:textId="1F6D57F7" w:rsidR="00093267" w:rsidRPr="00563AD3" w:rsidRDefault="00093267" w:rsidP="009B13F3">
      <w:r w:rsidRPr="00563AD3">
        <w:t xml:space="preserve">These, and other quotes included throughout the process evaluation results, suggest a potential link between increased interaction and activity, as a result of </w:t>
      </w:r>
      <w:r w:rsidR="00597D22" w:rsidRPr="00563AD3">
        <w:rPr>
          <w:lang w:eastAsia="en-US"/>
        </w:rPr>
        <w:t>DCM</w:t>
      </w:r>
      <w:r w:rsidR="00597D22" w:rsidRPr="00563AD3">
        <w:t>™</w:t>
      </w:r>
      <w:r w:rsidRPr="00563AD3">
        <w:t xml:space="preserve"> implementation, and improved well-being for residents in intervention homes.</w:t>
      </w:r>
    </w:p>
    <w:p w14:paraId="208E64C5" w14:textId="77777777" w:rsidR="008435A0" w:rsidRDefault="008435A0" w:rsidP="004456A2"/>
    <w:p w14:paraId="7F82FA29" w14:textId="2B06022E" w:rsidR="00093267" w:rsidRPr="00563AD3" w:rsidRDefault="00093267" w:rsidP="009B13F3">
      <w:pPr>
        <w:pStyle w:val="Heading5"/>
      </w:pPr>
      <w:r w:rsidRPr="00563AD3">
        <w:t>5.3.2.1.4 Increased provision of activities and occupation</w:t>
      </w:r>
    </w:p>
    <w:p w14:paraId="5EC3EEDA" w14:textId="31911E40" w:rsidR="00093267" w:rsidRPr="00563AD3" w:rsidRDefault="00093267" w:rsidP="009B13F3">
      <w:r w:rsidRPr="00563AD3">
        <w:t xml:space="preserve">Alongside improvements in resident interaction, increased provision of social and therapeutic activities and meaningful occupation was another common impact of the </w:t>
      </w:r>
      <w:r w:rsidR="00597D22" w:rsidRPr="00563AD3">
        <w:rPr>
          <w:lang w:eastAsia="en-US"/>
        </w:rPr>
        <w:t>DCM</w:t>
      </w:r>
      <w:r w:rsidR="00597D22" w:rsidRPr="00563AD3">
        <w:t>™</w:t>
      </w:r>
      <w:r w:rsidRPr="00563AD3">
        <w:t xml:space="preserve"> process. These activities were typically instigated in response to recognition from mapping observations that residents were spending large proportions of their time without these types of stimuli:</w:t>
      </w:r>
    </w:p>
    <w:p w14:paraId="1DAF1A0F" w14:textId="77777777" w:rsidR="00093267" w:rsidRPr="00563AD3" w:rsidRDefault="00093267" w:rsidP="009B13F3">
      <w:pPr>
        <w:pStyle w:val="Quote"/>
      </w:pPr>
      <w:r w:rsidRPr="00563AD3">
        <w:t>“My activities budget is off the scale! But at least I know if I do a map now on a particular day I know that there’s going to be stuff going on, and I now that if I’m sat there I’m not going to be bored silly.” (50069/10475)</w:t>
      </w:r>
    </w:p>
    <w:p w14:paraId="61876466" w14:textId="77777777" w:rsidR="00093267" w:rsidRPr="00563AD3" w:rsidRDefault="00093267" w:rsidP="009B13F3">
      <w:pPr>
        <w:pStyle w:val="Quote"/>
      </w:pPr>
      <w:r w:rsidRPr="00563AD3">
        <w:t>“Now we introduce lots of sensory activities… all the residents have got some sort of activities... because we’ve been observing … and we’ve been thinking that what could improve their well-being.” (Manager 50018)” (50018/10268/10277)</w:t>
      </w:r>
    </w:p>
    <w:p w14:paraId="22238AAD" w14:textId="77777777" w:rsidR="00093267" w:rsidRPr="00563AD3" w:rsidRDefault="00093267" w:rsidP="009B13F3">
      <w:pPr>
        <w:pStyle w:val="Quote"/>
      </w:pPr>
      <w:r w:rsidRPr="00563AD3">
        <w:t>“In the two years that we’ve been here… the level of stimulus, activities, has grown.” (Relative 58747/40007)</w:t>
      </w:r>
    </w:p>
    <w:p w14:paraId="488BDEB9" w14:textId="3908A6E4" w:rsidR="00093267" w:rsidRPr="00563AD3" w:rsidRDefault="00597D22" w:rsidP="009B13F3">
      <w:pPr>
        <w:rPr>
          <w:i/>
        </w:rPr>
      </w:pPr>
      <w:r w:rsidRPr="00563AD3">
        <w:rPr>
          <w:lang w:eastAsia="en-US"/>
        </w:rPr>
        <w:t>DCM</w:t>
      </w:r>
      <w:r w:rsidRPr="00563AD3">
        <w:t>™</w:t>
      </w:r>
      <w:r w:rsidR="00093267" w:rsidRPr="00563AD3">
        <w:t xml:space="preserve"> highlighted the importance of care provision that not only addressed the physical needs of residents, but also their social and emotional needs and well-being:</w:t>
      </w:r>
    </w:p>
    <w:p w14:paraId="38EC2ACF" w14:textId="77777777" w:rsidR="00093267" w:rsidRPr="00563AD3" w:rsidRDefault="00093267" w:rsidP="009B13F3">
      <w:pPr>
        <w:ind w:left="720"/>
        <w:rPr>
          <w:i/>
        </w:rPr>
      </w:pPr>
      <w:r w:rsidRPr="00563AD3">
        <w:rPr>
          <w:i/>
        </w:rPr>
        <w:t xml:space="preserve">“I have to say, that first map I was bored silly, and that made me think we are not doing anywhere near enough for these residents. Yes, we’re ticking all the boxes in terms of care, they’re well looked after, you know, everything is up to date in terms of that person, but what are we doing here to keep their well-being sort of on a good level?” (Manager 50069) </w:t>
      </w:r>
    </w:p>
    <w:p w14:paraId="57332B9A" w14:textId="54EBA8E0" w:rsidR="00093267" w:rsidRPr="00563AD3" w:rsidRDefault="00093267" w:rsidP="009B13F3">
      <w:r w:rsidRPr="00563AD3">
        <w:t xml:space="preserve">This quote again suggests a link between increased occupation for residents as a result of </w:t>
      </w:r>
      <w:r w:rsidR="00597D22" w:rsidRPr="00563AD3">
        <w:rPr>
          <w:lang w:eastAsia="en-US"/>
        </w:rPr>
        <w:t>DCM</w:t>
      </w:r>
      <w:r w:rsidR="00597D22" w:rsidRPr="00563AD3">
        <w:t>™</w:t>
      </w:r>
      <w:r w:rsidRPr="00563AD3">
        <w:t xml:space="preserve"> and improvements in well-being.</w:t>
      </w:r>
    </w:p>
    <w:p w14:paraId="6BAD755F" w14:textId="77777777" w:rsidR="008435A0" w:rsidRDefault="008435A0" w:rsidP="004456A2"/>
    <w:p w14:paraId="611C9C11" w14:textId="7B50F3FF" w:rsidR="00093267" w:rsidRPr="00563AD3" w:rsidRDefault="00093267" w:rsidP="009B13F3">
      <w:pPr>
        <w:pStyle w:val="Heading5"/>
      </w:pPr>
      <w:r w:rsidRPr="00563AD3">
        <w:t>5.3.2.1.5 Improved responses to the needs of particular groups of residents</w:t>
      </w:r>
    </w:p>
    <w:p w14:paraId="219C3250" w14:textId="35E40892" w:rsidR="00093267" w:rsidRPr="00563AD3" w:rsidRDefault="00093267" w:rsidP="009B13F3">
      <w:r w:rsidRPr="00563AD3">
        <w:t xml:space="preserve">Some staff perceived that </w:t>
      </w:r>
      <w:r w:rsidR="00597D22" w:rsidRPr="00563AD3">
        <w:rPr>
          <w:lang w:eastAsia="en-US"/>
        </w:rPr>
        <w:t>DCM</w:t>
      </w:r>
      <w:r w:rsidR="00597D22" w:rsidRPr="00563AD3">
        <w:t>™</w:t>
      </w:r>
      <w:r w:rsidRPr="00563AD3">
        <w:t xml:space="preserve"> had a greater impact on certain sub-groups of residents. Residents with more advanced dementia or with more limited verbal communication abilities were considered, by some staff, to be more likely to benefit from </w:t>
      </w:r>
      <w:r w:rsidR="00597D22" w:rsidRPr="00563AD3">
        <w:rPr>
          <w:lang w:eastAsia="en-US"/>
        </w:rPr>
        <w:t>DCM</w:t>
      </w:r>
      <w:r w:rsidR="00597D22" w:rsidRPr="00563AD3">
        <w:t>™</w:t>
      </w:r>
      <w:r w:rsidRPr="00563AD3">
        <w:t xml:space="preserve">, since it provided a useful method of identifying their unique needs: </w:t>
      </w:r>
    </w:p>
    <w:p w14:paraId="0042DD64" w14:textId="77777777" w:rsidR="00093267" w:rsidRPr="00563AD3" w:rsidRDefault="00093267" w:rsidP="009B13F3">
      <w:pPr>
        <w:pStyle w:val="Quote"/>
      </w:pPr>
      <w:r w:rsidRPr="00563AD3">
        <w:t>“Especially those with end stage dementia, I think they do tend to get more attention possibly than they did before. I think staff are more considerate towards them and give them a bit more empathy... A lot of the residents we have that can still interact… they seem to be already getting quite a lot of attention… I think it has had more impact on the residents that weren’t getting the attention, possibly.” (59830/40002)</w:t>
      </w:r>
    </w:p>
    <w:p w14:paraId="2033ECE4" w14:textId="77777777" w:rsidR="00093267" w:rsidRPr="00563AD3" w:rsidRDefault="00093267" w:rsidP="009B13F3">
      <w:pPr>
        <w:pStyle w:val="Quote"/>
      </w:pPr>
      <w:r w:rsidRPr="00563AD3">
        <w:t>“So many of our residents have severe dementia and, you know, their comprehension is very limited so (Mapper X) helped us in there to make changes.” (Manager, 50065)</w:t>
      </w:r>
    </w:p>
    <w:p w14:paraId="0313BD13" w14:textId="26546062" w:rsidR="00093267" w:rsidRPr="00563AD3" w:rsidRDefault="00093267" w:rsidP="009B13F3">
      <w:r w:rsidRPr="00563AD3">
        <w:t xml:space="preserve">Residents who were included in </w:t>
      </w:r>
      <w:r w:rsidR="00597D22" w:rsidRPr="00563AD3">
        <w:rPr>
          <w:lang w:eastAsia="en-US"/>
        </w:rPr>
        <w:t>DCM</w:t>
      </w:r>
      <w:r w:rsidR="00597D22" w:rsidRPr="00563AD3">
        <w:t>™</w:t>
      </w:r>
      <w:r w:rsidRPr="00563AD3">
        <w:t xml:space="preserve"> mapping, were another group that staff considered to gain particular benefit from </w:t>
      </w:r>
      <w:r w:rsidR="00597D22" w:rsidRPr="00563AD3">
        <w:rPr>
          <w:lang w:eastAsia="en-US"/>
        </w:rPr>
        <w:t>DCM</w:t>
      </w:r>
      <w:r w:rsidR="00597D22" w:rsidRPr="00563AD3">
        <w:t>™</w:t>
      </w:r>
      <w:r w:rsidRPr="00563AD3">
        <w:t xml:space="preserve"> participation, as their involvement in mapping provided a focus on identifying their care needs. </w:t>
      </w:r>
    </w:p>
    <w:p w14:paraId="62329C3B" w14:textId="77777777" w:rsidR="008435A0" w:rsidRDefault="008435A0" w:rsidP="004456A2"/>
    <w:p w14:paraId="56175827" w14:textId="444D3D39" w:rsidR="00026EFC" w:rsidRPr="00563AD3" w:rsidRDefault="00421D22" w:rsidP="009B13F3">
      <w:pPr>
        <w:pStyle w:val="Heading5"/>
      </w:pPr>
      <w:r w:rsidRPr="00563AD3">
        <w:t xml:space="preserve">5.3.2.1.6 </w:t>
      </w:r>
      <w:r w:rsidR="006660BE" w:rsidRPr="00563AD3">
        <w:t>Other impacts</w:t>
      </w:r>
      <w:r w:rsidR="008A5E7F" w:rsidRPr="00563AD3">
        <w:t xml:space="preserve"> for people with dementia</w:t>
      </w:r>
    </w:p>
    <w:p w14:paraId="720F3E96" w14:textId="77777777" w:rsidR="00093267" w:rsidRPr="00563AD3" w:rsidRDefault="00093267" w:rsidP="009B13F3">
      <w:r w:rsidRPr="00563AD3">
        <w:t>Other impacts for people with dementia that were reported by staff included giving people with dementia a voice, and enhancements to the environment and equipment that better met residents’ needs at an individual or a care home level:</w:t>
      </w:r>
    </w:p>
    <w:p w14:paraId="4DE0F980" w14:textId="77777777" w:rsidR="00093267" w:rsidRPr="00563AD3" w:rsidRDefault="00093267" w:rsidP="009B13F3">
      <w:pPr>
        <w:pStyle w:val="Quote"/>
      </w:pPr>
      <w:r w:rsidRPr="00563AD3">
        <w:t>“As we observe them [people with dementia], it gives them a lot of chance and opportunity to express themselves.” (50011/10160)</w:t>
      </w:r>
    </w:p>
    <w:p w14:paraId="4AD08AD3" w14:textId="77777777" w:rsidR="00093267" w:rsidRPr="00563AD3" w:rsidRDefault="00093267" w:rsidP="009B13F3">
      <w:pPr>
        <w:pStyle w:val="Quote"/>
      </w:pPr>
      <w:r w:rsidRPr="00563AD3">
        <w:t xml:space="preserve"> “One lady she couldn’t lift up the cup and we decide to change from plastic beaker the two handle, which has helped her a lot.” (58747/10447) </w:t>
      </w:r>
    </w:p>
    <w:p w14:paraId="3D6AAD00" w14:textId="77777777" w:rsidR="00093267" w:rsidRPr="00563AD3" w:rsidRDefault="00093267" w:rsidP="009B13F3">
      <w:pPr>
        <w:pStyle w:val="Quote"/>
      </w:pPr>
      <w:r w:rsidRPr="00563AD3">
        <w:t>“We changed many things, even change the place where they sit. We try to make them comfortable, those who are watching TV, switch off the radio when TV, because the first time [first mapping] it was kind of noise. So we try to make it better.” (58747/10447)</w:t>
      </w:r>
    </w:p>
    <w:p w14:paraId="0BE1FB30" w14:textId="5150EF6E" w:rsidR="000E06B2" w:rsidRPr="00563AD3" w:rsidRDefault="00093267" w:rsidP="009B13F3">
      <w:r w:rsidRPr="00563AD3">
        <w:t xml:space="preserve">These examples collectively illustrate how </w:t>
      </w:r>
      <w:r w:rsidR="00597D22" w:rsidRPr="00563AD3">
        <w:rPr>
          <w:lang w:eastAsia="en-US"/>
        </w:rPr>
        <w:t>DCM</w:t>
      </w:r>
      <w:r w:rsidR="00597D22" w:rsidRPr="00563AD3">
        <w:t>™</w:t>
      </w:r>
      <w:r w:rsidRPr="00563AD3">
        <w:t xml:space="preserve"> gave staff the ability to understand experiences of the care home from the perspective of residents with dementia, and so to identify how those experiences might be improved. The ability of </w:t>
      </w:r>
      <w:r w:rsidR="00597D22" w:rsidRPr="00563AD3">
        <w:rPr>
          <w:lang w:eastAsia="en-US"/>
        </w:rPr>
        <w:t>DCM</w:t>
      </w:r>
      <w:r w:rsidR="00597D22" w:rsidRPr="00563AD3">
        <w:t>™</w:t>
      </w:r>
      <w:r w:rsidRPr="00563AD3">
        <w:t xml:space="preserve"> to uncover the ‘emic’ perspective of residents is explored further in Section </w:t>
      </w:r>
      <w:r w:rsidR="00597D22" w:rsidRPr="00563AD3">
        <w:t>5</w:t>
      </w:r>
      <w:r w:rsidRPr="00563AD3">
        <w:t>.3.2.2 below.</w:t>
      </w:r>
    </w:p>
    <w:p w14:paraId="5F6BA4DC" w14:textId="77777777" w:rsidR="008435A0" w:rsidRDefault="008435A0" w:rsidP="004456A2"/>
    <w:p w14:paraId="11E9D225" w14:textId="77777777" w:rsidR="008435A0" w:rsidRDefault="008435A0" w:rsidP="004456A2"/>
    <w:p w14:paraId="025C7A14" w14:textId="339C6560" w:rsidR="006660BE" w:rsidRPr="00563AD3" w:rsidRDefault="00421D22" w:rsidP="009B13F3">
      <w:pPr>
        <w:pStyle w:val="Heading5"/>
      </w:pPr>
      <w:r w:rsidRPr="00563AD3">
        <w:t xml:space="preserve">5.3.2.1.7 </w:t>
      </w:r>
      <w:r w:rsidR="006660BE" w:rsidRPr="00563AD3">
        <w:t>Summary</w:t>
      </w:r>
    </w:p>
    <w:p w14:paraId="09AA7B19" w14:textId="275D1542" w:rsidR="00093267" w:rsidRPr="00563AD3" w:rsidRDefault="00093267" w:rsidP="009B13F3">
      <w:r w:rsidRPr="00563AD3">
        <w:t xml:space="preserve">As the above examples show, the impacts of </w:t>
      </w:r>
      <w:r w:rsidR="00597D22" w:rsidRPr="00563AD3">
        <w:rPr>
          <w:lang w:eastAsia="en-US"/>
        </w:rPr>
        <w:t>DCM</w:t>
      </w:r>
      <w:r w:rsidR="00597D22" w:rsidRPr="00563AD3">
        <w:t>™</w:t>
      </w:r>
      <w:r w:rsidRPr="00563AD3">
        <w:t xml:space="preserve"> for people with dementia reported by staff at both an individual and care home level indicate that </w:t>
      </w:r>
      <w:r w:rsidR="00597D22" w:rsidRPr="00563AD3">
        <w:rPr>
          <w:lang w:eastAsia="en-US"/>
        </w:rPr>
        <w:t>DCM</w:t>
      </w:r>
      <w:r w:rsidR="00597D22" w:rsidRPr="00563AD3">
        <w:t>™</w:t>
      </w:r>
      <w:r w:rsidRPr="00563AD3">
        <w:t xml:space="preserve"> could lead to an increase in staff-resident and resident-resident interaction, an increase in meaningful resident occupation, and an improvement in staff identification of individual residents’ needs. Some staff reported that impacts were more likely for particular groups of residents, namely those with more advanced dementia or communication difficulties, or residents who underwent </w:t>
      </w:r>
      <w:r w:rsidR="00597D22" w:rsidRPr="00563AD3">
        <w:rPr>
          <w:lang w:eastAsia="en-US"/>
        </w:rPr>
        <w:t>DCM</w:t>
      </w:r>
      <w:r w:rsidR="00597D22" w:rsidRPr="00563AD3">
        <w:t>™</w:t>
      </w:r>
      <w:r w:rsidRPr="00563AD3">
        <w:t xml:space="preserve"> mapping.</w:t>
      </w:r>
    </w:p>
    <w:p w14:paraId="054E2CF6" w14:textId="77777777" w:rsidR="00AD61AB" w:rsidRPr="00563AD3" w:rsidRDefault="00AD61AB" w:rsidP="009B13F3">
      <w:pPr>
        <w:rPr>
          <w:i/>
        </w:rPr>
      </w:pPr>
    </w:p>
    <w:p w14:paraId="231F8FD8" w14:textId="17D4611F" w:rsidR="00AD61AB" w:rsidRPr="00563AD3" w:rsidRDefault="00421D22" w:rsidP="009B13F3">
      <w:pPr>
        <w:pStyle w:val="Heading4"/>
      </w:pPr>
      <w:r w:rsidRPr="00563AD3">
        <w:t>5</w:t>
      </w:r>
      <w:r w:rsidR="00C96756" w:rsidRPr="00563AD3">
        <w:t>.3.2</w:t>
      </w:r>
      <w:r w:rsidR="000766D7" w:rsidRPr="00563AD3">
        <w:t>.2</w:t>
      </w:r>
      <w:r w:rsidR="00C96756" w:rsidRPr="00563AD3">
        <w:t xml:space="preserve"> </w:t>
      </w:r>
      <w:r w:rsidR="006660BE" w:rsidRPr="00563AD3">
        <w:t>Perception</w:t>
      </w:r>
      <w:r w:rsidR="000766D7" w:rsidRPr="00563AD3">
        <w:t>s</w:t>
      </w:r>
      <w:r w:rsidR="006660BE" w:rsidRPr="00563AD3">
        <w:t xml:space="preserve"> of i</w:t>
      </w:r>
      <w:r w:rsidR="00AD61AB" w:rsidRPr="00563AD3">
        <w:t xml:space="preserve">mpacts </w:t>
      </w:r>
      <w:r w:rsidR="000766D7" w:rsidRPr="00563AD3">
        <w:t xml:space="preserve">for </w:t>
      </w:r>
      <w:r w:rsidR="00AD61AB" w:rsidRPr="00563AD3">
        <w:t>staff</w:t>
      </w:r>
    </w:p>
    <w:p w14:paraId="50FD4BEB" w14:textId="0F662E71" w:rsidR="00093267" w:rsidRPr="00563AD3" w:rsidRDefault="00093267" w:rsidP="009B13F3">
      <w:r w:rsidRPr="00563AD3">
        <w:t xml:space="preserve">The perceived impacts of </w:t>
      </w:r>
      <w:r w:rsidR="00597D22" w:rsidRPr="00563AD3">
        <w:rPr>
          <w:lang w:eastAsia="en-US"/>
        </w:rPr>
        <w:t>DCM</w:t>
      </w:r>
      <w:r w:rsidR="00597D22" w:rsidRPr="00563AD3">
        <w:t>™</w:t>
      </w:r>
      <w:r w:rsidRPr="00563AD3">
        <w:t xml:space="preserve"> for managers, mappers and other care home staff included increased awareness of residents’ needs, communication of these needs, and of care quality, and greater confidence among staff in caring for residents with dementia.</w:t>
      </w:r>
    </w:p>
    <w:p w14:paraId="639A552B" w14:textId="77777777" w:rsidR="008435A0" w:rsidRDefault="008435A0" w:rsidP="004456A2"/>
    <w:p w14:paraId="173D6E4C" w14:textId="6FCE9796" w:rsidR="006660BE" w:rsidRPr="00563AD3" w:rsidRDefault="00421D22" w:rsidP="009B13F3">
      <w:pPr>
        <w:pStyle w:val="Heading5"/>
      </w:pPr>
      <w:r w:rsidRPr="00563AD3">
        <w:t xml:space="preserve">5.3.2.2.1 </w:t>
      </w:r>
      <w:r w:rsidR="006660BE" w:rsidRPr="00563AD3">
        <w:t>Improved awareness and understanding of residents needs and care quality</w:t>
      </w:r>
    </w:p>
    <w:p w14:paraId="0233A36B" w14:textId="77777777" w:rsidR="00093267" w:rsidRPr="00563AD3" w:rsidRDefault="00093267" w:rsidP="009B13F3">
      <w:r w:rsidRPr="00563AD3">
        <w:t>Impacts on staff predominantly related to improved understanding of the residents under their care and, as a result, improved awareness of the quality of care being provided in the home:</w:t>
      </w:r>
    </w:p>
    <w:p w14:paraId="1210E50A" w14:textId="77777777" w:rsidR="00093267" w:rsidRPr="00563AD3" w:rsidRDefault="00093267" w:rsidP="009B13F3">
      <w:pPr>
        <w:pStyle w:val="Quote"/>
      </w:pPr>
      <w:r w:rsidRPr="00563AD3">
        <w:t xml:space="preserve"> “You don’t realise what you’re doing sometimes and it makes you look at things to say I wouldn’t like that type of thing.” (Staff 40005)</w:t>
      </w:r>
    </w:p>
    <w:p w14:paraId="2D2F67B5" w14:textId="77777777" w:rsidR="00093267" w:rsidRPr="00563AD3" w:rsidRDefault="00093267" w:rsidP="009B13F3">
      <w:pPr>
        <w:pStyle w:val="Quote"/>
      </w:pPr>
      <w:r w:rsidRPr="00563AD3">
        <w:t xml:space="preserve"> “I think the benefits were just along the lines of highlighting to staff a little bit more about the needs of dementia clients.” (Manager, 50013)</w:t>
      </w:r>
    </w:p>
    <w:p w14:paraId="0EAA68A4" w14:textId="4B06042C" w:rsidR="00093267" w:rsidRPr="00563AD3" w:rsidRDefault="00093267" w:rsidP="009B13F3">
      <w:r w:rsidRPr="00563AD3">
        <w:t xml:space="preserve">Numerous references were made to </w:t>
      </w:r>
      <w:r w:rsidR="00597D22" w:rsidRPr="00563AD3">
        <w:rPr>
          <w:lang w:eastAsia="en-US"/>
        </w:rPr>
        <w:t>DCM</w:t>
      </w:r>
      <w:r w:rsidR="00597D22" w:rsidRPr="00563AD3">
        <w:t>™</w:t>
      </w:r>
      <w:r w:rsidRPr="00563AD3">
        <w:t xml:space="preserve"> helping staff to better understand and respond to the needs and behaviours of people with dementia, indicating that this was a key impact for staff. </w:t>
      </w:r>
      <w:r w:rsidR="00597D22" w:rsidRPr="00563AD3">
        <w:rPr>
          <w:lang w:eastAsia="en-US"/>
        </w:rPr>
        <w:t>DCM</w:t>
      </w:r>
      <w:r w:rsidR="00597D22" w:rsidRPr="00563AD3">
        <w:t>™</w:t>
      </w:r>
      <w:r w:rsidRPr="00563AD3">
        <w:t xml:space="preserve"> also provided access to the perspectives and experiences of residents with dementia, and a powerful reminder of the importance of understanding these:</w:t>
      </w:r>
    </w:p>
    <w:p w14:paraId="3A7D25E8" w14:textId="77777777" w:rsidR="00093267" w:rsidRPr="00563AD3" w:rsidRDefault="00093267" w:rsidP="009B13F3">
      <w:pPr>
        <w:ind w:left="720"/>
        <w:rPr>
          <w:i/>
        </w:rPr>
      </w:pPr>
      <w:r w:rsidRPr="00563AD3">
        <w:rPr>
          <w:i/>
        </w:rPr>
        <w:t>“Sometimes you just forget about, you know, the actual person. And to sit in that lounge and that dining room for six hours, you go through what they go through every day. If that isn’t the message of Dementia Care Mapping, I don’t know what is.” (Manager 50069)</w:t>
      </w:r>
    </w:p>
    <w:p w14:paraId="6E241650" w14:textId="77777777" w:rsidR="00093267" w:rsidRPr="00563AD3" w:rsidRDefault="00093267" w:rsidP="009B13F3">
      <w:pPr>
        <w:pStyle w:val="Quote"/>
      </w:pPr>
      <w:r w:rsidRPr="00563AD3">
        <w:t>“We were looking at it from the residents’ point of view, so we could see what they like, what they didn’t like.” 50031/10456)</w:t>
      </w:r>
    </w:p>
    <w:p w14:paraId="7978DD84" w14:textId="377B1CB3" w:rsidR="00093267" w:rsidRPr="00563AD3" w:rsidRDefault="00093267" w:rsidP="009B13F3">
      <w:r w:rsidRPr="00563AD3">
        <w:t xml:space="preserve">Comments from other staff echo these suggestions that, prior to </w:t>
      </w:r>
      <w:r w:rsidR="00597D22" w:rsidRPr="00563AD3">
        <w:rPr>
          <w:lang w:eastAsia="en-US"/>
        </w:rPr>
        <w:t>DCM</w:t>
      </w:r>
      <w:r w:rsidR="00597D22" w:rsidRPr="00563AD3">
        <w:t>™</w:t>
      </w:r>
      <w:r w:rsidRPr="00563AD3">
        <w:t xml:space="preserve"> implementation, staff were less cognisant of residents’ experiences of care in the home.</w:t>
      </w:r>
    </w:p>
    <w:p w14:paraId="498BA327" w14:textId="77777777" w:rsidR="000737E6" w:rsidRPr="00563AD3" w:rsidRDefault="000737E6" w:rsidP="009B13F3"/>
    <w:p w14:paraId="6860C26E" w14:textId="3D1AD5DF" w:rsidR="00014021" w:rsidRPr="00563AD3" w:rsidRDefault="00421D22" w:rsidP="009B13F3">
      <w:pPr>
        <w:pStyle w:val="Heading5"/>
      </w:pPr>
      <w:r w:rsidRPr="00563AD3">
        <w:t xml:space="preserve">5.3.2.2.2 </w:t>
      </w:r>
      <w:r w:rsidR="00014021" w:rsidRPr="00563AD3">
        <w:t>Improved understanding of embodied communication</w:t>
      </w:r>
    </w:p>
    <w:p w14:paraId="295EDAB2" w14:textId="554E97A7" w:rsidR="000737E6" w:rsidRPr="00563AD3" w:rsidRDefault="000737E6" w:rsidP="009B13F3">
      <w:r w:rsidRPr="00563AD3">
        <w:t xml:space="preserve">Improved understanding of </w:t>
      </w:r>
      <w:r w:rsidRPr="00563AD3">
        <w:rPr>
          <w:i/>
        </w:rPr>
        <w:t>embodied communication</w:t>
      </w:r>
      <w:r w:rsidRPr="00563AD3">
        <w:t xml:space="preserve"> was a repeatedly cited impact. Staff, managers and mappers all referred to an increased awareness of, and response to, non-verbal cues and communication from residents with dementia as a result of </w:t>
      </w:r>
      <w:r w:rsidR="00597D22" w:rsidRPr="00563AD3">
        <w:rPr>
          <w:lang w:eastAsia="en-US"/>
        </w:rPr>
        <w:t>DCM</w:t>
      </w:r>
      <w:r w:rsidR="00597D22" w:rsidRPr="00563AD3">
        <w:t>™</w:t>
      </w:r>
      <w:r w:rsidRPr="00563AD3">
        <w:t>:</w:t>
      </w:r>
    </w:p>
    <w:p w14:paraId="36F8A852" w14:textId="77777777" w:rsidR="000737E6" w:rsidRPr="00563AD3" w:rsidRDefault="000737E6" w:rsidP="009B13F3">
      <w:pPr>
        <w:pStyle w:val="Quote"/>
      </w:pPr>
      <w:r w:rsidRPr="00563AD3">
        <w:t xml:space="preserve">“We’re more attuned to looking for non-verbal cues and very small changes.” (Manager, 58930) </w:t>
      </w:r>
    </w:p>
    <w:p w14:paraId="7C5E1A77" w14:textId="77777777" w:rsidR="000737E6" w:rsidRPr="00563AD3" w:rsidRDefault="000737E6" w:rsidP="009B13F3">
      <w:pPr>
        <w:pStyle w:val="Quote"/>
      </w:pPr>
      <w:r w:rsidRPr="00563AD3">
        <w:t>“It’s like offering somebody a drink and then, when you are observing it, actually they’re wanting to do it for themselves. So it’s watch that hand movement isn’t it, and making carers aware.” (10181)</w:t>
      </w:r>
    </w:p>
    <w:p w14:paraId="412A4EC7" w14:textId="77777777" w:rsidR="000737E6" w:rsidRPr="00563AD3" w:rsidRDefault="000737E6" w:rsidP="009B13F3">
      <w:pPr>
        <w:pStyle w:val="Quote"/>
      </w:pPr>
      <w:r w:rsidRPr="00563AD3">
        <w:t>“…by holding hands or by touch, there is, you can see the difference. The person will be quiet, or they needed that attention.” (50018/10268/10277)</w:t>
      </w:r>
    </w:p>
    <w:p w14:paraId="0F1CF266" w14:textId="77777777" w:rsidR="000737E6" w:rsidRPr="00563AD3" w:rsidRDefault="000737E6" w:rsidP="009B13F3">
      <w:r w:rsidRPr="00563AD3">
        <w:t xml:space="preserve">Staff recognition of non-verbal cues of residents’ needs was important, as they helped the staff to identify the resident’s unique personality, abilities, preferences and requirements. Improving embodied communication was therefore particularly important for residents who rarely or never communicated verbally.  </w:t>
      </w:r>
    </w:p>
    <w:p w14:paraId="2DEC35E4" w14:textId="77777777" w:rsidR="000737E6" w:rsidRPr="00563AD3" w:rsidRDefault="000737E6" w:rsidP="009B13F3"/>
    <w:p w14:paraId="33B17A0C" w14:textId="35FC5F99" w:rsidR="002B574B" w:rsidRPr="00563AD3" w:rsidRDefault="00421D22" w:rsidP="009B13F3">
      <w:pPr>
        <w:pStyle w:val="Heading5"/>
      </w:pPr>
      <w:r w:rsidRPr="00563AD3">
        <w:t xml:space="preserve">5.3.2.2.3 </w:t>
      </w:r>
      <w:r w:rsidR="002B574B" w:rsidRPr="00563AD3">
        <w:t>Increased confidence and positive feedback for staff</w:t>
      </w:r>
    </w:p>
    <w:p w14:paraId="5828C8F2" w14:textId="1D411DD4" w:rsidR="000737E6" w:rsidRPr="00563AD3" w:rsidRDefault="000737E6" w:rsidP="009B13F3">
      <w:r w:rsidRPr="00563AD3">
        <w:t xml:space="preserve">Staff were often reported to feel more confident in their care practices as a result of </w:t>
      </w:r>
      <w:r w:rsidR="00597D22" w:rsidRPr="00563AD3">
        <w:rPr>
          <w:lang w:eastAsia="en-US"/>
        </w:rPr>
        <w:t>DCM</w:t>
      </w:r>
      <w:r w:rsidR="00597D22" w:rsidRPr="00563AD3">
        <w:t>™</w:t>
      </w:r>
      <w:r w:rsidRPr="00563AD3">
        <w:t xml:space="preserve"> taking place in the home:</w:t>
      </w:r>
    </w:p>
    <w:p w14:paraId="2FB1D4D1" w14:textId="77777777" w:rsidR="000737E6" w:rsidRPr="00563AD3" w:rsidRDefault="000737E6" w:rsidP="009B13F3">
      <w:pPr>
        <w:ind w:left="720"/>
        <w:rPr>
          <w:i/>
        </w:rPr>
      </w:pPr>
      <w:r w:rsidRPr="00563AD3">
        <w:rPr>
          <w:i/>
        </w:rPr>
        <w:t>“They’re more confident now than they were.” (Manager, 50019)</w:t>
      </w:r>
    </w:p>
    <w:p w14:paraId="543E14CA" w14:textId="77777777" w:rsidR="000737E6" w:rsidRPr="00563AD3" w:rsidRDefault="000737E6" w:rsidP="009B13F3">
      <w:pPr>
        <w:ind w:left="720"/>
        <w:rPr>
          <w:i/>
        </w:rPr>
      </w:pPr>
      <w:r w:rsidRPr="00563AD3">
        <w:rPr>
          <w:i/>
        </w:rPr>
        <w:t>“Care assistants are now confident about doing things with the residents in there… I think they’re enjoying their jobs more, I think they’re enjoying being in that unit more.” (Manager, 50167)</w:t>
      </w:r>
    </w:p>
    <w:p w14:paraId="6CB0726E" w14:textId="4DBCD657" w:rsidR="000737E6" w:rsidRPr="00563AD3" w:rsidRDefault="000737E6" w:rsidP="009B13F3">
      <w:r w:rsidRPr="00563AD3">
        <w:t xml:space="preserve">Increases in confidence appeared to stem from several sources. These included feedback from the </w:t>
      </w:r>
      <w:r w:rsidR="00597D22" w:rsidRPr="00563AD3">
        <w:rPr>
          <w:lang w:eastAsia="en-US"/>
        </w:rPr>
        <w:t>DCM</w:t>
      </w:r>
      <w:r w:rsidR="00597D22" w:rsidRPr="00563AD3">
        <w:t>™</w:t>
      </w:r>
      <w:r w:rsidRPr="00563AD3">
        <w:t xml:space="preserve"> process about the needs of residents, examples of the positive impact on residents when their needs where well met, and increases in confidence which came from </w:t>
      </w:r>
      <w:r w:rsidR="00597D22" w:rsidRPr="00563AD3">
        <w:rPr>
          <w:lang w:eastAsia="en-US"/>
        </w:rPr>
        <w:t>DCM</w:t>
      </w:r>
      <w:r w:rsidR="00597D22" w:rsidRPr="00563AD3">
        <w:t>™</w:t>
      </w:r>
      <w:r w:rsidRPr="00563AD3">
        <w:t xml:space="preserve"> providing an opportunity to celebrate the sometimes overlooked positive actions of staff:</w:t>
      </w:r>
    </w:p>
    <w:p w14:paraId="4822D920" w14:textId="77777777" w:rsidR="000737E6" w:rsidRPr="00563AD3" w:rsidRDefault="000737E6" w:rsidP="009B13F3">
      <w:pPr>
        <w:ind w:left="720"/>
        <w:rPr>
          <w:i/>
        </w:rPr>
      </w:pPr>
      <w:r w:rsidRPr="00563AD3">
        <w:rPr>
          <w:i/>
        </w:rPr>
        <w:t xml:space="preserve">“Sometimes even though you’re seeing the staffs are doing very good things to the residents, sometimes you don’t appreciate… you don’t get the time to do that…but this was the time that we could be able to appreciate the staff.” (50018/10268/10277) </w:t>
      </w:r>
    </w:p>
    <w:p w14:paraId="7BF08181" w14:textId="77777777" w:rsidR="000737E6" w:rsidRPr="00563AD3" w:rsidRDefault="000737E6" w:rsidP="009B13F3">
      <w:r w:rsidRPr="00563AD3">
        <w:t>Increases in staff confidence and knowledge could also result from having staff trained as mappers available in the home as a perceived source of expertise and support in relation to problems and approaches to caring for residents with dementia:</w:t>
      </w:r>
    </w:p>
    <w:p w14:paraId="54A52CBF" w14:textId="77777777" w:rsidR="000737E6" w:rsidRPr="00563AD3" w:rsidRDefault="000737E6" w:rsidP="009B13F3">
      <w:pPr>
        <w:ind w:left="720"/>
        <w:rPr>
          <w:i/>
        </w:rPr>
      </w:pPr>
      <w:r w:rsidRPr="00563AD3">
        <w:rPr>
          <w:i/>
        </w:rPr>
        <w:t xml:space="preserve">“After talking with the mappers it presents a greater awareness of what you need to do with and for your clients.” (50010/40010). </w:t>
      </w:r>
    </w:p>
    <w:p w14:paraId="5FB27107" w14:textId="77777777" w:rsidR="000737E6" w:rsidRPr="00563AD3" w:rsidRDefault="000737E6" w:rsidP="009B13F3">
      <w:pPr>
        <w:ind w:left="720"/>
        <w:rPr>
          <w:i/>
        </w:rPr>
      </w:pPr>
      <w:r w:rsidRPr="00563AD3">
        <w:rPr>
          <w:i/>
        </w:rPr>
        <w:t>“She’s (Mapper) got that extra knowledge that she’ll go well it could be this, or it could be that.” (10666/40015)</w:t>
      </w:r>
    </w:p>
    <w:p w14:paraId="5BA70AFC" w14:textId="693DA023" w:rsidR="000737E6" w:rsidRPr="00563AD3" w:rsidRDefault="000737E6" w:rsidP="009B13F3">
      <w:pPr>
        <w:rPr>
          <w:i/>
        </w:rPr>
      </w:pPr>
      <w:r w:rsidRPr="00563AD3">
        <w:t xml:space="preserve">The potential increases in staff confidence and knowledge that could arise from having access to the expertise of a mapper within the home suggests that some impact may have been possible in intervention homes which did not actually implement any </w:t>
      </w:r>
      <w:r w:rsidR="00597D22" w:rsidRPr="00563AD3">
        <w:rPr>
          <w:lang w:eastAsia="en-US"/>
        </w:rPr>
        <w:t>DCM</w:t>
      </w:r>
      <w:r w:rsidR="00597D22" w:rsidRPr="00563AD3">
        <w:t>™</w:t>
      </w:r>
      <w:r w:rsidRPr="00563AD3">
        <w:t xml:space="preserve"> cycles. However, this is not borne out in the main trial results.</w:t>
      </w:r>
    </w:p>
    <w:p w14:paraId="10CF8C4E" w14:textId="77777777" w:rsidR="00D81614" w:rsidRPr="00563AD3" w:rsidRDefault="00D81614" w:rsidP="009B13F3">
      <w:pPr>
        <w:rPr>
          <w:i/>
        </w:rPr>
      </w:pPr>
    </w:p>
    <w:p w14:paraId="2CA0EC95" w14:textId="2F0DA518" w:rsidR="00AD61AB" w:rsidRPr="00563AD3" w:rsidRDefault="00421D22" w:rsidP="009B13F3">
      <w:pPr>
        <w:pStyle w:val="Heading5"/>
      </w:pPr>
      <w:r w:rsidRPr="00563AD3">
        <w:t xml:space="preserve">5.3.2.2.4 </w:t>
      </w:r>
      <w:r w:rsidR="009376CC" w:rsidRPr="00563AD3">
        <w:t>Summary</w:t>
      </w:r>
    </w:p>
    <w:p w14:paraId="478ECEA0" w14:textId="1D772607" w:rsidR="00CC20C1" w:rsidRPr="00563AD3" w:rsidRDefault="00C87F91" w:rsidP="009B13F3">
      <w:r w:rsidRPr="00563AD3">
        <w:t xml:space="preserve">The most commonly cited impacts of </w:t>
      </w:r>
      <w:r w:rsidR="00597D22" w:rsidRPr="00563AD3">
        <w:rPr>
          <w:lang w:eastAsia="en-US"/>
        </w:rPr>
        <w:t>DCM</w:t>
      </w:r>
      <w:r w:rsidR="00597D22" w:rsidRPr="00563AD3">
        <w:t>™</w:t>
      </w:r>
      <w:r w:rsidRPr="00563AD3">
        <w:t xml:space="preserve"> on staff were increased awareness and understanding of the needs of residents with dementia, including the embodied communication of residents with limited verbal communication, and increased confidence for staff in providing care for people with dementia.</w:t>
      </w:r>
    </w:p>
    <w:p w14:paraId="6F0F60EE" w14:textId="77777777" w:rsidR="00C87F91" w:rsidRPr="00563AD3" w:rsidRDefault="00C87F91" w:rsidP="009B13F3"/>
    <w:p w14:paraId="34A0DD62" w14:textId="5C5A50C9" w:rsidR="00AD61AB" w:rsidRPr="00563AD3" w:rsidRDefault="00421D22" w:rsidP="009B13F3">
      <w:pPr>
        <w:pStyle w:val="Heading4"/>
      </w:pPr>
      <w:r w:rsidRPr="00563AD3">
        <w:t>5</w:t>
      </w:r>
      <w:r w:rsidR="00C96756" w:rsidRPr="00563AD3">
        <w:t>.3.</w:t>
      </w:r>
      <w:r w:rsidR="000766D7" w:rsidRPr="00563AD3">
        <w:t>2.3</w:t>
      </w:r>
      <w:r w:rsidR="00C96756" w:rsidRPr="00563AD3">
        <w:t xml:space="preserve"> </w:t>
      </w:r>
      <w:r w:rsidR="00AD61AB" w:rsidRPr="00563AD3">
        <w:t>Changes in Care Practices and Culture</w:t>
      </w:r>
    </w:p>
    <w:p w14:paraId="19FC447E" w14:textId="667E1A3D" w:rsidR="008A5E7F" w:rsidRPr="00563AD3" w:rsidRDefault="00AD61AB" w:rsidP="009B13F3">
      <w:r w:rsidRPr="00563AD3">
        <w:t xml:space="preserve">Related to impacts on staff, were wider changes in the practice and culture of care across the home. The magnitude of the changes referred to could vary greatly, from small changes to staff behaviours to more significant changes which </w:t>
      </w:r>
      <w:r w:rsidR="008A5E7F" w:rsidRPr="00563AD3">
        <w:t xml:space="preserve">could </w:t>
      </w:r>
      <w:r w:rsidRPr="00563AD3">
        <w:t xml:space="preserve">require managerial or financial support. </w:t>
      </w:r>
    </w:p>
    <w:p w14:paraId="06003C41" w14:textId="77777777" w:rsidR="00F748FF" w:rsidRPr="00563AD3" w:rsidRDefault="00F748FF" w:rsidP="009B13F3">
      <w:pPr>
        <w:rPr>
          <w:i/>
        </w:rPr>
      </w:pPr>
    </w:p>
    <w:p w14:paraId="3BEE2064" w14:textId="3B4805B6" w:rsidR="008A5E7F" w:rsidRPr="00563AD3" w:rsidRDefault="00421D22" w:rsidP="009B13F3">
      <w:pPr>
        <w:pStyle w:val="Heading5"/>
      </w:pPr>
      <w:r w:rsidRPr="00563AD3">
        <w:t xml:space="preserve">5.3.2.3.1 </w:t>
      </w:r>
      <w:r w:rsidR="00553E08" w:rsidRPr="00563AD3">
        <w:t>Smaller, a</w:t>
      </w:r>
      <w:r w:rsidR="008A5E7F" w:rsidRPr="00563AD3">
        <w:t xml:space="preserve">chievable </w:t>
      </w:r>
      <w:r w:rsidR="00553E08" w:rsidRPr="00563AD3">
        <w:t>changes</w:t>
      </w:r>
      <w:r w:rsidR="00862383" w:rsidRPr="00563AD3">
        <w:t xml:space="preserve"> to care practice</w:t>
      </w:r>
      <w:r w:rsidR="0069288A" w:rsidRPr="00563AD3">
        <w:t>s</w:t>
      </w:r>
      <w:r w:rsidR="00862383" w:rsidRPr="00563AD3">
        <w:t xml:space="preserve"> and culture</w:t>
      </w:r>
    </w:p>
    <w:p w14:paraId="602EF7E2" w14:textId="77777777" w:rsidR="00C87F91" w:rsidRPr="00563AD3" w:rsidRDefault="00C87F91" w:rsidP="009B13F3">
      <w:r w:rsidRPr="00563AD3">
        <w:t>Relatively small, and thereby achievable, changes in staff behaviour were often considered by participants to make a big difference, despite the relatively little time, cost or effort they took to implement:</w:t>
      </w:r>
    </w:p>
    <w:p w14:paraId="04E8830E" w14:textId="77777777" w:rsidR="00C87F91" w:rsidRPr="00563AD3" w:rsidRDefault="00C87F91" w:rsidP="009B13F3">
      <w:pPr>
        <w:pStyle w:val="Quote"/>
        <w:rPr>
          <w:b/>
        </w:rPr>
      </w:pPr>
      <w:r w:rsidRPr="00563AD3">
        <w:t>“Just tiny little things, for instance, when a staff member walked through the foyer… and acknowledged the residents, their faces lit up. That split second, and even a smile, it made a lot of difference to the residents.” (50031/10456)</w:t>
      </w:r>
    </w:p>
    <w:p w14:paraId="66F85D6A" w14:textId="77777777" w:rsidR="00C87F91" w:rsidRPr="00563AD3" w:rsidRDefault="00C87F91" w:rsidP="009B13F3">
      <w:pPr>
        <w:pStyle w:val="Quote"/>
      </w:pPr>
      <w:r w:rsidRPr="00563AD3">
        <w:t xml:space="preserve"> “Now if I’m dealing with anybody, I have a conversation while I’m washing and dressing them. And that way I’m finding out little bits about them… about their likes and dislikes, what they use to do in their past life.” (50015/60002)</w:t>
      </w:r>
    </w:p>
    <w:p w14:paraId="6124A796" w14:textId="77777777" w:rsidR="00C87F91" w:rsidRPr="00563AD3" w:rsidRDefault="00C87F91" w:rsidP="009B13F3">
      <w:r w:rsidRPr="00563AD3">
        <w:t>Examples of these small, achievable changes often involved staff making better use of the opportunities available to them to interact with residents - for example, as they undertook care tasks or were passing through the home. Despite these examples signifying relatively small changes to practice, they were felt by staff, especially if collectively adopted, to have a significant impact on residents:</w:t>
      </w:r>
    </w:p>
    <w:p w14:paraId="563E1DE7" w14:textId="77777777" w:rsidR="00C87F91" w:rsidRPr="00563AD3" w:rsidRDefault="00C87F91" w:rsidP="009B13F3">
      <w:pPr>
        <w:pStyle w:val="Quote"/>
      </w:pPr>
      <w:r w:rsidRPr="00563AD3">
        <w:t>“It doesn’t have to be a major functional change of the home, these [changes spoken of] are all really, really small things but, holistically and collectively, they make a massive difference.” (Manager, 50011)</w:t>
      </w:r>
    </w:p>
    <w:p w14:paraId="280DFCCA" w14:textId="77777777" w:rsidR="00C87F91" w:rsidRPr="00563AD3" w:rsidRDefault="00C87F91" w:rsidP="009B13F3">
      <w:pPr>
        <w:pStyle w:val="Quote"/>
      </w:pPr>
      <w:r w:rsidRPr="00563AD3">
        <w:t xml:space="preserve"> “The little things can make a big difference for someone who is just, who is not involved in the situation, even in the big group where they are sitting.” (50028/10637) </w:t>
      </w:r>
    </w:p>
    <w:p w14:paraId="3BA78B01" w14:textId="24447F56" w:rsidR="00C87F91" w:rsidRPr="00563AD3" w:rsidRDefault="00C87F91" w:rsidP="009B13F3">
      <w:r w:rsidRPr="00563AD3">
        <w:t xml:space="preserve">The significance attached to such changes was also an example of the low levels of baseline interaction seen in some homes during the QUIS observations, where residents could spend long periods of time with no one to interact with. </w:t>
      </w:r>
    </w:p>
    <w:p w14:paraId="451BD7E7" w14:textId="77777777" w:rsidR="00E601E8" w:rsidRPr="00563AD3" w:rsidRDefault="00E601E8" w:rsidP="009B13F3">
      <w:pPr>
        <w:rPr>
          <w:i/>
        </w:rPr>
      </w:pPr>
    </w:p>
    <w:p w14:paraId="670C6A70" w14:textId="2DAF52E5" w:rsidR="00553E08" w:rsidRPr="00563AD3" w:rsidRDefault="00421D22" w:rsidP="009B13F3">
      <w:pPr>
        <w:pStyle w:val="Heading5"/>
      </w:pPr>
      <w:r w:rsidRPr="00563AD3">
        <w:t xml:space="preserve">5.3.2.3.2 </w:t>
      </w:r>
      <w:r w:rsidR="00862383" w:rsidRPr="00563AD3">
        <w:t>Larger, formal changes to care practice</w:t>
      </w:r>
      <w:r w:rsidR="0069288A" w:rsidRPr="00563AD3">
        <w:t>s and culture</w:t>
      </w:r>
    </w:p>
    <w:p w14:paraId="233D70F8" w14:textId="77777777" w:rsidR="00C87F91" w:rsidRPr="00563AD3" w:rsidRDefault="00C87F91" w:rsidP="009B13F3">
      <w:r w:rsidRPr="00563AD3">
        <w:t>Larger changes to more formal care practices and processes were also reported, such as staff inductions, ‘in-house’ training, and care planning approaches. These changes required more effort to implement and could necessitate support at a managerial level, or agreement across multiple care homes:</w:t>
      </w:r>
    </w:p>
    <w:p w14:paraId="072394FE" w14:textId="77777777" w:rsidR="00C87F91" w:rsidRPr="00563AD3" w:rsidRDefault="00C87F91" w:rsidP="009B13F3">
      <w:pPr>
        <w:pStyle w:val="Quote"/>
      </w:pPr>
      <w:r w:rsidRPr="00563AD3">
        <w:t>“We have made it into a holistic type of care planning, where in again we have brought in person-centred care.” (50011/10160)</w:t>
      </w:r>
    </w:p>
    <w:p w14:paraId="7B177EE8" w14:textId="77777777" w:rsidR="00C87F91" w:rsidRPr="00563AD3" w:rsidRDefault="00C87F91" w:rsidP="009B13F3">
      <w:pPr>
        <w:pStyle w:val="Quote"/>
      </w:pPr>
      <w:r w:rsidRPr="00563AD3">
        <w:rPr>
          <w:b/>
        </w:rPr>
        <w:t xml:space="preserve"> “</w:t>
      </w:r>
      <w:r w:rsidRPr="00563AD3">
        <w:t>The main difference that it’s had so far is altering our training, ‘X’ does our dementia training across both homes, and we also do dignity training between both homes. And we’ve changed those courses quite a lot, so that it delivers a lot more of the language we learnt across Dementia Care Mapping.” (50018/10268/10277)</w:t>
      </w:r>
    </w:p>
    <w:p w14:paraId="4F6C71AF" w14:textId="77777777" w:rsidR="00C87F91" w:rsidRPr="00563AD3" w:rsidRDefault="00C87F91" w:rsidP="009B13F3">
      <w:r w:rsidRPr="00563AD3">
        <w:t>Changes to care home culture requiring managerial support were also spoken about, for example in relation to shifting prior assumptions held at a home level about talking to residents not constituting ‘proper work’:</w:t>
      </w:r>
    </w:p>
    <w:p w14:paraId="0E521387" w14:textId="1D16394B" w:rsidR="00C87F91" w:rsidRPr="00563AD3" w:rsidRDefault="00C87F91" w:rsidP="009B13F3">
      <w:pPr>
        <w:pStyle w:val="Quote"/>
      </w:pPr>
      <w:r w:rsidRPr="00563AD3">
        <w:t xml:space="preserve">“There’s this culture shift where it’s okay to sit down and have a chat with them [residents], it’s okay to be seen to do that... If she [care home owner] saw a carer sitting down [before </w:t>
      </w:r>
      <w:r w:rsidR="00597D22" w:rsidRPr="00563AD3">
        <w:rPr>
          <w:lang w:eastAsia="en-US"/>
        </w:rPr>
        <w:t>DCM</w:t>
      </w:r>
      <w:r w:rsidR="00597D22" w:rsidRPr="00563AD3">
        <w:t>™</w:t>
      </w:r>
      <w:r w:rsidRPr="00563AD3">
        <w:t>] it would be like ‘What the hell are you doing? You’re being lazy!’. And actually there’s a massive shift now, if you walk in and see a carer sitting and joking around with residents, that’s a really good responsive service.” (Manager, 50011)</w:t>
      </w:r>
    </w:p>
    <w:p w14:paraId="7DC3EA6C" w14:textId="77777777" w:rsidR="00C87F91" w:rsidRPr="00563AD3" w:rsidRDefault="00C87F91" w:rsidP="009B13F3">
      <w:r w:rsidRPr="00563AD3">
        <w:t>This last example indicates the importance of having senior management understanding and support for the need to change care practices and culture in the home.</w:t>
      </w:r>
    </w:p>
    <w:p w14:paraId="4772C15B" w14:textId="32C43D42" w:rsidR="005445F0" w:rsidRPr="00563AD3" w:rsidRDefault="005445F0" w:rsidP="009B13F3"/>
    <w:p w14:paraId="7093B63F" w14:textId="0E870B67" w:rsidR="005445F0" w:rsidRPr="00563AD3" w:rsidRDefault="00421D22" w:rsidP="009B13F3">
      <w:pPr>
        <w:pStyle w:val="Heading5"/>
      </w:pPr>
      <w:r w:rsidRPr="00563AD3">
        <w:t xml:space="preserve">5.3.2.3.3 </w:t>
      </w:r>
      <w:r w:rsidR="005445F0" w:rsidRPr="00563AD3">
        <w:t xml:space="preserve">A tool for identifying </w:t>
      </w:r>
      <w:r w:rsidR="003B3F1B" w:rsidRPr="00563AD3">
        <w:t>and evaluating changes to</w:t>
      </w:r>
      <w:r w:rsidR="00CF4181" w:rsidRPr="00563AD3">
        <w:t xml:space="preserve"> care practices and culture</w:t>
      </w:r>
    </w:p>
    <w:p w14:paraId="29178884" w14:textId="5BAA1C75" w:rsidR="003B3F1B" w:rsidRPr="00563AD3" w:rsidRDefault="003B3F1B" w:rsidP="009B13F3">
      <w:r w:rsidRPr="00563AD3">
        <w:t xml:space="preserve">Many of the responses above indicate that </w:t>
      </w:r>
      <w:r w:rsidR="00597D22" w:rsidRPr="00563AD3">
        <w:rPr>
          <w:lang w:eastAsia="en-US"/>
        </w:rPr>
        <w:t>DCM</w:t>
      </w:r>
      <w:r w:rsidR="00597D22" w:rsidRPr="00563AD3">
        <w:t>™</w:t>
      </w:r>
      <w:r w:rsidRPr="00563AD3">
        <w:t xml:space="preserve"> was used as a tool to identify areas for improvement across a range of care home practices and processes, including training needs, the quantity and quality of interactions with residents, and care planning. Managers were particularly aware of the potential benefits of </w:t>
      </w:r>
      <w:r w:rsidR="00597D22" w:rsidRPr="00563AD3">
        <w:rPr>
          <w:lang w:eastAsia="en-US"/>
        </w:rPr>
        <w:t>DCM</w:t>
      </w:r>
      <w:r w:rsidR="00597D22" w:rsidRPr="00563AD3">
        <w:t>™</w:t>
      </w:r>
      <w:r w:rsidRPr="00563AD3">
        <w:t xml:space="preserve"> as a structured tool for identifying and evidencing practice improvements:</w:t>
      </w:r>
    </w:p>
    <w:p w14:paraId="06DCEEF9" w14:textId="2A77E2B5" w:rsidR="003B3F1B" w:rsidRPr="00563AD3" w:rsidRDefault="003B3F1B" w:rsidP="009B13F3">
      <w:pPr>
        <w:pStyle w:val="Quote"/>
      </w:pPr>
      <w:r w:rsidRPr="00563AD3">
        <w:t>“Whereas before we would try to improve but we didn’t really know how, so it was a bit like running around headless… I think one of the most positive things about mapping is that it gives you a structure to sort of put dementia and dementia care in… So before [</w:t>
      </w:r>
      <w:r w:rsidR="00597D22" w:rsidRPr="00563AD3">
        <w:rPr>
          <w:lang w:eastAsia="en-US"/>
        </w:rPr>
        <w:t>DCM</w:t>
      </w:r>
      <w:r w:rsidR="00597D22" w:rsidRPr="00563AD3">
        <w:t>™</w:t>
      </w:r>
      <w:r w:rsidRPr="00563AD3">
        <w:t>], you sort of, you want to improve but it’s very difficult to know how to improve.” (Manager, 50018)</w:t>
      </w:r>
    </w:p>
    <w:p w14:paraId="64C870B7" w14:textId="77777777" w:rsidR="003B3F1B" w:rsidRPr="00563AD3" w:rsidRDefault="003B3F1B" w:rsidP="009B13F3">
      <w:pPr>
        <w:ind w:left="720"/>
      </w:pPr>
      <w:r w:rsidRPr="00563AD3">
        <w:rPr>
          <w:i/>
        </w:rPr>
        <w:t>“From the cycles that the girls have done, they’ve identified and can share information with the rest of the employees, to actually improve in any way we can the care that’s delivered.” (Manager 50031)</w:t>
      </w:r>
    </w:p>
    <w:p w14:paraId="78990766" w14:textId="1071D3C3" w:rsidR="003B3F1B" w:rsidRPr="00563AD3" w:rsidRDefault="00597D22" w:rsidP="009B13F3">
      <w:pPr>
        <w:rPr>
          <w:b/>
          <w:i/>
        </w:rPr>
      </w:pPr>
      <w:r w:rsidRPr="00563AD3">
        <w:rPr>
          <w:lang w:eastAsia="en-US"/>
        </w:rPr>
        <w:t>DCM</w:t>
      </w:r>
      <w:r w:rsidRPr="00563AD3">
        <w:t>™</w:t>
      </w:r>
      <w:r w:rsidR="003B3F1B" w:rsidRPr="00563AD3">
        <w:t xml:space="preserve"> was also used as a means of providing evidence of the impact of improvements to care practices, and thus provided a means of both </w:t>
      </w:r>
      <w:r w:rsidR="003B3F1B" w:rsidRPr="00563AD3">
        <w:rPr>
          <w:i/>
        </w:rPr>
        <w:t>motivating</w:t>
      </w:r>
      <w:r w:rsidR="003B3F1B" w:rsidRPr="00563AD3">
        <w:t xml:space="preserve"> and </w:t>
      </w:r>
      <w:r w:rsidR="003B3F1B" w:rsidRPr="00563AD3">
        <w:rPr>
          <w:i/>
        </w:rPr>
        <w:t>maintaining</w:t>
      </w:r>
      <w:r w:rsidR="003B3F1B" w:rsidRPr="00563AD3">
        <w:t xml:space="preserve"> changes to the practice and culture of care:  </w:t>
      </w:r>
      <w:r w:rsidR="003B3F1B" w:rsidRPr="00563AD3">
        <w:rPr>
          <w:b/>
          <w:i/>
        </w:rPr>
        <w:t xml:space="preserve"> </w:t>
      </w:r>
    </w:p>
    <w:p w14:paraId="21BDDBFA" w14:textId="2F0D825A" w:rsidR="003B3F1B" w:rsidRPr="00563AD3" w:rsidRDefault="003B3F1B" w:rsidP="009B13F3">
      <w:pPr>
        <w:pStyle w:val="Quote"/>
      </w:pPr>
      <w:r w:rsidRPr="00563AD3">
        <w:t>“Until you’ve sat there for a few hours and actually seen someone gain enjoyment from just holding something, it’s something that’s very easy to ignore because it’s very small. So it [</w:t>
      </w:r>
      <w:r w:rsidR="00597D22" w:rsidRPr="00563AD3">
        <w:rPr>
          <w:lang w:eastAsia="en-US"/>
        </w:rPr>
        <w:t>DCM</w:t>
      </w:r>
      <w:r w:rsidR="00597D22" w:rsidRPr="00563AD3">
        <w:t>™</w:t>
      </w:r>
      <w:r w:rsidRPr="00563AD3">
        <w:t>] meant we could actually start making small changes, people could see the difference.” (50018/10268/10277)</w:t>
      </w:r>
    </w:p>
    <w:p w14:paraId="0BACCC7B" w14:textId="77777777" w:rsidR="003B3F1B" w:rsidRPr="00563AD3" w:rsidRDefault="003B3F1B" w:rsidP="009B13F3">
      <w:pPr>
        <w:ind w:left="720"/>
        <w:rPr>
          <w:i/>
        </w:rPr>
      </w:pPr>
      <w:r w:rsidRPr="00563AD3">
        <w:rPr>
          <w:i/>
        </w:rPr>
        <w:t>“I’ve always said it’s [sitting and chatting with residents] a legitimate activity, but it is, now it’s been pointed out to them that it actually does have an impact on that person’s health and well-being, then, you know it’s done more.” (Manager 58930)</w:t>
      </w:r>
    </w:p>
    <w:p w14:paraId="7F2D492C" w14:textId="50476745" w:rsidR="003B3F1B" w:rsidRPr="00563AD3" w:rsidRDefault="003B3F1B" w:rsidP="009B13F3">
      <w:r w:rsidRPr="00563AD3">
        <w:t xml:space="preserve">Where managers were also mappers, this facilitated the process of getting senior staff to understand, and provide financial support for, any changes required to care practices in the home. In some instances, significant changes were made to care practices as a result of </w:t>
      </w:r>
      <w:r w:rsidR="00597D22" w:rsidRPr="00563AD3">
        <w:rPr>
          <w:lang w:eastAsia="en-US"/>
        </w:rPr>
        <w:t>DCM</w:t>
      </w:r>
      <w:r w:rsidR="00597D22" w:rsidRPr="00563AD3">
        <w:t>™</w:t>
      </w:r>
      <w:r w:rsidRPr="00563AD3">
        <w:t xml:space="preserve"> implementation:</w:t>
      </w:r>
    </w:p>
    <w:p w14:paraId="075D098F" w14:textId="77777777" w:rsidR="003B3F1B" w:rsidRPr="00563AD3" w:rsidRDefault="003B3F1B" w:rsidP="009B13F3">
      <w:pPr>
        <w:ind w:left="720"/>
        <w:rPr>
          <w:i/>
        </w:rPr>
      </w:pPr>
      <w:r w:rsidRPr="00563AD3">
        <w:rPr>
          <w:i/>
        </w:rPr>
        <w:t>“That whole unit is light years away from before it was before you started doing the mapping, before we started the project.” (Manager 50167)</w:t>
      </w:r>
    </w:p>
    <w:p w14:paraId="5A5AF176" w14:textId="77777777" w:rsidR="007E2367" w:rsidRDefault="007E2367" w:rsidP="007E2367"/>
    <w:p w14:paraId="35BFD5B2" w14:textId="3D6EAFCC" w:rsidR="00E36B36" w:rsidRPr="00563AD3" w:rsidRDefault="00421D22" w:rsidP="009B13F3">
      <w:pPr>
        <w:pStyle w:val="Heading5"/>
      </w:pPr>
      <w:r w:rsidRPr="00563AD3">
        <w:t xml:space="preserve">5.3.2.3.4 </w:t>
      </w:r>
      <w:r w:rsidR="00E36B36" w:rsidRPr="00563AD3">
        <w:t>Summary</w:t>
      </w:r>
    </w:p>
    <w:p w14:paraId="064598B9" w14:textId="6D633F6D" w:rsidR="003B3F1B" w:rsidRPr="00563AD3" w:rsidRDefault="00597D22" w:rsidP="009B13F3">
      <w:pPr>
        <w:rPr>
          <w:b/>
          <w:color w:val="538135" w:themeColor="accent6" w:themeShade="BF"/>
        </w:rPr>
      </w:pPr>
      <w:r w:rsidRPr="00563AD3">
        <w:rPr>
          <w:lang w:eastAsia="en-US"/>
        </w:rPr>
        <w:t>DCM</w:t>
      </w:r>
      <w:r w:rsidRPr="00563AD3">
        <w:t>™</w:t>
      </w:r>
      <w:r w:rsidR="003B3F1B" w:rsidRPr="00563AD3">
        <w:t xml:space="preserve"> enabled care homes to achieve change in some of the daily care practices of their staff, most noticeably in relation to the level of interactions with residents. Changes were also noted to formal care practices such as approaches to care planning and staff induction and training. </w:t>
      </w:r>
      <w:r w:rsidRPr="00563AD3">
        <w:rPr>
          <w:lang w:eastAsia="en-US"/>
        </w:rPr>
        <w:t>DCM</w:t>
      </w:r>
      <w:r w:rsidRPr="00563AD3">
        <w:t>™</w:t>
      </w:r>
      <w:r w:rsidR="003B3F1B" w:rsidRPr="00563AD3">
        <w:t xml:space="preserve"> was perceived to be a useful tool through which the need for these changes was identified, with managerial or across site support required for changes to be made at a care home level. </w:t>
      </w:r>
    </w:p>
    <w:p w14:paraId="21C48113" w14:textId="77777777" w:rsidR="00D34A09" w:rsidRPr="00563AD3" w:rsidRDefault="00D34A09" w:rsidP="009B13F3"/>
    <w:p w14:paraId="2C2689A4" w14:textId="0DF55AD7" w:rsidR="00E36B36" w:rsidRPr="00563AD3" w:rsidRDefault="00421D22" w:rsidP="009B13F3">
      <w:pPr>
        <w:pStyle w:val="Heading4"/>
      </w:pPr>
      <w:r w:rsidRPr="00563AD3">
        <w:t>5.3</w:t>
      </w:r>
      <w:r w:rsidR="003E7482" w:rsidRPr="00563AD3">
        <w:t>.2.4</w:t>
      </w:r>
      <w:r w:rsidR="00E36B36" w:rsidRPr="00563AD3">
        <w:t xml:space="preserve"> Impacts on Relatives</w:t>
      </w:r>
    </w:p>
    <w:p w14:paraId="7443A9F0" w14:textId="74CDC958" w:rsidR="003B3F1B" w:rsidRPr="00563AD3" w:rsidRDefault="003B3F1B" w:rsidP="009B13F3">
      <w:r w:rsidRPr="00563AD3">
        <w:t xml:space="preserve">Some impacts from </w:t>
      </w:r>
      <w:r w:rsidR="00597D22" w:rsidRPr="00563AD3">
        <w:rPr>
          <w:lang w:eastAsia="en-US"/>
        </w:rPr>
        <w:t>DCM</w:t>
      </w:r>
      <w:r w:rsidR="00597D22" w:rsidRPr="00563AD3">
        <w:t>™</w:t>
      </w:r>
      <w:r w:rsidRPr="00563AD3">
        <w:t xml:space="preserve"> were noted for relatives of residents in the home. The most common impacts cited for relatives were increased involvement in the home and better provision of information by staff to relatives about their family member’s care:</w:t>
      </w:r>
    </w:p>
    <w:p w14:paraId="62DB4B14" w14:textId="77777777" w:rsidR="003B3F1B" w:rsidRPr="00563AD3" w:rsidRDefault="003B3F1B" w:rsidP="009B13F3">
      <w:pPr>
        <w:pStyle w:val="Quote"/>
      </w:pPr>
      <w:r w:rsidRPr="00563AD3">
        <w:t>“It has involved not just the home staff; it has involved families.” (Manager, 50010)</w:t>
      </w:r>
      <w:r w:rsidRPr="00563AD3" w:rsidDel="00505B84">
        <w:t xml:space="preserve"> </w:t>
      </w:r>
    </w:p>
    <w:p w14:paraId="11DC37E1" w14:textId="5E7C1852" w:rsidR="003B3F1B" w:rsidRPr="00563AD3" w:rsidRDefault="003B3F1B" w:rsidP="009B13F3">
      <w:pPr>
        <w:pStyle w:val="Quote"/>
      </w:pPr>
      <w:r w:rsidRPr="00563AD3">
        <w:t>“I found it really interesting for the residents that we mapped to let their families know what we’d noticed … This is what we found when we were going [</w:t>
      </w:r>
      <w:r w:rsidR="00597D22" w:rsidRPr="00563AD3">
        <w:rPr>
          <w:lang w:eastAsia="en-US"/>
        </w:rPr>
        <w:t>DCM</w:t>
      </w:r>
      <w:r w:rsidR="00597D22" w:rsidRPr="00563AD3">
        <w:t>™</w:t>
      </w:r>
      <w:r w:rsidRPr="00563AD3">
        <w:t>], and this is what we’re going to do.” (Manager, 50069)</w:t>
      </w:r>
    </w:p>
    <w:p w14:paraId="48585EA5" w14:textId="3FF0E247" w:rsidR="003B3F1B" w:rsidRPr="00563AD3" w:rsidRDefault="003B3F1B" w:rsidP="009B13F3">
      <w:r w:rsidRPr="00563AD3">
        <w:t xml:space="preserve">There is a suggestion here that impacts may be greater for residents who were mapped, and also for their relatives. It should, however, be noted that these perceived impacts were reported by staff and not by relatives who, as discussed in Section 3.7.4.2.1, could struggle to identify the impacts of </w:t>
      </w:r>
      <w:r w:rsidR="00597D22" w:rsidRPr="00563AD3">
        <w:rPr>
          <w:lang w:eastAsia="en-US"/>
        </w:rPr>
        <w:t>DCM</w:t>
      </w:r>
      <w:r w:rsidR="00597D22" w:rsidRPr="00563AD3">
        <w:t>™</w:t>
      </w:r>
      <w:r w:rsidRPr="00563AD3">
        <w:t xml:space="preserve"> on themselves:</w:t>
      </w:r>
    </w:p>
    <w:p w14:paraId="0133CAB8" w14:textId="77777777" w:rsidR="003B3F1B" w:rsidRPr="00563AD3" w:rsidRDefault="003B3F1B" w:rsidP="009B13F3">
      <w:pPr>
        <w:ind w:left="720"/>
        <w:rPr>
          <w:i/>
        </w:rPr>
      </w:pPr>
      <w:r w:rsidRPr="00563AD3">
        <w:rPr>
          <w:i/>
        </w:rPr>
        <w:t>“I don’t know, it’s really hard to say… Overall I’m really happy so I can’t say there’s been anything specific that I’ve noticed that’s any different.” (50010/40009)</w:t>
      </w:r>
    </w:p>
    <w:p w14:paraId="2266A616" w14:textId="77777777" w:rsidR="003B3F1B" w:rsidRPr="00563AD3" w:rsidRDefault="003B3F1B" w:rsidP="009B13F3">
      <w:pPr>
        <w:rPr>
          <w:i/>
        </w:rPr>
      </w:pPr>
    </w:p>
    <w:p w14:paraId="0761FBA9" w14:textId="76253872" w:rsidR="003B3F1B" w:rsidRPr="00563AD3" w:rsidRDefault="003B3F1B" w:rsidP="009B13F3">
      <w:pPr>
        <w:pStyle w:val="Heading4"/>
      </w:pPr>
      <w:r w:rsidRPr="00563AD3">
        <w:t xml:space="preserve">5.3.2.5 Examples of limited impacts </w:t>
      </w:r>
    </w:p>
    <w:p w14:paraId="5500356B" w14:textId="394C6593" w:rsidR="003B3F1B" w:rsidRPr="00563AD3" w:rsidRDefault="003B3F1B" w:rsidP="009B13F3">
      <w:r w:rsidRPr="00563AD3">
        <w:t xml:space="preserve">Although many participants identified positive impacts resulting from the implementation of </w:t>
      </w:r>
      <w:r w:rsidR="00597D22" w:rsidRPr="00563AD3">
        <w:rPr>
          <w:lang w:eastAsia="en-US"/>
        </w:rPr>
        <w:t>DCM</w:t>
      </w:r>
      <w:r w:rsidR="00597D22" w:rsidRPr="00563AD3">
        <w:t>™</w:t>
      </w:r>
      <w:r w:rsidRPr="00563AD3">
        <w:t xml:space="preserve"> within their home, they sometimes struggled to provide examples or identify specific ways in which change had occurred:</w:t>
      </w:r>
    </w:p>
    <w:p w14:paraId="040E3E77" w14:textId="77777777" w:rsidR="003B3F1B" w:rsidRPr="00563AD3" w:rsidRDefault="003B3F1B" w:rsidP="009B13F3">
      <w:pPr>
        <w:ind w:firstLine="720"/>
        <w:rPr>
          <w:i/>
        </w:rPr>
      </w:pPr>
      <w:r w:rsidRPr="00563AD3">
        <w:rPr>
          <w:i/>
        </w:rPr>
        <w:t xml:space="preserve">“I do think there is an impact there generally yes.” (Manager 50010) </w:t>
      </w:r>
    </w:p>
    <w:p w14:paraId="317F009F" w14:textId="77777777" w:rsidR="003B3F1B" w:rsidRPr="00563AD3" w:rsidRDefault="003B3F1B" w:rsidP="009B13F3">
      <w:pPr>
        <w:ind w:left="720"/>
        <w:rPr>
          <w:i/>
        </w:rPr>
      </w:pPr>
      <w:r w:rsidRPr="00563AD3">
        <w:rPr>
          <w:i/>
        </w:rPr>
        <w:t xml:space="preserve">Interviewer: “Can you give us any examples of specific action plans that came from the first cycle, which was a while ago?” Participant: “It was ages ago, erm… I can’t specifically.” (Manager 50011) </w:t>
      </w:r>
    </w:p>
    <w:p w14:paraId="70479FBD" w14:textId="2AA2D266" w:rsidR="003B3F1B" w:rsidRPr="00563AD3" w:rsidRDefault="003B3F1B" w:rsidP="009B13F3">
      <w:r w:rsidRPr="00563AD3">
        <w:t xml:space="preserve">In addition, some participants considered that </w:t>
      </w:r>
      <w:r w:rsidR="00597D22" w:rsidRPr="00563AD3">
        <w:rPr>
          <w:lang w:eastAsia="en-US"/>
        </w:rPr>
        <w:t>DCM</w:t>
      </w:r>
      <w:r w:rsidR="00597D22" w:rsidRPr="00563AD3">
        <w:t>™</w:t>
      </w:r>
      <w:r w:rsidRPr="00563AD3">
        <w:t xml:space="preserve"> had asserted little influence over care practices in the home or over the experiences of residents:</w:t>
      </w:r>
    </w:p>
    <w:p w14:paraId="06C7F68C" w14:textId="77777777" w:rsidR="003B3F1B" w:rsidRPr="00563AD3" w:rsidRDefault="003B3F1B" w:rsidP="009B13F3">
      <w:pPr>
        <w:ind w:left="720"/>
        <w:rPr>
          <w:i/>
        </w:rPr>
      </w:pPr>
      <w:r w:rsidRPr="00563AD3">
        <w:rPr>
          <w:i/>
        </w:rPr>
        <w:t xml:space="preserve">Interviewer: “Has there been any impact, there might not have been, on the residents do you think as the result of mapping?” Participant: “No. No I don’t think so.” (50010/10096) </w:t>
      </w:r>
    </w:p>
    <w:p w14:paraId="404A0717" w14:textId="77777777" w:rsidR="003B3F1B" w:rsidRPr="00563AD3" w:rsidRDefault="003B3F1B" w:rsidP="009B13F3">
      <w:pPr>
        <w:ind w:left="720"/>
        <w:rPr>
          <w:i/>
        </w:rPr>
      </w:pPr>
      <w:r w:rsidRPr="00563AD3">
        <w:rPr>
          <w:i/>
        </w:rPr>
        <w:t xml:space="preserve">Interviewer: “Has there been anything for staff, have they changed kind of their routines at all?” Participant: “Erm, not as a whole, no.” (50069/10475) </w:t>
      </w:r>
    </w:p>
    <w:p w14:paraId="72FED9F7" w14:textId="0B8E2A0B" w:rsidR="003B3F1B" w:rsidRPr="00563AD3" w:rsidRDefault="003B3F1B" w:rsidP="009B13F3">
      <w:r w:rsidRPr="00563AD3">
        <w:t xml:space="preserve">It might be expected that staff from homes who implemented less cycles of </w:t>
      </w:r>
      <w:r w:rsidR="00597D22" w:rsidRPr="00563AD3">
        <w:rPr>
          <w:lang w:eastAsia="en-US"/>
        </w:rPr>
        <w:t>DCM</w:t>
      </w:r>
      <w:r w:rsidR="00597D22" w:rsidRPr="00563AD3">
        <w:t>™</w:t>
      </w:r>
      <w:r w:rsidRPr="00563AD3">
        <w:t xml:space="preserve"> would struggle to identify impacts as a result. This tendency is supported to a degree by the above quotes, all of which came from homes that experienced problems with </w:t>
      </w:r>
      <w:r w:rsidR="00597D22" w:rsidRPr="00563AD3">
        <w:rPr>
          <w:lang w:eastAsia="en-US"/>
        </w:rPr>
        <w:t>DCM</w:t>
      </w:r>
      <w:r w:rsidR="00597D22" w:rsidRPr="00563AD3">
        <w:t>™</w:t>
      </w:r>
      <w:r w:rsidRPr="00563AD3">
        <w:t xml:space="preserve"> implementation and only completed 1 or 2 cycles of </w:t>
      </w:r>
      <w:r w:rsidR="00597D22" w:rsidRPr="00563AD3">
        <w:rPr>
          <w:lang w:eastAsia="en-US"/>
        </w:rPr>
        <w:t>DCM</w:t>
      </w:r>
      <w:r w:rsidR="00597D22" w:rsidRPr="00563AD3">
        <w:t>™</w:t>
      </w:r>
      <w:r w:rsidRPr="00563AD3">
        <w:t xml:space="preserve"> as a result. However, participants from homes completing 3 cycles could still struggle to identify definitive impacts from the implementation of </w:t>
      </w:r>
      <w:r w:rsidR="00597D22" w:rsidRPr="00563AD3">
        <w:rPr>
          <w:lang w:eastAsia="en-US"/>
        </w:rPr>
        <w:t>DCM</w:t>
      </w:r>
      <w:r w:rsidR="00597D22" w:rsidRPr="00563AD3">
        <w:t>™</w:t>
      </w:r>
      <w:r w:rsidRPr="00563AD3">
        <w:t>:</w:t>
      </w:r>
    </w:p>
    <w:p w14:paraId="35FCC60D" w14:textId="77777777" w:rsidR="003B3F1B" w:rsidRPr="00563AD3" w:rsidRDefault="003B3F1B" w:rsidP="009B13F3">
      <w:pPr>
        <w:ind w:left="720"/>
        <w:rPr>
          <w:i/>
        </w:rPr>
      </w:pPr>
      <w:r w:rsidRPr="00563AD3">
        <w:rPr>
          <w:i/>
        </w:rPr>
        <w:t>“I must admit I have seen some improvement but I'm not here every day.” Interviewer: “Have you seen improvement for the residents’ quality of life as well, do you think?” Participant: “I think so, yeah. Especially those with end stage dementia, I think they do tend to get more attention possibly than they did before.” (Mapper 58930)</w:t>
      </w:r>
    </w:p>
    <w:p w14:paraId="3D46BB29" w14:textId="77777777" w:rsidR="003B3F1B" w:rsidRPr="00563AD3" w:rsidRDefault="003B3F1B" w:rsidP="009B13F3">
      <w:pPr>
        <w:ind w:left="720"/>
        <w:rPr>
          <w:i/>
        </w:rPr>
      </w:pPr>
      <w:r w:rsidRPr="00563AD3">
        <w:rPr>
          <w:i/>
        </w:rPr>
        <w:t>“We’ve got another lady who’s end stage dementia who’s just be people chatting with her, she’s actually started speaking again. Now whether that would have happened anyway I don’t know...” (Manager 58930)</w:t>
      </w:r>
    </w:p>
    <w:p w14:paraId="5D86F6F3" w14:textId="77777777" w:rsidR="003B3F1B" w:rsidRPr="00563AD3" w:rsidRDefault="003B3F1B" w:rsidP="009B13F3">
      <w:pPr>
        <w:spacing w:after="240"/>
        <w:ind w:left="720"/>
        <w:rPr>
          <w:i/>
        </w:rPr>
      </w:pPr>
      <w:r w:rsidRPr="00563AD3">
        <w:rPr>
          <w:i/>
        </w:rPr>
        <w:t>“I suppose I haven’t necessarily seen any real changes, but I was happy in the first place.” (Relative 50018-20107)</w:t>
      </w:r>
    </w:p>
    <w:p w14:paraId="1DBCA710" w14:textId="6D3982F2" w:rsidR="003B3F1B" w:rsidRPr="00563AD3" w:rsidRDefault="003B3F1B" w:rsidP="009B13F3">
      <w:r w:rsidRPr="00563AD3">
        <w:t xml:space="preserve">Collectively, and in line with the main trial results, the above quotes suggest that implementing </w:t>
      </w:r>
      <w:r w:rsidR="00597D22" w:rsidRPr="00563AD3">
        <w:rPr>
          <w:lang w:eastAsia="en-US"/>
        </w:rPr>
        <w:t>DCM</w:t>
      </w:r>
      <w:r w:rsidR="00597D22" w:rsidRPr="00563AD3">
        <w:t>™</w:t>
      </w:r>
      <w:r w:rsidRPr="00563AD3">
        <w:t xml:space="preserve"> did not uniformly lead to positive impacts for care home residents or for staff. Issues were also experienced with unexpected, and sometimes negative, impacts and with maintaining positive impacts over time, as </w:t>
      </w:r>
      <w:r w:rsidR="00597D22" w:rsidRPr="00563AD3">
        <w:t>is</w:t>
      </w:r>
      <w:r w:rsidRPr="00563AD3">
        <w:t xml:space="preserve"> explored </w:t>
      </w:r>
      <w:r w:rsidR="00597D22" w:rsidRPr="00563AD3">
        <w:t>next</w:t>
      </w:r>
      <w:r w:rsidRPr="00563AD3">
        <w:rPr>
          <w:color w:val="FF0000"/>
        </w:rPr>
        <w:t xml:space="preserve">. </w:t>
      </w:r>
    </w:p>
    <w:p w14:paraId="125BC688" w14:textId="77777777" w:rsidR="00A90324" w:rsidRPr="00563AD3" w:rsidRDefault="00A90324" w:rsidP="009B13F3"/>
    <w:p w14:paraId="58621F97" w14:textId="035B8FB7" w:rsidR="00AD61AB" w:rsidRPr="00563AD3" w:rsidRDefault="00421D22" w:rsidP="009B13F3">
      <w:pPr>
        <w:pStyle w:val="Heading4"/>
      </w:pPr>
      <w:r w:rsidRPr="00563AD3">
        <w:t>5</w:t>
      </w:r>
      <w:r w:rsidR="00C96756" w:rsidRPr="00563AD3">
        <w:t>.3.</w:t>
      </w:r>
      <w:r w:rsidR="00E55C4C" w:rsidRPr="00563AD3">
        <w:t>2.</w:t>
      </w:r>
      <w:r w:rsidR="003E7482" w:rsidRPr="00563AD3">
        <w:t>5</w:t>
      </w:r>
      <w:r w:rsidR="00C96756" w:rsidRPr="00563AD3">
        <w:t xml:space="preserve"> </w:t>
      </w:r>
      <w:r w:rsidR="00A90324" w:rsidRPr="00563AD3">
        <w:t xml:space="preserve">Unexpected </w:t>
      </w:r>
      <w:r w:rsidR="001E2F80" w:rsidRPr="00563AD3">
        <w:t>impacts</w:t>
      </w:r>
      <w:r w:rsidR="0060027D" w:rsidRPr="00563AD3">
        <w:t xml:space="preserve"> or consequences</w:t>
      </w:r>
    </w:p>
    <w:p w14:paraId="42C09C66" w14:textId="0C3EBAB9" w:rsidR="003B3F1B" w:rsidRPr="00563AD3" w:rsidRDefault="003B3F1B" w:rsidP="009B13F3">
      <w:r w:rsidRPr="00563AD3">
        <w:t xml:space="preserve">A small number of potentially unexpected, and sometimes negative, impacts or inappropriate uses of </w:t>
      </w:r>
      <w:r w:rsidR="00597D22" w:rsidRPr="00563AD3">
        <w:rPr>
          <w:lang w:eastAsia="en-US"/>
        </w:rPr>
        <w:t>DCM</w:t>
      </w:r>
      <w:r w:rsidR="00597D22" w:rsidRPr="00563AD3">
        <w:t>™</w:t>
      </w:r>
      <w:r w:rsidRPr="00563AD3">
        <w:t xml:space="preserve"> were identified during the interviews. </w:t>
      </w:r>
    </w:p>
    <w:p w14:paraId="7AA65DB7" w14:textId="77777777" w:rsidR="008435A0" w:rsidRDefault="008435A0" w:rsidP="004456A2"/>
    <w:p w14:paraId="4F8BB153" w14:textId="636A28A6" w:rsidR="003B3F1B" w:rsidRPr="00563AD3" w:rsidRDefault="00421D22" w:rsidP="009B13F3">
      <w:pPr>
        <w:pStyle w:val="Heading5"/>
      </w:pPr>
      <w:r w:rsidRPr="00563AD3">
        <w:t xml:space="preserve">5.3.2.5.1 </w:t>
      </w:r>
      <w:r w:rsidR="003B3F1B" w:rsidRPr="00563AD3">
        <w:t>Conflict amongst staff</w:t>
      </w:r>
    </w:p>
    <w:p w14:paraId="297207F6" w14:textId="77777777" w:rsidR="003B3F1B" w:rsidRPr="00563AD3" w:rsidRDefault="003B3F1B" w:rsidP="009B13F3">
      <w:r w:rsidRPr="00563AD3">
        <w:t>Disagreements over the findings of mapping sessions were reported to lead to conflict amongst staff in one home, although these differences were subsequently resolved:</w:t>
      </w:r>
    </w:p>
    <w:p w14:paraId="16A82104" w14:textId="77777777" w:rsidR="003B3F1B" w:rsidRPr="00563AD3" w:rsidRDefault="003B3F1B" w:rsidP="009B13F3">
      <w:pPr>
        <w:pStyle w:val="Quote"/>
      </w:pPr>
      <w:r w:rsidRPr="00563AD3">
        <w:t>“There was arguments as well, because you know they say sometimes that you don’t see the residents and how they are being… and we cleared everything and they did take it in a positive way eventually!” (50018/10268/10277)</w:t>
      </w:r>
    </w:p>
    <w:p w14:paraId="4B075637" w14:textId="77316D26" w:rsidR="003B3F1B" w:rsidRPr="00563AD3" w:rsidRDefault="003B3F1B" w:rsidP="009B13F3">
      <w:r w:rsidRPr="00563AD3">
        <w:t xml:space="preserve">Although this was the only reference made to arguments, some other homes also reported initially negative responses from staff to </w:t>
      </w:r>
      <w:r w:rsidR="00597D22" w:rsidRPr="00563AD3">
        <w:rPr>
          <w:lang w:eastAsia="en-US"/>
        </w:rPr>
        <w:t>DCM</w:t>
      </w:r>
      <w:r w:rsidR="00597D22" w:rsidRPr="00563AD3">
        <w:t>™</w:t>
      </w:r>
      <w:r w:rsidRPr="00563AD3">
        <w:t xml:space="preserve"> feedback, highlighting the importance of ensuring that staff understand the </w:t>
      </w:r>
      <w:r w:rsidR="00597D22" w:rsidRPr="00563AD3">
        <w:rPr>
          <w:lang w:eastAsia="en-US"/>
        </w:rPr>
        <w:t>DCM</w:t>
      </w:r>
      <w:r w:rsidR="00597D22" w:rsidRPr="00563AD3">
        <w:t>™</w:t>
      </w:r>
      <w:r w:rsidRPr="00563AD3">
        <w:t xml:space="preserve"> process and the importance of providing feedback which celebrates positive examples of care as well as highlighting areas for care improvement. </w:t>
      </w:r>
    </w:p>
    <w:p w14:paraId="3D72E1B0" w14:textId="77777777" w:rsidR="003B3F1B" w:rsidRPr="00563AD3" w:rsidRDefault="003B3F1B" w:rsidP="009B13F3"/>
    <w:p w14:paraId="4184A10B" w14:textId="29304FD2" w:rsidR="00505B84" w:rsidRPr="00563AD3" w:rsidRDefault="003B3F1B" w:rsidP="009B13F3">
      <w:pPr>
        <w:pStyle w:val="Heading5"/>
      </w:pPr>
      <w:r w:rsidRPr="00563AD3">
        <w:t xml:space="preserve">5.3.2.5.2 </w:t>
      </w:r>
      <w:r w:rsidR="00505B84" w:rsidRPr="00563AD3">
        <w:t xml:space="preserve">Fear of scrutiny from past negative experiences </w:t>
      </w:r>
    </w:p>
    <w:p w14:paraId="4977E956" w14:textId="01CAE855" w:rsidR="003B3F1B" w:rsidRPr="00563AD3" w:rsidRDefault="003B3F1B" w:rsidP="009B13F3">
      <w:r w:rsidRPr="00563AD3">
        <w:t xml:space="preserve">As a result of a home beginning to use </w:t>
      </w:r>
      <w:r w:rsidR="00597D22" w:rsidRPr="00563AD3">
        <w:rPr>
          <w:lang w:eastAsia="en-US"/>
        </w:rPr>
        <w:t>DCM</w:t>
      </w:r>
      <w:r w:rsidR="00597D22" w:rsidRPr="00563AD3">
        <w:t>™</w:t>
      </w:r>
      <w:r w:rsidRPr="00563AD3">
        <w:t xml:space="preserve">, some staff felt scrutinised and fearful, predominantly due to past negative experiences of other forms of care scrutiny, such as CQC inspections: </w:t>
      </w:r>
    </w:p>
    <w:p w14:paraId="183F519A" w14:textId="77777777" w:rsidR="003B3F1B" w:rsidRPr="00563AD3" w:rsidRDefault="003B3F1B" w:rsidP="009B13F3">
      <w:pPr>
        <w:pStyle w:val="Quote"/>
      </w:pPr>
      <w:r w:rsidRPr="00563AD3">
        <w:t>“In most cases when it [feedback on care] happens it’s a negative experience because there’s inspectors from various organisations, so I think it wasn’t until we started giving feedback and there was quite a bit of positives in there that the staff really engaged with the process.” (50018/10268/10277)</w:t>
      </w:r>
    </w:p>
    <w:p w14:paraId="502A2DC0" w14:textId="77777777" w:rsidR="003B3F1B" w:rsidRPr="00563AD3" w:rsidRDefault="003B3F1B" w:rsidP="009B13F3">
      <w:pPr>
        <w:pStyle w:val="Quote"/>
      </w:pPr>
      <w:r w:rsidRPr="00563AD3">
        <w:t xml:space="preserve"> “The staff… it didn’t matter how much time we spent explaining that it wasn’t about spying on them, that’s how they felt about it.” (10181)</w:t>
      </w:r>
    </w:p>
    <w:p w14:paraId="7D2A106A" w14:textId="77777777" w:rsidR="003B3F1B" w:rsidRPr="00563AD3" w:rsidRDefault="003B3F1B" w:rsidP="009B13F3">
      <w:r w:rsidRPr="00563AD3">
        <w:tab/>
      </w:r>
      <w:r w:rsidRPr="00563AD3">
        <w:rPr>
          <w:i/>
        </w:rPr>
        <w:t>“It was like being spied on.” (50010/40010)</w:t>
      </w:r>
    </w:p>
    <w:p w14:paraId="51C4A167" w14:textId="72650E19" w:rsidR="003B3F1B" w:rsidRPr="00563AD3" w:rsidRDefault="003B3F1B" w:rsidP="009B13F3">
      <w:r w:rsidRPr="00563AD3">
        <w:t xml:space="preserve">These feelings appeared to be more common in staff members who did not fully understand the purposes or processes of </w:t>
      </w:r>
      <w:r w:rsidR="00597D22" w:rsidRPr="00563AD3">
        <w:rPr>
          <w:lang w:eastAsia="en-US"/>
        </w:rPr>
        <w:t>DCM</w:t>
      </w:r>
      <w:r w:rsidR="00597D22" w:rsidRPr="00563AD3">
        <w:t>™</w:t>
      </w:r>
      <w:r w:rsidRPr="00563AD3">
        <w:t xml:space="preserve">. Such feelings typically, but not always, lessened or went away as the processes involved in implementing </w:t>
      </w:r>
      <w:r w:rsidR="00597D22" w:rsidRPr="00563AD3">
        <w:rPr>
          <w:lang w:eastAsia="en-US"/>
        </w:rPr>
        <w:t>DCM</w:t>
      </w:r>
      <w:r w:rsidR="00597D22" w:rsidRPr="00563AD3">
        <w:t>™</w:t>
      </w:r>
      <w:r w:rsidRPr="00563AD3">
        <w:t xml:space="preserve"> became more familiar to staff and better understood.</w:t>
      </w:r>
    </w:p>
    <w:p w14:paraId="1E2687ED" w14:textId="77777777" w:rsidR="008435A0" w:rsidRDefault="008435A0" w:rsidP="004456A2"/>
    <w:p w14:paraId="19EE914A" w14:textId="500D0285" w:rsidR="003B3F1B" w:rsidRPr="00563AD3" w:rsidRDefault="003B3F1B" w:rsidP="009B13F3">
      <w:pPr>
        <w:pStyle w:val="Heading5"/>
      </w:pPr>
      <w:r w:rsidRPr="00563AD3">
        <w:t xml:space="preserve">5.3.2.5.3 Inappropriate use of </w:t>
      </w:r>
      <w:r w:rsidR="00597D22" w:rsidRPr="00563AD3">
        <w:rPr>
          <w:lang w:eastAsia="en-US"/>
        </w:rPr>
        <w:t>DCM</w:t>
      </w:r>
      <w:r w:rsidR="00597D22" w:rsidRPr="00563AD3">
        <w:t>™</w:t>
      </w:r>
    </w:p>
    <w:p w14:paraId="70488F2F" w14:textId="51B77B41" w:rsidR="003B3F1B" w:rsidRPr="00563AD3" w:rsidRDefault="003B3F1B" w:rsidP="009B13F3">
      <w:r w:rsidRPr="00563AD3">
        <w:t xml:space="preserve">Some misunderstandings about the purpose of </w:t>
      </w:r>
      <w:r w:rsidR="00597D22" w:rsidRPr="00563AD3">
        <w:rPr>
          <w:lang w:eastAsia="en-US"/>
        </w:rPr>
        <w:t>DCM</w:t>
      </w:r>
      <w:r w:rsidR="00597D22" w:rsidRPr="00563AD3">
        <w:t>™</w:t>
      </w:r>
      <w:r w:rsidRPr="00563AD3">
        <w:t xml:space="preserve"> also appeared to lead to it being used in ways that appeared to be inappropriate or not in line with its recommended use. One home reported using evidence from </w:t>
      </w:r>
      <w:r w:rsidR="00597D22" w:rsidRPr="00563AD3">
        <w:rPr>
          <w:lang w:eastAsia="en-US"/>
        </w:rPr>
        <w:t>DCM</w:t>
      </w:r>
      <w:r w:rsidR="00597D22" w:rsidRPr="00563AD3">
        <w:t>™</w:t>
      </w:r>
      <w:r w:rsidRPr="00563AD3">
        <w:t xml:space="preserve"> to assess potential new members of staff and as part of a fee review to provide evidence that a resident’s needs have changed and their fee should be increased: </w:t>
      </w:r>
    </w:p>
    <w:p w14:paraId="2AA9ECF8" w14:textId="1FD201AF" w:rsidR="003B3F1B" w:rsidRPr="00563AD3" w:rsidRDefault="003B3F1B" w:rsidP="009B13F3">
      <w:pPr>
        <w:ind w:left="720"/>
        <w:rPr>
          <w:i/>
        </w:rPr>
      </w:pPr>
      <w:r w:rsidRPr="00563AD3">
        <w:rPr>
          <w:i/>
        </w:rPr>
        <w:t>“We ask all new members of staff to come in for a train where we dementia map them… We also use it [</w:t>
      </w:r>
      <w:r w:rsidR="00597D22" w:rsidRPr="00563AD3">
        <w:rPr>
          <w:rStyle w:val="QuoteChar1"/>
        </w:rPr>
        <w:t>DCM™</w:t>
      </w:r>
      <w:r w:rsidRPr="00563AD3">
        <w:rPr>
          <w:i/>
        </w:rPr>
        <w:t>] for fee review, so if we have someone whose needs have really drastically increased I can go to them and say she needs X amount of day care hours a week and there is the evidence.” (Manager 50011)</w:t>
      </w:r>
    </w:p>
    <w:p w14:paraId="53F4B957" w14:textId="14073C9E" w:rsidR="003B3F1B" w:rsidRPr="00563AD3" w:rsidRDefault="003B3F1B" w:rsidP="009B13F3">
      <w:r w:rsidRPr="00563AD3">
        <w:t xml:space="preserve">And in another home </w:t>
      </w:r>
      <w:r w:rsidR="00597D22" w:rsidRPr="00563AD3">
        <w:rPr>
          <w:lang w:eastAsia="en-US"/>
        </w:rPr>
        <w:t>DCM</w:t>
      </w:r>
      <w:r w:rsidR="00597D22" w:rsidRPr="00563AD3">
        <w:t>™</w:t>
      </w:r>
      <w:r w:rsidRPr="00563AD3">
        <w:t xml:space="preserve"> was perceived as a method for staff to highlight errors in each other’s care practices:</w:t>
      </w:r>
    </w:p>
    <w:p w14:paraId="6E7710E0" w14:textId="77777777" w:rsidR="003B3F1B" w:rsidRPr="00563AD3" w:rsidRDefault="003B3F1B" w:rsidP="009B13F3">
      <w:pPr>
        <w:ind w:left="720"/>
        <w:rPr>
          <w:i/>
        </w:rPr>
      </w:pPr>
      <w:r w:rsidRPr="00563AD3">
        <w:rPr>
          <w:i/>
        </w:rPr>
        <w:t>“The idea is that if one carer’s working with another they can turn to them and say you shouldn’t have done that you should do this.” (Manager 50018)</w:t>
      </w:r>
    </w:p>
    <w:p w14:paraId="68CF4C25" w14:textId="57BE8AEF" w:rsidR="003B3F1B" w:rsidRPr="00563AD3" w:rsidRDefault="003B3F1B" w:rsidP="009B13F3">
      <w:pPr>
        <w:rPr>
          <w:i/>
        </w:rPr>
      </w:pPr>
      <w:r w:rsidRPr="00563AD3">
        <w:t xml:space="preserve">It is potentially relevant that both these examples came from managers who had not been trained in </w:t>
      </w:r>
      <w:r w:rsidR="00597D22" w:rsidRPr="00563AD3">
        <w:rPr>
          <w:lang w:eastAsia="en-US"/>
        </w:rPr>
        <w:t>DCM</w:t>
      </w:r>
      <w:r w:rsidR="00597D22" w:rsidRPr="00563AD3">
        <w:t>™</w:t>
      </w:r>
      <w:r w:rsidRPr="00563AD3">
        <w:t xml:space="preserve"> and appeared, from the content of their interviews, not to fully appreciate the purpose of </w:t>
      </w:r>
      <w:r w:rsidR="00597D22" w:rsidRPr="00563AD3">
        <w:rPr>
          <w:lang w:eastAsia="en-US"/>
        </w:rPr>
        <w:t>DCM</w:t>
      </w:r>
      <w:r w:rsidR="00597D22" w:rsidRPr="00563AD3">
        <w:t>™</w:t>
      </w:r>
      <w:r w:rsidRPr="00563AD3">
        <w:t xml:space="preserve">. This reconfirms the importance of ensuring that care home staff who hold key leadership roles, such as managers, have a clear understanding of </w:t>
      </w:r>
      <w:r w:rsidR="00597D22" w:rsidRPr="00563AD3">
        <w:rPr>
          <w:lang w:eastAsia="en-US"/>
        </w:rPr>
        <w:t>DCM</w:t>
      </w:r>
      <w:r w:rsidR="00597D22" w:rsidRPr="00563AD3">
        <w:t>™</w:t>
      </w:r>
      <w:r w:rsidRPr="00563AD3">
        <w:t xml:space="preserve"> in order for it to be implemented appropriately and effectively. </w:t>
      </w:r>
      <w:r w:rsidRPr="00563AD3">
        <w:rPr>
          <w:i/>
        </w:rPr>
        <w:br/>
      </w:r>
    </w:p>
    <w:p w14:paraId="73A9217F" w14:textId="0BEF31F5" w:rsidR="003B3F1B" w:rsidRPr="00563AD3" w:rsidRDefault="003B3F1B" w:rsidP="009B13F3">
      <w:pPr>
        <w:pStyle w:val="Heading5"/>
      </w:pPr>
      <w:r w:rsidRPr="00563AD3">
        <w:t>5.3.2.5.4 Summary</w:t>
      </w:r>
    </w:p>
    <w:p w14:paraId="3A770138" w14:textId="0D4FC7A4" w:rsidR="003B3F1B" w:rsidRPr="00563AD3" w:rsidRDefault="003B3F1B" w:rsidP="009B13F3">
      <w:r w:rsidRPr="00563AD3">
        <w:t xml:space="preserve">In summary, some unexpected and negative consequences of </w:t>
      </w:r>
      <w:r w:rsidR="00597D22" w:rsidRPr="00563AD3">
        <w:rPr>
          <w:lang w:eastAsia="en-US"/>
        </w:rPr>
        <w:t>DCM</w:t>
      </w:r>
      <w:r w:rsidR="00597D22" w:rsidRPr="00563AD3">
        <w:t>™</w:t>
      </w:r>
      <w:r w:rsidRPr="00563AD3">
        <w:t xml:space="preserve"> implementation were also identified, including conflict between staff over the results of mapping sessions, fear of being scrutinised, and inappropriate uses of </w:t>
      </w:r>
      <w:r w:rsidR="00597D22" w:rsidRPr="00563AD3">
        <w:rPr>
          <w:lang w:eastAsia="en-US"/>
        </w:rPr>
        <w:t>DCM</w:t>
      </w:r>
      <w:r w:rsidR="00597D22" w:rsidRPr="00563AD3">
        <w:t>™</w:t>
      </w:r>
      <w:r w:rsidRPr="00563AD3">
        <w:t xml:space="preserve">. These undesirable consequences were noted more frequently amongst homes and staff (and particularly managers), where </w:t>
      </w:r>
      <w:r w:rsidR="00597D22" w:rsidRPr="00563AD3">
        <w:rPr>
          <w:lang w:eastAsia="en-US"/>
        </w:rPr>
        <w:t>DCM</w:t>
      </w:r>
      <w:r w:rsidR="00597D22" w:rsidRPr="00563AD3">
        <w:t>™</w:t>
      </w:r>
      <w:r w:rsidRPr="00563AD3">
        <w:t xml:space="preserve"> was poorly understood. In addition, the impacts of </w:t>
      </w:r>
      <w:r w:rsidR="00597D22" w:rsidRPr="00563AD3">
        <w:rPr>
          <w:lang w:eastAsia="en-US"/>
        </w:rPr>
        <w:t>DCM</w:t>
      </w:r>
      <w:r w:rsidR="00597D22" w:rsidRPr="00563AD3">
        <w:t>™</w:t>
      </w:r>
      <w:r w:rsidRPr="00563AD3">
        <w:t xml:space="preserve"> were not always easy to identify or uniformly positive. Some participants struggled to identify any impacts as a result of </w:t>
      </w:r>
      <w:r w:rsidR="00597D22" w:rsidRPr="00563AD3">
        <w:rPr>
          <w:lang w:eastAsia="en-US"/>
        </w:rPr>
        <w:t>DCM</w:t>
      </w:r>
      <w:r w:rsidR="00597D22" w:rsidRPr="00563AD3">
        <w:t>™</w:t>
      </w:r>
      <w:r w:rsidRPr="00563AD3">
        <w:t xml:space="preserve"> implementation, or to definitively attribute any impacts they did identify to </w:t>
      </w:r>
      <w:r w:rsidR="00597D22" w:rsidRPr="00563AD3">
        <w:rPr>
          <w:lang w:eastAsia="en-US"/>
        </w:rPr>
        <w:t>DCM</w:t>
      </w:r>
      <w:r w:rsidR="00597D22" w:rsidRPr="00563AD3">
        <w:t>™</w:t>
      </w:r>
      <w:r w:rsidRPr="00563AD3">
        <w:t xml:space="preserve"> implementation. Participants who could not identify or attribute impacts were often, but not always, from homes who had struggled or failed to implement the trial’s recommended dose of </w:t>
      </w:r>
      <w:r w:rsidR="00597D22" w:rsidRPr="00563AD3">
        <w:rPr>
          <w:lang w:eastAsia="en-US"/>
        </w:rPr>
        <w:t>DCM</w:t>
      </w:r>
      <w:r w:rsidR="00597D22" w:rsidRPr="00563AD3">
        <w:t>™</w:t>
      </w:r>
      <w:r w:rsidRPr="00563AD3">
        <w:t xml:space="preserve">. </w:t>
      </w:r>
    </w:p>
    <w:p w14:paraId="1193171B" w14:textId="77777777" w:rsidR="003E7482" w:rsidRPr="00563AD3" w:rsidRDefault="003E7482" w:rsidP="009B13F3">
      <w:pPr>
        <w:rPr>
          <w:i/>
        </w:rPr>
      </w:pPr>
    </w:p>
    <w:p w14:paraId="7938ED78" w14:textId="74D3CE5B" w:rsidR="002D5157" w:rsidRPr="00563AD3" w:rsidRDefault="00421D22" w:rsidP="009B13F3">
      <w:pPr>
        <w:pStyle w:val="Heading2"/>
      </w:pPr>
      <w:bookmarkStart w:id="210" w:name="_Toc525544034"/>
      <w:r w:rsidRPr="00563AD3">
        <w:t xml:space="preserve">5.4 </w:t>
      </w:r>
      <w:r w:rsidR="002D5157" w:rsidRPr="00563AD3">
        <w:t>What contextual factors shaped if and how the intervention was implemented or worked?</w:t>
      </w:r>
      <w:bookmarkEnd w:id="210"/>
    </w:p>
    <w:p w14:paraId="389C4743" w14:textId="3ECB7F5C" w:rsidR="0043299A" w:rsidRPr="00563AD3" w:rsidRDefault="00421D22" w:rsidP="009B13F3">
      <w:pPr>
        <w:pStyle w:val="Heading3"/>
      </w:pPr>
      <w:bookmarkStart w:id="211" w:name="_Toc525544035"/>
      <w:r w:rsidRPr="00563AD3">
        <w:t xml:space="preserve">5.4.1 </w:t>
      </w:r>
      <w:r w:rsidR="002D5157" w:rsidRPr="00563AD3">
        <w:t xml:space="preserve">What were the perceived barriers and facilitators to intervention implementation, mechanisms of impact and perceived impact from the perspective of mappers, </w:t>
      </w:r>
      <w:r w:rsidR="00597D22" w:rsidRPr="00563AD3">
        <w:rPr>
          <w:lang w:eastAsia="en-US"/>
        </w:rPr>
        <w:t>DCM</w:t>
      </w:r>
      <w:r w:rsidR="00597D22" w:rsidRPr="00563AD3">
        <w:t>™</w:t>
      </w:r>
      <w:r w:rsidR="005B1C9E" w:rsidRPr="00563AD3">
        <w:t xml:space="preserve"> </w:t>
      </w:r>
      <w:r w:rsidR="002D5157" w:rsidRPr="00563AD3">
        <w:t>expert mappers, managers, staff, residents and relatives?</w:t>
      </w:r>
      <w:bookmarkEnd w:id="211"/>
      <w:r w:rsidR="002D5157" w:rsidRPr="00563AD3">
        <w:br/>
      </w:r>
    </w:p>
    <w:p w14:paraId="59563D4D" w14:textId="54885B46" w:rsidR="005B1C9E" w:rsidRDefault="005B1C9E" w:rsidP="009B13F3">
      <w:r w:rsidRPr="00563AD3">
        <w:t xml:space="preserve">The data indicated that implementing </w:t>
      </w:r>
      <w:r w:rsidR="00597D22" w:rsidRPr="00563AD3">
        <w:rPr>
          <w:lang w:eastAsia="en-US"/>
        </w:rPr>
        <w:t>DCM</w:t>
      </w:r>
      <w:r w:rsidR="00597D22" w:rsidRPr="00563AD3">
        <w:t>™</w:t>
      </w:r>
      <w:r w:rsidRPr="00563AD3">
        <w:t xml:space="preserve"> in care homes is complex, and there are many factors that may facilitate or prevent successful implementation. Barriers and facilitators were identified by managers, mappers, expert mappers and staff members and related to three main themes; care home level barriers and facilitators, intervention barriers and facilitators, and trial barriers and facilitators.</w:t>
      </w:r>
      <w:r w:rsidR="00535E40">
        <w:t xml:space="preserve"> </w:t>
      </w:r>
      <w:r w:rsidR="00535E40">
        <w:fldChar w:fldCharType="begin"/>
      </w:r>
      <w:r w:rsidR="00535E40">
        <w:instrText xml:space="preserve"> ADDIN EN.CITE &lt;EndNote&gt;&lt;Cite&gt;&lt;Author&gt;Griffiths&lt;/Author&gt;&lt;Year&gt;2019&lt;/Year&gt;&lt;RecNum&gt;1971&lt;/RecNum&gt;&lt;DisplayText&gt;&lt;style face="superscript"&gt;158&lt;/style&gt;&lt;/DisplayText&gt;&lt;record&gt;&lt;rec-number&gt;1971&lt;/rec-number&gt;&lt;foreign-keys&gt;&lt;key app="EN" db-id="wprxwptv75dtdree0t5x2ptmvadptw5fr2ww" timestamp="1545050306"&gt;1971&lt;/key&gt;&lt;/foreign-keys&gt;&lt;ref-type name="Journal Article"&gt;17&lt;/ref-type&gt;&lt;contributors&gt;&lt;authors&gt;&lt;author&gt;Griffiths, A.W.&lt;/author&gt;&lt;author&gt;Kelley, R.&lt;/author&gt;&lt;author&gt;Garrod, L.&lt;/author&gt;&lt;author&gt;Perfect, D.&lt;/author&gt;&lt;author&gt;Robinson, O.&lt;/author&gt;&lt;author&gt;Shoesmith, E.&lt;/author&gt;&lt;author&gt;McDermid, J.&lt;/author&gt;&lt;author&gt;Burnley, N.&lt;/author&gt;&lt;author&gt;Surr, C.A.&lt;/author&gt;&lt;/authors&gt;&lt;/contributors&gt;&lt;titles&gt;&lt;title&gt;Barriers and facilitators to implementing Dementia Care Mapping in Care Homes: Results from the EPIC Trial process evaluation&lt;/title&gt;&lt;secondary-title&gt;BMC Geriatrics&lt;/secondary-title&gt;&lt;/titles&gt;&lt;periodical&gt;&lt;full-title&gt;BMC Geriatrics&lt;/full-title&gt;&lt;abbr-1&gt;BMC Geriatr.&lt;/abbr-1&gt;&lt;abbr-2&gt;BMC Geriatr&lt;/abbr-2&gt;&lt;/periodical&gt;&lt;pages&gt;37&lt;/pages&gt;&lt;volume&gt;19&lt;/volume&gt;&lt;dates&gt;&lt;year&gt;2019&lt;/year&gt;&lt;/dates&gt;&lt;urls&gt;&lt;/urls&gt;&lt;electronic-resource-num&gt;10.1186/s12877-019-1045-y&lt;/electronic-resource-num&gt;&lt;/record&gt;&lt;/Cite&gt;&lt;/EndNote&gt;</w:instrText>
      </w:r>
      <w:r w:rsidR="00535E40">
        <w:fldChar w:fldCharType="separate"/>
      </w:r>
      <w:r w:rsidR="00535E40" w:rsidRPr="00535E40">
        <w:rPr>
          <w:noProof/>
          <w:vertAlign w:val="superscript"/>
        </w:rPr>
        <w:t>158</w:t>
      </w:r>
      <w:r w:rsidR="00535E40">
        <w:fldChar w:fldCharType="end"/>
      </w:r>
    </w:p>
    <w:p w14:paraId="06677663" w14:textId="77777777" w:rsidR="007E2367" w:rsidRPr="00563AD3" w:rsidRDefault="007E2367" w:rsidP="009B13F3"/>
    <w:p w14:paraId="2F5F9FA7" w14:textId="7EEBDCBE" w:rsidR="002D5157" w:rsidRPr="00563AD3" w:rsidRDefault="00421D22" w:rsidP="009B13F3">
      <w:pPr>
        <w:pStyle w:val="Heading4"/>
      </w:pPr>
      <w:r w:rsidRPr="00563AD3">
        <w:t>5.4.1.1</w:t>
      </w:r>
      <w:r w:rsidR="0043299A" w:rsidRPr="00563AD3">
        <w:t xml:space="preserve"> </w:t>
      </w:r>
      <w:r w:rsidR="005E0A27" w:rsidRPr="00563AD3">
        <w:t>Care home level</w:t>
      </w:r>
      <w:r w:rsidR="002D5157" w:rsidRPr="00563AD3">
        <w:t xml:space="preserve"> barriers and facilitators</w:t>
      </w:r>
    </w:p>
    <w:p w14:paraId="027C8C0F" w14:textId="35BBCFB9" w:rsidR="002D5157" w:rsidRPr="00563AD3" w:rsidRDefault="00421D22" w:rsidP="009B13F3">
      <w:pPr>
        <w:pStyle w:val="Heading5"/>
      </w:pPr>
      <w:r w:rsidRPr="00563AD3">
        <w:t xml:space="preserve">5.4.1.1.1 </w:t>
      </w:r>
      <w:r w:rsidR="002D5157" w:rsidRPr="00563AD3">
        <w:t>Care Home Context</w:t>
      </w:r>
    </w:p>
    <w:p w14:paraId="0B2AE270" w14:textId="652EB578" w:rsidR="005B1C9E" w:rsidRPr="00563AD3" w:rsidRDefault="005B1C9E" w:rsidP="009B13F3">
      <w:r w:rsidRPr="00563AD3">
        <w:t xml:space="preserve">Contextual features of care homes affected the degree to which </w:t>
      </w:r>
      <w:r w:rsidR="00597D22" w:rsidRPr="00563AD3">
        <w:rPr>
          <w:lang w:eastAsia="en-US"/>
        </w:rPr>
        <w:t>DCM</w:t>
      </w:r>
      <w:r w:rsidR="00597D22" w:rsidRPr="00563AD3">
        <w:t>™</w:t>
      </w:r>
      <w:r w:rsidRPr="00563AD3">
        <w:t xml:space="preserve"> was implemented within each care home. This included broad issues, such as the type of setting and staffing levels or losses, and more specific issues such as the availability of computers in the home and funds to support implementation.</w:t>
      </w:r>
    </w:p>
    <w:p w14:paraId="073DA740" w14:textId="1D5DB308" w:rsidR="005B1C9E" w:rsidRPr="00563AD3" w:rsidRDefault="005B1C9E" w:rsidP="009B13F3">
      <w:pPr>
        <w:rPr>
          <w:i/>
        </w:rPr>
      </w:pPr>
      <w:r w:rsidRPr="00563AD3">
        <w:t xml:space="preserve">The type of care home may have influenced implementation, with additional complications present in nursing homes. However, the value of </w:t>
      </w:r>
      <w:r w:rsidR="00597D22" w:rsidRPr="00563AD3">
        <w:rPr>
          <w:lang w:eastAsia="en-US"/>
        </w:rPr>
        <w:t>DCM</w:t>
      </w:r>
      <w:r w:rsidR="00597D22" w:rsidRPr="00563AD3">
        <w:t>™</w:t>
      </w:r>
      <w:r w:rsidRPr="00563AD3">
        <w:t xml:space="preserve"> in more complex settings was acknowledged.</w:t>
      </w:r>
    </w:p>
    <w:p w14:paraId="6345FD71" w14:textId="77777777" w:rsidR="005B1C9E" w:rsidRPr="00563AD3" w:rsidRDefault="005B1C9E" w:rsidP="009B13F3">
      <w:pPr>
        <w:ind w:left="720"/>
        <w:rPr>
          <w:i/>
        </w:rPr>
      </w:pPr>
      <w:r w:rsidRPr="00563AD3">
        <w:rPr>
          <w:i/>
        </w:rPr>
        <w:t>“I think it’s just the work load, really. The amount of work there is sometimes, and with it being a nursing home - the intensity of the workload. Obviously, we have a lot of very poorly people sometimes.” (58930 Mapper)</w:t>
      </w:r>
    </w:p>
    <w:p w14:paraId="0F18C4ED" w14:textId="77777777" w:rsidR="005B1C9E" w:rsidRPr="00563AD3" w:rsidRDefault="005B1C9E" w:rsidP="009B13F3">
      <w:r w:rsidRPr="00563AD3">
        <w:t>Managers of residential homes felt they were disadvantaged by a lack of qualified staff members, who might hold expertise that would help to facilitate implementation.</w:t>
      </w:r>
    </w:p>
    <w:p w14:paraId="444768A7" w14:textId="77777777" w:rsidR="005B1C9E" w:rsidRPr="00563AD3" w:rsidRDefault="005B1C9E" w:rsidP="009B13F3">
      <w:pPr>
        <w:ind w:left="720"/>
        <w:rPr>
          <w:i/>
        </w:rPr>
      </w:pPr>
      <w:r w:rsidRPr="00563AD3">
        <w:rPr>
          <w:i/>
        </w:rPr>
        <w:t>“Because we are only a residential home, erm, y’know, we haven’t got nurses and stuff so my staff aren’t that confident anyway… I’m glad we got involved because we got a lot out of it, I’m just disappointed that we weren’t able to continue.” (10666 Manager)</w:t>
      </w:r>
    </w:p>
    <w:p w14:paraId="02869D1F" w14:textId="2971F53A" w:rsidR="005B1C9E" w:rsidRPr="00563AD3" w:rsidRDefault="005B1C9E" w:rsidP="009B13F3">
      <w:r w:rsidRPr="00563AD3">
        <w:t xml:space="preserve">Larger care homes that were well staffed were able to build time for </w:t>
      </w:r>
      <w:r w:rsidR="00597D22" w:rsidRPr="00563AD3">
        <w:rPr>
          <w:lang w:eastAsia="en-US"/>
        </w:rPr>
        <w:t>DCM</w:t>
      </w:r>
      <w:r w:rsidR="00597D22" w:rsidRPr="00563AD3">
        <w:t>™</w:t>
      </w:r>
      <w:r w:rsidRPr="00563AD3">
        <w:t xml:space="preserve"> into their rotas, whereas smaller care homes with less staff could struggle to accommodate the cover required to facilitate </w:t>
      </w:r>
      <w:r w:rsidR="00597D22" w:rsidRPr="00563AD3">
        <w:rPr>
          <w:lang w:eastAsia="en-US"/>
        </w:rPr>
        <w:t>DCM</w:t>
      </w:r>
      <w:r w:rsidR="00597D22" w:rsidRPr="00563AD3">
        <w:t>™</w:t>
      </w:r>
      <w:r w:rsidRPr="00563AD3">
        <w:t>.</w:t>
      </w:r>
    </w:p>
    <w:p w14:paraId="0146688F" w14:textId="77777777" w:rsidR="005B1C9E" w:rsidRPr="00563AD3" w:rsidRDefault="005B1C9E" w:rsidP="009B13F3">
      <w:pPr>
        <w:autoSpaceDE/>
        <w:autoSpaceDN/>
        <w:adjustRightInd/>
        <w:spacing w:after="0"/>
        <w:rPr>
          <w:rFonts w:eastAsiaTheme="minorHAnsi"/>
          <w:i/>
          <w:sz w:val="24"/>
          <w:szCs w:val="24"/>
          <w:lang w:eastAsia="en-US"/>
        </w:rPr>
      </w:pPr>
    </w:p>
    <w:p w14:paraId="0525F592" w14:textId="77777777" w:rsidR="005B1C9E" w:rsidRPr="00563AD3" w:rsidRDefault="005B1C9E" w:rsidP="009B13F3">
      <w:pPr>
        <w:ind w:left="720"/>
        <w:rPr>
          <w:i/>
        </w:rPr>
      </w:pPr>
      <w:r w:rsidRPr="00563AD3">
        <w:rPr>
          <w:i/>
        </w:rPr>
        <w:t>“That’s the reason we pulled out, is because they [mappers] couldn’t carry on doing their deputy manager role, or senior care role, and be a mapper with the amount of reports ... So I think it’s just a bit unrealistic.” (50011 Manager)</w:t>
      </w:r>
    </w:p>
    <w:p w14:paraId="1C4A8E51" w14:textId="517EFA8C" w:rsidR="005B1C9E" w:rsidRPr="00563AD3" w:rsidRDefault="005B1C9E" w:rsidP="009B13F3">
      <w:r w:rsidRPr="00563AD3">
        <w:t xml:space="preserve">Across all care home settings, high levels of staff turnover were an issue. Consistency of staff involvement is needed to understand change over time for residents and also to implement changes as a result of </w:t>
      </w:r>
      <w:r w:rsidR="00597D22" w:rsidRPr="00563AD3">
        <w:rPr>
          <w:lang w:eastAsia="en-US"/>
        </w:rPr>
        <w:t>DCM</w:t>
      </w:r>
      <w:r w:rsidR="00597D22" w:rsidRPr="00563AD3">
        <w:t>™</w:t>
      </w:r>
      <w:r w:rsidRPr="00563AD3">
        <w:t xml:space="preserve">. </w:t>
      </w:r>
    </w:p>
    <w:p w14:paraId="73428D8C" w14:textId="77777777" w:rsidR="005B1C9E" w:rsidRPr="00563AD3" w:rsidRDefault="005B1C9E" w:rsidP="009B13F3">
      <w:pPr>
        <w:ind w:left="720"/>
        <w:rPr>
          <w:i/>
        </w:rPr>
      </w:pPr>
      <w:r w:rsidRPr="00563AD3">
        <w:rPr>
          <w:i/>
        </w:rPr>
        <w:t>“Care homes are really, really busy. Turnover of staff in care homes can be quite dramatic at times, and the realities are there’s other pressures on them isn’t there. But that’s, that’s it though isn’t it. That’s the reality of anywhere though I suppose.” (DCM™ expert 70005)</w:t>
      </w:r>
    </w:p>
    <w:p w14:paraId="5B3D3B41" w14:textId="1681F9AD" w:rsidR="005B1C9E" w:rsidRPr="00563AD3" w:rsidRDefault="005B1C9E" w:rsidP="009B13F3">
      <w:pPr>
        <w:rPr>
          <w:i/>
        </w:rPr>
      </w:pPr>
      <w:r w:rsidRPr="00563AD3">
        <w:t xml:space="preserve">Particularly important in relation to staffing of care homes, was the turnover of mappers. Not only did this lead to delays in implementing </w:t>
      </w:r>
      <w:r w:rsidR="00597D22" w:rsidRPr="00563AD3">
        <w:rPr>
          <w:lang w:eastAsia="en-US"/>
        </w:rPr>
        <w:t>DCM</w:t>
      </w:r>
      <w:r w:rsidR="00597D22" w:rsidRPr="00563AD3">
        <w:t>™</w:t>
      </w:r>
      <w:r w:rsidRPr="00563AD3">
        <w:t xml:space="preserve"> whilst additional mappers were recruited and trained, but this also impacted on the confidence of remaining mappers, leaving some feeling overwhelmed by what was required of them. </w:t>
      </w:r>
    </w:p>
    <w:p w14:paraId="57170F25" w14:textId="77777777" w:rsidR="005B1C9E" w:rsidRPr="00563AD3" w:rsidRDefault="005B1C9E" w:rsidP="009B13F3">
      <w:pPr>
        <w:ind w:left="720"/>
        <w:rPr>
          <w:i/>
        </w:rPr>
      </w:pPr>
      <w:r w:rsidRPr="00563AD3">
        <w:rPr>
          <w:i/>
        </w:rPr>
        <w:t>“I think where I struggled and like with the report and things was because I was the only mapper, they were like “I need you to map three people”. And it was like ‘ahh… my first map’. And I’m mapping three people whereas if there was somebody with me, then we could’ve both done that together.” (50028 Mapper)</w:t>
      </w:r>
    </w:p>
    <w:p w14:paraId="2AACD2D0" w14:textId="011C1C46" w:rsidR="005B1C9E" w:rsidRPr="00563AD3" w:rsidRDefault="005B1C9E" w:rsidP="009B13F3">
      <w:r w:rsidRPr="00563AD3">
        <w:t xml:space="preserve">Care homes with limited access to computers experienced difficulties with completing the computer-based elements of </w:t>
      </w:r>
      <w:r w:rsidR="00597D22" w:rsidRPr="00563AD3">
        <w:rPr>
          <w:lang w:eastAsia="en-US"/>
        </w:rPr>
        <w:t>DCM</w:t>
      </w:r>
      <w:r w:rsidR="00597D22" w:rsidRPr="00563AD3">
        <w:t>™</w:t>
      </w:r>
      <w:r w:rsidRPr="00563AD3">
        <w:t>.</w:t>
      </w:r>
    </w:p>
    <w:p w14:paraId="43203D45" w14:textId="77777777" w:rsidR="005B1C9E" w:rsidRPr="00563AD3" w:rsidRDefault="005B1C9E" w:rsidP="009B13F3">
      <w:pPr>
        <w:ind w:left="720"/>
        <w:rPr>
          <w:i/>
        </w:rPr>
      </w:pPr>
      <w:r w:rsidRPr="00563AD3">
        <w:rPr>
          <w:i/>
        </w:rPr>
        <w:t>“We’re not always the most IT literate in care homes. Having access to computers and time to analyse can be quite difficult.” (50018 Manager)</w:t>
      </w:r>
    </w:p>
    <w:p w14:paraId="46DB5363" w14:textId="77777777" w:rsidR="005B1C9E" w:rsidRPr="00563AD3" w:rsidRDefault="005B1C9E" w:rsidP="009B13F3">
      <w:r w:rsidRPr="00563AD3">
        <w:t>Some care homes also had high demand or competing priorities at the time, such as CQC reports or problems with staffing levels.</w:t>
      </w:r>
    </w:p>
    <w:p w14:paraId="671AD634" w14:textId="77777777" w:rsidR="005B1C9E" w:rsidRPr="00563AD3" w:rsidRDefault="005B1C9E" w:rsidP="009B13F3">
      <w:pPr>
        <w:ind w:left="720"/>
        <w:rPr>
          <w:i/>
        </w:rPr>
      </w:pPr>
      <w:r w:rsidRPr="00563AD3">
        <w:rPr>
          <w:i/>
        </w:rPr>
        <w:t>“It was mainly the home, the crisis that the home was in … Knowing the staff we had at the time and the difficulties we had… I struggled just to get them to do the health and safety training, the basics.” (50009 Manager)</w:t>
      </w:r>
    </w:p>
    <w:p w14:paraId="0B986F8C" w14:textId="2A50E45F" w:rsidR="005B1C9E" w:rsidRPr="00563AD3" w:rsidRDefault="005B1C9E" w:rsidP="009B13F3">
      <w:r w:rsidRPr="00563AD3">
        <w:t xml:space="preserve">These findings suggest that </w:t>
      </w:r>
      <w:r w:rsidR="00597D22" w:rsidRPr="00563AD3">
        <w:rPr>
          <w:lang w:eastAsia="en-US"/>
        </w:rPr>
        <w:t>DCM</w:t>
      </w:r>
      <w:r w:rsidR="00597D22" w:rsidRPr="00563AD3">
        <w:t>™</w:t>
      </w:r>
      <w:r w:rsidRPr="00563AD3">
        <w:t xml:space="preserve"> implementation may be easier in larger nursing or dementia-specific care homes with greater numbers of qualified staff, where there may be greater access to computers and to funds and larger staffing pools to provide cover for mappers to undertake </w:t>
      </w:r>
      <w:r w:rsidR="00597D22" w:rsidRPr="00563AD3">
        <w:rPr>
          <w:lang w:eastAsia="en-US"/>
        </w:rPr>
        <w:t>DCM</w:t>
      </w:r>
      <w:r w:rsidR="00597D22" w:rsidRPr="00563AD3">
        <w:t>™</w:t>
      </w:r>
      <w:r w:rsidRPr="00563AD3">
        <w:t>.</w:t>
      </w:r>
    </w:p>
    <w:p w14:paraId="08DAC7D9" w14:textId="77777777" w:rsidR="002D5157" w:rsidRPr="00563AD3" w:rsidRDefault="002D5157" w:rsidP="009B13F3">
      <w:pPr>
        <w:pStyle w:val="NoSpacing"/>
        <w:spacing w:line="360" w:lineRule="auto"/>
      </w:pPr>
    </w:p>
    <w:p w14:paraId="4C3196B7" w14:textId="05567E0B" w:rsidR="002D5157" w:rsidRPr="00563AD3" w:rsidRDefault="00421D22" w:rsidP="009B13F3">
      <w:pPr>
        <w:pStyle w:val="Heading5"/>
        <w:rPr>
          <w:b/>
        </w:rPr>
      </w:pPr>
      <w:r w:rsidRPr="00563AD3">
        <w:t xml:space="preserve">5.4.1.1.2 </w:t>
      </w:r>
      <w:r w:rsidR="002D5157" w:rsidRPr="00563AD3">
        <w:t>Manager</w:t>
      </w:r>
    </w:p>
    <w:p w14:paraId="3E0AE6DA" w14:textId="4D6865D2" w:rsidR="005B1C9E" w:rsidRPr="00563AD3" w:rsidRDefault="005B1C9E" w:rsidP="009B13F3">
      <w:r w:rsidRPr="00563AD3">
        <w:t xml:space="preserve">The care home manager was a key individual in the success of </w:t>
      </w:r>
      <w:r w:rsidR="00597D22" w:rsidRPr="00563AD3">
        <w:rPr>
          <w:lang w:eastAsia="en-US"/>
        </w:rPr>
        <w:t>DCM</w:t>
      </w:r>
      <w:r w:rsidR="00597D22" w:rsidRPr="00563AD3">
        <w:t>™</w:t>
      </w:r>
      <w:r w:rsidRPr="00563AD3">
        <w:t xml:space="preserve">. Whilst managers were not always involved in the implementation of </w:t>
      </w:r>
      <w:r w:rsidR="00597D22" w:rsidRPr="00563AD3">
        <w:rPr>
          <w:lang w:eastAsia="en-US"/>
        </w:rPr>
        <w:t>DCM</w:t>
      </w:r>
      <w:r w:rsidR="00597D22" w:rsidRPr="00563AD3">
        <w:t>™</w:t>
      </w:r>
      <w:r w:rsidRPr="00563AD3">
        <w:t>, as they generally had responsibility for rotas, allocation of staff workload and supervision of the mappers, their engagement either ensured it ran efficiently or placed barriers for the mappers.</w:t>
      </w:r>
    </w:p>
    <w:p w14:paraId="434715E2" w14:textId="77777777" w:rsidR="005B1C9E" w:rsidRPr="00563AD3" w:rsidRDefault="005B1C9E" w:rsidP="009B13F3">
      <w:pPr>
        <w:ind w:left="720"/>
        <w:rPr>
          <w:i/>
          <w:color w:val="FFE599" w:themeColor="accent4" w:themeTint="66"/>
        </w:rPr>
      </w:pPr>
      <w:r w:rsidRPr="00563AD3">
        <w:rPr>
          <w:i/>
        </w:rPr>
        <w:t>“I think management support, you know, it can either be amazing when it’s amazing or it can be a real difficulty if the manger isn’t supportive.” (DCM™ expert 70006)</w:t>
      </w:r>
    </w:p>
    <w:p w14:paraId="191F4D08" w14:textId="77777777" w:rsidR="005B1C9E" w:rsidRPr="00563AD3" w:rsidRDefault="005B1C9E" w:rsidP="009B13F3">
      <w:r w:rsidRPr="00563AD3">
        <w:t xml:space="preserve">Generally, there was thought to be a lack of support from managers. Managers needed to have awareness of the time required for their mappers to be involved and willing to support this process. </w:t>
      </w:r>
    </w:p>
    <w:p w14:paraId="60DADBC9" w14:textId="77777777" w:rsidR="005B1C9E" w:rsidRPr="00563AD3" w:rsidRDefault="005B1C9E" w:rsidP="009B13F3">
      <w:pPr>
        <w:ind w:left="720"/>
        <w:rPr>
          <w:i/>
        </w:rPr>
      </w:pPr>
      <w:r w:rsidRPr="00563AD3">
        <w:rPr>
          <w:i/>
        </w:rPr>
        <w:t>“The managers delegated all aspects – all of it – to the mappers, and didn’t take any responsibility for ensuring the process. I think the odd manager was supportive, again from the office, but not really understanding about making time.” (DCM™ expert 70004)</w:t>
      </w:r>
    </w:p>
    <w:p w14:paraId="472E8A7B" w14:textId="77777777" w:rsidR="005B1C9E" w:rsidRPr="00563AD3" w:rsidRDefault="005B1C9E" w:rsidP="009B13F3">
      <w:r w:rsidRPr="00563AD3">
        <w:t xml:space="preserve">Where there were difficulties in the relationship between managers and mappers, issues arose for mappers, particularly at the feedback stage. The hierarchical nature of care homes sometimes acted as a barrier in the process, meaning that mappers were unwilling or felt unable to challenge the care home manager. </w:t>
      </w:r>
    </w:p>
    <w:p w14:paraId="5F837011" w14:textId="77777777" w:rsidR="005B1C9E" w:rsidRPr="00563AD3" w:rsidRDefault="005B1C9E" w:rsidP="009B13F3">
      <w:pPr>
        <w:ind w:left="720"/>
        <w:rPr>
          <w:i/>
        </w:rPr>
      </w:pPr>
      <w:r w:rsidRPr="00563AD3">
        <w:rPr>
          <w:i/>
        </w:rPr>
        <w:t>“It’s mainly from a confidence perspective, [they] were clearly not confident to challenge a manager who was not supporting.” (DCM™ expert 70003)</w:t>
      </w:r>
    </w:p>
    <w:p w14:paraId="506F1EC8" w14:textId="2D8EBD87" w:rsidR="005B1C9E" w:rsidRPr="00563AD3" w:rsidRDefault="005B1C9E" w:rsidP="009B13F3">
      <w:r w:rsidRPr="00563AD3">
        <w:t xml:space="preserve">Conversely, where managers were engaged with </w:t>
      </w:r>
      <w:r w:rsidR="00597D22" w:rsidRPr="00563AD3">
        <w:rPr>
          <w:lang w:eastAsia="en-US"/>
        </w:rPr>
        <w:t>DCM</w:t>
      </w:r>
      <w:r w:rsidR="00597D22" w:rsidRPr="00563AD3">
        <w:t>™</w:t>
      </w:r>
      <w:r w:rsidRPr="00563AD3">
        <w:t xml:space="preserve">, this facilitated the process and helped mappers to make changes based on what was observed during the cycles. Furthermore, where managers valued </w:t>
      </w:r>
      <w:r w:rsidR="00597D22" w:rsidRPr="00563AD3">
        <w:rPr>
          <w:lang w:eastAsia="en-US"/>
        </w:rPr>
        <w:t>DCM</w:t>
      </w:r>
      <w:r w:rsidR="00597D22" w:rsidRPr="00563AD3">
        <w:t>™</w:t>
      </w:r>
      <w:r w:rsidRPr="00563AD3">
        <w:t xml:space="preserve">, they could see clear benefits from implementing it. For example, one manager believed that it was a key tool to help the CQC rating of the care home improve. </w:t>
      </w:r>
    </w:p>
    <w:p w14:paraId="51FCB9FE" w14:textId="18FCEE80" w:rsidR="005B1C9E" w:rsidRPr="00563AD3" w:rsidRDefault="005B1C9E" w:rsidP="009B13F3">
      <w:pPr>
        <w:ind w:left="720"/>
        <w:rPr>
          <w:i/>
        </w:rPr>
      </w:pPr>
      <w:r w:rsidRPr="00563AD3">
        <w:rPr>
          <w:i/>
        </w:rPr>
        <w:t xml:space="preserve">“They were very clear that they thought </w:t>
      </w:r>
      <w:r w:rsidR="00597D22" w:rsidRPr="00563AD3">
        <w:rPr>
          <w:i/>
          <w:lang w:eastAsia="en-US"/>
        </w:rPr>
        <w:t>DCM</w:t>
      </w:r>
      <w:r w:rsidR="00597D22" w:rsidRPr="00563AD3">
        <w:rPr>
          <w:i/>
        </w:rPr>
        <w:t>™</w:t>
      </w:r>
      <w:r w:rsidRPr="00563AD3">
        <w:rPr>
          <w:i/>
        </w:rPr>
        <w:t xml:space="preserve"> was fantastic, because they saw it as a way of improving the quality of their care to take their home CQC rating from good to outstanding.” (DCM™ expert 70004)</w:t>
      </w:r>
    </w:p>
    <w:p w14:paraId="67782F38" w14:textId="6BF6FC77" w:rsidR="005B1C9E" w:rsidRPr="00563AD3" w:rsidRDefault="005B1C9E" w:rsidP="009B13F3">
      <w:r w:rsidRPr="00563AD3">
        <w:t xml:space="preserve">Managers referred to adaptations required to make </w:t>
      </w:r>
      <w:r w:rsidR="00597D22" w:rsidRPr="00563AD3">
        <w:rPr>
          <w:lang w:eastAsia="en-US"/>
        </w:rPr>
        <w:t>DCM</w:t>
      </w:r>
      <w:r w:rsidR="00597D22" w:rsidRPr="00563AD3">
        <w:t>™</w:t>
      </w:r>
      <w:r w:rsidRPr="00563AD3">
        <w:t xml:space="preserve"> fit in their home. This included suggested or actual adaptations to the process of </w:t>
      </w:r>
      <w:r w:rsidR="00597D22" w:rsidRPr="00563AD3">
        <w:rPr>
          <w:lang w:eastAsia="en-US"/>
        </w:rPr>
        <w:t>DCM</w:t>
      </w:r>
      <w:r w:rsidR="00597D22" w:rsidRPr="00563AD3">
        <w:t>™</w:t>
      </w:r>
      <w:r w:rsidRPr="00563AD3">
        <w:t xml:space="preserve"> itself, such as shorter maps, and hypothetical or actual adaptations to the work of staff, such as changes to rotas and over time.</w:t>
      </w:r>
    </w:p>
    <w:p w14:paraId="26E35223" w14:textId="77777777" w:rsidR="005B1C9E" w:rsidRPr="00563AD3" w:rsidRDefault="005B1C9E" w:rsidP="009B13F3">
      <w:pPr>
        <w:ind w:left="720"/>
        <w:rPr>
          <w:i/>
        </w:rPr>
      </w:pPr>
      <w:r w:rsidRPr="00563AD3">
        <w:rPr>
          <w:i/>
        </w:rPr>
        <w:t>“We’re going to be having to change shifts so they can be on shift at the same time every month because we can do some mapping.” (Manager 50010)</w:t>
      </w:r>
    </w:p>
    <w:p w14:paraId="79D2DAC2" w14:textId="5A65836C" w:rsidR="005B1C9E" w:rsidRPr="00563AD3" w:rsidRDefault="005B1C9E" w:rsidP="009B13F3">
      <w:r w:rsidRPr="00563AD3">
        <w:t xml:space="preserve">These findings suggest that managers are key in the implementation of </w:t>
      </w:r>
      <w:r w:rsidR="00597D22" w:rsidRPr="00563AD3">
        <w:rPr>
          <w:lang w:eastAsia="en-US"/>
        </w:rPr>
        <w:t>DCM</w:t>
      </w:r>
      <w:r w:rsidR="00597D22" w:rsidRPr="00563AD3">
        <w:t>™</w:t>
      </w:r>
      <w:r w:rsidRPr="00563AD3">
        <w:t>, and can act as either a barrier or facilitator. A good relationship between the manager and mappers is crucial to successful implementation.</w:t>
      </w:r>
    </w:p>
    <w:p w14:paraId="71FC7D0C" w14:textId="77777777" w:rsidR="00103C7C" w:rsidRPr="00563AD3" w:rsidRDefault="00103C7C" w:rsidP="009B13F3"/>
    <w:p w14:paraId="0A25EBDB" w14:textId="6BEADC85" w:rsidR="002D5157" w:rsidRPr="00563AD3" w:rsidRDefault="00421D22" w:rsidP="009B13F3">
      <w:pPr>
        <w:pStyle w:val="Heading5"/>
      </w:pPr>
      <w:r w:rsidRPr="00563AD3">
        <w:t xml:space="preserve">5.4.1.1.3 </w:t>
      </w:r>
      <w:r w:rsidR="002D5157" w:rsidRPr="00563AD3">
        <w:t xml:space="preserve">Motivation and enthusiasm for </w:t>
      </w:r>
      <w:r w:rsidR="00597D22" w:rsidRPr="00563AD3">
        <w:rPr>
          <w:lang w:eastAsia="en-US"/>
        </w:rPr>
        <w:t>DCM</w:t>
      </w:r>
      <w:r w:rsidR="00597D22" w:rsidRPr="00563AD3">
        <w:t>™</w:t>
      </w:r>
    </w:p>
    <w:p w14:paraId="670EE0CD" w14:textId="5C1571DC" w:rsidR="005B1C9E" w:rsidRPr="00563AD3" w:rsidRDefault="005B1C9E" w:rsidP="009B13F3">
      <w:pPr>
        <w:rPr>
          <w:u w:val="single"/>
        </w:rPr>
      </w:pPr>
      <w:r w:rsidRPr="00563AD3">
        <w:t xml:space="preserve">Motivation and enthusiasm was a key factor when implementing </w:t>
      </w:r>
      <w:r w:rsidR="00597D22" w:rsidRPr="00563AD3">
        <w:rPr>
          <w:lang w:eastAsia="en-US"/>
        </w:rPr>
        <w:t>DCM</w:t>
      </w:r>
      <w:r w:rsidR="00597D22" w:rsidRPr="00563AD3">
        <w:t>™</w:t>
      </w:r>
      <w:r w:rsidRPr="00563AD3">
        <w:t xml:space="preserve">. Expert mappers emphasised that when managers and staff teams were motivated to be involved in the </w:t>
      </w:r>
      <w:r w:rsidR="00597D22" w:rsidRPr="00563AD3">
        <w:rPr>
          <w:lang w:eastAsia="en-US"/>
        </w:rPr>
        <w:t>DCM</w:t>
      </w:r>
      <w:r w:rsidR="00597D22" w:rsidRPr="00563AD3">
        <w:t>™</w:t>
      </w:r>
      <w:r w:rsidRPr="00563AD3">
        <w:t xml:space="preserve"> process, mappers were more likely to implement </w:t>
      </w:r>
      <w:r w:rsidR="00597D22" w:rsidRPr="00563AD3">
        <w:rPr>
          <w:lang w:eastAsia="en-US"/>
        </w:rPr>
        <w:t>DCM</w:t>
      </w:r>
      <w:r w:rsidR="00597D22" w:rsidRPr="00563AD3">
        <w:t>™</w:t>
      </w:r>
      <w:r w:rsidRPr="00563AD3">
        <w:t xml:space="preserve"> within the home.</w:t>
      </w:r>
    </w:p>
    <w:p w14:paraId="40D2F66F" w14:textId="1A1DCA20" w:rsidR="005B1C9E" w:rsidRPr="00563AD3" w:rsidRDefault="005B1C9E" w:rsidP="009B13F3">
      <w:pPr>
        <w:ind w:left="720"/>
        <w:rPr>
          <w:i/>
        </w:rPr>
      </w:pPr>
      <w:r w:rsidRPr="00563AD3">
        <w:rPr>
          <w:i/>
        </w:rPr>
        <w:t xml:space="preserve">“The manager would come in and you know be really enthusiastic. They came to the briefing, everybody was at the briefing, the whole home, the manager of the home, do you know what I mean. The company really bought, really bought in to </w:t>
      </w:r>
      <w:r w:rsidR="00597D22" w:rsidRPr="00563AD3">
        <w:rPr>
          <w:rStyle w:val="QuoteChar1"/>
        </w:rPr>
        <w:t>DCM™</w:t>
      </w:r>
      <w:r w:rsidRPr="00563AD3">
        <w:rPr>
          <w:i/>
        </w:rPr>
        <w:t>. And the two girls, the two mappers were just really enthusiastic about it, … and really, really tried their hardest.” (DCM™ expert 70005)</w:t>
      </w:r>
    </w:p>
    <w:p w14:paraId="7844D19E" w14:textId="7D43FAFB" w:rsidR="005B1C9E" w:rsidRPr="00563AD3" w:rsidRDefault="005B1C9E" w:rsidP="009B13F3">
      <w:r w:rsidRPr="00563AD3">
        <w:t xml:space="preserve">Capitalising on this motivation and confidence by undertaking the first cycle of </w:t>
      </w:r>
      <w:r w:rsidR="00597D22" w:rsidRPr="00563AD3">
        <w:rPr>
          <w:lang w:eastAsia="en-US"/>
        </w:rPr>
        <w:t>DCM</w:t>
      </w:r>
      <w:r w:rsidR="00597D22" w:rsidRPr="00563AD3">
        <w:t>™</w:t>
      </w:r>
      <w:r w:rsidRPr="00563AD3">
        <w:t xml:space="preserve"> soon after the training appeared to have benefits, with greater difficulties experienced if mapping was undertaken or attempted a while after attendance at the training session.</w:t>
      </w:r>
    </w:p>
    <w:p w14:paraId="032A9DAD" w14:textId="77777777" w:rsidR="005B1C9E" w:rsidRPr="00563AD3" w:rsidRDefault="005B1C9E" w:rsidP="009B13F3">
      <w:pPr>
        <w:ind w:left="720"/>
        <w:rPr>
          <w:i/>
        </w:rPr>
      </w:pPr>
      <w:r w:rsidRPr="00563AD3">
        <w:rPr>
          <w:i/>
        </w:rPr>
        <w:t>“They went for that training down in London then there was a gap and I kind of think if they had just gone straight in and done the mapping, they might have done it. But I feel that when a few weeks passed, they were struggling to say how we do this… maybe they didn’t have the confidence, you know what, to roll it out.” (10666 Manager)</w:t>
      </w:r>
    </w:p>
    <w:p w14:paraId="14EFB251" w14:textId="77777777" w:rsidR="005B1C9E" w:rsidRPr="00563AD3" w:rsidRDefault="005B1C9E" w:rsidP="009B13F3">
      <w:r w:rsidRPr="00563AD3">
        <w:t>The motivations of mappers were sometimes overshadowed by the time constraints within care homes, meaning that the mappers were able to complete the mapping hours, but often struggled to find the time to sit and discuss what had been observed.</w:t>
      </w:r>
    </w:p>
    <w:p w14:paraId="4A98974F" w14:textId="77777777" w:rsidR="005B1C9E" w:rsidRPr="00563AD3" w:rsidRDefault="005B1C9E" w:rsidP="009B13F3">
      <w:pPr>
        <w:ind w:left="720"/>
        <w:rPr>
          <w:i/>
        </w:rPr>
      </w:pPr>
      <w:r w:rsidRPr="00563AD3">
        <w:rPr>
          <w:i/>
        </w:rPr>
        <w:t>“When I was actually there we had lots of you know creative really, very inspiring conversations about care practice. But it’s trying to nab them, it’s almost like it’s impossible to nab, sit the person down and really discuss what’s going on.” (DCM™ expert 70002)</w:t>
      </w:r>
    </w:p>
    <w:p w14:paraId="5AF17FEC" w14:textId="4E593D2D" w:rsidR="005B1C9E" w:rsidRPr="00563AD3" w:rsidRDefault="005B1C9E" w:rsidP="009B13F3">
      <w:r w:rsidRPr="00563AD3">
        <w:t xml:space="preserve">In summary, having motivation and enthusiasm for making changes to practice was key in the success of </w:t>
      </w:r>
      <w:r w:rsidR="00597D22" w:rsidRPr="00563AD3">
        <w:rPr>
          <w:lang w:eastAsia="en-US"/>
        </w:rPr>
        <w:t>DCM</w:t>
      </w:r>
      <w:r w:rsidR="00597D22" w:rsidRPr="00563AD3">
        <w:t>™</w:t>
      </w:r>
      <w:r w:rsidRPr="00563AD3">
        <w:t>. However, the challenges faced, such as time constraints, sometimes overshadowed the motivation of individuals.</w:t>
      </w:r>
    </w:p>
    <w:p w14:paraId="31A40A6F" w14:textId="77777777" w:rsidR="00103C7C" w:rsidRPr="00563AD3" w:rsidRDefault="00103C7C" w:rsidP="009B13F3"/>
    <w:p w14:paraId="42D53170" w14:textId="492E96F3" w:rsidR="002D5157" w:rsidRPr="00563AD3" w:rsidRDefault="00421D22" w:rsidP="009B13F3">
      <w:pPr>
        <w:pStyle w:val="Heading5"/>
      </w:pPr>
      <w:r w:rsidRPr="00563AD3">
        <w:t xml:space="preserve">5.4.1.1.4 </w:t>
      </w:r>
      <w:r w:rsidR="002D5157" w:rsidRPr="00563AD3">
        <w:t>Staff engagement</w:t>
      </w:r>
    </w:p>
    <w:p w14:paraId="66372D8A" w14:textId="2A6431CE" w:rsidR="005B1C9E" w:rsidRPr="00563AD3" w:rsidRDefault="005B1C9E" w:rsidP="009B13F3">
      <w:pPr>
        <w:rPr>
          <w:u w:val="single"/>
        </w:rPr>
      </w:pPr>
      <w:r w:rsidRPr="00563AD3">
        <w:t xml:space="preserve">As </w:t>
      </w:r>
      <w:r w:rsidR="00597D22" w:rsidRPr="00563AD3">
        <w:rPr>
          <w:lang w:eastAsia="en-US"/>
        </w:rPr>
        <w:t>DCM</w:t>
      </w:r>
      <w:r w:rsidR="00597D22" w:rsidRPr="00563AD3">
        <w:t>™</w:t>
      </w:r>
      <w:r w:rsidRPr="00563AD3">
        <w:t xml:space="preserve"> is a home level intervention, effective engagement with care home staff influenced the extent to which </w:t>
      </w:r>
      <w:r w:rsidR="00597D22" w:rsidRPr="00563AD3">
        <w:rPr>
          <w:lang w:eastAsia="en-US"/>
        </w:rPr>
        <w:t>DCM</w:t>
      </w:r>
      <w:r w:rsidR="00597D22" w:rsidRPr="00563AD3">
        <w:t>™</w:t>
      </w:r>
      <w:r w:rsidRPr="00563AD3">
        <w:t xml:space="preserve"> was implemented. Particularly important was having staff who were open to feedback based on the observations, and willing to contribute towards formulating action plans. In some care homes, the mappers were able to engage a large proportion of staff in feedback sessions, which was seen as a positive by the DCM™ experts. Mappers who were in more senior roles may have found it easier to encourage staff to attend feedback sessions, due to their status within the home.</w:t>
      </w:r>
    </w:p>
    <w:p w14:paraId="6DDAE949" w14:textId="77777777" w:rsidR="005B1C9E" w:rsidRPr="00563AD3" w:rsidRDefault="005B1C9E" w:rsidP="009B13F3">
      <w:pPr>
        <w:ind w:left="720"/>
        <w:rPr>
          <w:rFonts w:eastAsia="Times New Roman"/>
          <w:i/>
        </w:rPr>
      </w:pPr>
      <w:r w:rsidRPr="00563AD3">
        <w:rPr>
          <w:rFonts w:eastAsia="Times New Roman"/>
          <w:i/>
        </w:rPr>
        <w:t>“I was so impressed how they just gathered people up, at busy times as well. And they really saw the worth of that, and great discussion. I was, and that was the first home, so I thought wow this really works.” (</w:t>
      </w:r>
      <w:r w:rsidRPr="00563AD3">
        <w:rPr>
          <w:i/>
        </w:rPr>
        <w:t xml:space="preserve">DCM™ expert </w:t>
      </w:r>
      <w:r w:rsidRPr="00563AD3">
        <w:rPr>
          <w:rFonts w:eastAsia="Times New Roman"/>
          <w:i/>
        </w:rPr>
        <w:t>70002)</w:t>
      </w:r>
    </w:p>
    <w:p w14:paraId="023493C7" w14:textId="77777777" w:rsidR="005B1C9E" w:rsidRPr="00563AD3" w:rsidRDefault="005B1C9E" w:rsidP="009B13F3">
      <w:r w:rsidRPr="00563AD3">
        <w:t xml:space="preserve">In order to implement a care home level intervention, the involvement of all staff roles was crucial. The importance of staff members in a range of roles attending feedback sessions was highlighted. </w:t>
      </w:r>
    </w:p>
    <w:p w14:paraId="3615EF51" w14:textId="77777777" w:rsidR="005B1C9E" w:rsidRPr="00563AD3" w:rsidRDefault="005B1C9E" w:rsidP="009B13F3">
      <w:pPr>
        <w:ind w:left="720"/>
        <w:rPr>
          <w:i/>
        </w:rPr>
      </w:pPr>
      <w:r w:rsidRPr="00563AD3">
        <w:rPr>
          <w:i/>
        </w:rPr>
        <w:t>“There was a really big crowd actually, and it did include lots of different disciplines of staff, including the painter and decorator and maintenance man, which was great.” (DCM™ expert 70002)</w:t>
      </w:r>
    </w:p>
    <w:p w14:paraId="028ACED9" w14:textId="5A639CE9" w:rsidR="005B1C9E" w:rsidRPr="00563AD3" w:rsidRDefault="005B1C9E" w:rsidP="009B13F3">
      <w:r w:rsidRPr="00563AD3">
        <w:t xml:space="preserve">The degree of engagement of the wider care home staff with </w:t>
      </w:r>
      <w:r w:rsidR="00597D22" w:rsidRPr="00563AD3">
        <w:rPr>
          <w:lang w:eastAsia="en-US"/>
        </w:rPr>
        <w:t>DCM</w:t>
      </w:r>
      <w:r w:rsidR="00597D22" w:rsidRPr="00563AD3">
        <w:t>™</w:t>
      </w:r>
      <w:r w:rsidRPr="00563AD3">
        <w:t xml:space="preserve"> influenced the implementation of </w:t>
      </w:r>
      <w:r w:rsidR="00597D22" w:rsidRPr="00563AD3">
        <w:rPr>
          <w:lang w:eastAsia="en-US"/>
        </w:rPr>
        <w:t>DCM</w:t>
      </w:r>
      <w:r w:rsidR="00597D22" w:rsidRPr="00563AD3">
        <w:t>™</w:t>
      </w:r>
      <w:r w:rsidRPr="00563AD3">
        <w:t xml:space="preserve">. High levels of engagement with staff led to more of a ‘whole home’ approach to considering </w:t>
      </w:r>
      <w:r w:rsidR="00597D22" w:rsidRPr="00563AD3">
        <w:rPr>
          <w:lang w:eastAsia="en-US"/>
        </w:rPr>
        <w:t>DCM</w:t>
      </w:r>
      <w:r w:rsidR="00597D22" w:rsidRPr="00563AD3">
        <w:t>™</w:t>
      </w:r>
      <w:r w:rsidRPr="00563AD3">
        <w:t xml:space="preserve"> feedback and agreeing action plans.</w:t>
      </w:r>
    </w:p>
    <w:p w14:paraId="222E0BD6" w14:textId="77777777" w:rsidR="005B1C9E" w:rsidRPr="00563AD3" w:rsidRDefault="005B1C9E" w:rsidP="009B13F3">
      <w:pPr>
        <w:ind w:left="720"/>
        <w:rPr>
          <w:i/>
        </w:rPr>
      </w:pPr>
      <w:r w:rsidRPr="00563AD3">
        <w:rPr>
          <w:i/>
        </w:rPr>
        <w:t>“You really have to get quite a few people across the organisation thinking in the same way to sort of drive that change.” (50018 Manager)</w:t>
      </w:r>
    </w:p>
    <w:p w14:paraId="5B88E2A4" w14:textId="4D5700BB" w:rsidR="005B1C9E" w:rsidRPr="00563AD3" w:rsidRDefault="005B1C9E" w:rsidP="009B13F3">
      <w:r w:rsidRPr="00563AD3">
        <w:t xml:space="preserve">Staff engagement was achieved through multiple strategies. These included providing feedback in staff meetings to ensure good coverage, a focus on ensuring staff understood </w:t>
      </w:r>
      <w:r w:rsidR="00597D22" w:rsidRPr="00563AD3">
        <w:rPr>
          <w:lang w:eastAsia="en-US"/>
        </w:rPr>
        <w:t>DCM</w:t>
      </w:r>
      <w:r w:rsidR="00597D22" w:rsidRPr="00563AD3">
        <w:t>™</w:t>
      </w:r>
      <w:r w:rsidRPr="00563AD3">
        <w:t xml:space="preserve">, its purpose and the outputs of the mapping, a focus on providing positive as well as negative feedback helped to ensure staff were engaged with, and demonstration of the benefits of </w:t>
      </w:r>
      <w:r w:rsidR="00597D22" w:rsidRPr="00563AD3">
        <w:rPr>
          <w:lang w:eastAsia="en-US"/>
        </w:rPr>
        <w:t>DCM</w:t>
      </w:r>
      <w:r w:rsidR="00597D22" w:rsidRPr="00563AD3">
        <w:t>™</w:t>
      </w:r>
      <w:r w:rsidRPr="00563AD3">
        <w:t>.</w:t>
      </w:r>
    </w:p>
    <w:p w14:paraId="2D6B8C84" w14:textId="77777777" w:rsidR="005B1C9E" w:rsidRPr="00563AD3" w:rsidRDefault="005B1C9E" w:rsidP="009B13F3">
      <w:pPr>
        <w:ind w:left="720"/>
        <w:rPr>
          <w:i/>
        </w:rPr>
      </w:pPr>
      <w:r w:rsidRPr="00563AD3">
        <w:rPr>
          <w:i/>
        </w:rPr>
        <w:t>“We sort of ended up picking two or three very small examples of people who were very happy or very sad and just focusing on those, describing in laymen’s terms... They did take it in a positive way because they’d been, initially we said it’s for all our residents’ well-being.” (50018 Mapper)</w:t>
      </w:r>
    </w:p>
    <w:p w14:paraId="11FA5CC0" w14:textId="77777777" w:rsidR="005B1C9E" w:rsidRPr="00563AD3" w:rsidRDefault="005B1C9E" w:rsidP="009B13F3">
      <w:r w:rsidRPr="00563AD3">
        <w:t xml:space="preserve">The selection of mappers influenced how engaged the staff team were. Where mappers were not seen to be popular staff members or people to be respected, it was difficult for them to engage with the staff team to implement change. </w:t>
      </w:r>
    </w:p>
    <w:p w14:paraId="4CC4FF73" w14:textId="77777777" w:rsidR="005B1C9E" w:rsidRPr="00563AD3" w:rsidRDefault="005B1C9E" w:rsidP="009B13F3">
      <w:pPr>
        <w:ind w:left="720"/>
        <w:rPr>
          <w:i/>
        </w:rPr>
      </w:pPr>
      <w:r w:rsidRPr="00563AD3">
        <w:rPr>
          <w:i/>
        </w:rPr>
        <w:t>“The second time around we held a meeting and nobody came … We did try like you know individual, a few minutes at a time, but I don’t think they took it seriously enough, do you know what I mean?” (50010 Mapper)</w:t>
      </w:r>
    </w:p>
    <w:p w14:paraId="3C88C67B" w14:textId="77777777" w:rsidR="005B1C9E" w:rsidRPr="00563AD3" w:rsidRDefault="005B1C9E" w:rsidP="009B13F3">
      <w:r w:rsidRPr="00563AD3">
        <w:t>However, where mappers were respected, engagement was facilitated by implementation and feedback being peer led as opposed to being conducted by an external person.</w:t>
      </w:r>
    </w:p>
    <w:p w14:paraId="66331F25" w14:textId="77777777" w:rsidR="005B1C9E" w:rsidRPr="00563AD3" w:rsidRDefault="005B1C9E" w:rsidP="009B13F3">
      <w:pPr>
        <w:ind w:left="720"/>
        <w:rPr>
          <w:i/>
        </w:rPr>
      </w:pPr>
      <w:r w:rsidRPr="00563AD3">
        <w:rPr>
          <w:i/>
        </w:rPr>
        <w:t>“It’s people that you know and peer-led, it’s, you know, it’s not like somebody from outside coming and talking with them, it engages the staff.” (58930 Manager)</w:t>
      </w:r>
    </w:p>
    <w:p w14:paraId="523EACB3" w14:textId="77777777" w:rsidR="005B1C9E" w:rsidRPr="00563AD3" w:rsidRDefault="005B1C9E" w:rsidP="009B13F3">
      <w:pPr>
        <w:autoSpaceDE/>
        <w:autoSpaceDN/>
        <w:adjustRightInd/>
        <w:spacing w:after="0"/>
        <w:ind w:left="720"/>
        <w:rPr>
          <w:rFonts w:eastAsiaTheme="minorHAnsi"/>
          <w:i/>
          <w:sz w:val="24"/>
          <w:szCs w:val="24"/>
          <w:lang w:eastAsia="en-US"/>
        </w:rPr>
      </w:pPr>
    </w:p>
    <w:p w14:paraId="49743C33" w14:textId="1D08546F" w:rsidR="005B1C9E" w:rsidRPr="00563AD3" w:rsidRDefault="005B1C9E" w:rsidP="009B13F3">
      <w:r w:rsidRPr="00563AD3">
        <w:t xml:space="preserve">In one home, there was a division in the work environment between staff who did and did not support the mapper, which made feedback sessions particularly difficult. This led to further difficulties in implementing </w:t>
      </w:r>
      <w:r w:rsidR="00597D22" w:rsidRPr="00563AD3">
        <w:rPr>
          <w:lang w:eastAsia="en-US"/>
        </w:rPr>
        <w:t>DCM</w:t>
      </w:r>
      <w:r w:rsidR="00597D22" w:rsidRPr="00563AD3">
        <w:t>™</w:t>
      </w:r>
      <w:r w:rsidRPr="00563AD3">
        <w:t>, as staff were not willing to make changes to practice. This may have been reflective of the culture in the care home, highlighting underlying issues that existed prior to involvement in the trial.</w:t>
      </w:r>
    </w:p>
    <w:p w14:paraId="0B363CF5" w14:textId="77777777" w:rsidR="005B1C9E" w:rsidRPr="00563AD3" w:rsidRDefault="005B1C9E" w:rsidP="009B13F3">
      <w:pPr>
        <w:ind w:left="720"/>
        <w:rPr>
          <w:i/>
        </w:rPr>
      </w:pPr>
      <w:r w:rsidRPr="00563AD3">
        <w:rPr>
          <w:i/>
        </w:rPr>
        <w:t>“I would say in that home there’s two very definite groups of staff, the ones who want to see progress, who would support the mapper, who would want to encourage her and make it work, and there was also a very strong group of people who say you know ‘what she thinks she’s telling us’.” (DCM™ expert 70001)</w:t>
      </w:r>
    </w:p>
    <w:p w14:paraId="3ACD40F8" w14:textId="7CCED805" w:rsidR="005B1C9E" w:rsidRPr="00563AD3" w:rsidRDefault="005B1C9E" w:rsidP="009B13F3">
      <w:pPr>
        <w:rPr>
          <w:u w:val="single"/>
        </w:rPr>
      </w:pPr>
      <w:r w:rsidRPr="00563AD3">
        <w:t xml:space="preserve">Negative attitudes towards </w:t>
      </w:r>
      <w:r w:rsidR="00597D22" w:rsidRPr="00563AD3">
        <w:rPr>
          <w:lang w:eastAsia="en-US"/>
        </w:rPr>
        <w:t>DCM</w:t>
      </w:r>
      <w:r w:rsidR="00597D22" w:rsidRPr="00563AD3">
        <w:t>™</w:t>
      </w:r>
      <w:r w:rsidRPr="00563AD3">
        <w:t xml:space="preserve"> from both staff and managers also acted a barrier in the engagement with </w:t>
      </w:r>
      <w:r w:rsidR="00597D22" w:rsidRPr="00563AD3">
        <w:rPr>
          <w:lang w:eastAsia="en-US"/>
        </w:rPr>
        <w:t>DCM</w:t>
      </w:r>
      <w:r w:rsidR="00597D22" w:rsidRPr="00563AD3">
        <w:t>™</w:t>
      </w:r>
      <w:r w:rsidRPr="00563AD3">
        <w:t xml:space="preserve">. If </w:t>
      </w:r>
      <w:r w:rsidR="00597D22" w:rsidRPr="00563AD3">
        <w:rPr>
          <w:lang w:eastAsia="en-US"/>
        </w:rPr>
        <w:t>DCM</w:t>
      </w:r>
      <w:r w:rsidR="00597D22" w:rsidRPr="00563AD3">
        <w:t>™</w:t>
      </w:r>
      <w:r w:rsidRPr="00563AD3">
        <w:t xml:space="preserve"> was not perceived to be a priority, staff often did not take time to learn about and understand the process. </w:t>
      </w:r>
    </w:p>
    <w:p w14:paraId="6F424C3F" w14:textId="77777777" w:rsidR="005B1C9E" w:rsidRPr="00563AD3" w:rsidRDefault="005B1C9E" w:rsidP="009B13F3">
      <w:pPr>
        <w:ind w:left="720"/>
        <w:rPr>
          <w:i/>
        </w:rPr>
      </w:pPr>
      <w:r w:rsidRPr="00563AD3">
        <w:rPr>
          <w:i/>
        </w:rPr>
        <w:t>“I felt that the ways that people had been working prior to that, the culture of the place, whilst there was a lot about it which I would really commend it for, there were definitely some things that needed to be looked at. And I felt that there was a reluctance to look at that. And there was quite a lot of defensive response.” (DCM™ expert 70001)</w:t>
      </w:r>
    </w:p>
    <w:p w14:paraId="5D740B24" w14:textId="582550A7" w:rsidR="005B1C9E" w:rsidRPr="00563AD3" w:rsidRDefault="005B1C9E" w:rsidP="009B13F3">
      <w:r w:rsidRPr="00563AD3">
        <w:t xml:space="preserve">Some staff questioned the validity of </w:t>
      </w:r>
      <w:r w:rsidR="00597D22" w:rsidRPr="00563AD3">
        <w:t>DCM™</w:t>
      </w:r>
      <w:r w:rsidRPr="00563AD3">
        <w:t xml:space="preserve"> when the presentation of residents was changeable or they considered that </w:t>
      </w:r>
      <w:r w:rsidR="00597D22" w:rsidRPr="00563AD3">
        <w:t>DCM™</w:t>
      </w:r>
      <w:r w:rsidRPr="00563AD3">
        <w:t xml:space="preserve"> did not suit the residents they provided care for.</w:t>
      </w:r>
    </w:p>
    <w:p w14:paraId="47DC4077" w14:textId="77777777" w:rsidR="005B1C9E" w:rsidRPr="00563AD3" w:rsidRDefault="005B1C9E" w:rsidP="009B13F3">
      <w:pPr>
        <w:spacing w:after="0"/>
        <w:ind w:firstLine="709"/>
        <w:rPr>
          <w:i/>
        </w:rPr>
      </w:pPr>
      <w:r w:rsidRPr="00563AD3">
        <w:rPr>
          <w:i/>
        </w:rPr>
        <w:t xml:space="preserve">“…some of our residents are quite, quite poorly so it doesn’t work for them, it just    </w:t>
      </w:r>
    </w:p>
    <w:p w14:paraId="67A1EDA5" w14:textId="42F4F946" w:rsidR="005B1C9E" w:rsidRPr="00563AD3" w:rsidRDefault="005B1C9E" w:rsidP="009B13F3">
      <w:pPr>
        <w:spacing w:after="0"/>
        <w:ind w:firstLine="709"/>
        <w:rPr>
          <w:i/>
        </w:rPr>
      </w:pPr>
      <w:r w:rsidRPr="00563AD3">
        <w:rPr>
          <w:i/>
        </w:rPr>
        <w:t>depends how well they are.” (58747 Staff)</w:t>
      </w:r>
      <w:r w:rsidRPr="00563AD3">
        <w:rPr>
          <w:i/>
        </w:rPr>
        <w:br/>
      </w:r>
      <w:r w:rsidRPr="00563AD3">
        <w:br/>
        <w:t xml:space="preserve">However, gathering together to collectively reflect on </w:t>
      </w:r>
      <w:r w:rsidR="00597D22" w:rsidRPr="00563AD3">
        <w:t>DCM™</w:t>
      </w:r>
      <w:r w:rsidRPr="00563AD3">
        <w:t xml:space="preserve"> feedback sometimes made staff feel a part of the process and helped to break down potential barriers and mistrust, for example in relation to being observed and receiving feedback, which staff could have past negative experiences of.</w:t>
      </w:r>
      <w:r w:rsidRPr="00563AD3">
        <w:br/>
      </w:r>
    </w:p>
    <w:p w14:paraId="4A26B9AB" w14:textId="77777777" w:rsidR="005B1C9E" w:rsidRPr="00563AD3" w:rsidRDefault="005B1C9E" w:rsidP="009B13F3">
      <w:pPr>
        <w:ind w:left="720"/>
        <w:rPr>
          <w:i/>
        </w:rPr>
      </w:pPr>
      <w:r w:rsidRPr="00563AD3">
        <w:rPr>
          <w:i/>
        </w:rPr>
        <w:t>“In most cases when it happens, it’s a negative experience because there’s inspectors from various organisations, so I think it wasn’t until we started giving feedback and there was quite a bit of positives in there that the staff really got engaged with the process.” (50018 Manager)</w:t>
      </w:r>
    </w:p>
    <w:p w14:paraId="4AADB015" w14:textId="67C1F26E" w:rsidR="005B1C9E" w:rsidRPr="00563AD3" w:rsidRDefault="005B1C9E" w:rsidP="009B13F3">
      <w:r w:rsidRPr="00563AD3">
        <w:t xml:space="preserve">In summary, staff engagement was crucial to the implementation of </w:t>
      </w:r>
      <w:r w:rsidR="00597D22" w:rsidRPr="00563AD3">
        <w:t>DCM™</w:t>
      </w:r>
      <w:r w:rsidRPr="00563AD3">
        <w:t xml:space="preserve">. Without the support of the staff team, mappers struggled to make practice changes. The mappers needed to be respected by the staff team for </w:t>
      </w:r>
      <w:r w:rsidR="00597D22" w:rsidRPr="00563AD3">
        <w:t>DCM™</w:t>
      </w:r>
      <w:r w:rsidRPr="00563AD3">
        <w:t xml:space="preserve"> to have any influence in the care home. The importance of receiving feedback from peers rather than external individuals was highlighted. </w:t>
      </w:r>
    </w:p>
    <w:p w14:paraId="17948705" w14:textId="77777777" w:rsidR="0009360E" w:rsidRPr="00563AD3" w:rsidRDefault="0009360E" w:rsidP="009B13F3"/>
    <w:p w14:paraId="4424419B" w14:textId="768C1140" w:rsidR="007A15E3" w:rsidRPr="00563AD3" w:rsidRDefault="00421D22" w:rsidP="009B13F3">
      <w:pPr>
        <w:pStyle w:val="Heading5"/>
      </w:pPr>
      <w:r w:rsidRPr="00563AD3">
        <w:t xml:space="preserve">5.4.1.1.5 </w:t>
      </w:r>
      <w:r w:rsidR="007A15E3" w:rsidRPr="00563AD3">
        <w:t>Mapper qualities</w:t>
      </w:r>
    </w:p>
    <w:p w14:paraId="13E879A9" w14:textId="64646A4D" w:rsidR="005B1C9E" w:rsidRPr="00563AD3" w:rsidRDefault="005B1C9E" w:rsidP="009B13F3">
      <w:r w:rsidRPr="00563AD3">
        <w:t xml:space="preserve">Choice of mappers, including whether they had required qualities, were a key indicator of implementation success. The qualities valued in mappers, that were considered by Managers to facilitate </w:t>
      </w:r>
      <w:r w:rsidR="00597D22" w:rsidRPr="00563AD3">
        <w:t>DCM™</w:t>
      </w:r>
      <w:r w:rsidRPr="00563AD3">
        <w:t xml:space="preserve"> implementation, included confidence to undertake the mapping and feedback sessions, leadership skills to motivate and influence action planning in the home, pragmatism, dedication, an interest and enthusiasm for </w:t>
      </w:r>
      <w:r w:rsidR="00597D22" w:rsidRPr="00563AD3">
        <w:t>DCM™</w:t>
      </w:r>
      <w:r w:rsidRPr="00563AD3">
        <w:t xml:space="preserve"> and for improving the care of people with dementia, and a keenness to learn. Managers were asked to select mappers and those recruited were based on the skills required to become a mapper, but also the staff members that were available to choose from in each home, who were deemed likely to remain working at the home for the duration of the trial.</w:t>
      </w:r>
    </w:p>
    <w:p w14:paraId="58900C47" w14:textId="77777777" w:rsidR="005B1C9E" w:rsidRPr="00563AD3" w:rsidRDefault="005B1C9E" w:rsidP="009B13F3">
      <w:pPr>
        <w:ind w:left="720"/>
        <w:rPr>
          <w:i/>
        </w:rPr>
      </w:pPr>
      <w:r w:rsidRPr="00563AD3">
        <w:rPr>
          <w:i/>
        </w:rPr>
        <w:t>“Two team leaders stuck out a being really passionate about people living with dementia.” (50019 Manager)</w:t>
      </w:r>
    </w:p>
    <w:p w14:paraId="2933EF5D" w14:textId="43A69842" w:rsidR="005B1C9E" w:rsidRPr="00563AD3" w:rsidRDefault="005B1C9E" w:rsidP="009B13F3">
      <w:r w:rsidRPr="00563AD3">
        <w:t xml:space="preserve">Attending the training and implementing </w:t>
      </w:r>
      <w:r w:rsidR="00597D22" w:rsidRPr="00563AD3">
        <w:t>DCM™</w:t>
      </w:r>
      <w:r w:rsidRPr="00563AD3">
        <w:t xml:space="preserve"> improved the confidence of some mappers. </w:t>
      </w:r>
    </w:p>
    <w:p w14:paraId="48728805" w14:textId="77777777" w:rsidR="005B1C9E" w:rsidRPr="00563AD3" w:rsidRDefault="005B1C9E" w:rsidP="009B13F3">
      <w:pPr>
        <w:ind w:left="720"/>
        <w:rPr>
          <w:i/>
        </w:rPr>
      </w:pPr>
      <w:r w:rsidRPr="00563AD3">
        <w:rPr>
          <w:i/>
        </w:rPr>
        <w:t>“I never thought I’d be able to do it, but when we got back here, and after the training we actually put it into practice ... It all made sense.” (50031 Mapper)</w:t>
      </w:r>
    </w:p>
    <w:p w14:paraId="6CD8FB5C" w14:textId="6FAA9345" w:rsidR="005B1C9E" w:rsidRPr="00563AD3" w:rsidRDefault="005B1C9E" w:rsidP="009B13F3">
      <w:r w:rsidRPr="00563AD3">
        <w:t xml:space="preserve">Mappers having motivation to improve the quality of care for people with dementia helped facilitate the implementation of </w:t>
      </w:r>
      <w:r w:rsidR="00597D22" w:rsidRPr="00563AD3">
        <w:t>DCM™</w:t>
      </w:r>
      <w:r w:rsidRPr="00563AD3">
        <w:t xml:space="preserve">. However, for one mapper, the challenges of implementing </w:t>
      </w:r>
      <w:r w:rsidR="00597D22" w:rsidRPr="00563AD3">
        <w:t>DCM™</w:t>
      </w:r>
      <w:r w:rsidRPr="00563AD3">
        <w:t xml:space="preserve"> overruled her motivation and she became disengaged with process.</w:t>
      </w:r>
    </w:p>
    <w:p w14:paraId="5B2FE691" w14:textId="77777777" w:rsidR="005B1C9E" w:rsidRPr="00563AD3" w:rsidRDefault="005B1C9E" w:rsidP="009B13F3">
      <w:pPr>
        <w:ind w:left="720"/>
        <w:rPr>
          <w:i/>
        </w:rPr>
      </w:pPr>
      <w:r w:rsidRPr="00563AD3">
        <w:rPr>
          <w:i/>
        </w:rPr>
        <w:t>“I think it impacted on how they felt about it. It became a chore and one lady I can think of in particular was very excited and motivated about it, and became less so because of the challenges. And that’s really sad to see. Someone who had that real passion to just go “do you know it’s just too hard and”, and, but initially is like “I’m happy to come in on my day off because I think it’s marvellous”, but when you’re not then getting that support it you know wears you out really. Wears you down.” (DCM™ expert 70003)</w:t>
      </w:r>
    </w:p>
    <w:p w14:paraId="57AD231D" w14:textId="10514BA2" w:rsidR="005B1C9E" w:rsidRPr="00563AD3" w:rsidRDefault="005B1C9E" w:rsidP="009B13F3">
      <w:r w:rsidRPr="00563AD3">
        <w:t xml:space="preserve">Certain skills and abilities were also perceived to be central to enabling mappers to undertake the various processes involved in implementing </w:t>
      </w:r>
      <w:r w:rsidR="00597D22" w:rsidRPr="00563AD3">
        <w:t>DCM™</w:t>
      </w:r>
      <w:r w:rsidRPr="00563AD3">
        <w:t xml:space="preserve">. These skills and abilities included computer literacy, writing high quality reports, fluency in English, and sufficient academic ability to undertake the more complex components. Conversely, mappers who did not possess some of the aforementioned qualities or skills, despite the trial processes used to identify and recruit mappers with the required skills, could struggle to implement </w:t>
      </w:r>
      <w:r w:rsidR="00597D22" w:rsidRPr="00563AD3">
        <w:t>DCM™</w:t>
      </w:r>
      <w:r w:rsidRPr="00563AD3">
        <w:t xml:space="preserve">. In particular, the lack of IT skills, confidence and insufficient fluency in English were cited as barriers to </w:t>
      </w:r>
      <w:r w:rsidR="00597D22" w:rsidRPr="00563AD3">
        <w:t>DCM™</w:t>
      </w:r>
      <w:r w:rsidRPr="00563AD3">
        <w:t xml:space="preserve"> implementation.</w:t>
      </w:r>
    </w:p>
    <w:p w14:paraId="2828F298" w14:textId="77777777" w:rsidR="005B1C9E" w:rsidRPr="00563AD3" w:rsidRDefault="005B1C9E" w:rsidP="009B13F3">
      <w:pPr>
        <w:ind w:left="720"/>
        <w:rPr>
          <w:i/>
        </w:rPr>
      </w:pPr>
      <w:r w:rsidRPr="00563AD3">
        <w:rPr>
          <w:i/>
        </w:rPr>
        <w:t>“For me it was quite difficult because English is not my native language.” (58930 Mapper)</w:t>
      </w:r>
    </w:p>
    <w:p w14:paraId="45EF69A4" w14:textId="4521662C" w:rsidR="005B1C9E" w:rsidRPr="00563AD3" w:rsidRDefault="005B1C9E" w:rsidP="009B13F3">
      <w:pPr>
        <w:rPr>
          <w:u w:val="single"/>
        </w:rPr>
      </w:pPr>
      <w:r w:rsidRPr="00563AD3">
        <w:t xml:space="preserve">The utility of mappers in senior roles was perceived to have positive and negative impacts on </w:t>
      </w:r>
      <w:r w:rsidR="00597D22" w:rsidRPr="00563AD3">
        <w:t>DCM™</w:t>
      </w:r>
      <w:r w:rsidRPr="00563AD3">
        <w:t xml:space="preserve"> implementation. Whilst senior staff could possess academic, writing and leadership skills which facilitated </w:t>
      </w:r>
      <w:r w:rsidR="00597D22" w:rsidRPr="00563AD3">
        <w:t>DCM™</w:t>
      </w:r>
      <w:r w:rsidRPr="00563AD3">
        <w:t xml:space="preserve"> implementation, it was more difficult to free up staff in these roles to undertake mapping and they could be subject to multiple competing demands on their time which challenged their ability to implement </w:t>
      </w:r>
      <w:r w:rsidR="00597D22" w:rsidRPr="00563AD3">
        <w:t>DCM™</w:t>
      </w:r>
      <w:r w:rsidRPr="00563AD3">
        <w:t>.</w:t>
      </w:r>
    </w:p>
    <w:p w14:paraId="0CB489CE" w14:textId="77777777" w:rsidR="005B1C9E" w:rsidRPr="00563AD3" w:rsidRDefault="005B1C9E" w:rsidP="009B13F3">
      <w:pPr>
        <w:ind w:left="720"/>
        <w:rPr>
          <w:i/>
        </w:rPr>
      </w:pPr>
      <w:r w:rsidRPr="00563AD3">
        <w:rPr>
          <w:i/>
        </w:rPr>
        <w:t>“[I chose] two quite strong team leaders that I knew would be able to get staff on their side and would be able to manage the feedback, because they can be quite difficult sometimes.” (50019-Manager)</w:t>
      </w:r>
    </w:p>
    <w:p w14:paraId="0517536B" w14:textId="77777777" w:rsidR="005B1C9E" w:rsidRPr="00563AD3" w:rsidRDefault="005B1C9E" w:rsidP="009B13F3">
      <w:pPr>
        <w:ind w:left="720"/>
        <w:rPr>
          <w:i/>
        </w:rPr>
      </w:pPr>
      <w:r w:rsidRPr="00563AD3">
        <w:rPr>
          <w:i/>
        </w:rPr>
        <w:t>“I was disappointed that my staff couldn’t continue with the mapping, but I think I made the error in the staff I chose… their level of responsibility in the home was too high, so it didn’t enable them to have enough time.” (50167-Manager)</w:t>
      </w:r>
    </w:p>
    <w:p w14:paraId="6AE7F075" w14:textId="757F3282" w:rsidR="005B1C9E" w:rsidRPr="00563AD3" w:rsidRDefault="005B1C9E" w:rsidP="009B13F3">
      <w:r w:rsidRPr="00563AD3">
        <w:t xml:space="preserve">Whilst the above qualities and skills were identified as important, in reality it could be difficult for Managers to identify staff members who possessed many or all of the skills required to implement </w:t>
      </w:r>
      <w:r w:rsidR="00597D22" w:rsidRPr="00563AD3">
        <w:t>DCM™</w:t>
      </w:r>
      <w:r w:rsidRPr="00563AD3">
        <w:t xml:space="preserve"> in a care home context.</w:t>
      </w:r>
    </w:p>
    <w:p w14:paraId="5F00A85F" w14:textId="77777777" w:rsidR="005B1C9E" w:rsidRPr="00563AD3" w:rsidRDefault="005B1C9E" w:rsidP="009B13F3">
      <w:pPr>
        <w:ind w:left="720"/>
        <w:rPr>
          <w:i/>
        </w:rPr>
      </w:pPr>
      <w:r w:rsidRPr="00563AD3">
        <w:rPr>
          <w:i/>
        </w:rPr>
        <w:t>“If I look at the whole team there are few other people who would have been possible, academically capable of completing that project. And that’s a difficulty.” (50167-Manager)</w:t>
      </w:r>
    </w:p>
    <w:p w14:paraId="374825B2" w14:textId="07D9B194" w:rsidR="005B1C9E" w:rsidRPr="00563AD3" w:rsidRDefault="005B1C9E" w:rsidP="009B13F3">
      <w:r w:rsidRPr="00563AD3">
        <w:t xml:space="preserve">An important component of mapper choice was commitment from the potential mapper. Agreement was not, however, always forthcoming given the length of the </w:t>
      </w:r>
      <w:r w:rsidR="00597D22" w:rsidRPr="00563AD3">
        <w:t>DCM™</w:t>
      </w:r>
      <w:r w:rsidRPr="00563AD3">
        <w:t xml:space="preserve"> course and the often distant geographical locations in which the courses were held. These were logistical issues which were especially problematic for staff with caring or other commitments.</w:t>
      </w:r>
    </w:p>
    <w:p w14:paraId="65DAE7B1" w14:textId="77777777" w:rsidR="005B1C9E" w:rsidRPr="00563AD3" w:rsidRDefault="005B1C9E" w:rsidP="009B13F3">
      <w:pPr>
        <w:ind w:left="720"/>
        <w:rPr>
          <w:i/>
        </w:rPr>
      </w:pPr>
      <w:r w:rsidRPr="00563AD3">
        <w:rPr>
          <w:i/>
        </w:rPr>
        <w:t>“We need someone who would agree to do it, and promise that when they come back they’re going to get the job done.” (50021-11082-Manager)</w:t>
      </w:r>
    </w:p>
    <w:p w14:paraId="19F75CD3" w14:textId="77777777" w:rsidR="005B1C9E" w:rsidRPr="00563AD3" w:rsidRDefault="005B1C9E" w:rsidP="009B13F3">
      <w:r w:rsidRPr="00563AD3">
        <w:t>Furthermore, whilst managers recognised the qualities that were important for mappers to possess, in reality the choice of mapper often came down to who was willing and available to undertake the four-day course, particularly if this would involve staying in another area.</w:t>
      </w:r>
    </w:p>
    <w:p w14:paraId="41B0D73B" w14:textId="77777777" w:rsidR="005B1C9E" w:rsidRPr="00563AD3" w:rsidRDefault="005B1C9E" w:rsidP="009B13F3">
      <w:pPr>
        <w:ind w:left="720"/>
        <w:rPr>
          <w:i/>
        </w:rPr>
      </w:pPr>
      <w:r w:rsidRPr="00563AD3">
        <w:rPr>
          <w:i/>
        </w:rPr>
        <w:t>“When we found out they would have to do four days training in London, [mapper initially chosen] wasn’t able to do that. And because we found out almost at the last minute, we just had to grab somebody else that was free really”. (10666 Manager)</w:t>
      </w:r>
    </w:p>
    <w:p w14:paraId="383DBE56" w14:textId="1A09C8ED" w:rsidR="005B1C9E" w:rsidRPr="00563AD3" w:rsidRDefault="005B1C9E" w:rsidP="009B13F3">
      <w:r w:rsidRPr="00563AD3">
        <w:t xml:space="preserve">A further example of availability being prioritised above ability was seen in in another care home where, following a mapper leaving, the manager did not pick a staff member to attend </w:t>
      </w:r>
      <w:r w:rsidR="00597D22" w:rsidRPr="00563AD3">
        <w:t>DCM™</w:t>
      </w:r>
      <w:r w:rsidRPr="00563AD3">
        <w:t xml:space="preserve"> training based on their abilities. Instead, the new mapper was selected based on their availability to attend the course. </w:t>
      </w:r>
    </w:p>
    <w:p w14:paraId="33BBC328" w14:textId="77777777" w:rsidR="005B1C9E" w:rsidRPr="00563AD3" w:rsidRDefault="005B1C9E" w:rsidP="009B13F3">
      <w:pPr>
        <w:ind w:left="720"/>
        <w:rPr>
          <w:i/>
        </w:rPr>
      </w:pPr>
      <w:r w:rsidRPr="00563AD3">
        <w:rPr>
          <w:i/>
        </w:rPr>
        <w:t>“I think when in one case where a manager … didn’t have a clue about who to nominate, she was just, she was looking at the off-duty and sort of picking names off the off-duty.” (DCM™ expert 70005)</w:t>
      </w:r>
    </w:p>
    <w:p w14:paraId="453AAE2C" w14:textId="4F9F99BD" w:rsidR="005B1C9E" w:rsidRPr="00563AD3" w:rsidRDefault="005B1C9E" w:rsidP="009B13F3">
      <w:pPr>
        <w:rPr>
          <w:u w:val="single"/>
        </w:rPr>
      </w:pPr>
      <w:r w:rsidRPr="00563AD3">
        <w:t xml:space="preserve">Mappers who were less qualified or experienced found it harder to implement </w:t>
      </w:r>
      <w:r w:rsidR="00597D22" w:rsidRPr="00563AD3">
        <w:t>DCM™</w:t>
      </w:r>
      <w:r w:rsidRPr="00563AD3">
        <w:t xml:space="preserve">. The </w:t>
      </w:r>
      <w:r w:rsidR="00597D22" w:rsidRPr="00563AD3">
        <w:t>DCM™</w:t>
      </w:r>
      <w:r w:rsidRPr="00563AD3">
        <w:t xml:space="preserve"> process asked mappers who were care assistants to develop and utilise skills that they were not familiar with using. Having the skills to ask questions as part of feedback sessions that allowed staff members to give opinions rather than yes or no responses was particularly challenging for some mappers.</w:t>
      </w:r>
    </w:p>
    <w:p w14:paraId="7738A340" w14:textId="77777777" w:rsidR="005B1C9E" w:rsidRPr="00563AD3" w:rsidRDefault="005B1C9E" w:rsidP="009B13F3">
      <w:pPr>
        <w:ind w:left="720"/>
        <w:rPr>
          <w:i/>
        </w:rPr>
      </w:pPr>
      <w:r w:rsidRPr="00563AD3">
        <w:rPr>
          <w:i/>
        </w:rPr>
        <w:t>“It was about time, it was about access, it was about computer literacy. And the, for some of the care workers writing anything was a real challenge. You know they just not, not used to putting descriptions down, let alone sort of feedback type questions to ask.” (DCM™ expert 70002)</w:t>
      </w:r>
    </w:p>
    <w:p w14:paraId="52DBC336" w14:textId="4FB2F89A" w:rsidR="005B1C9E" w:rsidRPr="00563AD3" w:rsidRDefault="005B1C9E" w:rsidP="009B13F3">
      <w:r w:rsidRPr="00563AD3">
        <w:t xml:space="preserve">There were many conflicting priorities placed on mappers, particularly if they were staff with additional responsibilities, such as completing the medication rounds or conducing assessments for potential new residents. This impacted on the time available to complete the stages of </w:t>
      </w:r>
      <w:r w:rsidR="00597D22" w:rsidRPr="00563AD3">
        <w:t>DCM™</w:t>
      </w:r>
      <w:r w:rsidRPr="00563AD3">
        <w:t>.</w:t>
      </w:r>
    </w:p>
    <w:p w14:paraId="53DCDD49" w14:textId="77777777" w:rsidR="005B1C9E" w:rsidRPr="00563AD3" w:rsidRDefault="005B1C9E" w:rsidP="009B13F3">
      <w:pPr>
        <w:ind w:left="720"/>
        <w:rPr>
          <w:i/>
          <w:u w:val="single"/>
        </w:rPr>
      </w:pPr>
      <w:r w:rsidRPr="00563AD3">
        <w:rPr>
          <w:i/>
        </w:rPr>
        <w:t xml:space="preserve"> “Well it was all just such a squeeze in the day, you know, and I remember being at one home where one of the mappers was late, one of the other mappers was busy doing the drugs, you know, and that was quite a familiar scenario”. (DCM™ expert 70004)</w:t>
      </w:r>
    </w:p>
    <w:p w14:paraId="5C9FDA17" w14:textId="398DD74F" w:rsidR="007A15E3" w:rsidRPr="00563AD3" w:rsidRDefault="005B1C9E" w:rsidP="009B13F3">
      <w:r w:rsidRPr="00563AD3">
        <w:t xml:space="preserve">In summary, selection of mappers had a significant impact on delivery of </w:t>
      </w:r>
      <w:r w:rsidR="00597D22" w:rsidRPr="00563AD3">
        <w:t>DCM™</w:t>
      </w:r>
      <w:r w:rsidRPr="00563AD3">
        <w:t xml:space="preserve"> as an intervention. Recruiting mappers with the appropriate skills facilitates the delivery of </w:t>
      </w:r>
      <w:r w:rsidR="00597D22" w:rsidRPr="00563AD3">
        <w:t>DCM™</w:t>
      </w:r>
      <w:r w:rsidRPr="00563AD3">
        <w:t xml:space="preserve">, as difficulties with stages of the mapping process such as analysis, and report writing, can result in much more time than anticipated needing to be dedicated to the completion of cycles. For mappers to undertake the </w:t>
      </w:r>
      <w:r w:rsidR="00597D22" w:rsidRPr="00563AD3">
        <w:t>DCM™</w:t>
      </w:r>
      <w:r w:rsidRPr="00563AD3">
        <w:t xml:space="preserve"> cycles a degree of effort, commitment and time was necessitated that some mappers had not anticipated or appreciated when agreeing to take on the role. The amount of time required to be away from their usual roles to undertake </w:t>
      </w:r>
      <w:r w:rsidR="00597D22" w:rsidRPr="00563AD3">
        <w:t>DCM™</w:t>
      </w:r>
      <w:r w:rsidRPr="00563AD3">
        <w:t xml:space="preserve"> meant that it was not viewed by some, in its current form, as a tenable intervention in a care home setting. Ensuring that Managers understood what skills are particularly important for mappers helps to reduce the likelihood of these acting as a barrier in the delivery of </w:t>
      </w:r>
      <w:r w:rsidR="00597D22" w:rsidRPr="00563AD3">
        <w:t>DCM™</w:t>
      </w:r>
      <w:r w:rsidRPr="00563AD3">
        <w:t>.</w:t>
      </w:r>
      <w:r w:rsidRPr="00563AD3">
        <w:rPr>
          <w:u w:val="single"/>
        </w:rPr>
        <w:br/>
      </w:r>
    </w:p>
    <w:p w14:paraId="42813EF1" w14:textId="1A4C6E29" w:rsidR="002D5157" w:rsidRPr="00563AD3" w:rsidRDefault="00421D22" w:rsidP="009B13F3">
      <w:pPr>
        <w:pStyle w:val="Heading4"/>
        <w:rPr>
          <w:rStyle w:val="Heading5Char"/>
          <w:i w:val="0"/>
        </w:rPr>
      </w:pPr>
      <w:r w:rsidRPr="00563AD3">
        <w:rPr>
          <w:rStyle w:val="Heading5Char"/>
          <w:i w:val="0"/>
        </w:rPr>
        <w:t>5</w:t>
      </w:r>
      <w:r w:rsidR="005E0A27" w:rsidRPr="00563AD3">
        <w:rPr>
          <w:rStyle w:val="Heading5Char"/>
          <w:i w:val="0"/>
        </w:rPr>
        <w:t xml:space="preserve">.4.1.2 </w:t>
      </w:r>
      <w:r w:rsidR="002D5157" w:rsidRPr="00563AD3">
        <w:rPr>
          <w:rStyle w:val="Heading5Char"/>
          <w:i w:val="0"/>
        </w:rPr>
        <w:t>Intervention barriers and facilitators</w:t>
      </w:r>
    </w:p>
    <w:p w14:paraId="418C238B" w14:textId="3289D10F" w:rsidR="00011994" w:rsidRPr="00563AD3" w:rsidRDefault="00011994" w:rsidP="009B13F3">
      <w:pPr>
        <w:rPr>
          <w:rStyle w:val="Heading5Char"/>
          <w:i w:val="0"/>
        </w:rPr>
      </w:pPr>
      <w:r w:rsidRPr="00563AD3">
        <w:rPr>
          <w:rStyle w:val="Heading5Char"/>
          <w:i w:val="0"/>
        </w:rPr>
        <w:t xml:space="preserve">A number of barriers and facilitators related to the </w:t>
      </w:r>
      <w:r w:rsidR="00597D22" w:rsidRPr="00563AD3">
        <w:rPr>
          <w:rStyle w:val="Heading5Char"/>
          <w:i w:val="0"/>
        </w:rPr>
        <w:t>DCM™</w:t>
      </w:r>
      <w:r w:rsidRPr="00563AD3">
        <w:rPr>
          <w:rStyle w:val="Heading5Char"/>
          <w:i w:val="0"/>
        </w:rPr>
        <w:t xml:space="preserve"> intervention itself were identified.</w:t>
      </w:r>
    </w:p>
    <w:p w14:paraId="7E05281A" w14:textId="3AA51C80" w:rsidR="00011994" w:rsidRPr="00563AD3" w:rsidRDefault="0081792C" w:rsidP="009B13F3">
      <w:pPr>
        <w:pStyle w:val="Heading5"/>
        <w:rPr>
          <w:rStyle w:val="Heading5Char"/>
          <w:i/>
        </w:rPr>
      </w:pPr>
      <w:r w:rsidRPr="00563AD3">
        <w:rPr>
          <w:rStyle w:val="Heading5Char"/>
          <w:i/>
        </w:rPr>
        <w:t>5.4.1.2</w:t>
      </w:r>
      <w:r w:rsidR="006C50C4" w:rsidRPr="00563AD3">
        <w:rPr>
          <w:rStyle w:val="Heading5Char"/>
          <w:i/>
        </w:rPr>
        <w:t>.1</w:t>
      </w:r>
      <w:r w:rsidRPr="00563AD3">
        <w:rPr>
          <w:rStyle w:val="Heading5Char"/>
          <w:i/>
        </w:rPr>
        <w:t xml:space="preserve"> </w:t>
      </w:r>
      <w:r w:rsidR="002D5157" w:rsidRPr="00563AD3">
        <w:rPr>
          <w:rStyle w:val="Heading5Char"/>
          <w:i/>
        </w:rPr>
        <w:t xml:space="preserve">Understanding of </w:t>
      </w:r>
      <w:r w:rsidR="00597D22" w:rsidRPr="00563AD3">
        <w:rPr>
          <w:rStyle w:val="Heading5Char"/>
          <w:i/>
        </w:rPr>
        <w:t>DCM™</w:t>
      </w:r>
    </w:p>
    <w:p w14:paraId="0259E5A7" w14:textId="178C79A0" w:rsidR="005B1C9E" w:rsidRPr="00563AD3" w:rsidRDefault="005B1C9E" w:rsidP="009B13F3">
      <w:r w:rsidRPr="00563AD3">
        <w:t xml:space="preserve">The extent to which mappers, managers and staff valued and understood the benefits of </w:t>
      </w:r>
      <w:r w:rsidR="00597D22" w:rsidRPr="00563AD3">
        <w:t>DCM™</w:t>
      </w:r>
      <w:r w:rsidRPr="00563AD3">
        <w:t xml:space="preserve"> influenced whether it was successfully implemented or facilitated. Where </w:t>
      </w:r>
      <w:r w:rsidR="00597D22" w:rsidRPr="00563AD3">
        <w:t>DCM™</w:t>
      </w:r>
      <w:r w:rsidRPr="00563AD3">
        <w:t xml:space="preserve"> was perceived as a tool and process that could improve the quality of care being delivered, managers and mappers were more engaged. In care homes where </w:t>
      </w:r>
      <w:r w:rsidR="00597D22" w:rsidRPr="00563AD3">
        <w:t>DCM™</w:t>
      </w:r>
      <w:r w:rsidRPr="00563AD3">
        <w:t xml:space="preserve"> was not understood, particularly in terms of the time commitments required, there were issues with completion of cycles.</w:t>
      </w:r>
    </w:p>
    <w:p w14:paraId="4DCBF782" w14:textId="77777777" w:rsidR="005B1C9E" w:rsidRPr="00563AD3" w:rsidRDefault="005B1C9E" w:rsidP="009B13F3">
      <w:pPr>
        <w:ind w:left="720"/>
        <w:rPr>
          <w:rFonts w:eastAsia="Times New Roman"/>
          <w:i/>
        </w:rPr>
      </w:pPr>
      <w:r w:rsidRPr="00563AD3">
        <w:rPr>
          <w:rFonts w:eastAsia="Times New Roman"/>
          <w:i/>
        </w:rPr>
        <w:t xml:space="preserve"> “The manager that clearly didn’t get it, I think was just so busy with everything else. absolutely, you know, I did see her running around like this, yeah.” (</w:t>
      </w:r>
      <w:r w:rsidRPr="00563AD3">
        <w:rPr>
          <w:i/>
        </w:rPr>
        <w:t xml:space="preserve">DCM™ expert </w:t>
      </w:r>
      <w:r w:rsidRPr="00563AD3">
        <w:rPr>
          <w:rFonts w:eastAsia="Times New Roman"/>
          <w:i/>
        </w:rPr>
        <w:t>70003)</w:t>
      </w:r>
    </w:p>
    <w:p w14:paraId="24E31247" w14:textId="5874A8F1" w:rsidR="005B1C9E" w:rsidRPr="00563AD3" w:rsidRDefault="005B1C9E" w:rsidP="009B13F3">
      <w:r w:rsidRPr="00563AD3">
        <w:t xml:space="preserve">An understanding of the </w:t>
      </w:r>
      <w:r w:rsidR="00597D22" w:rsidRPr="00563AD3">
        <w:t>DCM™</w:t>
      </w:r>
      <w:r w:rsidRPr="00563AD3">
        <w:t xml:space="preserve"> process and its potential for changing the care delivered in care homes is crucial to successful implementation. Where some of the trained mappers did not fully understand the process, they struggled to explain it to others.</w:t>
      </w:r>
    </w:p>
    <w:p w14:paraId="3640E311" w14:textId="77777777" w:rsidR="005B1C9E" w:rsidRPr="00563AD3" w:rsidRDefault="005B1C9E" w:rsidP="009B13F3">
      <w:pPr>
        <w:ind w:left="720"/>
        <w:rPr>
          <w:i/>
        </w:rPr>
      </w:pPr>
      <w:r w:rsidRPr="00563AD3">
        <w:rPr>
          <w:i/>
        </w:rPr>
        <w:t>“The trouble is, when they came back [from the training], they weren’t able to explain properly what they had to do. So, you know, they were trying to explain it to us and we were finding difficulty understanding what was actually involved.” (10666 Staff).</w:t>
      </w:r>
    </w:p>
    <w:p w14:paraId="172A4A6E" w14:textId="7C6800D3" w:rsidR="005B1C9E" w:rsidRPr="00563AD3" w:rsidRDefault="005B1C9E" w:rsidP="009B13F3">
      <w:r w:rsidRPr="00563AD3">
        <w:t xml:space="preserve">As a result of a lack of understanding of </w:t>
      </w:r>
      <w:r w:rsidR="00597D22" w:rsidRPr="00563AD3">
        <w:t>DCM™</w:t>
      </w:r>
      <w:r w:rsidRPr="00563AD3">
        <w:t>, managers and staff did not always engage with the process.</w:t>
      </w:r>
    </w:p>
    <w:p w14:paraId="68260BC1" w14:textId="77777777" w:rsidR="005B1C9E" w:rsidRPr="00563AD3" w:rsidRDefault="005B1C9E" w:rsidP="009B13F3">
      <w:pPr>
        <w:ind w:left="720"/>
        <w:rPr>
          <w:i/>
        </w:rPr>
      </w:pPr>
      <w:r w:rsidRPr="00563AD3">
        <w:rPr>
          <w:i/>
        </w:rPr>
        <w:t>“I still don’t understand it … no one has been able to understand it to me fully… Every time I asked them [the mappers] to explain they were struggling. So I never got a full grasp of what it was all about.” (10666 Manager)</w:t>
      </w:r>
    </w:p>
    <w:p w14:paraId="41486BE5" w14:textId="34CF85C2" w:rsidR="005B1C9E" w:rsidRPr="00563AD3" w:rsidRDefault="005B1C9E" w:rsidP="009B13F3">
      <w:r w:rsidRPr="00563AD3">
        <w:t xml:space="preserve">Where managers did not understand the process or value of </w:t>
      </w:r>
      <w:r w:rsidR="00597D22" w:rsidRPr="00563AD3">
        <w:t>DCM™</w:t>
      </w:r>
      <w:r w:rsidRPr="00563AD3">
        <w:t>, it was perceived as a distraction and it became particularly difficult for mappers to be released from their duties.</w:t>
      </w:r>
    </w:p>
    <w:p w14:paraId="12600098" w14:textId="77777777" w:rsidR="005B1C9E" w:rsidRPr="00563AD3" w:rsidRDefault="005B1C9E" w:rsidP="009B13F3">
      <w:pPr>
        <w:ind w:left="720"/>
        <w:rPr>
          <w:i/>
        </w:rPr>
      </w:pPr>
      <w:r w:rsidRPr="00563AD3">
        <w:rPr>
          <w:i/>
        </w:rPr>
        <w:t>“I would say the challenges outweigh everything else really.” (50009 Manager)</w:t>
      </w:r>
    </w:p>
    <w:p w14:paraId="080376E0" w14:textId="76AA730D" w:rsidR="005B1C9E" w:rsidRPr="00563AD3" w:rsidRDefault="005B1C9E" w:rsidP="009B13F3">
      <w:r w:rsidRPr="00563AD3">
        <w:t xml:space="preserve">However, for the majority of mappers, the value of </w:t>
      </w:r>
      <w:r w:rsidR="00597D22" w:rsidRPr="00563AD3">
        <w:t>DCM™</w:t>
      </w:r>
      <w:r w:rsidRPr="00563AD3">
        <w:t xml:space="preserve"> was clear and easily understood, even where this was not clear to the managers. </w:t>
      </w:r>
    </w:p>
    <w:p w14:paraId="07F436EF" w14:textId="77777777" w:rsidR="005B1C9E" w:rsidRPr="00563AD3" w:rsidRDefault="005B1C9E" w:rsidP="009B13F3">
      <w:pPr>
        <w:ind w:left="720"/>
        <w:rPr>
          <w:i/>
        </w:rPr>
      </w:pPr>
      <w:r w:rsidRPr="00563AD3">
        <w:rPr>
          <w:i/>
        </w:rPr>
        <w:t>“You can see a big difference. You can actually see what goes on through their [the residents] eyes. When you sit there and watch them for about three hours.” (10180 Mapper)</w:t>
      </w:r>
    </w:p>
    <w:p w14:paraId="3EEC3435" w14:textId="5854C09C" w:rsidR="005B1C9E" w:rsidRPr="00563AD3" w:rsidRDefault="005B1C9E" w:rsidP="009B13F3">
      <w:r w:rsidRPr="00563AD3">
        <w:t xml:space="preserve">These findings indicate the importance of mappers, managers and staff having a clear understanding of the </w:t>
      </w:r>
      <w:r w:rsidR="00597D22" w:rsidRPr="00563AD3">
        <w:t>DCM™</w:t>
      </w:r>
      <w:r w:rsidRPr="00563AD3">
        <w:t xml:space="preserve"> process before attempting to implement it. Without this understanding, mappers are unable to be released from their duties to complete mapping tasks, as it is not seen as a priority or a valuable tool within the care home.</w:t>
      </w:r>
    </w:p>
    <w:p w14:paraId="750D7743" w14:textId="00C0DFE4" w:rsidR="00FF37E6" w:rsidRPr="00563AD3" w:rsidRDefault="00FF37E6" w:rsidP="009B13F3">
      <w:pPr>
        <w:rPr>
          <w:b/>
        </w:rPr>
      </w:pPr>
    </w:p>
    <w:p w14:paraId="59D9929F" w14:textId="03D963F1" w:rsidR="005B1C9E" w:rsidRPr="00563AD3" w:rsidRDefault="00856329" w:rsidP="009B13F3">
      <w:pPr>
        <w:pStyle w:val="Heading5"/>
      </w:pPr>
      <w:r w:rsidRPr="00563AD3">
        <w:rPr>
          <w:rStyle w:val="Heading5Char"/>
          <w:i/>
        </w:rPr>
        <w:t xml:space="preserve">5.4.1.2.2 </w:t>
      </w:r>
      <w:r w:rsidR="005B1C9E" w:rsidRPr="00563AD3">
        <w:t xml:space="preserve">Complexity and time demands of </w:t>
      </w:r>
      <w:r w:rsidR="00597D22" w:rsidRPr="00563AD3">
        <w:t>DCM™</w:t>
      </w:r>
    </w:p>
    <w:p w14:paraId="0ADABB47" w14:textId="331A88F6" w:rsidR="005B1C9E" w:rsidRPr="00563AD3" w:rsidRDefault="00597D22" w:rsidP="009B13F3">
      <w:r w:rsidRPr="00563AD3">
        <w:t>DCM™</w:t>
      </w:r>
      <w:r w:rsidR="005B1C9E" w:rsidRPr="00563AD3">
        <w:t xml:space="preserve"> was felt to be complex and time consuming by some participants, with the nature of </w:t>
      </w:r>
      <w:r w:rsidRPr="00563AD3">
        <w:t>DCM™</w:t>
      </w:r>
      <w:r w:rsidR="005B1C9E" w:rsidRPr="00563AD3">
        <w:t xml:space="preserve"> felt by these participants to be a barrier to its implementation in a care home context. Various aspects of </w:t>
      </w:r>
      <w:r w:rsidRPr="00563AD3">
        <w:t>DCM™</w:t>
      </w:r>
      <w:r w:rsidR="005B1C9E" w:rsidRPr="00563AD3">
        <w:t xml:space="preserve"> were felt to be too complex, including the observation phase and associated coding, the report writing, and the language used. </w:t>
      </w:r>
    </w:p>
    <w:p w14:paraId="6E7BAB6E" w14:textId="77777777" w:rsidR="005B1C9E" w:rsidRPr="00563AD3" w:rsidRDefault="005B1C9E" w:rsidP="009B13F3">
      <w:pPr>
        <w:ind w:left="720"/>
        <w:rPr>
          <w:i/>
        </w:rPr>
      </w:pPr>
      <w:r w:rsidRPr="00563AD3">
        <w:rPr>
          <w:i/>
        </w:rPr>
        <w:t>“So the report writing, yeah, was horrific to be honest. Very time consuming. Obviously we both had different roles at that point so quite demanding, so getting time, and it’s not a very quick process. Like I say it took quite a lengthy period of time. So that were quite bad to be honest, it was very demanding.” (50069 Mapper)</w:t>
      </w:r>
    </w:p>
    <w:p w14:paraId="71CC6294" w14:textId="77777777" w:rsidR="005B1C9E" w:rsidRPr="00563AD3" w:rsidRDefault="005B1C9E" w:rsidP="009B13F3">
      <w:r w:rsidRPr="00563AD3">
        <w:t xml:space="preserve">Particular components of the process were identified as time consuming or overly onerous, including the length of the training course, and the paperwork and report writing requirements. </w:t>
      </w:r>
    </w:p>
    <w:p w14:paraId="48EEB4DC" w14:textId="77777777" w:rsidR="005B1C9E" w:rsidRPr="00563AD3" w:rsidRDefault="005B1C9E" w:rsidP="009B13F3">
      <w:pPr>
        <w:ind w:left="720"/>
        <w:rPr>
          <w:i/>
        </w:rPr>
      </w:pPr>
      <w:r w:rsidRPr="00563AD3">
        <w:rPr>
          <w:i/>
        </w:rPr>
        <w:t>“Some of the things that certainly I picked up on, some of the things they found more difficult was around the kind of data analysis and report writing. That was the area that people seemed to find most difficult.” (DCM™ expert 70006)</w:t>
      </w:r>
    </w:p>
    <w:p w14:paraId="089D47BF" w14:textId="2875088F" w:rsidR="005B1C9E" w:rsidRPr="00563AD3" w:rsidRDefault="005B1C9E" w:rsidP="009B13F3">
      <w:r w:rsidRPr="00563AD3">
        <w:t xml:space="preserve">For some mappers, there were delays between them attending the training course and completing their first cycle of </w:t>
      </w:r>
      <w:r w:rsidR="00597D22" w:rsidRPr="00563AD3">
        <w:t>DCM™</w:t>
      </w:r>
      <w:r w:rsidRPr="00563AD3">
        <w:t>, which might have led to them forgetting some of the more detailed parts of the process, such as the observational coding framework. The DCM™ experts had to give additional time that was not expected to help mappers ‘revise’ some parts of their training before starting the mapping cycle.</w:t>
      </w:r>
    </w:p>
    <w:p w14:paraId="14D62C7A" w14:textId="77777777" w:rsidR="005B1C9E" w:rsidRPr="00563AD3" w:rsidRDefault="005B1C9E" w:rsidP="009B13F3">
      <w:pPr>
        <w:ind w:left="720"/>
        <w:rPr>
          <w:i/>
        </w:rPr>
      </w:pPr>
      <w:r w:rsidRPr="00563AD3">
        <w:rPr>
          <w:i/>
        </w:rPr>
        <w:t>“I mean one person I worked with we did our first IRR, our first kind of check of her accuracy and I think we got, our agreement was kind of in the forties. Like it was very, very low. And that was mapping one person for an hour.” (DCM™ expert 70006)</w:t>
      </w:r>
    </w:p>
    <w:p w14:paraId="7774FFBC" w14:textId="7207FF29" w:rsidR="005B1C9E" w:rsidRPr="00563AD3" w:rsidRDefault="005B1C9E" w:rsidP="009B13F3">
      <w:r w:rsidRPr="00563AD3">
        <w:t xml:space="preserve">The time required to undertake </w:t>
      </w:r>
      <w:r w:rsidR="00597D22" w:rsidRPr="00563AD3">
        <w:t>DCM™</w:t>
      </w:r>
      <w:r w:rsidRPr="00563AD3">
        <w:t xml:space="preserve"> meant that mappers had to be taken away from their usual roles and defined as ‘off the floor’, therefore removed from the core business of care delivery in the case of direct care staff.</w:t>
      </w:r>
    </w:p>
    <w:p w14:paraId="5E83D112" w14:textId="77777777" w:rsidR="005B1C9E" w:rsidRPr="00563AD3" w:rsidRDefault="005B1C9E" w:rsidP="009B13F3">
      <w:pPr>
        <w:ind w:left="720"/>
        <w:rPr>
          <w:i/>
        </w:rPr>
      </w:pPr>
      <w:r w:rsidRPr="00563AD3">
        <w:rPr>
          <w:i/>
        </w:rPr>
        <w:t>“The mappers were also carers and nurses and had, you know, activities and tasks and jobs to do as well as the mapping. Yeah, I think they found it quite overwhelming.” (58930 Manager)</w:t>
      </w:r>
    </w:p>
    <w:p w14:paraId="37CAA814" w14:textId="365A1C4D" w:rsidR="005B1C9E" w:rsidRPr="00563AD3" w:rsidRDefault="005B1C9E" w:rsidP="009B13F3">
      <w:r w:rsidRPr="00563AD3">
        <w:t xml:space="preserve">In addition, some managers felt that once the training course was completed they were then left to implement </w:t>
      </w:r>
      <w:r w:rsidR="00597D22" w:rsidRPr="00563AD3">
        <w:t>DCM™</w:t>
      </w:r>
      <w:r w:rsidRPr="00563AD3">
        <w:t xml:space="preserve"> on their own, although in reality every home had access to a </w:t>
      </w:r>
      <w:r w:rsidR="00597D22" w:rsidRPr="00563AD3">
        <w:t>DCM™</w:t>
      </w:r>
      <w:r w:rsidRPr="00563AD3">
        <w:t xml:space="preserve"> expert for 5 days to support implementation of their first cycle. Such views raise questions about the fit of </w:t>
      </w:r>
      <w:r w:rsidR="00597D22" w:rsidRPr="00563AD3">
        <w:t>DCM™</w:t>
      </w:r>
      <w:r w:rsidRPr="00563AD3">
        <w:t xml:space="preserve"> for care homes and suggest the need to consider adapting standard </w:t>
      </w:r>
      <w:r w:rsidR="00597D22" w:rsidRPr="00563AD3">
        <w:t>DCM™</w:t>
      </w:r>
      <w:r w:rsidRPr="00563AD3">
        <w:t xml:space="preserve"> processes for care home staff in the future development of the tool.</w:t>
      </w:r>
    </w:p>
    <w:p w14:paraId="6BDBB0E6" w14:textId="491C32E7" w:rsidR="00FF37E6" w:rsidRPr="00563AD3" w:rsidRDefault="00FF37E6" w:rsidP="009B13F3"/>
    <w:p w14:paraId="3C8C30C4" w14:textId="5A6B041A" w:rsidR="002D5157" w:rsidRPr="00563AD3" w:rsidRDefault="00856329" w:rsidP="009B13F3">
      <w:pPr>
        <w:pStyle w:val="Heading4"/>
      </w:pPr>
      <w:r w:rsidRPr="00563AD3">
        <w:rPr>
          <w:rStyle w:val="Heading5Char"/>
          <w:i w:val="0"/>
        </w:rPr>
        <w:t>5</w:t>
      </w:r>
      <w:r w:rsidR="007A15E3" w:rsidRPr="00563AD3">
        <w:rPr>
          <w:rStyle w:val="Heading5Char"/>
          <w:i w:val="0"/>
        </w:rPr>
        <w:t>.4.1.3</w:t>
      </w:r>
      <w:r w:rsidR="007A15E3" w:rsidRPr="00563AD3">
        <w:rPr>
          <w:rStyle w:val="Heading5Char"/>
        </w:rPr>
        <w:t xml:space="preserve"> </w:t>
      </w:r>
      <w:r w:rsidR="002D5157" w:rsidRPr="00563AD3">
        <w:t>Trial barriers and facilitators</w:t>
      </w:r>
    </w:p>
    <w:p w14:paraId="6937A73E" w14:textId="2EBA9295" w:rsidR="002D5157" w:rsidRPr="00563AD3" w:rsidRDefault="00856329" w:rsidP="009B13F3">
      <w:pPr>
        <w:pStyle w:val="Heading5"/>
      </w:pPr>
      <w:r w:rsidRPr="00563AD3">
        <w:t xml:space="preserve">5.4.1.3.1 </w:t>
      </w:r>
      <w:r w:rsidR="002D5157" w:rsidRPr="00563AD3">
        <w:t xml:space="preserve">Expectations of </w:t>
      </w:r>
      <w:r w:rsidR="00597D22" w:rsidRPr="00563AD3">
        <w:t>DCM™</w:t>
      </w:r>
      <w:r w:rsidR="002D5157" w:rsidRPr="00563AD3">
        <w:t xml:space="preserve"> and the trial </w:t>
      </w:r>
    </w:p>
    <w:p w14:paraId="428BF59D" w14:textId="6CAF60B7" w:rsidR="00B06E44" w:rsidRPr="00563AD3" w:rsidRDefault="00B06E44" w:rsidP="009B13F3">
      <w:pPr>
        <w:rPr>
          <w:u w:val="single"/>
        </w:rPr>
      </w:pPr>
      <w:r w:rsidRPr="00563AD3">
        <w:t xml:space="preserve">Expectations of the trial and what was required to support the implementation of </w:t>
      </w:r>
      <w:r w:rsidR="00597D22" w:rsidRPr="00563AD3">
        <w:t>DCM™</w:t>
      </w:r>
      <w:r w:rsidRPr="00563AD3">
        <w:t xml:space="preserve"> did not meet the realities experienced by participants. In particular, the time and costs exceeded those expected by the managers and mappers. This impacted on the schedules in place for each care home and led to the expert mappers having to consistently renegotiate schedules.</w:t>
      </w:r>
    </w:p>
    <w:p w14:paraId="0E5A53F1" w14:textId="6E6F92C6" w:rsidR="00B06E44" w:rsidRPr="00563AD3" w:rsidRDefault="00B06E44" w:rsidP="009B13F3">
      <w:pPr>
        <w:ind w:left="720"/>
        <w:rPr>
          <w:i/>
        </w:rPr>
      </w:pPr>
      <w:r w:rsidRPr="00563AD3">
        <w:rPr>
          <w:i/>
        </w:rPr>
        <w:t>“But from start to finish, although we renegotiated kind of schedules for me going down there it was difficult, I think they would say that they weren’t aware of the time commitments to it.” (</w:t>
      </w:r>
      <w:r w:rsidR="00597D22" w:rsidRPr="00563AD3">
        <w:rPr>
          <w:i/>
        </w:rPr>
        <w:t>DCM™</w:t>
      </w:r>
      <w:r w:rsidRPr="00563AD3">
        <w:rPr>
          <w:i/>
        </w:rPr>
        <w:t xml:space="preserve"> expert 70005)</w:t>
      </w:r>
    </w:p>
    <w:p w14:paraId="3A52F81A" w14:textId="77777777" w:rsidR="00B06E44" w:rsidRPr="00563AD3" w:rsidRDefault="00B06E44" w:rsidP="009B13F3">
      <w:r w:rsidRPr="00563AD3">
        <w:t>Some managers were not aware that the mappers could not be included as members in the staff team and thus could not provide direct care on the days they were mapping.</w:t>
      </w:r>
      <w:r w:rsidRPr="00563AD3">
        <w:rPr>
          <w:rFonts w:eastAsiaTheme="minorHAnsi"/>
          <w:lang w:eastAsia="en-US"/>
        </w:rPr>
        <w:t xml:space="preserve"> </w:t>
      </w:r>
      <w:r w:rsidRPr="00563AD3">
        <w:t>These managers did not appreciate that the mappers were unable to stop mapping to assist residents with any care needs they had during the mapping process. This led to tensions between some managers, mappers and expert mappers.</w:t>
      </w:r>
    </w:p>
    <w:p w14:paraId="1C04D617" w14:textId="77777777" w:rsidR="00B06E44" w:rsidRPr="00563AD3" w:rsidRDefault="00B06E44" w:rsidP="009B13F3">
      <w:pPr>
        <w:ind w:left="720"/>
        <w:rPr>
          <w:i/>
        </w:rPr>
      </w:pPr>
      <w:r w:rsidRPr="00563AD3">
        <w:rPr>
          <w:i/>
        </w:rPr>
        <w:t>“They were definitely not aware of that because they were not normally on the part of the numbers, so they didn’t realise that they would have to be off the numbers to do the you know, preparing the map, for the mapping, for the map itself and to do the rest of their work.” (DCM™ expert 70005)</w:t>
      </w:r>
    </w:p>
    <w:p w14:paraId="0095DF44" w14:textId="2EB1723D" w:rsidR="00B06E44" w:rsidRPr="00563AD3" w:rsidRDefault="00B06E44" w:rsidP="009B13F3">
      <w:r w:rsidRPr="00563AD3">
        <w:t xml:space="preserve">The range of processes and tasks involved in participation in the trial, as well as those involved in implementing </w:t>
      </w:r>
      <w:r w:rsidR="00597D22" w:rsidRPr="00563AD3">
        <w:t>DCM™</w:t>
      </w:r>
      <w:r w:rsidRPr="00563AD3">
        <w:t xml:space="preserve">, such as the completion of trial and </w:t>
      </w:r>
      <w:r w:rsidR="00597D22" w:rsidRPr="00563AD3">
        <w:t>DCM™</w:t>
      </w:r>
      <w:r w:rsidRPr="00563AD3">
        <w:t xml:space="preserve"> paperwork, seeking consents, undertaking interviews and identification of staff participants, were not anticipated by managers or mappers prior to taking part.</w:t>
      </w:r>
    </w:p>
    <w:p w14:paraId="10A2DBF1" w14:textId="77777777" w:rsidR="00B06E44" w:rsidRPr="00563AD3" w:rsidRDefault="00B06E44" w:rsidP="009B13F3">
      <w:pPr>
        <w:ind w:left="720"/>
        <w:rPr>
          <w:i/>
        </w:rPr>
      </w:pPr>
      <w:r w:rsidRPr="00563AD3">
        <w:rPr>
          <w:i/>
        </w:rPr>
        <w:t>“They struggled with the copious amounts of paperwork, they told me that if they knew what was involved that wouldn’t have gone for it.” (50019 Manager)</w:t>
      </w:r>
    </w:p>
    <w:p w14:paraId="52DC74C8" w14:textId="72E696EF" w:rsidR="00B06E44" w:rsidRPr="00563AD3" w:rsidRDefault="00B06E44" w:rsidP="009B13F3">
      <w:r w:rsidRPr="00563AD3">
        <w:t xml:space="preserve">In summary, conduct of the trial may have negatively influenced perceptions of the tenability of implementing </w:t>
      </w:r>
      <w:r w:rsidR="00597D22" w:rsidRPr="00563AD3">
        <w:t>DCM™</w:t>
      </w:r>
      <w:r w:rsidRPr="00563AD3">
        <w:t xml:space="preserve"> in care home settings, with the combined burden of trial and </w:t>
      </w:r>
      <w:r w:rsidR="00597D22" w:rsidRPr="00563AD3">
        <w:t>DCM™</w:t>
      </w:r>
      <w:r w:rsidRPr="00563AD3">
        <w:t xml:space="preserve"> participation proving difficult for some care homes to manage. </w:t>
      </w:r>
      <w:r w:rsidRPr="00563AD3">
        <w:rPr>
          <w:rFonts w:eastAsiaTheme="minorHAnsi"/>
          <w:lang w:eastAsia="en-US"/>
        </w:rPr>
        <w:t xml:space="preserve">Mismatches occurred between expectations of what the </w:t>
      </w:r>
      <w:r w:rsidR="00597D22" w:rsidRPr="00563AD3">
        <w:rPr>
          <w:rFonts w:eastAsiaTheme="minorHAnsi"/>
          <w:lang w:eastAsia="en-US"/>
        </w:rPr>
        <w:t>DCM™</w:t>
      </w:r>
      <w:r w:rsidRPr="00563AD3">
        <w:rPr>
          <w:rFonts w:eastAsiaTheme="minorHAnsi"/>
          <w:lang w:eastAsia="en-US"/>
        </w:rPr>
        <w:t xml:space="preserve"> intervention entailed and the additional work that was required by managers and staff during the trial, despite having been provided with detailed written and verbal explanations of the processes and time involved by the research team. Care home managers and mappers were not fully aware of the expectations of them during the trial, particularly in relation to the time involved in each stage and component of the trial, and the requirement of mappers to focus on all aspects of the </w:t>
      </w:r>
      <w:r w:rsidR="00597D22" w:rsidRPr="00563AD3">
        <w:rPr>
          <w:rFonts w:eastAsiaTheme="minorHAnsi"/>
          <w:lang w:eastAsia="en-US"/>
        </w:rPr>
        <w:t>DCM™</w:t>
      </w:r>
      <w:r w:rsidRPr="00563AD3">
        <w:rPr>
          <w:rFonts w:eastAsiaTheme="minorHAnsi"/>
          <w:lang w:eastAsia="en-US"/>
        </w:rPr>
        <w:t xml:space="preserve"> intervention while in the mapper role, with the consequence of being unable to attend to usual care work at these times. This had a negative impact on the ability of mappers to implement </w:t>
      </w:r>
      <w:r w:rsidR="00597D22" w:rsidRPr="00563AD3">
        <w:rPr>
          <w:rFonts w:eastAsiaTheme="minorHAnsi"/>
          <w:lang w:eastAsia="en-US"/>
        </w:rPr>
        <w:t>DCM™</w:t>
      </w:r>
      <w:r w:rsidRPr="00563AD3">
        <w:rPr>
          <w:rFonts w:eastAsiaTheme="minorHAnsi"/>
          <w:lang w:eastAsia="en-US"/>
        </w:rPr>
        <w:t xml:space="preserve">, as they were frequently not released from the staff roster to complete the </w:t>
      </w:r>
      <w:r w:rsidR="00597D22" w:rsidRPr="00563AD3">
        <w:rPr>
          <w:rFonts w:eastAsiaTheme="minorHAnsi"/>
          <w:lang w:eastAsia="en-US"/>
        </w:rPr>
        <w:t>DCM™</w:t>
      </w:r>
      <w:r w:rsidRPr="00563AD3">
        <w:rPr>
          <w:rFonts w:eastAsiaTheme="minorHAnsi"/>
          <w:lang w:eastAsia="en-US"/>
        </w:rPr>
        <w:t xml:space="preserve"> procedures.</w:t>
      </w:r>
      <w:r w:rsidRPr="00563AD3">
        <w:br/>
      </w:r>
    </w:p>
    <w:p w14:paraId="01CA907E" w14:textId="77777777" w:rsidR="0009510C" w:rsidRPr="00563AD3" w:rsidRDefault="0009510C" w:rsidP="009B13F3"/>
    <w:p w14:paraId="4360DC0B" w14:textId="2E271285" w:rsidR="002D5157" w:rsidRPr="00563AD3" w:rsidRDefault="00856329" w:rsidP="009B13F3">
      <w:pPr>
        <w:pStyle w:val="Heading5"/>
      </w:pPr>
      <w:r w:rsidRPr="00563AD3">
        <w:t xml:space="preserve">5.4.1.3.2 </w:t>
      </w:r>
      <w:r w:rsidR="00597D22" w:rsidRPr="00563AD3">
        <w:t>DCM™</w:t>
      </w:r>
      <w:r w:rsidR="00B06E44" w:rsidRPr="00563AD3">
        <w:t xml:space="preserve"> e</w:t>
      </w:r>
      <w:r w:rsidR="002D5157" w:rsidRPr="00563AD3">
        <w:t>xpert mapper support</w:t>
      </w:r>
    </w:p>
    <w:p w14:paraId="50D7BBDC" w14:textId="211975D5" w:rsidR="00B06E44" w:rsidRPr="00563AD3" w:rsidRDefault="00B06E44" w:rsidP="009B13F3">
      <w:r w:rsidRPr="00563AD3">
        <w:t xml:space="preserve">DCM™ expert mappers viewed themselves as incredibly valuable to the implementation of </w:t>
      </w:r>
      <w:r w:rsidR="00597D22" w:rsidRPr="00563AD3">
        <w:t>DCM™</w:t>
      </w:r>
      <w:r w:rsidRPr="00563AD3">
        <w:t xml:space="preserve">, suggesting that without their input and support, </w:t>
      </w:r>
      <w:r w:rsidR="00597D22" w:rsidRPr="00563AD3">
        <w:t>DCM™</w:t>
      </w:r>
      <w:r w:rsidRPr="00563AD3">
        <w:t xml:space="preserve"> would not have not been successfully implemented in the majority of care homes.</w:t>
      </w:r>
    </w:p>
    <w:p w14:paraId="7F4EBFDC" w14:textId="77777777" w:rsidR="00B06E44" w:rsidRPr="00563AD3" w:rsidRDefault="00B06E44" w:rsidP="009B13F3">
      <w:pPr>
        <w:spacing w:after="0"/>
        <w:ind w:firstLine="709"/>
        <w:rPr>
          <w:i/>
        </w:rPr>
      </w:pPr>
      <w:r w:rsidRPr="00563AD3">
        <w:rPr>
          <w:i/>
        </w:rPr>
        <w:t xml:space="preserve">“If the expectations had remained the same, I don’t think it would have worked </w:t>
      </w:r>
    </w:p>
    <w:p w14:paraId="0B234C11" w14:textId="77777777" w:rsidR="00B06E44" w:rsidRPr="00563AD3" w:rsidRDefault="00B06E44" w:rsidP="009B13F3">
      <w:pPr>
        <w:spacing w:after="120"/>
        <w:ind w:firstLine="709"/>
      </w:pPr>
      <w:r w:rsidRPr="00563AD3">
        <w:rPr>
          <w:i/>
        </w:rPr>
        <w:t xml:space="preserve">without the expert mappers.” (DCM™ expert 70006) </w:t>
      </w:r>
      <w:r w:rsidRPr="00563AD3">
        <w:rPr>
          <w:i/>
        </w:rPr>
        <w:br/>
      </w:r>
      <w:r w:rsidRPr="00563AD3">
        <w:rPr>
          <w:i/>
        </w:rPr>
        <w:br/>
      </w:r>
      <w:r w:rsidRPr="00563AD3">
        <w:t>However, two DCM™ experts felt that the mappers would have completed the cycles regardless of whether they supported the mappers or not. They thought instead that the observation data or implementation process would have been of a lower quality without their support to the mappers.</w:t>
      </w:r>
    </w:p>
    <w:p w14:paraId="6429E670" w14:textId="51F803B8" w:rsidR="00B06E44" w:rsidRPr="00563AD3" w:rsidRDefault="00B06E44" w:rsidP="009B13F3">
      <w:pPr>
        <w:ind w:left="720"/>
        <w:rPr>
          <w:i/>
        </w:rPr>
      </w:pPr>
      <w:r w:rsidRPr="00563AD3">
        <w:rPr>
          <w:i/>
        </w:rPr>
        <w:t xml:space="preserve">“I think some of the classic mistakes that can be made in </w:t>
      </w:r>
      <w:r w:rsidR="00597D22" w:rsidRPr="00563AD3">
        <w:rPr>
          <w:i/>
        </w:rPr>
        <w:t>DCM™</w:t>
      </w:r>
      <w:r w:rsidRPr="00563AD3">
        <w:rPr>
          <w:i/>
        </w:rPr>
        <w:t xml:space="preserve"> would’ve been made … and if they hadn’t been picked up and supported or changed, it can have a really devastating effect on </w:t>
      </w:r>
      <w:r w:rsidR="00597D22" w:rsidRPr="00563AD3">
        <w:rPr>
          <w:i/>
        </w:rPr>
        <w:t>DCM™</w:t>
      </w:r>
      <w:r w:rsidRPr="00563AD3">
        <w:rPr>
          <w:i/>
        </w:rPr>
        <w:t>.” (DCM™ expert 70002)</w:t>
      </w:r>
    </w:p>
    <w:p w14:paraId="367A54B8" w14:textId="77777777" w:rsidR="00B06E44" w:rsidRPr="00563AD3" w:rsidRDefault="00B06E44" w:rsidP="009B13F3">
      <w:r w:rsidRPr="00563AD3">
        <w:t>Support provided by the expert mappers helped to clarify any uncertainties and alleviate mapper doubts.</w:t>
      </w:r>
    </w:p>
    <w:p w14:paraId="0E10DE41" w14:textId="77777777" w:rsidR="00B06E44" w:rsidRPr="00563AD3" w:rsidRDefault="00B06E44" w:rsidP="009B13F3">
      <w:pPr>
        <w:ind w:left="720"/>
        <w:rPr>
          <w:i/>
        </w:rPr>
      </w:pPr>
      <w:r w:rsidRPr="00563AD3">
        <w:rPr>
          <w:i/>
        </w:rPr>
        <w:t>“It is nice to have somebody sat with you whilst you’re actually doing it practically, to be able to say ‘Am I using this code or that code?’ ‘Am I observing this right?’” (58930 Mapper)</w:t>
      </w:r>
    </w:p>
    <w:p w14:paraId="68B9F82C" w14:textId="6F4F239D" w:rsidR="00B06E44" w:rsidRPr="00563AD3" w:rsidRDefault="00B06E44" w:rsidP="009B13F3">
      <w:r w:rsidRPr="00563AD3">
        <w:t>When DCM™ expert mapper support was delivered flexibly and with a friendly manner, it was valued by care homes. There were, however, also times when support was perceived as problematic.</w:t>
      </w:r>
    </w:p>
    <w:p w14:paraId="41729523" w14:textId="77777777" w:rsidR="00B06E44" w:rsidRPr="00563AD3" w:rsidRDefault="00B06E44" w:rsidP="009B13F3">
      <w:pPr>
        <w:ind w:left="720"/>
        <w:rPr>
          <w:i/>
        </w:rPr>
      </w:pPr>
      <w:r w:rsidRPr="00563AD3">
        <w:rPr>
          <w:i/>
        </w:rPr>
        <w:t>“The expert mapper was a little full on. Knew her subject, very passionate, but very, erm, timescale orientated. Which kind of pushed, I think, added to the stress.” (58930 Manager)</w:t>
      </w:r>
    </w:p>
    <w:p w14:paraId="63D041CB" w14:textId="032339E5" w:rsidR="00B06E44" w:rsidRPr="00563AD3" w:rsidRDefault="00B06E44" w:rsidP="009B13F3">
      <w:pPr>
        <w:rPr>
          <w:i/>
        </w:rPr>
      </w:pPr>
      <w:r w:rsidRPr="00563AD3">
        <w:t>The DCM™ expert mappers believed they went above on beyond their expected roles to provide support within care homes. They were allocated five days of time to support each care home, however they felt that much more time than this was required. Certain situations led to increased need for DCM™ expert mapper support, such as a care home having only one mapper, or tensions in the relationship between mappers.</w:t>
      </w:r>
    </w:p>
    <w:p w14:paraId="47790008" w14:textId="77777777" w:rsidR="00B06E44" w:rsidRPr="00563AD3" w:rsidRDefault="00B06E44" w:rsidP="009B13F3">
      <w:pPr>
        <w:ind w:left="720"/>
        <w:rPr>
          <w:i/>
        </w:rPr>
      </w:pPr>
      <w:r w:rsidRPr="00563AD3">
        <w:rPr>
          <w:i/>
        </w:rPr>
        <w:t>“I’ve tried to support her individually because the other mapper hasn’t supported her in the individual care summaries. So I’ve tried to support her extra by phone and do that, but I don’t think she was, she had the skills to do that by herself.” (DCM™ expert 70005)</w:t>
      </w:r>
    </w:p>
    <w:p w14:paraId="08031358" w14:textId="2A09C169" w:rsidR="00B06E44" w:rsidRPr="00563AD3" w:rsidRDefault="00B06E44" w:rsidP="009B13F3">
      <w:r w:rsidRPr="00563AD3">
        <w:t xml:space="preserve">Despite support from the DCM™ expert mapper being provided to all homes during the first cycle of </w:t>
      </w:r>
      <w:r w:rsidR="00597D22" w:rsidRPr="00563AD3">
        <w:t>DCM™</w:t>
      </w:r>
      <w:r w:rsidRPr="00563AD3">
        <w:t>, not all homes felt supported.</w:t>
      </w:r>
    </w:p>
    <w:p w14:paraId="7909C1AD" w14:textId="77777777" w:rsidR="00B06E44" w:rsidRPr="00563AD3" w:rsidRDefault="00B06E44" w:rsidP="009B13F3">
      <w:pPr>
        <w:ind w:left="720"/>
        <w:rPr>
          <w:i/>
        </w:rPr>
      </w:pPr>
      <w:r w:rsidRPr="00563AD3">
        <w:rPr>
          <w:i/>
        </w:rPr>
        <w:t>“I feel as if we were, had the training and then left to our own devices really.” (50024 Manager)</w:t>
      </w:r>
    </w:p>
    <w:p w14:paraId="77DA453F" w14:textId="77777777" w:rsidR="00B06E44" w:rsidRPr="00563AD3" w:rsidRDefault="00B06E44" w:rsidP="009B13F3">
      <w:r w:rsidRPr="00563AD3">
        <w:t>Conversely, some mappers felt that they did not need the support and that as they know the residents well, they had a better insight into the residents than the DCM™ expert.</w:t>
      </w:r>
    </w:p>
    <w:p w14:paraId="0B9F77FA" w14:textId="77777777" w:rsidR="00B06E44" w:rsidRPr="00563AD3" w:rsidRDefault="00B06E44" w:rsidP="009B13F3">
      <w:pPr>
        <w:ind w:left="720"/>
        <w:rPr>
          <w:i/>
        </w:rPr>
      </w:pPr>
      <w:r w:rsidRPr="00563AD3">
        <w:rPr>
          <w:i/>
        </w:rPr>
        <w:t>“When you learn anything really you just want to go and do it on your own don’t you. You don’t want someone looking over your shoulder going: yeah, yeah you’ve not done that right, or I didn’t get that or why did you put that … well I know that resident and I know.” (50069 Mapper)</w:t>
      </w:r>
    </w:p>
    <w:p w14:paraId="7FCA6F7C" w14:textId="75BD011B" w:rsidR="00B06E44" w:rsidRPr="00563AD3" w:rsidRDefault="00B06E44" w:rsidP="009B13F3">
      <w:r w:rsidRPr="00563AD3">
        <w:t xml:space="preserve">For other homes, the mappers benefitted from DCM™ expert mapper support during the first cycle but felt that they required more than was provided, to continue to undertake </w:t>
      </w:r>
      <w:r w:rsidR="00597D22" w:rsidRPr="00563AD3">
        <w:t>DCM™</w:t>
      </w:r>
      <w:r w:rsidRPr="00563AD3">
        <w:t xml:space="preserve"> cycles.</w:t>
      </w:r>
    </w:p>
    <w:p w14:paraId="1423D4B2" w14:textId="77777777" w:rsidR="00B06E44" w:rsidRPr="00563AD3" w:rsidRDefault="00B06E44" w:rsidP="009B13F3">
      <w:pPr>
        <w:ind w:left="720"/>
        <w:rPr>
          <w:i/>
        </w:rPr>
      </w:pPr>
      <w:r w:rsidRPr="00563AD3">
        <w:rPr>
          <w:i/>
        </w:rPr>
        <w:t>“When she’d gone the support had gone” (50010 Mapper)</w:t>
      </w:r>
    </w:p>
    <w:p w14:paraId="3DA372D4" w14:textId="420C7BB6" w:rsidR="00B06E44" w:rsidRPr="00563AD3" w:rsidRDefault="00B06E44" w:rsidP="009B13F3">
      <w:r w:rsidRPr="00563AD3">
        <w:t xml:space="preserve">One DCM™ expert mapper suggested that for future </w:t>
      </w:r>
      <w:r w:rsidR="00597D22" w:rsidRPr="00563AD3">
        <w:t>DCM™</w:t>
      </w:r>
      <w:r w:rsidRPr="00563AD3">
        <w:t xml:space="preserve"> research, research assistants should support mappers to complete </w:t>
      </w:r>
      <w:r w:rsidR="00597D22" w:rsidRPr="00563AD3">
        <w:t>DCM™</w:t>
      </w:r>
      <w:r w:rsidRPr="00563AD3">
        <w:t xml:space="preserve"> paperwork. However, this does not represent the standard use of </w:t>
      </w:r>
      <w:r w:rsidR="00597D22" w:rsidRPr="00563AD3">
        <w:t>DCM™</w:t>
      </w:r>
      <w:r w:rsidRPr="00563AD3">
        <w:t xml:space="preserve"> within care homes and thus the pragmatic trial design employed in the present trial.</w:t>
      </w:r>
    </w:p>
    <w:p w14:paraId="4278F167" w14:textId="77777777" w:rsidR="00B06E44" w:rsidRPr="00563AD3" w:rsidRDefault="00B06E44" w:rsidP="009B13F3">
      <w:pPr>
        <w:ind w:left="720"/>
        <w:rPr>
          <w:i/>
          <w:u w:val="single"/>
        </w:rPr>
      </w:pPr>
      <w:r w:rsidRPr="00563AD3">
        <w:rPr>
          <w:i/>
        </w:rPr>
        <w:t xml:space="preserve"> “I think you would’ve really struggled if they hadn’t had someone going in. Be that an expert mapper or be that a research assistant, to go in and support them with doing the paperwork and completing that, which obviously would un-blind the researchers. But they would need some kind of support to be able to engage with the research.” (DCM™ expert 70006)</w:t>
      </w:r>
    </w:p>
    <w:p w14:paraId="59380BC0" w14:textId="7FD4007C" w:rsidR="00564580" w:rsidRPr="00563AD3" w:rsidRDefault="00B06E44" w:rsidP="009B13F3">
      <w:r w:rsidRPr="00563AD3">
        <w:t xml:space="preserve">These findings suggest that DCM™ expert mappers felt that their influence had a positive impact on </w:t>
      </w:r>
      <w:r w:rsidR="00597D22" w:rsidRPr="00563AD3">
        <w:t>DCM™</w:t>
      </w:r>
      <w:r w:rsidRPr="00563AD3">
        <w:t xml:space="preserve"> delivery and resulted in substantially more cycles being completed than would have been without their input. However, this support was not always appreciated by the mappers. The implementation data, which shows only 26% of intervention homes completed further, acceptable DCM</w:t>
      </w:r>
      <w:r w:rsidRPr="00563AD3">
        <w:rPr>
          <w:vertAlign w:val="superscript"/>
        </w:rPr>
        <w:t>TM</w:t>
      </w:r>
      <w:r w:rsidRPr="00563AD3">
        <w:t xml:space="preserve"> cycles after the expert supported </w:t>
      </w:r>
      <w:r w:rsidR="000374E6" w:rsidRPr="00563AD3">
        <w:t xml:space="preserve">first </w:t>
      </w:r>
      <w:r w:rsidRPr="00563AD3">
        <w:t xml:space="preserve">cycle, suggests the value of </w:t>
      </w:r>
      <w:r w:rsidR="000374E6" w:rsidRPr="00563AD3">
        <w:t>expert mapper</w:t>
      </w:r>
      <w:r w:rsidRPr="00563AD3">
        <w:t xml:space="preserve"> input for supporting </w:t>
      </w:r>
      <w:r w:rsidR="000374E6" w:rsidRPr="00563AD3">
        <w:t>DCM</w:t>
      </w:r>
      <w:r w:rsidR="000374E6" w:rsidRPr="00563AD3">
        <w:rPr>
          <w:vertAlign w:val="superscript"/>
        </w:rPr>
        <w:t>TM</w:t>
      </w:r>
      <w:r w:rsidR="000374E6" w:rsidRPr="00563AD3">
        <w:t xml:space="preserve"> </w:t>
      </w:r>
      <w:r w:rsidRPr="00563AD3">
        <w:t>implementation</w:t>
      </w:r>
      <w:r w:rsidR="000374E6" w:rsidRPr="00563AD3">
        <w:t xml:space="preserve"> in care home settings</w:t>
      </w:r>
      <w:r w:rsidRPr="00563AD3">
        <w:t>.</w:t>
      </w:r>
      <w:r w:rsidR="000374E6" w:rsidRPr="00563AD3">
        <w:t xml:space="preserve"> </w:t>
      </w:r>
    </w:p>
    <w:p w14:paraId="45D0902B" w14:textId="77777777" w:rsidR="001D041E" w:rsidRDefault="001D041E" w:rsidP="004456A2"/>
    <w:p w14:paraId="1ED779E1" w14:textId="297698CC" w:rsidR="002D5157" w:rsidRPr="00563AD3" w:rsidRDefault="00856329" w:rsidP="009B13F3">
      <w:pPr>
        <w:pStyle w:val="Heading4"/>
      </w:pPr>
      <w:r w:rsidRPr="00563AD3">
        <w:t>5.4.1.4</w:t>
      </w:r>
      <w:r w:rsidR="007A15E3" w:rsidRPr="00563AD3">
        <w:t xml:space="preserve"> </w:t>
      </w:r>
      <w:r w:rsidR="002D5157" w:rsidRPr="00563AD3">
        <w:t>Summary</w:t>
      </w:r>
    </w:p>
    <w:p w14:paraId="4B6B7ABD" w14:textId="233E22A0" w:rsidR="002D5157" w:rsidRPr="00563AD3" w:rsidRDefault="000374E6" w:rsidP="009B13F3">
      <w:r w:rsidRPr="00563AD3">
        <w:t xml:space="preserve">There were many barriers and facilitators to implementing </w:t>
      </w:r>
      <w:r w:rsidR="00597D22" w:rsidRPr="00563AD3">
        <w:t>DCM™</w:t>
      </w:r>
      <w:r w:rsidRPr="00563AD3">
        <w:t xml:space="preserve">, due to the complex nature of both the intervention and care home settings. Selection of appropriate staff as mappers was key, ensuring that they had the necessary skills to implement all aspects of </w:t>
      </w:r>
      <w:r w:rsidR="00597D22" w:rsidRPr="00563AD3">
        <w:t>DCM™</w:t>
      </w:r>
      <w:r w:rsidRPr="00563AD3">
        <w:t xml:space="preserve">, including suitable language skills, the time to undertake all aspects of </w:t>
      </w:r>
      <w:r w:rsidR="00597D22" w:rsidRPr="00563AD3">
        <w:t>DCM™</w:t>
      </w:r>
      <w:r w:rsidRPr="00563AD3">
        <w:t xml:space="preserve"> within their day to day role, were well respected by the staff team, and had leadership capabilities and influence among staff. It was crucial that the expectations of </w:t>
      </w:r>
      <w:r w:rsidR="00597D22" w:rsidRPr="00563AD3">
        <w:t>DCM™</w:t>
      </w:r>
      <w:r w:rsidRPr="00563AD3">
        <w:t xml:space="preserve"> were understood by both care home managers and mappers before training was completed. Implementation was easier in larger care homes, where there was a larger staff budget to allow mappers to be released from their usual roles. The support of expert mappers was felt to be particularly important in the beginning to implement </w:t>
      </w:r>
      <w:r w:rsidR="00597D22" w:rsidRPr="00563AD3">
        <w:t>DCM™</w:t>
      </w:r>
      <w:r w:rsidRPr="00563AD3">
        <w:t xml:space="preserve">. While this is not a standard component of </w:t>
      </w:r>
      <w:r w:rsidR="00597D22" w:rsidRPr="00563AD3">
        <w:t>DCM™</w:t>
      </w:r>
      <w:r w:rsidRPr="00563AD3">
        <w:t xml:space="preserve"> unless purchased as an addition to standard training, it was a necessary feature of mapper support during the trial. These findings have implications for considering the way that mappers are currently trained and the support that may be required to implement </w:t>
      </w:r>
      <w:r w:rsidR="00597D22" w:rsidRPr="00563AD3">
        <w:t>DCM™</w:t>
      </w:r>
      <w:r w:rsidRPr="00563AD3">
        <w:t xml:space="preserve"> in practice (fully engage in the 4 phases of a </w:t>
      </w:r>
      <w:r w:rsidR="00597D22" w:rsidRPr="00563AD3">
        <w:t>DCM™</w:t>
      </w:r>
      <w:r w:rsidRPr="00563AD3">
        <w:t xml:space="preserve"> practice development cycle). </w:t>
      </w:r>
      <w:r w:rsidR="002D5157" w:rsidRPr="00563AD3">
        <w:t xml:space="preserve"> </w:t>
      </w:r>
    </w:p>
    <w:p w14:paraId="42542A2F" w14:textId="77777777" w:rsidR="00F534C5" w:rsidRPr="00563AD3" w:rsidRDefault="00F534C5" w:rsidP="009B13F3">
      <w:pPr>
        <w:autoSpaceDE/>
        <w:autoSpaceDN/>
        <w:adjustRightInd/>
      </w:pPr>
    </w:p>
    <w:p w14:paraId="28BAC52B" w14:textId="77777777" w:rsidR="001D041E" w:rsidRDefault="001D041E" w:rsidP="004456A2"/>
    <w:p w14:paraId="7463A71D" w14:textId="6A4308F0" w:rsidR="00F534C5" w:rsidRPr="00563AD3" w:rsidRDefault="000374E6" w:rsidP="009B13F3">
      <w:pPr>
        <w:pStyle w:val="Heading4"/>
      </w:pPr>
      <w:r w:rsidRPr="00563AD3">
        <w:t>5</w:t>
      </w:r>
      <w:r w:rsidR="00F534C5" w:rsidRPr="00563AD3">
        <w:t>.</w:t>
      </w:r>
      <w:r w:rsidRPr="00563AD3">
        <w:t>4.1.5</w:t>
      </w:r>
      <w:r w:rsidR="00F534C5" w:rsidRPr="00563AD3">
        <w:t xml:space="preserve"> Specific </w:t>
      </w:r>
      <w:r w:rsidR="00B0198D" w:rsidRPr="00563AD3">
        <w:t>barriers and facilitators</w:t>
      </w:r>
      <w:r w:rsidR="00F534C5" w:rsidRPr="00563AD3">
        <w:t xml:space="preserve"> to identifying, achieving or maintaining impact</w:t>
      </w:r>
    </w:p>
    <w:p w14:paraId="594FF133" w14:textId="392ED171" w:rsidR="00F534C5" w:rsidRPr="00563AD3" w:rsidRDefault="00F534C5" w:rsidP="009B13F3">
      <w:r w:rsidRPr="00563AD3">
        <w:t xml:space="preserve">Alongside the barriers to intervention implementation (and so to impact) identified above, there were some specific barriers </w:t>
      </w:r>
      <w:r w:rsidR="003E2349" w:rsidRPr="00563AD3">
        <w:t xml:space="preserve">and facilitators </w:t>
      </w:r>
      <w:r w:rsidRPr="00563AD3">
        <w:t>to identifying, achieving or maintaining impact</w:t>
      </w:r>
      <w:r w:rsidR="003E2349" w:rsidRPr="00563AD3">
        <w:t xml:space="preserve">s from </w:t>
      </w:r>
      <w:r w:rsidR="00597D22" w:rsidRPr="00563AD3">
        <w:t>DCM™</w:t>
      </w:r>
      <w:r w:rsidRPr="00563AD3">
        <w:t xml:space="preserve">. </w:t>
      </w:r>
    </w:p>
    <w:p w14:paraId="696821E2" w14:textId="77777777" w:rsidR="001D041E" w:rsidRDefault="001D041E" w:rsidP="004456A2"/>
    <w:p w14:paraId="7455D440" w14:textId="016060A4" w:rsidR="00F534C5" w:rsidRPr="00563AD3" w:rsidRDefault="000374E6" w:rsidP="009B13F3">
      <w:pPr>
        <w:pStyle w:val="Heading5"/>
      </w:pPr>
      <w:r w:rsidRPr="00563AD3">
        <w:t>5</w:t>
      </w:r>
      <w:r w:rsidR="00F534C5" w:rsidRPr="00563AD3">
        <w:t>.4.1</w:t>
      </w:r>
      <w:r w:rsidRPr="00563AD3">
        <w:t>.5.1</w:t>
      </w:r>
      <w:r w:rsidR="0005151C" w:rsidRPr="00563AD3">
        <w:t xml:space="preserve"> </w:t>
      </w:r>
      <w:r w:rsidR="0057431D" w:rsidRPr="00563AD3">
        <w:t>Barriers</w:t>
      </w:r>
      <w:r w:rsidR="0005151C" w:rsidRPr="00563AD3">
        <w:t xml:space="preserve"> </w:t>
      </w:r>
      <w:r w:rsidR="00F534C5" w:rsidRPr="00563AD3">
        <w:t>to identifying impact</w:t>
      </w:r>
    </w:p>
    <w:p w14:paraId="34B88FAB" w14:textId="77777777" w:rsidR="000374E6" w:rsidRPr="00563AD3" w:rsidRDefault="000374E6" w:rsidP="009B13F3">
      <w:r w:rsidRPr="00563AD3">
        <w:t xml:space="preserve">Challenges to </w:t>
      </w:r>
      <w:r w:rsidRPr="00563AD3">
        <w:rPr>
          <w:i/>
        </w:rPr>
        <w:t>identifying</w:t>
      </w:r>
      <w:r w:rsidRPr="00563AD3">
        <w:t xml:space="preserve"> impact arose primarily from perceived difficulties in accurately identifying the impacts of any care improvements on people with dementia. For example, some staff and relatives felt that people with dementia would not be able to recognise the impact of any changes made, and some relatives (who may have been involved in completing outcome measures) felt it was difficult for them to identify changes in their family member due to the infrequency of their contact with the resident:</w:t>
      </w:r>
    </w:p>
    <w:p w14:paraId="276C567C" w14:textId="14409A73" w:rsidR="000374E6" w:rsidRPr="00563AD3" w:rsidRDefault="000374E6" w:rsidP="009B13F3">
      <w:pPr>
        <w:ind w:left="720"/>
        <w:rPr>
          <w:i/>
        </w:rPr>
      </w:pPr>
      <w:r w:rsidRPr="00563AD3">
        <w:rPr>
          <w:i/>
        </w:rPr>
        <w:t>“They [people with dementia] will not acknowledge it [</w:t>
      </w:r>
      <w:r w:rsidR="00597D22" w:rsidRPr="00563AD3">
        <w:rPr>
          <w:i/>
        </w:rPr>
        <w:t>DCM™</w:t>
      </w:r>
      <w:r w:rsidRPr="00563AD3">
        <w:rPr>
          <w:i/>
        </w:rPr>
        <w:t>] as having an impact on them.” (50011/10160)</w:t>
      </w:r>
    </w:p>
    <w:p w14:paraId="023E91D7" w14:textId="77777777" w:rsidR="000374E6" w:rsidRPr="00563AD3" w:rsidRDefault="000374E6" w:rsidP="009B13F3">
      <w:pPr>
        <w:ind w:left="720"/>
        <w:rPr>
          <w:i/>
        </w:rPr>
      </w:pPr>
      <w:r w:rsidRPr="00563AD3">
        <w:rPr>
          <w:i/>
        </w:rPr>
        <w:t>“I think their life has perhaps been improved by it, but I don’t know whether they would be able to express that or realise that.” (Manager, 58930)</w:t>
      </w:r>
    </w:p>
    <w:p w14:paraId="356DA0D3" w14:textId="77777777" w:rsidR="000374E6" w:rsidRPr="00563AD3" w:rsidRDefault="000374E6" w:rsidP="009B13F3">
      <w:pPr>
        <w:ind w:left="720"/>
        <w:rPr>
          <w:i/>
        </w:rPr>
      </w:pPr>
      <w:r w:rsidRPr="00563AD3">
        <w:rPr>
          <w:i/>
        </w:rPr>
        <w:t>“</w:t>
      </w:r>
      <w:r w:rsidRPr="00563AD3">
        <w:rPr>
          <w:i/>
          <w:color w:val="000000"/>
        </w:rPr>
        <w:t xml:space="preserve">I think it’s amazing and probably essential, and you know, it’s hard to get data because… the residents themselves aren’t particularly reliable.” (Relative, </w:t>
      </w:r>
      <w:r w:rsidRPr="00563AD3">
        <w:rPr>
          <w:i/>
        </w:rPr>
        <w:t>50016)</w:t>
      </w:r>
    </w:p>
    <w:p w14:paraId="25676D8B" w14:textId="1C564598" w:rsidR="00F534C5" w:rsidRPr="00563AD3" w:rsidRDefault="00F534C5" w:rsidP="009B13F3">
      <w:pPr>
        <w:ind w:firstLine="720"/>
        <w:rPr>
          <w:i/>
        </w:rPr>
      </w:pPr>
    </w:p>
    <w:p w14:paraId="0BE22865" w14:textId="7EC3EA7E" w:rsidR="00F534C5" w:rsidRPr="00563AD3" w:rsidRDefault="000374E6" w:rsidP="009B13F3">
      <w:pPr>
        <w:pStyle w:val="Heading5"/>
      </w:pPr>
      <w:r w:rsidRPr="00563AD3">
        <w:t xml:space="preserve">5.4.1.5.2 </w:t>
      </w:r>
      <w:r w:rsidR="0057431D" w:rsidRPr="00563AD3">
        <w:t>Barriers</w:t>
      </w:r>
      <w:r w:rsidR="00F534C5" w:rsidRPr="00563AD3">
        <w:t xml:space="preserve"> to achieving </w:t>
      </w:r>
      <w:r w:rsidRPr="00563AD3">
        <w:t xml:space="preserve">positive </w:t>
      </w:r>
      <w:r w:rsidR="00F534C5" w:rsidRPr="00563AD3">
        <w:t>impact</w:t>
      </w:r>
      <w:r w:rsidRPr="00563AD3">
        <w:t>s</w:t>
      </w:r>
    </w:p>
    <w:p w14:paraId="291F3104" w14:textId="75147C31" w:rsidR="000374E6" w:rsidRPr="00563AD3" w:rsidRDefault="000374E6" w:rsidP="009B13F3">
      <w:r w:rsidRPr="00563AD3">
        <w:t xml:space="preserve">Interviewees spoke of multiple challenges to </w:t>
      </w:r>
      <w:r w:rsidRPr="00563AD3">
        <w:rPr>
          <w:i/>
        </w:rPr>
        <w:t>achieving</w:t>
      </w:r>
      <w:r w:rsidRPr="00563AD3">
        <w:t xml:space="preserve"> positive impacts from </w:t>
      </w:r>
      <w:r w:rsidR="00597D22" w:rsidRPr="00563AD3">
        <w:t>DCM™</w:t>
      </w:r>
      <w:r w:rsidRPr="00563AD3">
        <w:t xml:space="preserve">. Some of the more predictable barriers included staffing, the costs of making changes, and competing priorities for staff such as high workloads or emergencies. For example, if competing priorities meant that action plans were not always carried out then potential impacts from </w:t>
      </w:r>
      <w:r w:rsidR="00597D22" w:rsidRPr="00563AD3">
        <w:t>DCM™</w:t>
      </w:r>
      <w:r w:rsidRPr="00563AD3">
        <w:t xml:space="preserve"> were not always realised:</w:t>
      </w:r>
    </w:p>
    <w:p w14:paraId="2CA83B93" w14:textId="77777777" w:rsidR="000374E6" w:rsidRPr="00563AD3" w:rsidRDefault="000374E6" w:rsidP="009B13F3">
      <w:pPr>
        <w:ind w:left="720"/>
        <w:rPr>
          <w:i/>
        </w:rPr>
      </w:pPr>
      <w:r w:rsidRPr="00563AD3">
        <w:rPr>
          <w:i/>
        </w:rPr>
        <w:t>“You are trying to carry action plans out, but the day to day everything means that you can’t carry them out as much as you’d like to because, like I say, you end up with short staff, you end up with emergencies.” (59830/40002)</w:t>
      </w:r>
    </w:p>
    <w:p w14:paraId="4D023711" w14:textId="461D1CD1" w:rsidR="000374E6" w:rsidRPr="00563AD3" w:rsidRDefault="000374E6" w:rsidP="009B13F3">
      <w:r w:rsidRPr="00563AD3">
        <w:t xml:space="preserve">Understanding and perceptions of </w:t>
      </w:r>
      <w:r w:rsidR="00597D22" w:rsidRPr="00563AD3">
        <w:t>DCM™</w:t>
      </w:r>
      <w:r w:rsidRPr="00563AD3">
        <w:t xml:space="preserve"> (e.g. of its purpose, quality and reliability) and perceptions of the current quality of care in the home appeared to shape the degree to which the outputs of mapping sessions were attended to or seen as indicating a need for change:</w:t>
      </w:r>
    </w:p>
    <w:p w14:paraId="690757A6" w14:textId="77777777" w:rsidR="000374E6" w:rsidRPr="00563AD3" w:rsidRDefault="000374E6" w:rsidP="009B13F3">
      <w:pPr>
        <w:ind w:left="720"/>
        <w:rPr>
          <w:i/>
        </w:rPr>
      </w:pPr>
      <w:r w:rsidRPr="00563AD3">
        <w:rPr>
          <w:i/>
        </w:rPr>
        <w:t>“They [staff] don’t understand what it is.” (50010/10095)</w:t>
      </w:r>
    </w:p>
    <w:p w14:paraId="59BA584A" w14:textId="45A5DE09" w:rsidR="000374E6" w:rsidRPr="00563AD3" w:rsidRDefault="000374E6" w:rsidP="009B13F3">
      <w:pPr>
        <w:ind w:left="720"/>
        <w:rPr>
          <w:i/>
        </w:rPr>
      </w:pPr>
      <w:r w:rsidRPr="00563AD3">
        <w:rPr>
          <w:i/>
        </w:rPr>
        <w:t xml:space="preserve">“The main issues [with </w:t>
      </w:r>
      <w:r w:rsidR="00597D22" w:rsidRPr="00563AD3">
        <w:rPr>
          <w:i/>
        </w:rPr>
        <w:t>DCM™</w:t>
      </w:r>
      <w:r w:rsidRPr="00563AD3">
        <w:rPr>
          <w:i/>
        </w:rPr>
        <w:t>] are, some of the things we got on the feedback were well you were looking at so and so, they hadn’t slept last night so that’s why they’ve been nodding off the whole time. So even for that resident it sometimes doesn’t give you an accurate picture.” (50018/10268/10277)</w:t>
      </w:r>
    </w:p>
    <w:p w14:paraId="31261755" w14:textId="77777777" w:rsidR="000374E6" w:rsidRPr="00563AD3" w:rsidRDefault="000374E6" w:rsidP="009B13F3">
      <w:pPr>
        <w:ind w:left="720"/>
        <w:rPr>
          <w:i/>
        </w:rPr>
      </w:pPr>
      <w:r w:rsidRPr="00563AD3">
        <w:rPr>
          <w:i/>
        </w:rPr>
        <w:t>[Answering a question about whether changes to care have occurred] “No I don’t think so, because they’re all pretty good anyway. The staff here are pretty good. So we do sort of pride ourselves on person-centred care.” (50031/10456)</w:t>
      </w:r>
    </w:p>
    <w:p w14:paraId="1D59F5D7" w14:textId="7F859F77" w:rsidR="000374E6" w:rsidRPr="00563AD3" w:rsidRDefault="000374E6" w:rsidP="009B13F3">
      <w:r w:rsidRPr="00563AD3">
        <w:t xml:space="preserve">Additional barriers to achieving positive impacts included staff who were not open to change, and a lack of managerial or financial support for changes proposed as a result of </w:t>
      </w:r>
      <w:r w:rsidR="00597D22" w:rsidRPr="00563AD3">
        <w:t>DCM™</w:t>
      </w:r>
      <w:r w:rsidRPr="00563AD3">
        <w:t xml:space="preserve"> cycles:</w:t>
      </w:r>
    </w:p>
    <w:p w14:paraId="1F390A68" w14:textId="77777777" w:rsidR="000374E6" w:rsidRPr="00563AD3" w:rsidRDefault="000374E6" w:rsidP="009B13F3">
      <w:pPr>
        <w:ind w:left="720"/>
        <w:rPr>
          <w:i/>
        </w:rPr>
      </w:pPr>
      <w:r w:rsidRPr="00563AD3">
        <w:rPr>
          <w:i/>
        </w:rPr>
        <w:t>“Obviously you always get a few who don’t want to take on board anything.” (59830/40002)</w:t>
      </w:r>
    </w:p>
    <w:p w14:paraId="6A50EE54" w14:textId="3A56A833" w:rsidR="000374E6" w:rsidRPr="00563AD3" w:rsidRDefault="000374E6" w:rsidP="009B13F3">
      <w:pPr>
        <w:ind w:left="720"/>
        <w:rPr>
          <w:i/>
        </w:rPr>
      </w:pPr>
      <w:r w:rsidRPr="00563AD3">
        <w:rPr>
          <w:i/>
        </w:rPr>
        <w:t>“When we do the briefing we, let’s say, decided to do some things a different way, and they agree. But later on they found some difficulties, like I said, to change the chairs or something. And then maybe that’s cost then.” (58757/10446)</w:t>
      </w:r>
    </w:p>
    <w:p w14:paraId="297F6DCB" w14:textId="77777777" w:rsidR="000374E6" w:rsidRPr="00563AD3" w:rsidRDefault="000374E6" w:rsidP="009B13F3">
      <w:pPr>
        <w:ind w:left="720"/>
        <w:rPr>
          <w:i/>
        </w:rPr>
      </w:pPr>
    </w:p>
    <w:p w14:paraId="338F5953" w14:textId="3B4CBE1D" w:rsidR="00F534C5" w:rsidRPr="00563AD3" w:rsidRDefault="000374E6" w:rsidP="009B13F3">
      <w:pPr>
        <w:pStyle w:val="Heading5"/>
      </w:pPr>
      <w:r w:rsidRPr="00563AD3">
        <w:t xml:space="preserve">5.4.1.5.3 </w:t>
      </w:r>
      <w:r w:rsidR="0057431D" w:rsidRPr="00563AD3">
        <w:t>Barriers</w:t>
      </w:r>
      <w:r w:rsidR="00F534C5" w:rsidRPr="00563AD3">
        <w:t xml:space="preserve"> to maintaining </w:t>
      </w:r>
      <w:r w:rsidRPr="00563AD3">
        <w:t xml:space="preserve">positive </w:t>
      </w:r>
      <w:r w:rsidR="00F534C5" w:rsidRPr="00563AD3">
        <w:t>impact</w:t>
      </w:r>
      <w:r w:rsidRPr="00563AD3">
        <w:t>s</w:t>
      </w:r>
    </w:p>
    <w:p w14:paraId="32F70EA9" w14:textId="34BC95E8" w:rsidR="000374E6" w:rsidRPr="00563AD3" w:rsidRDefault="000374E6" w:rsidP="009B13F3">
      <w:r w:rsidRPr="00563AD3">
        <w:t xml:space="preserve">Some care homes experienced challenges in maintaining positive impacts from </w:t>
      </w:r>
      <w:r w:rsidR="00597D22" w:rsidRPr="00563AD3">
        <w:t>DCM™</w:t>
      </w:r>
      <w:r w:rsidRPr="00563AD3">
        <w:t xml:space="preserve"> over time. These challenges included difficulties in maintaining staff engagement with the </w:t>
      </w:r>
      <w:r w:rsidR="00597D22" w:rsidRPr="00563AD3">
        <w:t>DCM™</w:t>
      </w:r>
      <w:r w:rsidRPr="00563AD3">
        <w:t xml:space="preserve"> process, in particular with the feedback and action planning sessions, and difficulties maintaining momentum as staffing teams changed over time:</w:t>
      </w:r>
    </w:p>
    <w:p w14:paraId="4AFA28EF" w14:textId="77777777" w:rsidR="000374E6" w:rsidRPr="00563AD3" w:rsidRDefault="000374E6" w:rsidP="009B13F3">
      <w:pPr>
        <w:ind w:left="720"/>
        <w:rPr>
          <w:i/>
        </w:rPr>
      </w:pPr>
      <w:r w:rsidRPr="00563AD3">
        <w:rPr>
          <w:i/>
        </w:rPr>
        <w:t>“People stopped turning up… The first time around… we had maybe eight or something in here, and they did, you know, we had a good meeting. But then the second time around we held a meeting and no one came… we put posters up all over and we let everyone know that we were doing these feedback sessions… and nobody turned up.” (50010/10095 &amp; 10096)</w:t>
      </w:r>
    </w:p>
    <w:p w14:paraId="7A0133DC" w14:textId="77777777" w:rsidR="000374E6" w:rsidRPr="00563AD3" w:rsidRDefault="000374E6" w:rsidP="009B13F3">
      <w:pPr>
        <w:ind w:left="720"/>
        <w:rPr>
          <w:i/>
        </w:rPr>
      </w:pPr>
      <w:r w:rsidRPr="00563AD3">
        <w:rPr>
          <w:i/>
        </w:rPr>
        <w:t>“I think sustained changes certainly from the staff who were here then, but the staff who haven’t actually had that form of training, the momentum has waned actually.” (Manager 50024)</w:t>
      </w:r>
    </w:p>
    <w:p w14:paraId="1B2F735D" w14:textId="0912525B" w:rsidR="000374E6" w:rsidRPr="00563AD3" w:rsidRDefault="000374E6" w:rsidP="009B13F3">
      <w:r w:rsidRPr="00563AD3">
        <w:t xml:space="preserve">Of note in relation to achieving </w:t>
      </w:r>
      <w:r w:rsidRPr="00563AD3">
        <w:rPr>
          <w:i/>
        </w:rPr>
        <w:t>and</w:t>
      </w:r>
      <w:r w:rsidRPr="00563AD3">
        <w:t xml:space="preserve"> maintaining positive impacts for care home residents generally, many examples of impacts for residents were specific to individuals who had been mapped. These findings suggest that the impacts of </w:t>
      </w:r>
      <w:r w:rsidR="00597D22" w:rsidRPr="00563AD3">
        <w:t>DCM™</w:t>
      </w:r>
      <w:r w:rsidRPr="00563AD3">
        <w:t xml:space="preserve"> may be greater for mapped individuals, rather than residents who were not involved in mapping:</w:t>
      </w:r>
    </w:p>
    <w:p w14:paraId="066974C1" w14:textId="77777777" w:rsidR="000374E6" w:rsidRPr="00563AD3" w:rsidRDefault="000374E6" w:rsidP="009B13F3">
      <w:pPr>
        <w:ind w:left="720"/>
        <w:rPr>
          <w:i/>
        </w:rPr>
      </w:pPr>
      <w:r w:rsidRPr="00563AD3">
        <w:rPr>
          <w:i/>
        </w:rPr>
        <w:t>“The ones that we mapped, I’d like to think are more gainfully employed with their time.” (50069/10475)</w:t>
      </w:r>
    </w:p>
    <w:p w14:paraId="16B0CBE9" w14:textId="77777777" w:rsidR="000374E6" w:rsidRPr="00563AD3" w:rsidRDefault="000374E6" w:rsidP="009B13F3">
      <w:pPr>
        <w:ind w:left="720"/>
        <w:rPr>
          <w:i/>
        </w:rPr>
      </w:pPr>
      <w:r w:rsidRPr="00563AD3">
        <w:rPr>
          <w:i/>
        </w:rPr>
        <w:t>“We have observed a resident then we have made a care plan specific to that resident’s needs.” (50011/10160)</w:t>
      </w:r>
    </w:p>
    <w:p w14:paraId="178B5B2D" w14:textId="752D0A83" w:rsidR="000374E6" w:rsidRPr="00563AD3" w:rsidRDefault="000374E6" w:rsidP="009B13F3">
      <w:r w:rsidRPr="00563AD3">
        <w:t xml:space="preserve">As mapped individuals were a small minority of the trial sample, producing and maintaining a positive effect on residents more generally may have been a difficulty for homes which focused predominantly on action planning for mapped individuals and focussed less on development of home level action plans. </w:t>
      </w:r>
      <w:r w:rsidR="003811AC" w:rsidRPr="00563AD3">
        <w:t xml:space="preserve">Given mappers could select any care home residents to be observed during </w:t>
      </w:r>
      <w:r w:rsidR="00597D22" w:rsidRPr="00563AD3">
        <w:t>DCM™</w:t>
      </w:r>
      <w:r w:rsidR="003811AC" w:rsidRPr="00563AD3">
        <w:t xml:space="preserve"> cycles, those mapped were not necessarily trial participants. </w:t>
      </w:r>
      <w:r w:rsidRPr="00563AD3">
        <w:t xml:space="preserve">In addition, a focus in some homes on addressing the needs of mapped individuals may have reduced the longer-term impact of </w:t>
      </w:r>
      <w:r w:rsidR="00597D22" w:rsidRPr="00563AD3">
        <w:t>DCM™</w:t>
      </w:r>
      <w:r w:rsidRPr="00563AD3">
        <w:t xml:space="preserve"> as the high rates of death and transfer to other care settings made it likely that many mapped individuals were no longer residing in the homes at follow up: </w:t>
      </w:r>
    </w:p>
    <w:p w14:paraId="5835834B" w14:textId="77777777" w:rsidR="000374E6" w:rsidRPr="00563AD3" w:rsidRDefault="000374E6" w:rsidP="009B13F3">
      <w:pPr>
        <w:ind w:left="720"/>
        <w:rPr>
          <w:i/>
        </w:rPr>
      </w:pPr>
      <w:r w:rsidRPr="00563AD3">
        <w:rPr>
          <w:i/>
        </w:rPr>
        <w:t>“Even to be observed, for them [mapped individuals], was kind of benefitting… but unfortunately most of them are not here anymore… so we can’t say ‘oh it’s brilliant, working…’ (58787/10446)</w:t>
      </w:r>
    </w:p>
    <w:p w14:paraId="17FACC0F" w14:textId="284E9A97" w:rsidR="000374E6" w:rsidRPr="00563AD3" w:rsidRDefault="000374E6" w:rsidP="009B13F3">
      <w:r w:rsidRPr="00563AD3">
        <w:t xml:space="preserve">Action plans and impacts for mapped residents were not necessarily transferrable to other residents, or were not viewed as such by staff, which may have affected the degree to which positive impacts from </w:t>
      </w:r>
      <w:r w:rsidR="00597D22" w:rsidRPr="00563AD3">
        <w:t>DCM™</w:t>
      </w:r>
      <w:r w:rsidRPr="00563AD3">
        <w:t xml:space="preserve"> were able to be maintained over time.</w:t>
      </w:r>
    </w:p>
    <w:p w14:paraId="310B1AD4" w14:textId="77777777" w:rsidR="00F534C5" w:rsidRPr="00563AD3" w:rsidRDefault="00F534C5" w:rsidP="009B13F3">
      <w:pPr>
        <w:rPr>
          <w:b/>
        </w:rPr>
      </w:pPr>
    </w:p>
    <w:p w14:paraId="1211132E" w14:textId="7E48D0A8" w:rsidR="00F534C5" w:rsidRPr="00563AD3" w:rsidRDefault="003811AC" w:rsidP="009B13F3">
      <w:pPr>
        <w:pStyle w:val="Heading5"/>
        <w:rPr>
          <w:b/>
        </w:rPr>
      </w:pPr>
      <w:r w:rsidRPr="00563AD3">
        <w:rPr>
          <w:rStyle w:val="Heading4Char"/>
          <w:u w:val="none"/>
        </w:rPr>
        <w:t>5.4.1.5.4</w:t>
      </w:r>
      <w:r w:rsidR="00F534C5" w:rsidRPr="00563AD3">
        <w:rPr>
          <w:rStyle w:val="Heading4Char"/>
          <w:u w:val="none"/>
        </w:rPr>
        <w:t xml:space="preserve"> Facilitators to achieving and maintaining impact</w:t>
      </w:r>
    </w:p>
    <w:p w14:paraId="0A2B5C15" w14:textId="15B1DD52" w:rsidR="003811AC" w:rsidRPr="00563AD3" w:rsidRDefault="003811AC" w:rsidP="009B13F3">
      <w:r w:rsidRPr="00563AD3">
        <w:t xml:space="preserve">As well as identifying challenges to achieving positive outcomes from </w:t>
      </w:r>
      <w:r w:rsidR="00597D22" w:rsidRPr="00563AD3">
        <w:t>DCM™</w:t>
      </w:r>
      <w:r w:rsidRPr="00563AD3">
        <w:t>, interviewees also reported a number of factors that facilitated the achievement or maintenance of impacts. Changing staff perceptions of the quality of care they were providing, and/or their perceptions of people with dementia and their needs, was a key impact facilitator:</w:t>
      </w:r>
    </w:p>
    <w:p w14:paraId="3C78384B" w14:textId="77777777" w:rsidR="003811AC" w:rsidRPr="00563AD3" w:rsidRDefault="003811AC" w:rsidP="009B13F3">
      <w:pPr>
        <w:ind w:left="720"/>
        <w:rPr>
          <w:i/>
        </w:rPr>
      </w:pPr>
      <w:r w:rsidRPr="00563AD3">
        <w:rPr>
          <w:i/>
        </w:rPr>
        <w:t>“You don’t realise, when you’re walking through the room, that you’ve passed ten people and you haven’t even spoke to them.” (10095)</w:t>
      </w:r>
    </w:p>
    <w:p w14:paraId="6B146498" w14:textId="77777777" w:rsidR="003811AC" w:rsidRPr="00563AD3" w:rsidRDefault="003811AC" w:rsidP="009B13F3">
      <w:pPr>
        <w:ind w:left="720"/>
        <w:rPr>
          <w:i/>
        </w:rPr>
      </w:pPr>
      <w:r w:rsidRPr="00563AD3">
        <w:rPr>
          <w:i/>
        </w:rPr>
        <w:t xml:space="preserve"> “It encourages the staff to think more of them as people… because obviously they [people with more advanced dementia] don’t respond as much… so it has helped in that way, to make them more aware that they still have to have the same contact, the same explanations for them.” (59830/40002)</w:t>
      </w:r>
    </w:p>
    <w:p w14:paraId="086402C6" w14:textId="77777777" w:rsidR="003811AC" w:rsidRPr="00563AD3" w:rsidRDefault="003811AC" w:rsidP="009B13F3">
      <w:r w:rsidRPr="00563AD3">
        <w:t>As creating change in care practices was dependant on staff recognising the need for change, mappers needed to understandably demonstrate the issues with current care in order for these to be recognised and addressed by staff:</w:t>
      </w:r>
    </w:p>
    <w:p w14:paraId="7FCB1A9A" w14:textId="77777777" w:rsidR="003811AC" w:rsidRPr="00563AD3" w:rsidRDefault="003811AC" w:rsidP="009B13F3">
      <w:pPr>
        <w:ind w:left="720"/>
        <w:rPr>
          <w:i/>
        </w:rPr>
      </w:pPr>
      <w:r w:rsidRPr="00563AD3">
        <w:rPr>
          <w:i/>
        </w:rPr>
        <w:t xml:space="preserve">“It’s really tempting to go in gung-ho and start talking about PEs and the different codes, and it’s like trying to sit the staff down and talk about trigonometry. It’s not something interesting that makes much sense to them… We sort of ended up picking two or three very small examples of people who were very happy or very sad and just focusing on those, describing it in layman’s terms.” (50018/10268/10277) </w:t>
      </w:r>
    </w:p>
    <w:p w14:paraId="2DC87A63" w14:textId="77777777" w:rsidR="003811AC" w:rsidRPr="00563AD3" w:rsidRDefault="003811AC" w:rsidP="009B13F3">
      <w:pPr>
        <w:ind w:left="720"/>
        <w:rPr>
          <w:i/>
        </w:rPr>
      </w:pPr>
      <w:r w:rsidRPr="00563AD3">
        <w:rPr>
          <w:i/>
        </w:rPr>
        <w:t>“It was good and clear to see, you know, which areas we really needed to improve on.” (Manager 50069)</w:t>
      </w:r>
    </w:p>
    <w:p w14:paraId="7F0BE5ED" w14:textId="40DE61F7" w:rsidR="003811AC" w:rsidRPr="00563AD3" w:rsidRDefault="003811AC" w:rsidP="009B13F3">
      <w:r w:rsidRPr="00563AD3">
        <w:t xml:space="preserve">Making </w:t>
      </w:r>
      <w:r w:rsidR="00597D22" w:rsidRPr="00563AD3">
        <w:t>DCM™</w:t>
      </w:r>
      <w:r w:rsidRPr="00563AD3">
        <w:t xml:space="preserve"> feedback accessible helped staff to understand the need for changes in their care practices, and the purpose and value of </w:t>
      </w:r>
      <w:r w:rsidR="00597D22" w:rsidRPr="00563AD3">
        <w:t>DCM™</w:t>
      </w:r>
      <w:r w:rsidRPr="00563AD3">
        <w:t xml:space="preserve"> - a lack of understanding of which was an identified a barrier to impact. Creating a shared understanding of the need for improvements was felt to be an important driver for change:</w:t>
      </w:r>
    </w:p>
    <w:p w14:paraId="0680BD9F" w14:textId="77777777" w:rsidR="003811AC" w:rsidRPr="00563AD3" w:rsidRDefault="003811AC" w:rsidP="009B13F3">
      <w:pPr>
        <w:ind w:left="720"/>
        <w:rPr>
          <w:i/>
        </w:rPr>
      </w:pPr>
      <w:r w:rsidRPr="00563AD3">
        <w:rPr>
          <w:i/>
        </w:rPr>
        <w:t>“You really have to get quite a few people across the organisation thinking in the same way to sort of drive that change.” (50018/10268)</w:t>
      </w:r>
    </w:p>
    <w:p w14:paraId="13F72E71" w14:textId="77777777" w:rsidR="003811AC" w:rsidRPr="00563AD3" w:rsidRDefault="003811AC" w:rsidP="009B13F3">
      <w:pPr>
        <w:ind w:left="720"/>
        <w:rPr>
          <w:i/>
        </w:rPr>
      </w:pPr>
      <w:r w:rsidRPr="00563AD3">
        <w:rPr>
          <w:i/>
        </w:rPr>
        <w:t>“One thing I am more aware of is how staff, certain staff, sometimes talk to residents... in the inductions now that we do, we make it really clear about what we want a new member of staff, how we want them to interact, how we want them to speak… I go through how I would like people to speak to residents.” (50069/10475)</w:t>
      </w:r>
    </w:p>
    <w:p w14:paraId="0CBD68F0" w14:textId="74DEA0AC" w:rsidR="003811AC" w:rsidRPr="00563AD3" w:rsidRDefault="003811AC" w:rsidP="009B13F3">
      <w:r w:rsidRPr="00563AD3">
        <w:t xml:space="preserve">Embedding </w:t>
      </w:r>
      <w:r w:rsidR="00597D22" w:rsidRPr="00563AD3">
        <w:t>DCM™</w:t>
      </w:r>
      <w:r w:rsidRPr="00563AD3">
        <w:t xml:space="preserve"> data, feedback and action plans into the work of the care home, through their inclusion in care plans, handovers and staff meetings, and engaging staff across the home in identifying care improvements, were strategies through which mappers tried to ensure a home-level approach to care improvement:</w:t>
      </w:r>
    </w:p>
    <w:p w14:paraId="596F8864" w14:textId="77777777" w:rsidR="003811AC" w:rsidRPr="00563AD3" w:rsidRDefault="003811AC" w:rsidP="009B13F3">
      <w:pPr>
        <w:ind w:left="720"/>
        <w:rPr>
          <w:i/>
        </w:rPr>
      </w:pPr>
      <w:r w:rsidRPr="00563AD3">
        <w:rPr>
          <w:i/>
        </w:rPr>
        <w:t>“We implemented it in our handovers as well as through all the team leaders”. (10181)</w:t>
      </w:r>
    </w:p>
    <w:p w14:paraId="26D04FED" w14:textId="77777777" w:rsidR="003811AC" w:rsidRPr="00563AD3" w:rsidRDefault="003811AC" w:rsidP="009B13F3">
      <w:pPr>
        <w:ind w:left="720"/>
        <w:rPr>
          <w:i/>
        </w:rPr>
      </w:pPr>
      <w:r w:rsidRPr="00563AD3">
        <w:rPr>
          <w:i/>
        </w:rPr>
        <w:t>“Putting together a dementia group which has carers, cleaners, people across the organisation, and you talk to them and try and actually get them on board. You try and sort of instil in them what person-centred care looks like.” (50018/10268)</w:t>
      </w:r>
    </w:p>
    <w:p w14:paraId="20970AA5" w14:textId="77777777" w:rsidR="003811AC" w:rsidRPr="00563AD3" w:rsidRDefault="003811AC" w:rsidP="009B13F3">
      <w:pPr>
        <w:ind w:left="720"/>
        <w:rPr>
          <w:i/>
        </w:rPr>
      </w:pPr>
      <w:r w:rsidRPr="00563AD3">
        <w:rPr>
          <w:i/>
        </w:rPr>
        <w:t>“So then I could …say to the chef ‘This gentleman plays with food, what can we do?” 50028/10394)</w:t>
      </w:r>
    </w:p>
    <w:p w14:paraId="51CE0AF8" w14:textId="2F2D624E" w:rsidR="00F534C5" w:rsidRPr="00563AD3" w:rsidRDefault="003811AC" w:rsidP="009B13F3">
      <w:pPr>
        <w:rPr>
          <w:i/>
        </w:rPr>
      </w:pPr>
      <w:r w:rsidRPr="00563AD3">
        <w:t xml:space="preserve">Some of these actions to embed </w:t>
      </w:r>
      <w:r w:rsidR="00597D22" w:rsidRPr="00563AD3">
        <w:t>DCM™</w:t>
      </w:r>
      <w:r w:rsidRPr="00563AD3">
        <w:t xml:space="preserve"> into usual care practice also helped to ensure changes were maintained. In addition, the identification of achievable changes, such as where staff were encouraged to interact more with residents on a routine basis, were considered by participants as a good strategy for facilitating impact.</w:t>
      </w:r>
    </w:p>
    <w:p w14:paraId="668E511F" w14:textId="77777777" w:rsidR="001D041E" w:rsidRDefault="001D041E" w:rsidP="009B13F3">
      <w:pPr>
        <w:rPr>
          <w:b/>
          <w:i/>
        </w:rPr>
      </w:pPr>
    </w:p>
    <w:p w14:paraId="6887AD93" w14:textId="79AC6AE8" w:rsidR="00F534C5" w:rsidRPr="00563AD3" w:rsidRDefault="00C03946" w:rsidP="009B13F3">
      <w:pPr>
        <w:rPr>
          <w:b/>
          <w:i/>
        </w:rPr>
      </w:pPr>
      <w:r w:rsidRPr="00563AD3">
        <w:rPr>
          <w:b/>
          <w:i/>
        </w:rPr>
        <w:t>Summary</w:t>
      </w:r>
    </w:p>
    <w:p w14:paraId="4880FB02" w14:textId="3CBC2348" w:rsidR="003811AC" w:rsidRPr="00563AD3" w:rsidRDefault="003811AC" w:rsidP="009B13F3">
      <w:r w:rsidRPr="00563AD3">
        <w:t xml:space="preserve">Multiple barriers and facilitators to identifying, achieving and maintaining impact were identified by participants. These included difficulties in measuring impacts for people with dementia, competing care priorities, levels of managerial, financial and home-level support for change, and staff understanding and perceptions of </w:t>
      </w:r>
      <w:r w:rsidR="00597D22" w:rsidRPr="00563AD3">
        <w:t>DCM™</w:t>
      </w:r>
      <w:r w:rsidRPr="00563AD3">
        <w:t>, of current care quality and the need for change, and of people with dementia. A focus on care improvements for mapped individuals can limit impacts for other residents and the maintenance of impact over time.</w:t>
      </w:r>
    </w:p>
    <w:p w14:paraId="0B78B1AC" w14:textId="77777777" w:rsidR="00F41387" w:rsidRPr="00563AD3" w:rsidRDefault="00F41387" w:rsidP="009B13F3"/>
    <w:p w14:paraId="381AC64E" w14:textId="4E15EB06" w:rsidR="00F534C5" w:rsidRPr="00563AD3" w:rsidRDefault="00410C6F" w:rsidP="009B13F3">
      <w:pPr>
        <w:pStyle w:val="Heading2"/>
      </w:pPr>
      <w:bookmarkStart w:id="212" w:name="_Toc525544036"/>
      <w:r w:rsidRPr="00563AD3">
        <w:t>5</w:t>
      </w:r>
      <w:r w:rsidR="00F534C5" w:rsidRPr="00563AD3">
        <w:t>.</w:t>
      </w:r>
      <w:r w:rsidR="00A42ECB" w:rsidRPr="00563AD3">
        <w:t>5</w:t>
      </w:r>
      <w:r w:rsidR="00F534C5" w:rsidRPr="00563AD3">
        <w:t xml:space="preserve"> Mechanism</w:t>
      </w:r>
      <w:r w:rsidR="00D60661" w:rsidRPr="00563AD3">
        <w:t>s</w:t>
      </w:r>
      <w:r w:rsidR="00F534C5" w:rsidRPr="00563AD3">
        <w:t xml:space="preserve"> of </w:t>
      </w:r>
      <w:r w:rsidR="00E95481" w:rsidRPr="00563AD3">
        <w:t>action</w:t>
      </w:r>
      <w:bookmarkEnd w:id="212"/>
    </w:p>
    <w:p w14:paraId="346E756B" w14:textId="447D7A3C" w:rsidR="00E95481" w:rsidRPr="00563AD3" w:rsidRDefault="00E95481" w:rsidP="009B13F3">
      <w:r w:rsidRPr="00563AD3">
        <w:t xml:space="preserve">In this section we have drawn on the available evidence to assess if the anticipated mechanisms of action or logic model through which we expected </w:t>
      </w:r>
      <w:r w:rsidR="00597D22" w:rsidRPr="00563AD3">
        <w:t>DCM™</w:t>
      </w:r>
      <w:r w:rsidRPr="00563AD3">
        <w:t xml:space="preserve"> to have an impact on outcomes, were present. </w:t>
      </w:r>
    </w:p>
    <w:p w14:paraId="22DB25F4" w14:textId="6022A7C9" w:rsidR="00F534C5" w:rsidRPr="00563AD3" w:rsidRDefault="00F534C5" w:rsidP="009B13F3">
      <w:pPr>
        <w:rPr>
          <w:i/>
          <w:highlight w:val="magenta"/>
        </w:rPr>
      </w:pPr>
    </w:p>
    <w:p w14:paraId="0E0F32B3" w14:textId="77777777" w:rsidR="00EE7818" w:rsidRPr="00563AD3" w:rsidRDefault="00EE7818" w:rsidP="009B13F3">
      <w:pPr>
        <w:pStyle w:val="Heading3"/>
        <w:rPr>
          <w:rFonts w:eastAsia="Times New Roman"/>
          <w:lang w:eastAsia="en-US"/>
        </w:rPr>
      </w:pPr>
      <w:bookmarkStart w:id="213" w:name="_Toc525544037"/>
      <w:r w:rsidRPr="00563AD3">
        <w:t xml:space="preserve">5.5.1 </w:t>
      </w:r>
      <w:bookmarkStart w:id="214" w:name="_Toc504748864"/>
      <w:r w:rsidRPr="00563AD3">
        <w:rPr>
          <w:rFonts w:eastAsia="Times New Roman"/>
          <w:lang w:eastAsia="en-US"/>
        </w:rPr>
        <w:t>Ancillary analyses (moderator/mediator analyses)</w:t>
      </w:r>
      <w:bookmarkEnd w:id="213"/>
      <w:bookmarkEnd w:id="214"/>
    </w:p>
    <w:p w14:paraId="7818ABA1" w14:textId="704A1496" w:rsidR="00EE7818" w:rsidRPr="00563AD3" w:rsidRDefault="00EE7818" w:rsidP="009B13F3">
      <w:pPr>
        <w:rPr>
          <w:rFonts w:eastAsia="Calibri"/>
          <w:lang w:eastAsia="en-US"/>
        </w:rPr>
      </w:pPr>
      <w:r w:rsidRPr="00563AD3">
        <w:rPr>
          <w:rFonts w:eastAsia="Calibri"/>
          <w:lang w:eastAsia="en-US"/>
        </w:rPr>
        <w:t xml:space="preserve">Complete cases of the cross-sectional sample were included in the analysis of care home level moderators identified </w:t>
      </w:r>
      <w:r w:rsidRPr="00563AD3">
        <w:rPr>
          <w:rFonts w:eastAsia="Calibri"/>
          <w:i/>
          <w:lang w:eastAsia="en-US"/>
        </w:rPr>
        <w:t>a priori</w:t>
      </w:r>
      <w:r w:rsidRPr="00563AD3">
        <w:rPr>
          <w:rFonts w:eastAsia="Calibri"/>
          <w:lang w:eastAsia="en-US"/>
        </w:rPr>
        <w:t xml:space="preserve">, see Table </w:t>
      </w:r>
      <w:r w:rsidR="0005048E" w:rsidRPr="00563AD3">
        <w:rPr>
          <w:rFonts w:eastAsia="Calibri"/>
          <w:lang w:eastAsia="en-US"/>
        </w:rPr>
        <w:t>2</w:t>
      </w:r>
      <w:r w:rsidR="0005048E">
        <w:rPr>
          <w:rFonts w:eastAsia="Calibri"/>
          <w:lang w:eastAsia="en-US"/>
        </w:rPr>
        <w:t>4</w:t>
      </w:r>
      <w:r w:rsidRPr="00563AD3">
        <w:rPr>
          <w:rFonts w:eastAsia="Calibri"/>
          <w:lang w:eastAsia="en-US"/>
        </w:rPr>
        <w:t xml:space="preserve">. Moderators were measured at baseline and assessed by including an interaction between treatment </w:t>
      </w:r>
      <w:r w:rsidR="00182DC5" w:rsidRPr="00563AD3">
        <w:rPr>
          <w:rFonts w:eastAsia="Calibri"/>
          <w:lang w:eastAsia="en-US"/>
        </w:rPr>
        <w:t>arm</w:t>
      </w:r>
      <w:r w:rsidRPr="00563AD3">
        <w:rPr>
          <w:rFonts w:eastAsia="Calibri"/>
          <w:lang w:eastAsia="en-US"/>
        </w:rPr>
        <w:t xml:space="preserve"> and the moderator variable in the primary analysis of CMAI one at a time. There was no evidence of moderation of any pre-specified baseline characteristics on CMAI at 16</w:t>
      </w:r>
      <w:r w:rsidR="00B52F4C" w:rsidRPr="00563AD3">
        <w:rPr>
          <w:rFonts w:eastAsia="Calibri"/>
          <w:lang w:eastAsia="en-US"/>
        </w:rPr>
        <w:t>-</w:t>
      </w:r>
      <w:r w:rsidRPr="00563AD3">
        <w:rPr>
          <w:rFonts w:eastAsia="Calibri"/>
          <w:lang w:eastAsia="en-US"/>
        </w:rPr>
        <w:t>months. The results are exploratory and should be treated with caution.</w:t>
      </w:r>
    </w:p>
    <w:p w14:paraId="657D3EF0" w14:textId="77777777" w:rsidR="00EE7818" w:rsidRPr="00563AD3" w:rsidRDefault="00EE7818" w:rsidP="009B13F3">
      <w:pPr>
        <w:autoSpaceDE/>
        <w:autoSpaceDN/>
        <w:adjustRightInd/>
        <w:spacing w:before="120" w:after="0"/>
        <w:rPr>
          <w:rFonts w:eastAsia="Calibri"/>
          <w:sz w:val="24"/>
          <w:szCs w:val="24"/>
          <w:lang w:eastAsia="en-US"/>
        </w:rPr>
      </w:pPr>
    </w:p>
    <w:p w14:paraId="4DC7D2C7" w14:textId="77777777" w:rsidR="001D041E" w:rsidRDefault="001D041E">
      <w:pPr>
        <w:autoSpaceDE/>
        <w:autoSpaceDN/>
        <w:adjustRightInd/>
        <w:spacing w:line="259" w:lineRule="auto"/>
        <w:rPr>
          <w:rFonts w:eastAsia="Calibri"/>
          <w:b/>
          <w:lang w:eastAsia="en-US"/>
        </w:rPr>
      </w:pPr>
      <w:r>
        <w:rPr>
          <w:rFonts w:eastAsia="Calibri"/>
          <w:lang w:eastAsia="en-US"/>
        </w:rPr>
        <w:br w:type="page"/>
      </w:r>
    </w:p>
    <w:p w14:paraId="10E47C58" w14:textId="7F2EE5C6" w:rsidR="00EE7818" w:rsidRPr="00563AD3" w:rsidRDefault="00EE7818" w:rsidP="009B13F3">
      <w:pPr>
        <w:pStyle w:val="Tableheading"/>
        <w:rPr>
          <w:rFonts w:eastAsia="Calibri"/>
          <w:lang w:eastAsia="en-US"/>
        </w:rPr>
      </w:pPr>
      <w:bookmarkStart w:id="215" w:name="_Toc948221"/>
      <w:r w:rsidRPr="00563AD3">
        <w:rPr>
          <w:rFonts w:eastAsia="Calibri"/>
          <w:lang w:eastAsia="en-US"/>
        </w:rPr>
        <w:t xml:space="preserve">Table </w:t>
      </w:r>
      <w:r w:rsidR="0005048E" w:rsidRPr="00563AD3">
        <w:rPr>
          <w:rFonts w:eastAsia="Calibri"/>
          <w:lang w:eastAsia="en-US"/>
        </w:rPr>
        <w:t>2</w:t>
      </w:r>
      <w:r w:rsidR="0005048E">
        <w:rPr>
          <w:rFonts w:eastAsia="Calibri"/>
          <w:lang w:eastAsia="en-US"/>
        </w:rPr>
        <w:t>4</w:t>
      </w:r>
      <w:r w:rsidR="0005048E" w:rsidRPr="00563AD3">
        <w:rPr>
          <w:rFonts w:eastAsia="Calibri"/>
          <w:lang w:eastAsia="en-US"/>
        </w:rPr>
        <w:t xml:space="preserve"> </w:t>
      </w:r>
      <w:r w:rsidRPr="00563AD3">
        <w:rPr>
          <w:rFonts w:eastAsia="Calibri"/>
          <w:lang w:eastAsia="en-US"/>
        </w:rPr>
        <w:t>Assessment of moderators of treatment effect at 16</w:t>
      </w:r>
      <w:r w:rsidR="00B80810">
        <w:rPr>
          <w:rFonts w:eastAsia="Calibri"/>
          <w:lang w:eastAsia="en-US"/>
        </w:rPr>
        <w:t>-months</w:t>
      </w:r>
      <w:r w:rsidRPr="00563AD3">
        <w:rPr>
          <w:rFonts w:eastAsia="Calibri"/>
          <w:lang w:eastAsia="en-US"/>
        </w:rPr>
        <w:t xml:space="preserve"> – cross-sectional sample, complete cases</w:t>
      </w:r>
      <w:r w:rsidR="003D1680" w:rsidRPr="00563AD3">
        <w:rPr>
          <w:rFonts w:eastAsia="Calibri"/>
          <w:lang w:eastAsia="en-US"/>
        </w:rPr>
        <w:t xml:space="preserve"> – adjusted estimates</w:t>
      </w:r>
      <w:bookmarkEnd w:id="215"/>
    </w:p>
    <w:tbl>
      <w:tblPr>
        <w:tblStyle w:val="TableGrid1"/>
        <w:tblW w:w="10212"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283"/>
        <w:gridCol w:w="2055"/>
        <w:gridCol w:w="2056"/>
        <w:gridCol w:w="1276"/>
      </w:tblGrid>
      <w:tr w:rsidR="00157E18" w:rsidRPr="00157E18" w14:paraId="5B0102BA" w14:textId="77777777" w:rsidTr="00157E18">
        <w:tc>
          <w:tcPr>
            <w:tcW w:w="4542" w:type="dxa"/>
            <w:tcBorders>
              <w:top w:val="single" w:sz="4" w:space="0" w:color="auto"/>
              <w:bottom w:val="nil"/>
            </w:tcBorders>
            <w:vAlign w:val="bottom"/>
          </w:tcPr>
          <w:p w14:paraId="01976175" w14:textId="77777777" w:rsidR="00157E18" w:rsidRPr="00157E18" w:rsidRDefault="00157E18" w:rsidP="007E1EB2">
            <w:pPr>
              <w:spacing w:line="240" w:lineRule="auto"/>
              <w:rPr>
                <w:rFonts w:cs="Times New Roman"/>
                <w:sz w:val="18"/>
                <w:szCs w:val="18"/>
              </w:rPr>
            </w:pPr>
          </w:p>
        </w:tc>
        <w:tc>
          <w:tcPr>
            <w:tcW w:w="4394" w:type="dxa"/>
            <w:gridSpan w:val="3"/>
            <w:tcBorders>
              <w:top w:val="single" w:sz="4" w:space="0" w:color="auto"/>
              <w:bottom w:val="nil"/>
            </w:tcBorders>
            <w:vAlign w:val="bottom"/>
          </w:tcPr>
          <w:p w14:paraId="278271F0" w14:textId="756C0B22" w:rsidR="00157E18" w:rsidRPr="00157E18" w:rsidRDefault="00157E18" w:rsidP="007E1EB2">
            <w:pPr>
              <w:spacing w:line="240" w:lineRule="auto"/>
              <w:jc w:val="right"/>
              <w:rPr>
                <w:rFonts w:cs="Times New Roman"/>
                <w:b/>
                <w:sz w:val="18"/>
                <w:szCs w:val="18"/>
              </w:rPr>
            </w:pPr>
            <w:r w:rsidRPr="00157E18">
              <w:rPr>
                <w:rFonts w:cs="Times New Roman"/>
                <w:b/>
                <w:sz w:val="18"/>
                <w:szCs w:val="18"/>
              </w:rPr>
              <w:t>Unadjusted CMAI score at 16</w:t>
            </w:r>
            <w:r w:rsidR="00B80810">
              <w:rPr>
                <w:rFonts w:cs="Times New Roman"/>
                <w:b/>
                <w:sz w:val="18"/>
                <w:szCs w:val="18"/>
              </w:rPr>
              <w:t>-months</w:t>
            </w:r>
            <w:r w:rsidRPr="00157E18">
              <w:rPr>
                <w:rFonts w:cs="Times New Roman"/>
                <w:b/>
                <w:sz w:val="18"/>
                <w:szCs w:val="18"/>
              </w:rPr>
              <w:t xml:space="preserve"> (95% CI)</w:t>
            </w:r>
          </w:p>
        </w:tc>
        <w:tc>
          <w:tcPr>
            <w:tcW w:w="1276" w:type="dxa"/>
            <w:tcBorders>
              <w:top w:val="single" w:sz="4" w:space="0" w:color="auto"/>
              <w:bottom w:val="nil"/>
            </w:tcBorders>
          </w:tcPr>
          <w:p w14:paraId="5259D303" w14:textId="77777777" w:rsidR="00157E18" w:rsidRPr="00157E18" w:rsidRDefault="00157E18" w:rsidP="007E1EB2">
            <w:pPr>
              <w:spacing w:line="240" w:lineRule="auto"/>
              <w:jc w:val="right"/>
              <w:rPr>
                <w:rFonts w:cs="Times New Roman"/>
                <w:b/>
                <w:sz w:val="18"/>
                <w:szCs w:val="18"/>
              </w:rPr>
            </w:pPr>
          </w:p>
        </w:tc>
      </w:tr>
      <w:tr w:rsidR="00157E18" w:rsidRPr="00157E18" w14:paraId="68599A0C" w14:textId="77777777" w:rsidTr="00157E18">
        <w:tc>
          <w:tcPr>
            <w:tcW w:w="4825" w:type="dxa"/>
            <w:gridSpan w:val="2"/>
            <w:tcBorders>
              <w:top w:val="nil"/>
              <w:bottom w:val="single" w:sz="4" w:space="0" w:color="auto"/>
            </w:tcBorders>
            <w:vAlign w:val="bottom"/>
          </w:tcPr>
          <w:p w14:paraId="50D279A1" w14:textId="77777777" w:rsidR="00157E18" w:rsidRPr="00157E18" w:rsidRDefault="00157E18" w:rsidP="007E1EB2">
            <w:pPr>
              <w:spacing w:line="240" w:lineRule="auto"/>
              <w:rPr>
                <w:rFonts w:cs="Times New Roman"/>
                <w:sz w:val="18"/>
                <w:szCs w:val="18"/>
              </w:rPr>
            </w:pPr>
            <w:r w:rsidRPr="00157E18">
              <w:rPr>
                <w:rFonts w:cs="Times New Roman"/>
                <w:sz w:val="18"/>
                <w:szCs w:val="18"/>
              </w:rPr>
              <w:t>Moderator</w:t>
            </w:r>
          </w:p>
        </w:tc>
        <w:tc>
          <w:tcPr>
            <w:tcW w:w="2055" w:type="dxa"/>
            <w:tcBorders>
              <w:top w:val="nil"/>
              <w:bottom w:val="single" w:sz="4" w:space="0" w:color="auto"/>
            </w:tcBorders>
            <w:vAlign w:val="bottom"/>
          </w:tcPr>
          <w:p w14:paraId="3590EA15" w14:textId="77777777" w:rsidR="00157E18" w:rsidRPr="00157E18" w:rsidRDefault="00157E18" w:rsidP="007E1EB2">
            <w:pPr>
              <w:spacing w:line="240" w:lineRule="auto"/>
              <w:jc w:val="center"/>
              <w:rPr>
                <w:rFonts w:cs="Times New Roman"/>
                <w:sz w:val="18"/>
                <w:szCs w:val="18"/>
              </w:rPr>
            </w:pPr>
            <w:r w:rsidRPr="00157E18">
              <w:rPr>
                <w:rFonts w:cs="Times New Roman"/>
                <w:b/>
                <w:sz w:val="18"/>
                <w:szCs w:val="18"/>
              </w:rPr>
              <w:t>Control</w:t>
            </w:r>
          </w:p>
        </w:tc>
        <w:tc>
          <w:tcPr>
            <w:tcW w:w="2056" w:type="dxa"/>
            <w:tcBorders>
              <w:top w:val="nil"/>
              <w:bottom w:val="single" w:sz="4" w:space="0" w:color="auto"/>
            </w:tcBorders>
            <w:vAlign w:val="bottom"/>
          </w:tcPr>
          <w:p w14:paraId="1371043E" w14:textId="77777777" w:rsidR="00157E18" w:rsidRPr="00157E18" w:rsidRDefault="00157E18" w:rsidP="007E1EB2">
            <w:pPr>
              <w:spacing w:line="240" w:lineRule="auto"/>
              <w:jc w:val="center"/>
              <w:rPr>
                <w:rFonts w:cs="Times New Roman"/>
                <w:sz w:val="18"/>
                <w:szCs w:val="18"/>
              </w:rPr>
            </w:pPr>
            <w:r w:rsidRPr="00157E18">
              <w:rPr>
                <w:rFonts w:cs="Times New Roman"/>
                <w:b/>
                <w:sz w:val="18"/>
                <w:szCs w:val="18"/>
              </w:rPr>
              <w:t>Intervention</w:t>
            </w:r>
          </w:p>
        </w:tc>
        <w:tc>
          <w:tcPr>
            <w:tcW w:w="1276" w:type="dxa"/>
            <w:tcBorders>
              <w:top w:val="nil"/>
              <w:bottom w:val="single" w:sz="4" w:space="0" w:color="auto"/>
            </w:tcBorders>
          </w:tcPr>
          <w:p w14:paraId="71BC857A" w14:textId="2AE97E70" w:rsidR="00157E18" w:rsidRPr="00157E18" w:rsidRDefault="00157E18" w:rsidP="007E1EB2">
            <w:pPr>
              <w:spacing w:line="240" w:lineRule="auto"/>
              <w:jc w:val="center"/>
              <w:rPr>
                <w:rFonts w:cs="Times New Roman"/>
                <w:sz w:val="18"/>
                <w:szCs w:val="18"/>
              </w:rPr>
            </w:pPr>
            <w:r w:rsidRPr="00157E18">
              <w:rPr>
                <w:rFonts w:cs="Times New Roman"/>
                <w:b/>
                <w:sz w:val="18"/>
                <w:szCs w:val="18"/>
              </w:rPr>
              <w:t>p-value for interaction</w:t>
            </w:r>
            <w:r w:rsidR="007E1EB2">
              <w:rPr>
                <w:rFonts w:cs="Times New Roman"/>
                <w:b/>
                <w:sz w:val="18"/>
                <w:szCs w:val="18"/>
                <w:vertAlign w:val="superscript"/>
              </w:rPr>
              <w:t>a</w:t>
            </w:r>
          </w:p>
        </w:tc>
      </w:tr>
      <w:tr w:rsidR="00157E18" w:rsidRPr="00157E18" w14:paraId="2C2F0125" w14:textId="77777777" w:rsidTr="00157E18">
        <w:tc>
          <w:tcPr>
            <w:tcW w:w="4825" w:type="dxa"/>
            <w:gridSpan w:val="2"/>
            <w:tcBorders>
              <w:top w:val="single" w:sz="4" w:space="0" w:color="auto"/>
            </w:tcBorders>
          </w:tcPr>
          <w:p w14:paraId="50779A98" w14:textId="77777777" w:rsidR="00157E18" w:rsidRPr="00157E18" w:rsidRDefault="00157E18" w:rsidP="007E1EB2">
            <w:pPr>
              <w:pStyle w:val="ListParagraph"/>
              <w:numPr>
                <w:ilvl w:val="0"/>
                <w:numId w:val="17"/>
              </w:numPr>
              <w:autoSpaceDE/>
              <w:autoSpaceDN/>
              <w:adjustRightInd/>
              <w:spacing w:line="240" w:lineRule="auto"/>
              <w:rPr>
                <w:rFonts w:cs="Times New Roman"/>
                <w:b/>
                <w:i/>
                <w:sz w:val="18"/>
                <w:szCs w:val="18"/>
              </w:rPr>
            </w:pPr>
            <w:r w:rsidRPr="00157E18">
              <w:rPr>
                <w:b/>
                <w:sz w:val="18"/>
                <w:szCs w:val="18"/>
              </w:rPr>
              <w:t xml:space="preserve">Care home size </w:t>
            </w:r>
          </w:p>
        </w:tc>
        <w:tc>
          <w:tcPr>
            <w:tcW w:w="2055" w:type="dxa"/>
            <w:tcBorders>
              <w:top w:val="single" w:sz="4" w:space="0" w:color="auto"/>
            </w:tcBorders>
          </w:tcPr>
          <w:p w14:paraId="1772AA10" w14:textId="77777777" w:rsidR="00157E18" w:rsidRPr="00157E18" w:rsidRDefault="00157E18" w:rsidP="007E1EB2">
            <w:pPr>
              <w:spacing w:line="240" w:lineRule="auto"/>
              <w:jc w:val="right"/>
              <w:rPr>
                <w:rFonts w:cs="Times New Roman"/>
                <w:sz w:val="18"/>
                <w:szCs w:val="18"/>
              </w:rPr>
            </w:pPr>
          </w:p>
        </w:tc>
        <w:tc>
          <w:tcPr>
            <w:tcW w:w="2056" w:type="dxa"/>
            <w:tcBorders>
              <w:top w:val="single" w:sz="4" w:space="0" w:color="auto"/>
            </w:tcBorders>
          </w:tcPr>
          <w:p w14:paraId="24F2F06C" w14:textId="77777777" w:rsidR="00157E18" w:rsidRPr="00157E18" w:rsidRDefault="00157E18" w:rsidP="007E1EB2">
            <w:pPr>
              <w:spacing w:line="240" w:lineRule="auto"/>
              <w:jc w:val="right"/>
              <w:rPr>
                <w:rFonts w:cs="Times New Roman"/>
                <w:sz w:val="18"/>
                <w:szCs w:val="18"/>
              </w:rPr>
            </w:pPr>
          </w:p>
        </w:tc>
        <w:tc>
          <w:tcPr>
            <w:tcW w:w="1276" w:type="dxa"/>
            <w:tcBorders>
              <w:top w:val="single" w:sz="4" w:space="0" w:color="auto"/>
            </w:tcBorders>
          </w:tcPr>
          <w:p w14:paraId="16FE1316" w14:textId="77777777" w:rsidR="00157E18" w:rsidRPr="00157E18" w:rsidRDefault="00157E18" w:rsidP="007E1EB2">
            <w:pPr>
              <w:spacing w:line="240" w:lineRule="auto"/>
              <w:jc w:val="right"/>
              <w:rPr>
                <w:rFonts w:cs="Times New Roman"/>
                <w:sz w:val="18"/>
                <w:szCs w:val="18"/>
              </w:rPr>
            </w:pPr>
            <w:r w:rsidRPr="00157E18">
              <w:rPr>
                <w:sz w:val="18"/>
                <w:szCs w:val="18"/>
              </w:rPr>
              <w:t>0.7672</w:t>
            </w:r>
          </w:p>
        </w:tc>
      </w:tr>
      <w:tr w:rsidR="00157E18" w:rsidRPr="00157E18" w14:paraId="01CC7CCC" w14:textId="77777777" w:rsidTr="00157E18">
        <w:tc>
          <w:tcPr>
            <w:tcW w:w="4825" w:type="dxa"/>
            <w:gridSpan w:val="2"/>
            <w:shd w:val="clear" w:color="auto" w:fill="auto"/>
          </w:tcPr>
          <w:p w14:paraId="224BAD3A" w14:textId="77777777" w:rsidR="00157E18" w:rsidRPr="00157E18" w:rsidRDefault="00157E18" w:rsidP="007E1EB2">
            <w:pPr>
              <w:spacing w:line="240" w:lineRule="auto"/>
              <w:rPr>
                <w:sz w:val="18"/>
                <w:szCs w:val="18"/>
              </w:rPr>
            </w:pPr>
            <w:r w:rsidRPr="00157E18">
              <w:rPr>
                <w:sz w:val="18"/>
                <w:szCs w:val="18"/>
              </w:rPr>
              <w:t xml:space="preserve">       &lt;40 residents</w:t>
            </w:r>
          </w:p>
        </w:tc>
        <w:tc>
          <w:tcPr>
            <w:tcW w:w="2055" w:type="dxa"/>
          </w:tcPr>
          <w:p w14:paraId="4C415A2B"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45.1 (42.54, 47.63)</w:t>
            </w:r>
          </w:p>
        </w:tc>
        <w:tc>
          <w:tcPr>
            <w:tcW w:w="2056" w:type="dxa"/>
          </w:tcPr>
          <w:p w14:paraId="022D0422"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42.8 (40.71, 44.98)</w:t>
            </w:r>
          </w:p>
        </w:tc>
        <w:tc>
          <w:tcPr>
            <w:tcW w:w="1276" w:type="dxa"/>
          </w:tcPr>
          <w:p w14:paraId="14043E08" w14:textId="77777777" w:rsidR="00157E18" w:rsidRPr="00157E18" w:rsidRDefault="00157E18" w:rsidP="007E1EB2">
            <w:pPr>
              <w:spacing w:line="240" w:lineRule="auto"/>
              <w:jc w:val="right"/>
              <w:rPr>
                <w:sz w:val="18"/>
                <w:szCs w:val="18"/>
              </w:rPr>
            </w:pPr>
          </w:p>
        </w:tc>
      </w:tr>
      <w:tr w:rsidR="00157E18" w:rsidRPr="00157E18" w14:paraId="549EC2F5" w14:textId="77777777" w:rsidTr="00157E18">
        <w:tc>
          <w:tcPr>
            <w:tcW w:w="4825" w:type="dxa"/>
            <w:gridSpan w:val="2"/>
            <w:shd w:val="clear" w:color="auto" w:fill="auto"/>
          </w:tcPr>
          <w:p w14:paraId="1CDC57F5" w14:textId="77777777" w:rsidR="00157E18" w:rsidRPr="00157E18" w:rsidRDefault="00157E18" w:rsidP="007E1EB2">
            <w:pPr>
              <w:spacing w:line="240" w:lineRule="auto"/>
              <w:rPr>
                <w:sz w:val="18"/>
                <w:szCs w:val="18"/>
              </w:rPr>
            </w:pPr>
            <w:r w:rsidRPr="00157E18">
              <w:rPr>
                <w:sz w:val="18"/>
                <w:szCs w:val="18"/>
              </w:rPr>
              <w:t xml:space="preserve">       &gt;= 40 residents</w:t>
            </w:r>
          </w:p>
        </w:tc>
        <w:tc>
          <w:tcPr>
            <w:tcW w:w="2055" w:type="dxa"/>
          </w:tcPr>
          <w:p w14:paraId="4C270E2C"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47.0 (44.06, 50.03)</w:t>
            </w:r>
          </w:p>
        </w:tc>
        <w:tc>
          <w:tcPr>
            <w:tcW w:w="2056" w:type="dxa"/>
          </w:tcPr>
          <w:p w14:paraId="1157995C"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42.9 (40.45, 45.26)</w:t>
            </w:r>
          </w:p>
        </w:tc>
        <w:tc>
          <w:tcPr>
            <w:tcW w:w="1276" w:type="dxa"/>
          </w:tcPr>
          <w:p w14:paraId="68A31D0F" w14:textId="77777777" w:rsidR="00157E18" w:rsidRPr="00157E18" w:rsidRDefault="00157E18" w:rsidP="007E1EB2">
            <w:pPr>
              <w:spacing w:line="240" w:lineRule="auto"/>
              <w:jc w:val="right"/>
              <w:rPr>
                <w:sz w:val="18"/>
                <w:szCs w:val="18"/>
              </w:rPr>
            </w:pPr>
          </w:p>
        </w:tc>
      </w:tr>
      <w:tr w:rsidR="00157E18" w:rsidRPr="00157E18" w14:paraId="19DC7EB9" w14:textId="77777777" w:rsidTr="00157E18">
        <w:tc>
          <w:tcPr>
            <w:tcW w:w="4825" w:type="dxa"/>
            <w:gridSpan w:val="2"/>
            <w:shd w:val="clear" w:color="auto" w:fill="auto"/>
          </w:tcPr>
          <w:p w14:paraId="69AA0A2B" w14:textId="77777777" w:rsidR="00157E18" w:rsidRPr="00157E18" w:rsidRDefault="00157E18" w:rsidP="007E1EB2">
            <w:pPr>
              <w:pStyle w:val="ListParagraph"/>
              <w:numPr>
                <w:ilvl w:val="0"/>
                <w:numId w:val="17"/>
              </w:numPr>
              <w:autoSpaceDE/>
              <w:autoSpaceDN/>
              <w:adjustRightInd/>
              <w:spacing w:line="240" w:lineRule="auto"/>
              <w:rPr>
                <w:b/>
                <w:sz w:val="18"/>
                <w:szCs w:val="18"/>
              </w:rPr>
            </w:pPr>
            <w:r w:rsidRPr="00157E18">
              <w:rPr>
                <w:b/>
                <w:sz w:val="18"/>
                <w:szCs w:val="18"/>
              </w:rPr>
              <w:t xml:space="preserve">Care home type </w:t>
            </w:r>
          </w:p>
        </w:tc>
        <w:tc>
          <w:tcPr>
            <w:tcW w:w="2055" w:type="dxa"/>
          </w:tcPr>
          <w:p w14:paraId="3B54F34E" w14:textId="77777777" w:rsidR="00157E18" w:rsidRPr="00157E18" w:rsidRDefault="00157E18" w:rsidP="007E1EB2">
            <w:pPr>
              <w:spacing w:line="240" w:lineRule="auto"/>
              <w:jc w:val="right"/>
              <w:rPr>
                <w:rFonts w:cs="Times New Roman"/>
                <w:sz w:val="18"/>
                <w:szCs w:val="18"/>
              </w:rPr>
            </w:pPr>
          </w:p>
        </w:tc>
        <w:tc>
          <w:tcPr>
            <w:tcW w:w="2056" w:type="dxa"/>
          </w:tcPr>
          <w:p w14:paraId="4506CF74" w14:textId="77777777" w:rsidR="00157E18" w:rsidRPr="00157E18" w:rsidRDefault="00157E18" w:rsidP="007E1EB2">
            <w:pPr>
              <w:spacing w:line="240" w:lineRule="auto"/>
              <w:jc w:val="right"/>
              <w:rPr>
                <w:rFonts w:cs="Times New Roman"/>
                <w:sz w:val="18"/>
                <w:szCs w:val="18"/>
              </w:rPr>
            </w:pPr>
          </w:p>
        </w:tc>
        <w:tc>
          <w:tcPr>
            <w:tcW w:w="1276" w:type="dxa"/>
          </w:tcPr>
          <w:p w14:paraId="31515FFF"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0.8713</w:t>
            </w:r>
          </w:p>
        </w:tc>
      </w:tr>
      <w:tr w:rsidR="00157E18" w:rsidRPr="00157E18" w14:paraId="2B23AFDE" w14:textId="77777777" w:rsidTr="00157E18">
        <w:tc>
          <w:tcPr>
            <w:tcW w:w="4825" w:type="dxa"/>
            <w:gridSpan w:val="2"/>
            <w:shd w:val="clear" w:color="auto" w:fill="auto"/>
          </w:tcPr>
          <w:p w14:paraId="3AF644D1" w14:textId="77777777" w:rsidR="00157E18" w:rsidRPr="00157E18" w:rsidRDefault="00157E18" w:rsidP="007E1EB2">
            <w:pPr>
              <w:spacing w:line="240" w:lineRule="auto"/>
              <w:rPr>
                <w:b/>
                <w:sz w:val="18"/>
                <w:szCs w:val="18"/>
              </w:rPr>
            </w:pPr>
            <w:r w:rsidRPr="00157E18">
              <w:rPr>
                <w:sz w:val="18"/>
                <w:szCs w:val="18"/>
              </w:rPr>
              <w:t xml:space="preserve">       Independent</w:t>
            </w:r>
          </w:p>
        </w:tc>
        <w:tc>
          <w:tcPr>
            <w:tcW w:w="2055" w:type="dxa"/>
          </w:tcPr>
          <w:p w14:paraId="14BAD5F4"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46.9 (42.68, 51.20)</w:t>
            </w:r>
          </w:p>
        </w:tc>
        <w:tc>
          <w:tcPr>
            <w:tcW w:w="2056" w:type="dxa"/>
          </w:tcPr>
          <w:p w14:paraId="5EAEA4D1"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40.9 (38.67, 43.12)</w:t>
            </w:r>
          </w:p>
        </w:tc>
        <w:tc>
          <w:tcPr>
            <w:tcW w:w="1276" w:type="dxa"/>
          </w:tcPr>
          <w:p w14:paraId="6CF5C216" w14:textId="77777777" w:rsidR="00157E18" w:rsidRPr="00157E18" w:rsidRDefault="00157E18" w:rsidP="007E1EB2">
            <w:pPr>
              <w:spacing w:line="240" w:lineRule="auto"/>
              <w:jc w:val="right"/>
              <w:rPr>
                <w:rFonts w:cs="Times New Roman"/>
                <w:sz w:val="18"/>
                <w:szCs w:val="18"/>
              </w:rPr>
            </w:pPr>
          </w:p>
        </w:tc>
      </w:tr>
      <w:tr w:rsidR="00157E18" w:rsidRPr="00157E18" w14:paraId="3A9A1EB2" w14:textId="77777777" w:rsidTr="00157E18">
        <w:tc>
          <w:tcPr>
            <w:tcW w:w="4825" w:type="dxa"/>
            <w:gridSpan w:val="2"/>
            <w:shd w:val="clear" w:color="auto" w:fill="auto"/>
          </w:tcPr>
          <w:p w14:paraId="131EA474" w14:textId="77777777" w:rsidR="00157E18" w:rsidRPr="00157E18" w:rsidRDefault="00157E18" w:rsidP="007E1EB2">
            <w:pPr>
              <w:spacing w:line="240" w:lineRule="auto"/>
              <w:rPr>
                <w:b/>
                <w:sz w:val="18"/>
                <w:szCs w:val="18"/>
              </w:rPr>
            </w:pPr>
            <w:r w:rsidRPr="00157E18">
              <w:rPr>
                <w:sz w:val="18"/>
                <w:szCs w:val="18"/>
              </w:rPr>
              <w:t xml:space="preserve">       Chain</w:t>
            </w:r>
          </w:p>
        </w:tc>
        <w:tc>
          <w:tcPr>
            <w:tcW w:w="2055" w:type="dxa"/>
          </w:tcPr>
          <w:p w14:paraId="1997B096"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45.8 (43.58, 48.01)</w:t>
            </w:r>
          </w:p>
        </w:tc>
        <w:tc>
          <w:tcPr>
            <w:tcW w:w="2056" w:type="dxa"/>
          </w:tcPr>
          <w:p w14:paraId="6B5E380A"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44.4 (42.16, 46.61)</w:t>
            </w:r>
          </w:p>
        </w:tc>
        <w:tc>
          <w:tcPr>
            <w:tcW w:w="1276" w:type="dxa"/>
          </w:tcPr>
          <w:p w14:paraId="1898D7C3" w14:textId="77777777" w:rsidR="00157E18" w:rsidRPr="00157E18" w:rsidRDefault="00157E18" w:rsidP="007E1EB2">
            <w:pPr>
              <w:spacing w:line="240" w:lineRule="auto"/>
              <w:jc w:val="right"/>
              <w:rPr>
                <w:rFonts w:cs="Times New Roman"/>
                <w:sz w:val="18"/>
                <w:szCs w:val="18"/>
              </w:rPr>
            </w:pPr>
          </w:p>
        </w:tc>
      </w:tr>
      <w:tr w:rsidR="00157E18" w:rsidRPr="00157E18" w14:paraId="0203CD4F" w14:textId="77777777" w:rsidTr="00157E18">
        <w:tc>
          <w:tcPr>
            <w:tcW w:w="4825" w:type="dxa"/>
            <w:gridSpan w:val="2"/>
            <w:shd w:val="clear" w:color="auto" w:fill="auto"/>
          </w:tcPr>
          <w:p w14:paraId="459857BF" w14:textId="77777777" w:rsidR="00157E18" w:rsidRPr="00157E18" w:rsidRDefault="00157E18" w:rsidP="007E1EB2">
            <w:pPr>
              <w:pStyle w:val="ListParagraph"/>
              <w:numPr>
                <w:ilvl w:val="0"/>
                <w:numId w:val="17"/>
              </w:numPr>
              <w:autoSpaceDE/>
              <w:autoSpaceDN/>
              <w:adjustRightInd/>
              <w:spacing w:line="240" w:lineRule="auto"/>
              <w:rPr>
                <w:b/>
                <w:sz w:val="18"/>
                <w:szCs w:val="18"/>
              </w:rPr>
            </w:pPr>
            <w:r w:rsidRPr="00157E18">
              <w:rPr>
                <w:b/>
                <w:sz w:val="18"/>
                <w:szCs w:val="18"/>
              </w:rPr>
              <w:t xml:space="preserve">Agency staff use </w:t>
            </w:r>
          </w:p>
        </w:tc>
        <w:tc>
          <w:tcPr>
            <w:tcW w:w="2055" w:type="dxa"/>
          </w:tcPr>
          <w:p w14:paraId="006B265D" w14:textId="77777777" w:rsidR="00157E18" w:rsidRPr="00157E18" w:rsidRDefault="00157E18" w:rsidP="007E1EB2">
            <w:pPr>
              <w:spacing w:line="240" w:lineRule="auto"/>
              <w:jc w:val="right"/>
              <w:rPr>
                <w:rFonts w:cs="Times New Roman"/>
                <w:sz w:val="18"/>
                <w:szCs w:val="18"/>
              </w:rPr>
            </w:pPr>
          </w:p>
        </w:tc>
        <w:tc>
          <w:tcPr>
            <w:tcW w:w="2056" w:type="dxa"/>
          </w:tcPr>
          <w:p w14:paraId="29AB6772" w14:textId="77777777" w:rsidR="00157E18" w:rsidRPr="00157E18" w:rsidRDefault="00157E18" w:rsidP="007E1EB2">
            <w:pPr>
              <w:spacing w:line="240" w:lineRule="auto"/>
              <w:jc w:val="right"/>
              <w:rPr>
                <w:rFonts w:cs="Times New Roman"/>
                <w:sz w:val="18"/>
                <w:szCs w:val="18"/>
              </w:rPr>
            </w:pPr>
          </w:p>
        </w:tc>
        <w:tc>
          <w:tcPr>
            <w:tcW w:w="1276" w:type="dxa"/>
          </w:tcPr>
          <w:p w14:paraId="2FAC59F5"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0.1815</w:t>
            </w:r>
          </w:p>
        </w:tc>
      </w:tr>
      <w:tr w:rsidR="00157E18" w:rsidRPr="00157E18" w14:paraId="11106D7A" w14:textId="77777777" w:rsidTr="00157E18">
        <w:tc>
          <w:tcPr>
            <w:tcW w:w="4825" w:type="dxa"/>
            <w:gridSpan w:val="2"/>
            <w:shd w:val="clear" w:color="auto" w:fill="auto"/>
          </w:tcPr>
          <w:p w14:paraId="66E7FB7E" w14:textId="77777777" w:rsidR="00157E18" w:rsidRPr="00157E18" w:rsidRDefault="00157E18" w:rsidP="007E1EB2">
            <w:pPr>
              <w:spacing w:line="240" w:lineRule="auto"/>
              <w:rPr>
                <w:sz w:val="18"/>
                <w:szCs w:val="18"/>
              </w:rPr>
            </w:pPr>
            <w:r w:rsidRPr="00157E18">
              <w:rPr>
                <w:sz w:val="18"/>
                <w:szCs w:val="18"/>
              </w:rPr>
              <w:t xml:space="preserve">       Below or equal to median</w:t>
            </w:r>
          </w:p>
        </w:tc>
        <w:tc>
          <w:tcPr>
            <w:tcW w:w="2055" w:type="dxa"/>
          </w:tcPr>
          <w:p w14:paraId="6CA80446"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45.5 (42.15, 48.94)</w:t>
            </w:r>
          </w:p>
        </w:tc>
        <w:tc>
          <w:tcPr>
            <w:tcW w:w="2056" w:type="dxa"/>
          </w:tcPr>
          <w:p w14:paraId="04B8F562"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42.2 (40.19, 44.16)</w:t>
            </w:r>
          </w:p>
        </w:tc>
        <w:tc>
          <w:tcPr>
            <w:tcW w:w="1276" w:type="dxa"/>
          </w:tcPr>
          <w:p w14:paraId="46AA5F22" w14:textId="77777777" w:rsidR="00157E18" w:rsidRPr="00157E18" w:rsidRDefault="00157E18" w:rsidP="007E1EB2">
            <w:pPr>
              <w:spacing w:line="240" w:lineRule="auto"/>
              <w:jc w:val="right"/>
              <w:rPr>
                <w:rFonts w:cs="Times New Roman"/>
                <w:sz w:val="18"/>
                <w:szCs w:val="18"/>
              </w:rPr>
            </w:pPr>
          </w:p>
        </w:tc>
      </w:tr>
      <w:tr w:rsidR="00157E18" w:rsidRPr="00157E18" w14:paraId="36D18401" w14:textId="77777777" w:rsidTr="00157E18">
        <w:tc>
          <w:tcPr>
            <w:tcW w:w="4825" w:type="dxa"/>
            <w:gridSpan w:val="2"/>
            <w:shd w:val="clear" w:color="auto" w:fill="auto"/>
          </w:tcPr>
          <w:p w14:paraId="3E4497CB" w14:textId="77777777" w:rsidR="00157E18" w:rsidRPr="00157E18" w:rsidRDefault="00157E18" w:rsidP="007E1EB2">
            <w:pPr>
              <w:spacing w:line="240" w:lineRule="auto"/>
              <w:rPr>
                <w:sz w:val="18"/>
                <w:szCs w:val="18"/>
              </w:rPr>
            </w:pPr>
            <w:r w:rsidRPr="00157E18">
              <w:rPr>
                <w:sz w:val="18"/>
                <w:szCs w:val="18"/>
              </w:rPr>
              <w:t xml:space="preserve">       Above median</w:t>
            </w:r>
          </w:p>
        </w:tc>
        <w:tc>
          <w:tcPr>
            <w:tcW w:w="2055" w:type="dxa"/>
          </w:tcPr>
          <w:p w14:paraId="6880229B"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46.3 (43.89, 48.69)</w:t>
            </w:r>
          </w:p>
        </w:tc>
        <w:tc>
          <w:tcPr>
            <w:tcW w:w="2056" w:type="dxa"/>
          </w:tcPr>
          <w:p w14:paraId="16BC88AD"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43.7 (41.13, 46.34)</w:t>
            </w:r>
          </w:p>
        </w:tc>
        <w:tc>
          <w:tcPr>
            <w:tcW w:w="1276" w:type="dxa"/>
          </w:tcPr>
          <w:p w14:paraId="59D40BB2" w14:textId="77777777" w:rsidR="00157E18" w:rsidRPr="00157E18" w:rsidRDefault="00157E18" w:rsidP="007E1EB2">
            <w:pPr>
              <w:spacing w:line="240" w:lineRule="auto"/>
              <w:jc w:val="right"/>
              <w:rPr>
                <w:rFonts w:cs="Times New Roman"/>
                <w:sz w:val="18"/>
                <w:szCs w:val="18"/>
              </w:rPr>
            </w:pPr>
          </w:p>
        </w:tc>
      </w:tr>
      <w:tr w:rsidR="00157E18" w:rsidRPr="00157E18" w14:paraId="52100F60" w14:textId="77777777" w:rsidTr="00157E18">
        <w:tc>
          <w:tcPr>
            <w:tcW w:w="4825" w:type="dxa"/>
            <w:gridSpan w:val="2"/>
            <w:shd w:val="clear" w:color="auto" w:fill="auto"/>
          </w:tcPr>
          <w:p w14:paraId="1EC1FA20" w14:textId="77777777" w:rsidR="00157E18" w:rsidRPr="00157E18" w:rsidRDefault="00157E18" w:rsidP="007E1EB2">
            <w:pPr>
              <w:pStyle w:val="ListParagraph"/>
              <w:numPr>
                <w:ilvl w:val="0"/>
                <w:numId w:val="17"/>
              </w:numPr>
              <w:autoSpaceDE/>
              <w:autoSpaceDN/>
              <w:adjustRightInd/>
              <w:spacing w:line="240" w:lineRule="auto"/>
              <w:rPr>
                <w:b/>
                <w:sz w:val="18"/>
                <w:szCs w:val="18"/>
              </w:rPr>
            </w:pPr>
            <w:r w:rsidRPr="00157E18">
              <w:rPr>
                <w:b/>
                <w:sz w:val="18"/>
                <w:szCs w:val="18"/>
              </w:rPr>
              <w:t>Bank staff use</w:t>
            </w:r>
          </w:p>
        </w:tc>
        <w:tc>
          <w:tcPr>
            <w:tcW w:w="2055" w:type="dxa"/>
          </w:tcPr>
          <w:p w14:paraId="12A55659" w14:textId="77777777" w:rsidR="00157E18" w:rsidRPr="00157E18" w:rsidRDefault="00157E18" w:rsidP="007E1EB2">
            <w:pPr>
              <w:spacing w:line="240" w:lineRule="auto"/>
              <w:jc w:val="right"/>
              <w:rPr>
                <w:rFonts w:cs="Times New Roman"/>
                <w:sz w:val="18"/>
                <w:szCs w:val="18"/>
              </w:rPr>
            </w:pPr>
          </w:p>
        </w:tc>
        <w:tc>
          <w:tcPr>
            <w:tcW w:w="2056" w:type="dxa"/>
          </w:tcPr>
          <w:p w14:paraId="6BEE5B10" w14:textId="77777777" w:rsidR="00157E18" w:rsidRPr="00157E18" w:rsidRDefault="00157E18" w:rsidP="007E1EB2">
            <w:pPr>
              <w:spacing w:line="240" w:lineRule="auto"/>
              <w:jc w:val="right"/>
              <w:rPr>
                <w:rFonts w:cs="Times New Roman"/>
                <w:sz w:val="18"/>
                <w:szCs w:val="18"/>
              </w:rPr>
            </w:pPr>
          </w:p>
        </w:tc>
        <w:tc>
          <w:tcPr>
            <w:tcW w:w="1276" w:type="dxa"/>
          </w:tcPr>
          <w:p w14:paraId="322860A3"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0.2249</w:t>
            </w:r>
          </w:p>
        </w:tc>
      </w:tr>
      <w:tr w:rsidR="00157E18" w:rsidRPr="00157E18" w14:paraId="6E47CE87" w14:textId="77777777" w:rsidTr="00157E18">
        <w:tc>
          <w:tcPr>
            <w:tcW w:w="4825" w:type="dxa"/>
            <w:gridSpan w:val="2"/>
            <w:shd w:val="clear" w:color="auto" w:fill="auto"/>
          </w:tcPr>
          <w:p w14:paraId="4D2ABEA0" w14:textId="77777777" w:rsidR="00157E18" w:rsidRPr="00157E18" w:rsidRDefault="00157E18" w:rsidP="007E1EB2">
            <w:pPr>
              <w:spacing w:line="240" w:lineRule="auto"/>
              <w:rPr>
                <w:sz w:val="18"/>
                <w:szCs w:val="18"/>
              </w:rPr>
            </w:pPr>
            <w:r w:rsidRPr="00157E18">
              <w:rPr>
                <w:sz w:val="18"/>
                <w:szCs w:val="18"/>
              </w:rPr>
              <w:t xml:space="preserve">       Below or equal to median</w:t>
            </w:r>
          </w:p>
        </w:tc>
        <w:tc>
          <w:tcPr>
            <w:tcW w:w="2055" w:type="dxa"/>
          </w:tcPr>
          <w:p w14:paraId="7BDFD76A"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48.3 (45.19, 51.38)</w:t>
            </w:r>
          </w:p>
        </w:tc>
        <w:tc>
          <w:tcPr>
            <w:tcW w:w="2056" w:type="dxa"/>
          </w:tcPr>
          <w:p w14:paraId="5557EECC"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42.0 (40.01, 43.96)</w:t>
            </w:r>
          </w:p>
        </w:tc>
        <w:tc>
          <w:tcPr>
            <w:tcW w:w="1276" w:type="dxa"/>
          </w:tcPr>
          <w:p w14:paraId="2970FA87" w14:textId="77777777" w:rsidR="00157E18" w:rsidRPr="00157E18" w:rsidRDefault="00157E18" w:rsidP="007E1EB2">
            <w:pPr>
              <w:spacing w:line="240" w:lineRule="auto"/>
              <w:jc w:val="right"/>
              <w:rPr>
                <w:rFonts w:cs="Times New Roman"/>
                <w:sz w:val="18"/>
                <w:szCs w:val="18"/>
              </w:rPr>
            </w:pPr>
          </w:p>
        </w:tc>
      </w:tr>
      <w:tr w:rsidR="00157E18" w:rsidRPr="00157E18" w14:paraId="2C900BD8" w14:textId="77777777" w:rsidTr="00157E18">
        <w:tc>
          <w:tcPr>
            <w:tcW w:w="4825" w:type="dxa"/>
            <w:gridSpan w:val="2"/>
            <w:shd w:val="clear" w:color="auto" w:fill="auto"/>
          </w:tcPr>
          <w:p w14:paraId="53CB07CE" w14:textId="77777777" w:rsidR="00157E18" w:rsidRPr="00157E18" w:rsidRDefault="00157E18" w:rsidP="007E1EB2">
            <w:pPr>
              <w:spacing w:line="240" w:lineRule="auto"/>
              <w:rPr>
                <w:sz w:val="18"/>
                <w:szCs w:val="18"/>
              </w:rPr>
            </w:pPr>
            <w:r w:rsidRPr="00157E18">
              <w:rPr>
                <w:sz w:val="18"/>
                <w:szCs w:val="18"/>
              </w:rPr>
              <w:t xml:space="preserve">       Above median</w:t>
            </w:r>
          </w:p>
        </w:tc>
        <w:tc>
          <w:tcPr>
            <w:tcW w:w="2055" w:type="dxa"/>
          </w:tcPr>
          <w:p w14:paraId="2EF73FEE"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44.3 (41.81, 46.83)</w:t>
            </w:r>
          </w:p>
        </w:tc>
        <w:tc>
          <w:tcPr>
            <w:tcW w:w="2056" w:type="dxa"/>
          </w:tcPr>
          <w:p w14:paraId="5E5C5BFC"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43.8 (41.25, 46.33)</w:t>
            </w:r>
          </w:p>
        </w:tc>
        <w:tc>
          <w:tcPr>
            <w:tcW w:w="1276" w:type="dxa"/>
          </w:tcPr>
          <w:p w14:paraId="1841BA2D" w14:textId="77777777" w:rsidR="00157E18" w:rsidRPr="00157E18" w:rsidRDefault="00157E18" w:rsidP="007E1EB2">
            <w:pPr>
              <w:spacing w:line="240" w:lineRule="auto"/>
              <w:jc w:val="right"/>
              <w:rPr>
                <w:rFonts w:cs="Times New Roman"/>
                <w:sz w:val="18"/>
                <w:szCs w:val="18"/>
              </w:rPr>
            </w:pPr>
          </w:p>
        </w:tc>
      </w:tr>
      <w:tr w:rsidR="00157E18" w:rsidRPr="00157E18" w14:paraId="50A66A55" w14:textId="77777777" w:rsidTr="00157E18">
        <w:tc>
          <w:tcPr>
            <w:tcW w:w="4825" w:type="dxa"/>
            <w:gridSpan w:val="2"/>
            <w:shd w:val="clear" w:color="auto" w:fill="auto"/>
          </w:tcPr>
          <w:p w14:paraId="2D23197D" w14:textId="77777777" w:rsidR="00157E18" w:rsidRPr="00157E18" w:rsidRDefault="00157E18" w:rsidP="007E1EB2">
            <w:pPr>
              <w:pStyle w:val="ListParagraph"/>
              <w:numPr>
                <w:ilvl w:val="0"/>
                <w:numId w:val="17"/>
              </w:numPr>
              <w:autoSpaceDE/>
              <w:autoSpaceDN/>
              <w:adjustRightInd/>
              <w:spacing w:line="240" w:lineRule="auto"/>
              <w:rPr>
                <w:rFonts w:cs="Times New Roman"/>
                <w:sz w:val="18"/>
                <w:szCs w:val="18"/>
              </w:rPr>
            </w:pPr>
            <w:r w:rsidRPr="00157E18">
              <w:rPr>
                <w:b/>
                <w:sz w:val="18"/>
                <w:szCs w:val="18"/>
              </w:rPr>
              <w:t>Self-funding</w:t>
            </w:r>
            <w:r w:rsidRPr="00157E18">
              <w:rPr>
                <w:sz w:val="18"/>
                <w:szCs w:val="18"/>
              </w:rPr>
              <w:t xml:space="preserve"> (proportion of self-funded places) (continuous)</w:t>
            </w:r>
          </w:p>
        </w:tc>
        <w:tc>
          <w:tcPr>
            <w:tcW w:w="2055" w:type="dxa"/>
          </w:tcPr>
          <w:p w14:paraId="369596D8" w14:textId="77777777" w:rsidR="00157E18" w:rsidRPr="00157E18" w:rsidRDefault="00157E18" w:rsidP="007E1EB2">
            <w:pPr>
              <w:spacing w:line="240" w:lineRule="auto"/>
              <w:jc w:val="right"/>
              <w:rPr>
                <w:rFonts w:cs="Times New Roman"/>
                <w:sz w:val="18"/>
                <w:szCs w:val="18"/>
              </w:rPr>
            </w:pPr>
          </w:p>
        </w:tc>
        <w:tc>
          <w:tcPr>
            <w:tcW w:w="2056" w:type="dxa"/>
          </w:tcPr>
          <w:p w14:paraId="23C8AC6B" w14:textId="77777777" w:rsidR="00157E18" w:rsidRPr="00157E18" w:rsidRDefault="00157E18" w:rsidP="007E1EB2">
            <w:pPr>
              <w:spacing w:line="240" w:lineRule="auto"/>
              <w:jc w:val="right"/>
              <w:rPr>
                <w:rFonts w:cs="Times New Roman"/>
                <w:sz w:val="18"/>
                <w:szCs w:val="18"/>
              </w:rPr>
            </w:pPr>
          </w:p>
        </w:tc>
        <w:tc>
          <w:tcPr>
            <w:tcW w:w="1276" w:type="dxa"/>
          </w:tcPr>
          <w:p w14:paraId="648B5771"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0.8230</w:t>
            </w:r>
          </w:p>
        </w:tc>
      </w:tr>
      <w:tr w:rsidR="00157E18" w:rsidRPr="00157E18" w14:paraId="54145909" w14:textId="77777777" w:rsidTr="00157E18">
        <w:tc>
          <w:tcPr>
            <w:tcW w:w="4825" w:type="dxa"/>
            <w:gridSpan w:val="2"/>
            <w:shd w:val="clear" w:color="auto" w:fill="auto"/>
          </w:tcPr>
          <w:p w14:paraId="1B4A2861" w14:textId="77777777" w:rsidR="00157E18" w:rsidRPr="00157E18" w:rsidRDefault="00157E18" w:rsidP="007E1EB2">
            <w:pPr>
              <w:spacing w:line="240" w:lineRule="auto"/>
              <w:rPr>
                <w:b/>
                <w:sz w:val="18"/>
                <w:szCs w:val="18"/>
              </w:rPr>
            </w:pPr>
            <w:r w:rsidRPr="00157E18">
              <w:rPr>
                <w:sz w:val="18"/>
                <w:szCs w:val="18"/>
              </w:rPr>
              <w:t xml:space="preserve">       Below or equal to mean</w:t>
            </w:r>
          </w:p>
        </w:tc>
        <w:tc>
          <w:tcPr>
            <w:tcW w:w="2055" w:type="dxa"/>
          </w:tcPr>
          <w:p w14:paraId="06FBE17E"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46.1 (43.52, 48.68)</w:t>
            </w:r>
          </w:p>
        </w:tc>
        <w:tc>
          <w:tcPr>
            <w:tcW w:w="2056" w:type="dxa"/>
          </w:tcPr>
          <w:p w14:paraId="0806407F"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42.6 (40.68, 44.51)</w:t>
            </w:r>
          </w:p>
        </w:tc>
        <w:tc>
          <w:tcPr>
            <w:tcW w:w="1276" w:type="dxa"/>
          </w:tcPr>
          <w:p w14:paraId="72E4F192" w14:textId="77777777" w:rsidR="00157E18" w:rsidRPr="00157E18" w:rsidRDefault="00157E18" w:rsidP="007E1EB2">
            <w:pPr>
              <w:spacing w:line="240" w:lineRule="auto"/>
              <w:jc w:val="right"/>
              <w:rPr>
                <w:rFonts w:cs="Times New Roman"/>
                <w:sz w:val="18"/>
                <w:szCs w:val="18"/>
              </w:rPr>
            </w:pPr>
          </w:p>
        </w:tc>
      </w:tr>
      <w:tr w:rsidR="00157E18" w:rsidRPr="00157E18" w14:paraId="585675C0" w14:textId="77777777" w:rsidTr="00157E18">
        <w:tc>
          <w:tcPr>
            <w:tcW w:w="4825" w:type="dxa"/>
            <w:gridSpan w:val="2"/>
            <w:shd w:val="clear" w:color="auto" w:fill="auto"/>
          </w:tcPr>
          <w:p w14:paraId="2BA896CC" w14:textId="77777777" w:rsidR="00157E18" w:rsidRPr="00157E18" w:rsidRDefault="00157E18" w:rsidP="007E1EB2">
            <w:pPr>
              <w:spacing w:line="240" w:lineRule="auto"/>
              <w:rPr>
                <w:b/>
                <w:sz w:val="18"/>
                <w:szCs w:val="18"/>
              </w:rPr>
            </w:pPr>
            <w:r w:rsidRPr="00157E18">
              <w:rPr>
                <w:sz w:val="18"/>
                <w:szCs w:val="18"/>
              </w:rPr>
              <w:t xml:space="preserve">       Above mean</w:t>
            </w:r>
          </w:p>
        </w:tc>
        <w:tc>
          <w:tcPr>
            <w:tcW w:w="2055" w:type="dxa"/>
          </w:tcPr>
          <w:p w14:paraId="7DADD27E"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46.1 (43.04, 49.05)</w:t>
            </w:r>
          </w:p>
        </w:tc>
        <w:tc>
          <w:tcPr>
            <w:tcW w:w="2056" w:type="dxa"/>
          </w:tcPr>
          <w:p w14:paraId="1071296E"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43.3 (40.42, 46.11)</w:t>
            </w:r>
          </w:p>
        </w:tc>
        <w:tc>
          <w:tcPr>
            <w:tcW w:w="1276" w:type="dxa"/>
          </w:tcPr>
          <w:p w14:paraId="604F2BF6" w14:textId="77777777" w:rsidR="00157E18" w:rsidRPr="00157E18" w:rsidRDefault="00157E18" w:rsidP="007E1EB2">
            <w:pPr>
              <w:spacing w:line="240" w:lineRule="auto"/>
              <w:jc w:val="right"/>
              <w:rPr>
                <w:rFonts w:cs="Times New Roman"/>
                <w:sz w:val="18"/>
                <w:szCs w:val="18"/>
              </w:rPr>
            </w:pPr>
          </w:p>
        </w:tc>
      </w:tr>
      <w:tr w:rsidR="00157E18" w:rsidRPr="00157E18" w14:paraId="29CAB7AF" w14:textId="77777777" w:rsidTr="00157E18">
        <w:tc>
          <w:tcPr>
            <w:tcW w:w="4825" w:type="dxa"/>
            <w:gridSpan w:val="2"/>
          </w:tcPr>
          <w:p w14:paraId="07F02A7C" w14:textId="77777777" w:rsidR="00157E18" w:rsidRPr="00157E18" w:rsidRDefault="00157E18" w:rsidP="007E1EB2">
            <w:pPr>
              <w:pStyle w:val="ListParagraph"/>
              <w:numPr>
                <w:ilvl w:val="0"/>
                <w:numId w:val="17"/>
              </w:numPr>
              <w:autoSpaceDE/>
              <w:autoSpaceDN/>
              <w:adjustRightInd/>
              <w:spacing w:line="240" w:lineRule="auto"/>
              <w:rPr>
                <w:rFonts w:cs="Times New Roman"/>
                <w:sz w:val="18"/>
                <w:szCs w:val="18"/>
              </w:rPr>
            </w:pPr>
            <w:r w:rsidRPr="00157E18">
              <w:rPr>
                <w:b/>
                <w:sz w:val="18"/>
                <w:szCs w:val="18"/>
              </w:rPr>
              <w:t>Care home facilities</w:t>
            </w:r>
            <w:r w:rsidRPr="00157E18">
              <w:rPr>
                <w:sz w:val="18"/>
                <w:szCs w:val="18"/>
              </w:rPr>
              <w:t xml:space="preserve"> (EAT) (continuous)</w:t>
            </w:r>
          </w:p>
        </w:tc>
        <w:tc>
          <w:tcPr>
            <w:tcW w:w="2055" w:type="dxa"/>
          </w:tcPr>
          <w:p w14:paraId="239A8175" w14:textId="77777777" w:rsidR="00157E18" w:rsidRPr="00157E18" w:rsidRDefault="00157E18" w:rsidP="007E1EB2">
            <w:pPr>
              <w:spacing w:line="240" w:lineRule="auto"/>
              <w:jc w:val="right"/>
              <w:rPr>
                <w:rFonts w:cs="Times New Roman"/>
                <w:sz w:val="18"/>
                <w:szCs w:val="18"/>
              </w:rPr>
            </w:pPr>
          </w:p>
        </w:tc>
        <w:tc>
          <w:tcPr>
            <w:tcW w:w="2056" w:type="dxa"/>
          </w:tcPr>
          <w:p w14:paraId="796537FF" w14:textId="77777777" w:rsidR="00157E18" w:rsidRPr="00157E18" w:rsidRDefault="00157E18" w:rsidP="007E1EB2">
            <w:pPr>
              <w:spacing w:line="240" w:lineRule="auto"/>
              <w:jc w:val="right"/>
              <w:rPr>
                <w:rFonts w:cs="Times New Roman"/>
                <w:sz w:val="18"/>
                <w:szCs w:val="18"/>
              </w:rPr>
            </w:pPr>
          </w:p>
        </w:tc>
        <w:tc>
          <w:tcPr>
            <w:tcW w:w="1276" w:type="dxa"/>
          </w:tcPr>
          <w:p w14:paraId="3B223151"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0.4339</w:t>
            </w:r>
          </w:p>
        </w:tc>
      </w:tr>
      <w:tr w:rsidR="00157E18" w:rsidRPr="00157E18" w14:paraId="15CA552A" w14:textId="77777777" w:rsidTr="00157E18">
        <w:tc>
          <w:tcPr>
            <w:tcW w:w="4825" w:type="dxa"/>
            <w:gridSpan w:val="2"/>
          </w:tcPr>
          <w:p w14:paraId="60F58472" w14:textId="77777777" w:rsidR="00157E18" w:rsidRPr="00157E18" w:rsidRDefault="00157E18" w:rsidP="007E1EB2">
            <w:pPr>
              <w:spacing w:line="240" w:lineRule="auto"/>
              <w:rPr>
                <w:b/>
                <w:sz w:val="18"/>
                <w:szCs w:val="18"/>
              </w:rPr>
            </w:pPr>
            <w:r w:rsidRPr="00157E18">
              <w:rPr>
                <w:sz w:val="18"/>
                <w:szCs w:val="18"/>
              </w:rPr>
              <w:t xml:space="preserve">       Below or equal to mean</w:t>
            </w:r>
          </w:p>
        </w:tc>
        <w:tc>
          <w:tcPr>
            <w:tcW w:w="2055" w:type="dxa"/>
          </w:tcPr>
          <w:p w14:paraId="45E6FB61"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45.0 (42.11, 47.92)</w:t>
            </w:r>
          </w:p>
        </w:tc>
        <w:tc>
          <w:tcPr>
            <w:tcW w:w="2056" w:type="dxa"/>
          </w:tcPr>
          <w:p w14:paraId="49469CA4"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41.9 (39.80. 43.98)</w:t>
            </w:r>
          </w:p>
        </w:tc>
        <w:tc>
          <w:tcPr>
            <w:tcW w:w="1276" w:type="dxa"/>
          </w:tcPr>
          <w:p w14:paraId="34F428B4" w14:textId="77777777" w:rsidR="00157E18" w:rsidRPr="00157E18" w:rsidRDefault="00157E18" w:rsidP="007E1EB2">
            <w:pPr>
              <w:spacing w:line="240" w:lineRule="auto"/>
              <w:jc w:val="right"/>
              <w:rPr>
                <w:rFonts w:cs="Times New Roman"/>
                <w:sz w:val="18"/>
                <w:szCs w:val="18"/>
              </w:rPr>
            </w:pPr>
          </w:p>
        </w:tc>
      </w:tr>
      <w:tr w:rsidR="00157E18" w:rsidRPr="00157E18" w14:paraId="39709334" w14:textId="77777777" w:rsidTr="00157E18">
        <w:tc>
          <w:tcPr>
            <w:tcW w:w="4825" w:type="dxa"/>
            <w:gridSpan w:val="2"/>
          </w:tcPr>
          <w:p w14:paraId="0E31E296" w14:textId="77777777" w:rsidR="00157E18" w:rsidRPr="00157E18" w:rsidRDefault="00157E18" w:rsidP="007E1EB2">
            <w:pPr>
              <w:spacing w:line="240" w:lineRule="auto"/>
              <w:rPr>
                <w:b/>
                <w:sz w:val="18"/>
                <w:szCs w:val="18"/>
              </w:rPr>
            </w:pPr>
            <w:r w:rsidRPr="00157E18">
              <w:rPr>
                <w:sz w:val="18"/>
                <w:szCs w:val="18"/>
              </w:rPr>
              <w:t xml:space="preserve">       Above mean</w:t>
            </w:r>
          </w:p>
        </w:tc>
        <w:tc>
          <w:tcPr>
            <w:tcW w:w="2055" w:type="dxa"/>
          </w:tcPr>
          <w:p w14:paraId="2ACE3C0E"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47.0 (44.29, 49.64)</w:t>
            </w:r>
          </w:p>
        </w:tc>
        <w:tc>
          <w:tcPr>
            <w:tcW w:w="2056" w:type="dxa"/>
          </w:tcPr>
          <w:p w14:paraId="44E2BB54"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44.0 (41.58, 46.47)</w:t>
            </w:r>
          </w:p>
        </w:tc>
        <w:tc>
          <w:tcPr>
            <w:tcW w:w="1276" w:type="dxa"/>
          </w:tcPr>
          <w:p w14:paraId="493961FA" w14:textId="77777777" w:rsidR="00157E18" w:rsidRPr="00157E18" w:rsidRDefault="00157E18" w:rsidP="007E1EB2">
            <w:pPr>
              <w:spacing w:line="240" w:lineRule="auto"/>
              <w:jc w:val="right"/>
              <w:rPr>
                <w:rFonts w:cs="Times New Roman"/>
                <w:sz w:val="18"/>
                <w:szCs w:val="18"/>
              </w:rPr>
            </w:pPr>
          </w:p>
        </w:tc>
      </w:tr>
      <w:tr w:rsidR="00157E18" w:rsidRPr="00157E18" w14:paraId="52048D8A" w14:textId="77777777" w:rsidTr="00157E18">
        <w:tc>
          <w:tcPr>
            <w:tcW w:w="4825" w:type="dxa"/>
            <w:gridSpan w:val="2"/>
          </w:tcPr>
          <w:p w14:paraId="2ECC147F" w14:textId="77777777" w:rsidR="00157E18" w:rsidRPr="00157E18" w:rsidRDefault="00157E18" w:rsidP="007E1EB2">
            <w:pPr>
              <w:pStyle w:val="ListParagraph"/>
              <w:numPr>
                <w:ilvl w:val="0"/>
                <w:numId w:val="17"/>
              </w:numPr>
              <w:autoSpaceDE/>
              <w:autoSpaceDN/>
              <w:adjustRightInd/>
              <w:spacing w:line="240" w:lineRule="auto"/>
              <w:rPr>
                <w:rFonts w:cs="Times New Roman"/>
                <w:sz w:val="18"/>
                <w:szCs w:val="18"/>
              </w:rPr>
            </w:pPr>
            <w:r w:rsidRPr="00157E18">
              <w:rPr>
                <w:b/>
                <w:sz w:val="18"/>
                <w:szCs w:val="18"/>
              </w:rPr>
              <w:t>Group living Home Characteristics</w:t>
            </w:r>
            <w:r w:rsidRPr="00157E18">
              <w:rPr>
                <w:sz w:val="18"/>
                <w:szCs w:val="18"/>
              </w:rPr>
              <w:t xml:space="preserve"> (continuous)</w:t>
            </w:r>
          </w:p>
        </w:tc>
        <w:tc>
          <w:tcPr>
            <w:tcW w:w="2055" w:type="dxa"/>
          </w:tcPr>
          <w:p w14:paraId="663B2779" w14:textId="77777777" w:rsidR="00157E18" w:rsidRPr="00157E18" w:rsidRDefault="00157E18" w:rsidP="007E1EB2">
            <w:pPr>
              <w:spacing w:line="240" w:lineRule="auto"/>
              <w:jc w:val="right"/>
              <w:rPr>
                <w:rFonts w:cs="Times New Roman"/>
                <w:sz w:val="18"/>
                <w:szCs w:val="18"/>
              </w:rPr>
            </w:pPr>
          </w:p>
        </w:tc>
        <w:tc>
          <w:tcPr>
            <w:tcW w:w="2056" w:type="dxa"/>
          </w:tcPr>
          <w:p w14:paraId="066636E9" w14:textId="77777777" w:rsidR="00157E18" w:rsidRPr="00157E18" w:rsidRDefault="00157E18" w:rsidP="007E1EB2">
            <w:pPr>
              <w:spacing w:line="240" w:lineRule="auto"/>
              <w:jc w:val="right"/>
              <w:rPr>
                <w:rFonts w:cs="Times New Roman"/>
                <w:sz w:val="18"/>
                <w:szCs w:val="18"/>
              </w:rPr>
            </w:pPr>
          </w:p>
        </w:tc>
        <w:tc>
          <w:tcPr>
            <w:tcW w:w="1276" w:type="dxa"/>
          </w:tcPr>
          <w:p w14:paraId="1A5535FB"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0.9756</w:t>
            </w:r>
          </w:p>
        </w:tc>
      </w:tr>
      <w:tr w:rsidR="00157E18" w:rsidRPr="00157E18" w14:paraId="02748A9D" w14:textId="77777777" w:rsidTr="00157E18">
        <w:tc>
          <w:tcPr>
            <w:tcW w:w="4825" w:type="dxa"/>
            <w:gridSpan w:val="2"/>
          </w:tcPr>
          <w:p w14:paraId="13B6B92F" w14:textId="77777777" w:rsidR="00157E18" w:rsidRPr="00157E18" w:rsidRDefault="00157E18" w:rsidP="007E1EB2">
            <w:pPr>
              <w:spacing w:line="240" w:lineRule="auto"/>
              <w:rPr>
                <w:b/>
                <w:sz w:val="18"/>
                <w:szCs w:val="18"/>
              </w:rPr>
            </w:pPr>
            <w:r w:rsidRPr="00157E18">
              <w:rPr>
                <w:sz w:val="18"/>
                <w:szCs w:val="18"/>
              </w:rPr>
              <w:t xml:space="preserve">       Below or equal to mean</w:t>
            </w:r>
          </w:p>
        </w:tc>
        <w:tc>
          <w:tcPr>
            <w:tcW w:w="2055" w:type="dxa"/>
          </w:tcPr>
          <w:p w14:paraId="63EAEF94"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45.3 (42.67, 47.87)</w:t>
            </w:r>
          </w:p>
        </w:tc>
        <w:tc>
          <w:tcPr>
            <w:tcW w:w="2056" w:type="dxa"/>
          </w:tcPr>
          <w:p w14:paraId="46F5E0C0"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42.4 (40.38, 44.43)</w:t>
            </w:r>
          </w:p>
        </w:tc>
        <w:tc>
          <w:tcPr>
            <w:tcW w:w="1276" w:type="dxa"/>
          </w:tcPr>
          <w:p w14:paraId="61BBF360" w14:textId="77777777" w:rsidR="00157E18" w:rsidRPr="00157E18" w:rsidRDefault="00157E18" w:rsidP="007E1EB2">
            <w:pPr>
              <w:spacing w:line="240" w:lineRule="auto"/>
              <w:jc w:val="right"/>
              <w:rPr>
                <w:rFonts w:cs="Times New Roman"/>
                <w:sz w:val="18"/>
                <w:szCs w:val="18"/>
              </w:rPr>
            </w:pPr>
          </w:p>
        </w:tc>
      </w:tr>
      <w:tr w:rsidR="00157E18" w:rsidRPr="00157E18" w14:paraId="7487513F" w14:textId="77777777" w:rsidTr="00157E18">
        <w:tc>
          <w:tcPr>
            <w:tcW w:w="4825" w:type="dxa"/>
            <w:gridSpan w:val="2"/>
          </w:tcPr>
          <w:p w14:paraId="4BF64941" w14:textId="77777777" w:rsidR="00157E18" w:rsidRPr="00157E18" w:rsidRDefault="00157E18" w:rsidP="007E1EB2">
            <w:pPr>
              <w:spacing w:line="240" w:lineRule="auto"/>
              <w:rPr>
                <w:b/>
                <w:sz w:val="18"/>
                <w:szCs w:val="18"/>
              </w:rPr>
            </w:pPr>
            <w:r w:rsidRPr="00157E18">
              <w:rPr>
                <w:sz w:val="18"/>
                <w:szCs w:val="18"/>
              </w:rPr>
              <w:t xml:space="preserve">       Above mean</w:t>
            </w:r>
          </w:p>
        </w:tc>
        <w:tc>
          <w:tcPr>
            <w:tcW w:w="2055" w:type="dxa"/>
          </w:tcPr>
          <w:p w14:paraId="42652080"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47.1 (44.09, 50.12)</w:t>
            </w:r>
          </w:p>
        </w:tc>
        <w:tc>
          <w:tcPr>
            <w:tcW w:w="2056" w:type="dxa"/>
          </w:tcPr>
          <w:p w14:paraId="3C9CAFD5"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43.4 (40.85, 45.93)</w:t>
            </w:r>
          </w:p>
        </w:tc>
        <w:tc>
          <w:tcPr>
            <w:tcW w:w="1276" w:type="dxa"/>
          </w:tcPr>
          <w:p w14:paraId="62125658" w14:textId="77777777" w:rsidR="00157E18" w:rsidRPr="00157E18" w:rsidRDefault="00157E18" w:rsidP="007E1EB2">
            <w:pPr>
              <w:spacing w:line="240" w:lineRule="auto"/>
              <w:jc w:val="right"/>
              <w:rPr>
                <w:rFonts w:cs="Times New Roman"/>
                <w:sz w:val="18"/>
                <w:szCs w:val="18"/>
              </w:rPr>
            </w:pPr>
          </w:p>
        </w:tc>
      </w:tr>
      <w:tr w:rsidR="00157E18" w:rsidRPr="00157E18" w14:paraId="175C61DB" w14:textId="77777777" w:rsidTr="00157E18">
        <w:tc>
          <w:tcPr>
            <w:tcW w:w="4825" w:type="dxa"/>
            <w:gridSpan w:val="2"/>
          </w:tcPr>
          <w:p w14:paraId="0644D194" w14:textId="77777777" w:rsidR="00157E18" w:rsidRPr="00157E18" w:rsidRDefault="00157E18" w:rsidP="007E1EB2">
            <w:pPr>
              <w:pStyle w:val="ListParagraph"/>
              <w:numPr>
                <w:ilvl w:val="0"/>
                <w:numId w:val="17"/>
              </w:numPr>
              <w:autoSpaceDE/>
              <w:autoSpaceDN/>
              <w:adjustRightInd/>
              <w:spacing w:line="240" w:lineRule="auto"/>
              <w:rPr>
                <w:rFonts w:cs="Times New Roman"/>
                <w:sz w:val="18"/>
                <w:szCs w:val="18"/>
              </w:rPr>
            </w:pPr>
            <w:r w:rsidRPr="00157E18">
              <w:rPr>
                <w:b/>
                <w:sz w:val="18"/>
                <w:szCs w:val="18"/>
              </w:rPr>
              <w:t>Care home manager experience</w:t>
            </w:r>
            <w:r w:rsidRPr="00157E18">
              <w:rPr>
                <w:sz w:val="18"/>
                <w:szCs w:val="18"/>
              </w:rPr>
              <w:t xml:space="preserve"> (length of time in care home) (continuous)</w:t>
            </w:r>
          </w:p>
        </w:tc>
        <w:tc>
          <w:tcPr>
            <w:tcW w:w="2055" w:type="dxa"/>
          </w:tcPr>
          <w:p w14:paraId="1928DFA1" w14:textId="77777777" w:rsidR="00157E18" w:rsidRPr="00157E18" w:rsidRDefault="00157E18" w:rsidP="007E1EB2">
            <w:pPr>
              <w:spacing w:line="240" w:lineRule="auto"/>
              <w:jc w:val="right"/>
              <w:rPr>
                <w:rFonts w:cs="Times New Roman"/>
                <w:sz w:val="18"/>
                <w:szCs w:val="18"/>
              </w:rPr>
            </w:pPr>
          </w:p>
        </w:tc>
        <w:tc>
          <w:tcPr>
            <w:tcW w:w="2056" w:type="dxa"/>
          </w:tcPr>
          <w:p w14:paraId="5017D431" w14:textId="77777777" w:rsidR="00157E18" w:rsidRPr="00157E18" w:rsidRDefault="00157E18" w:rsidP="007E1EB2">
            <w:pPr>
              <w:spacing w:line="240" w:lineRule="auto"/>
              <w:jc w:val="right"/>
              <w:rPr>
                <w:rFonts w:cs="Times New Roman"/>
                <w:sz w:val="18"/>
                <w:szCs w:val="18"/>
              </w:rPr>
            </w:pPr>
          </w:p>
        </w:tc>
        <w:tc>
          <w:tcPr>
            <w:tcW w:w="1276" w:type="dxa"/>
          </w:tcPr>
          <w:p w14:paraId="3D343830"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0.9961</w:t>
            </w:r>
          </w:p>
        </w:tc>
      </w:tr>
      <w:tr w:rsidR="00157E18" w:rsidRPr="00157E18" w14:paraId="78770A82" w14:textId="77777777" w:rsidTr="00157E18">
        <w:tc>
          <w:tcPr>
            <w:tcW w:w="4825" w:type="dxa"/>
            <w:gridSpan w:val="2"/>
          </w:tcPr>
          <w:p w14:paraId="4E22CEEC" w14:textId="77777777" w:rsidR="00157E18" w:rsidRPr="00157E18" w:rsidRDefault="00157E18" w:rsidP="007E1EB2">
            <w:pPr>
              <w:spacing w:line="240" w:lineRule="auto"/>
              <w:rPr>
                <w:b/>
                <w:sz w:val="18"/>
                <w:szCs w:val="18"/>
              </w:rPr>
            </w:pPr>
            <w:r w:rsidRPr="00157E18">
              <w:rPr>
                <w:sz w:val="18"/>
                <w:szCs w:val="18"/>
              </w:rPr>
              <w:t xml:space="preserve">       Below or equal to mean</w:t>
            </w:r>
          </w:p>
        </w:tc>
        <w:tc>
          <w:tcPr>
            <w:tcW w:w="2055" w:type="dxa"/>
          </w:tcPr>
          <w:p w14:paraId="28690EB3"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45.9 (43.79, 48.06)</w:t>
            </w:r>
          </w:p>
        </w:tc>
        <w:tc>
          <w:tcPr>
            <w:tcW w:w="2056" w:type="dxa"/>
          </w:tcPr>
          <w:p w14:paraId="6165B022"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44.2 (42.21, 46.18)</w:t>
            </w:r>
          </w:p>
        </w:tc>
        <w:tc>
          <w:tcPr>
            <w:tcW w:w="1276" w:type="dxa"/>
          </w:tcPr>
          <w:p w14:paraId="1522F0A8" w14:textId="77777777" w:rsidR="00157E18" w:rsidRPr="00157E18" w:rsidRDefault="00157E18" w:rsidP="007E1EB2">
            <w:pPr>
              <w:spacing w:line="240" w:lineRule="auto"/>
              <w:jc w:val="right"/>
              <w:rPr>
                <w:rFonts w:cs="Times New Roman"/>
                <w:sz w:val="18"/>
                <w:szCs w:val="18"/>
              </w:rPr>
            </w:pPr>
          </w:p>
        </w:tc>
      </w:tr>
      <w:tr w:rsidR="00157E18" w:rsidRPr="00157E18" w14:paraId="74B56D3E" w14:textId="77777777" w:rsidTr="00157E18">
        <w:tc>
          <w:tcPr>
            <w:tcW w:w="4825" w:type="dxa"/>
            <w:gridSpan w:val="2"/>
          </w:tcPr>
          <w:p w14:paraId="09DB2740" w14:textId="77777777" w:rsidR="00157E18" w:rsidRPr="00157E18" w:rsidRDefault="00157E18" w:rsidP="007E1EB2">
            <w:pPr>
              <w:spacing w:line="240" w:lineRule="auto"/>
              <w:rPr>
                <w:b/>
                <w:sz w:val="18"/>
                <w:szCs w:val="18"/>
              </w:rPr>
            </w:pPr>
            <w:r w:rsidRPr="00157E18">
              <w:rPr>
                <w:sz w:val="18"/>
                <w:szCs w:val="18"/>
              </w:rPr>
              <w:t xml:space="preserve">       Above mean</w:t>
            </w:r>
          </w:p>
        </w:tc>
        <w:tc>
          <w:tcPr>
            <w:tcW w:w="2055" w:type="dxa"/>
          </w:tcPr>
          <w:p w14:paraId="377D65D7"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46.8 (41.72, 51.78)</w:t>
            </w:r>
          </w:p>
        </w:tc>
        <w:tc>
          <w:tcPr>
            <w:tcW w:w="2056" w:type="dxa"/>
          </w:tcPr>
          <w:p w14:paraId="60B8CDA8"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39.8 (37.22, 42.30)</w:t>
            </w:r>
          </w:p>
        </w:tc>
        <w:tc>
          <w:tcPr>
            <w:tcW w:w="1276" w:type="dxa"/>
          </w:tcPr>
          <w:p w14:paraId="2CB69D18" w14:textId="77777777" w:rsidR="00157E18" w:rsidRPr="00157E18" w:rsidRDefault="00157E18" w:rsidP="007E1EB2">
            <w:pPr>
              <w:spacing w:line="240" w:lineRule="auto"/>
              <w:jc w:val="right"/>
              <w:rPr>
                <w:rFonts w:cs="Times New Roman"/>
                <w:sz w:val="18"/>
                <w:szCs w:val="18"/>
              </w:rPr>
            </w:pPr>
          </w:p>
        </w:tc>
      </w:tr>
      <w:tr w:rsidR="00157E18" w:rsidRPr="00157E18" w14:paraId="67952B81" w14:textId="77777777" w:rsidTr="00157E18">
        <w:tc>
          <w:tcPr>
            <w:tcW w:w="4825" w:type="dxa"/>
            <w:gridSpan w:val="2"/>
          </w:tcPr>
          <w:p w14:paraId="6F2CE752" w14:textId="77777777" w:rsidR="00157E18" w:rsidRPr="00157E18" w:rsidRDefault="00157E18" w:rsidP="007E1EB2">
            <w:pPr>
              <w:pStyle w:val="ListParagraph"/>
              <w:numPr>
                <w:ilvl w:val="0"/>
                <w:numId w:val="17"/>
              </w:numPr>
              <w:autoSpaceDE/>
              <w:autoSpaceDN/>
              <w:adjustRightInd/>
              <w:spacing w:line="240" w:lineRule="auto"/>
              <w:rPr>
                <w:rFonts w:cs="Times New Roman"/>
                <w:sz w:val="18"/>
                <w:szCs w:val="18"/>
              </w:rPr>
            </w:pPr>
            <w:r w:rsidRPr="00157E18">
              <w:rPr>
                <w:b/>
                <w:sz w:val="18"/>
                <w:szCs w:val="18"/>
              </w:rPr>
              <w:t>The Quality of Interactions Schedule</w:t>
            </w:r>
            <w:r w:rsidRPr="00157E18">
              <w:rPr>
                <w:sz w:val="18"/>
                <w:szCs w:val="18"/>
              </w:rPr>
              <w:t xml:space="preserve"> (QUIS) (proportion positive)</w:t>
            </w:r>
          </w:p>
        </w:tc>
        <w:tc>
          <w:tcPr>
            <w:tcW w:w="2055" w:type="dxa"/>
          </w:tcPr>
          <w:p w14:paraId="28B3221C" w14:textId="77777777" w:rsidR="00157E18" w:rsidRPr="00157E18" w:rsidRDefault="00157E18" w:rsidP="007E1EB2">
            <w:pPr>
              <w:spacing w:line="240" w:lineRule="auto"/>
              <w:jc w:val="right"/>
              <w:rPr>
                <w:rFonts w:cs="Times New Roman"/>
                <w:sz w:val="18"/>
                <w:szCs w:val="18"/>
              </w:rPr>
            </w:pPr>
          </w:p>
        </w:tc>
        <w:tc>
          <w:tcPr>
            <w:tcW w:w="2056" w:type="dxa"/>
          </w:tcPr>
          <w:p w14:paraId="7B30669B" w14:textId="77777777" w:rsidR="00157E18" w:rsidRPr="00157E18" w:rsidRDefault="00157E18" w:rsidP="007E1EB2">
            <w:pPr>
              <w:spacing w:line="240" w:lineRule="auto"/>
              <w:jc w:val="right"/>
              <w:rPr>
                <w:rFonts w:cs="Times New Roman"/>
                <w:sz w:val="18"/>
                <w:szCs w:val="18"/>
              </w:rPr>
            </w:pPr>
          </w:p>
        </w:tc>
        <w:tc>
          <w:tcPr>
            <w:tcW w:w="1276" w:type="dxa"/>
          </w:tcPr>
          <w:p w14:paraId="0ADD51BB"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0.0737</w:t>
            </w:r>
          </w:p>
        </w:tc>
      </w:tr>
      <w:tr w:rsidR="00157E18" w:rsidRPr="00157E18" w14:paraId="4A2D65D9" w14:textId="77777777" w:rsidTr="00157E18">
        <w:tc>
          <w:tcPr>
            <w:tcW w:w="4825" w:type="dxa"/>
            <w:gridSpan w:val="2"/>
          </w:tcPr>
          <w:p w14:paraId="60B2D305" w14:textId="77777777" w:rsidR="00157E18" w:rsidRPr="00157E18" w:rsidRDefault="00157E18" w:rsidP="007E1EB2">
            <w:pPr>
              <w:spacing w:line="240" w:lineRule="auto"/>
              <w:rPr>
                <w:b/>
                <w:sz w:val="18"/>
                <w:szCs w:val="18"/>
              </w:rPr>
            </w:pPr>
            <w:r w:rsidRPr="00157E18">
              <w:rPr>
                <w:sz w:val="18"/>
                <w:szCs w:val="18"/>
              </w:rPr>
              <w:t xml:space="preserve">       Below or equal to mean</w:t>
            </w:r>
          </w:p>
        </w:tc>
        <w:tc>
          <w:tcPr>
            <w:tcW w:w="2055" w:type="dxa"/>
          </w:tcPr>
          <w:p w14:paraId="47565AE1"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46.8 (43.85, 49.81)</w:t>
            </w:r>
          </w:p>
        </w:tc>
        <w:tc>
          <w:tcPr>
            <w:tcW w:w="2056" w:type="dxa"/>
          </w:tcPr>
          <w:p w14:paraId="56E95170"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44.4 (41.67, 47.11)</w:t>
            </w:r>
          </w:p>
        </w:tc>
        <w:tc>
          <w:tcPr>
            <w:tcW w:w="1276" w:type="dxa"/>
          </w:tcPr>
          <w:p w14:paraId="4FE61E83" w14:textId="77777777" w:rsidR="00157E18" w:rsidRPr="00157E18" w:rsidRDefault="00157E18" w:rsidP="007E1EB2">
            <w:pPr>
              <w:spacing w:line="240" w:lineRule="auto"/>
              <w:jc w:val="right"/>
              <w:rPr>
                <w:rFonts w:cs="Times New Roman"/>
                <w:sz w:val="18"/>
                <w:szCs w:val="18"/>
              </w:rPr>
            </w:pPr>
          </w:p>
        </w:tc>
      </w:tr>
      <w:tr w:rsidR="00157E18" w:rsidRPr="00157E18" w14:paraId="33415B79" w14:textId="77777777" w:rsidTr="00157E18">
        <w:tc>
          <w:tcPr>
            <w:tcW w:w="4825" w:type="dxa"/>
            <w:gridSpan w:val="2"/>
          </w:tcPr>
          <w:p w14:paraId="4AA92301" w14:textId="77777777" w:rsidR="00157E18" w:rsidRPr="00157E18" w:rsidRDefault="00157E18" w:rsidP="007E1EB2">
            <w:pPr>
              <w:spacing w:line="240" w:lineRule="auto"/>
              <w:rPr>
                <w:b/>
                <w:sz w:val="18"/>
                <w:szCs w:val="18"/>
              </w:rPr>
            </w:pPr>
            <w:r w:rsidRPr="00157E18">
              <w:rPr>
                <w:sz w:val="18"/>
                <w:szCs w:val="18"/>
              </w:rPr>
              <w:t xml:space="preserve">       Above mean</w:t>
            </w:r>
          </w:p>
        </w:tc>
        <w:tc>
          <w:tcPr>
            <w:tcW w:w="2055" w:type="dxa"/>
          </w:tcPr>
          <w:p w14:paraId="55B0A9CA"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45.4 (42.79, 48.02)</w:t>
            </w:r>
          </w:p>
        </w:tc>
        <w:tc>
          <w:tcPr>
            <w:tcW w:w="2056" w:type="dxa"/>
          </w:tcPr>
          <w:p w14:paraId="756E8EB5"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41.7 (39.83, 43.65)</w:t>
            </w:r>
          </w:p>
        </w:tc>
        <w:tc>
          <w:tcPr>
            <w:tcW w:w="1276" w:type="dxa"/>
          </w:tcPr>
          <w:p w14:paraId="2D65BE46" w14:textId="77777777" w:rsidR="00157E18" w:rsidRPr="00157E18" w:rsidRDefault="00157E18" w:rsidP="007E1EB2">
            <w:pPr>
              <w:spacing w:line="240" w:lineRule="auto"/>
              <w:jc w:val="right"/>
              <w:rPr>
                <w:rFonts w:cs="Times New Roman"/>
                <w:sz w:val="18"/>
                <w:szCs w:val="18"/>
              </w:rPr>
            </w:pPr>
          </w:p>
        </w:tc>
      </w:tr>
      <w:tr w:rsidR="00157E18" w:rsidRPr="00157E18" w14:paraId="5FF6FDE4" w14:textId="77777777" w:rsidTr="00157E18">
        <w:tc>
          <w:tcPr>
            <w:tcW w:w="4825" w:type="dxa"/>
            <w:gridSpan w:val="2"/>
          </w:tcPr>
          <w:p w14:paraId="6D5EF4D7" w14:textId="77777777" w:rsidR="00157E18" w:rsidRPr="00157E18" w:rsidRDefault="00157E18" w:rsidP="007E1EB2">
            <w:pPr>
              <w:pStyle w:val="ListParagraph"/>
              <w:numPr>
                <w:ilvl w:val="0"/>
                <w:numId w:val="17"/>
              </w:numPr>
              <w:autoSpaceDE/>
              <w:autoSpaceDN/>
              <w:adjustRightInd/>
              <w:spacing w:line="240" w:lineRule="auto"/>
              <w:rPr>
                <w:rFonts w:cs="Times New Roman"/>
                <w:sz w:val="18"/>
                <w:szCs w:val="18"/>
              </w:rPr>
            </w:pPr>
            <w:r w:rsidRPr="00157E18">
              <w:rPr>
                <w:b/>
                <w:sz w:val="18"/>
                <w:szCs w:val="18"/>
              </w:rPr>
              <w:t>Staff-resident ratio</w:t>
            </w:r>
            <w:r w:rsidRPr="00157E18">
              <w:rPr>
                <w:sz w:val="18"/>
                <w:szCs w:val="18"/>
              </w:rPr>
              <w:t xml:space="preserve"> (continuous)</w:t>
            </w:r>
          </w:p>
        </w:tc>
        <w:tc>
          <w:tcPr>
            <w:tcW w:w="2055" w:type="dxa"/>
          </w:tcPr>
          <w:p w14:paraId="6EE3CBAC" w14:textId="77777777" w:rsidR="00157E18" w:rsidRPr="00157E18" w:rsidRDefault="00157E18" w:rsidP="007E1EB2">
            <w:pPr>
              <w:spacing w:line="240" w:lineRule="auto"/>
              <w:jc w:val="right"/>
              <w:rPr>
                <w:rFonts w:cs="Times New Roman"/>
                <w:sz w:val="18"/>
                <w:szCs w:val="18"/>
              </w:rPr>
            </w:pPr>
          </w:p>
        </w:tc>
        <w:tc>
          <w:tcPr>
            <w:tcW w:w="2056" w:type="dxa"/>
          </w:tcPr>
          <w:p w14:paraId="34097128" w14:textId="77777777" w:rsidR="00157E18" w:rsidRPr="00157E18" w:rsidRDefault="00157E18" w:rsidP="007E1EB2">
            <w:pPr>
              <w:spacing w:line="240" w:lineRule="auto"/>
              <w:jc w:val="right"/>
              <w:rPr>
                <w:rFonts w:cs="Times New Roman"/>
                <w:sz w:val="18"/>
                <w:szCs w:val="18"/>
              </w:rPr>
            </w:pPr>
          </w:p>
        </w:tc>
        <w:tc>
          <w:tcPr>
            <w:tcW w:w="1276" w:type="dxa"/>
          </w:tcPr>
          <w:p w14:paraId="6946E61E"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0.3592</w:t>
            </w:r>
          </w:p>
        </w:tc>
      </w:tr>
      <w:tr w:rsidR="00157E18" w:rsidRPr="00157E18" w14:paraId="3B472011" w14:textId="77777777" w:rsidTr="00157E18">
        <w:tc>
          <w:tcPr>
            <w:tcW w:w="4825" w:type="dxa"/>
            <w:gridSpan w:val="2"/>
          </w:tcPr>
          <w:p w14:paraId="2176EA5F" w14:textId="77777777" w:rsidR="00157E18" w:rsidRPr="00157E18" w:rsidRDefault="00157E18" w:rsidP="007E1EB2">
            <w:pPr>
              <w:spacing w:line="240" w:lineRule="auto"/>
              <w:rPr>
                <w:b/>
                <w:sz w:val="18"/>
                <w:szCs w:val="18"/>
              </w:rPr>
            </w:pPr>
            <w:r w:rsidRPr="00157E18">
              <w:rPr>
                <w:sz w:val="18"/>
                <w:szCs w:val="18"/>
              </w:rPr>
              <w:t xml:space="preserve">       Below or equal to mean</w:t>
            </w:r>
          </w:p>
        </w:tc>
        <w:tc>
          <w:tcPr>
            <w:tcW w:w="2055" w:type="dxa"/>
          </w:tcPr>
          <w:p w14:paraId="6A0A107B"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48.0 (45.03, 50.90)</w:t>
            </w:r>
          </w:p>
        </w:tc>
        <w:tc>
          <w:tcPr>
            <w:tcW w:w="2056" w:type="dxa"/>
          </w:tcPr>
          <w:p w14:paraId="1F2733F3"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44.5 (42.41, 46.48)</w:t>
            </w:r>
          </w:p>
        </w:tc>
        <w:tc>
          <w:tcPr>
            <w:tcW w:w="1276" w:type="dxa"/>
          </w:tcPr>
          <w:p w14:paraId="3E00AF05" w14:textId="77777777" w:rsidR="00157E18" w:rsidRPr="00157E18" w:rsidRDefault="00157E18" w:rsidP="007E1EB2">
            <w:pPr>
              <w:spacing w:line="240" w:lineRule="auto"/>
              <w:jc w:val="right"/>
              <w:rPr>
                <w:rFonts w:cs="Times New Roman"/>
                <w:sz w:val="18"/>
                <w:szCs w:val="18"/>
              </w:rPr>
            </w:pPr>
          </w:p>
        </w:tc>
      </w:tr>
      <w:tr w:rsidR="00157E18" w:rsidRPr="00157E18" w14:paraId="021FC442" w14:textId="77777777" w:rsidTr="00157E18">
        <w:tc>
          <w:tcPr>
            <w:tcW w:w="4825" w:type="dxa"/>
            <w:gridSpan w:val="2"/>
          </w:tcPr>
          <w:p w14:paraId="32A6106E" w14:textId="77777777" w:rsidR="00157E18" w:rsidRPr="00157E18" w:rsidRDefault="00157E18" w:rsidP="007E1EB2">
            <w:pPr>
              <w:spacing w:line="240" w:lineRule="auto"/>
              <w:rPr>
                <w:b/>
                <w:sz w:val="18"/>
                <w:szCs w:val="18"/>
              </w:rPr>
            </w:pPr>
            <w:r w:rsidRPr="00157E18">
              <w:rPr>
                <w:sz w:val="18"/>
                <w:szCs w:val="18"/>
              </w:rPr>
              <w:t xml:space="preserve">       Above mean</w:t>
            </w:r>
          </w:p>
        </w:tc>
        <w:tc>
          <w:tcPr>
            <w:tcW w:w="2055" w:type="dxa"/>
          </w:tcPr>
          <w:p w14:paraId="27D12727"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44.2 (41.64, 46.85)</w:t>
            </w:r>
          </w:p>
        </w:tc>
        <w:tc>
          <w:tcPr>
            <w:tcW w:w="2056" w:type="dxa"/>
          </w:tcPr>
          <w:p w14:paraId="1DD7B8D2"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39.4 (37.07, 41.82)</w:t>
            </w:r>
          </w:p>
        </w:tc>
        <w:tc>
          <w:tcPr>
            <w:tcW w:w="1276" w:type="dxa"/>
          </w:tcPr>
          <w:p w14:paraId="77DA05DC" w14:textId="77777777" w:rsidR="00157E18" w:rsidRPr="00157E18" w:rsidRDefault="00157E18" w:rsidP="007E1EB2">
            <w:pPr>
              <w:spacing w:line="240" w:lineRule="auto"/>
              <w:jc w:val="right"/>
              <w:rPr>
                <w:rFonts w:cs="Times New Roman"/>
                <w:sz w:val="18"/>
                <w:szCs w:val="18"/>
              </w:rPr>
            </w:pPr>
          </w:p>
        </w:tc>
      </w:tr>
      <w:tr w:rsidR="00157E18" w:rsidRPr="00157E18" w14:paraId="69F855E2" w14:textId="77777777" w:rsidTr="00157E18">
        <w:tc>
          <w:tcPr>
            <w:tcW w:w="4825" w:type="dxa"/>
            <w:gridSpan w:val="2"/>
          </w:tcPr>
          <w:p w14:paraId="17B8CADB" w14:textId="77777777" w:rsidR="00157E18" w:rsidRPr="00157E18" w:rsidRDefault="00157E18" w:rsidP="007E1EB2">
            <w:pPr>
              <w:pStyle w:val="ListParagraph"/>
              <w:numPr>
                <w:ilvl w:val="0"/>
                <w:numId w:val="17"/>
              </w:numPr>
              <w:autoSpaceDE/>
              <w:autoSpaceDN/>
              <w:adjustRightInd/>
              <w:spacing w:line="240" w:lineRule="auto"/>
              <w:rPr>
                <w:rFonts w:cs="Times New Roman"/>
                <w:sz w:val="18"/>
                <w:szCs w:val="18"/>
              </w:rPr>
            </w:pPr>
            <w:r w:rsidRPr="00157E18">
              <w:rPr>
                <w:b/>
                <w:sz w:val="18"/>
                <w:szCs w:val="18"/>
              </w:rPr>
              <w:t>Average baseline CDR</w:t>
            </w:r>
            <w:r w:rsidRPr="00157E18">
              <w:rPr>
                <w:sz w:val="18"/>
                <w:szCs w:val="18"/>
              </w:rPr>
              <w:t xml:space="preserve"> (continuous)</w:t>
            </w:r>
          </w:p>
        </w:tc>
        <w:tc>
          <w:tcPr>
            <w:tcW w:w="2055" w:type="dxa"/>
          </w:tcPr>
          <w:p w14:paraId="274AF3DA" w14:textId="77777777" w:rsidR="00157E18" w:rsidRPr="00157E18" w:rsidRDefault="00157E18" w:rsidP="007E1EB2">
            <w:pPr>
              <w:spacing w:line="240" w:lineRule="auto"/>
              <w:jc w:val="right"/>
              <w:rPr>
                <w:rFonts w:cs="Times New Roman"/>
                <w:sz w:val="18"/>
                <w:szCs w:val="18"/>
              </w:rPr>
            </w:pPr>
          </w:p>
        </w:tc>
        <w:tc>
          <w:tcPr>
            <w:tcW w:w="2056" w:type="dxa"/>
          </w:tcPr>
          <w:p w14:paraId="0179B6D5" w14:textId="77777777" w:rsidR="00157E18" w:rsidRPr="00157E18" w:rsidRDefault="00157E18" w:rsidP="007E1EB2">
            <w:pPr>
              <w:spacing w:line="240" w:lineRule="auto"/>
              <w:jc w:val="right"/>
              <w:rPr>
                <w:rFonts w:cs="Times New Roman"/>
                <w:sz w:val="18"/>
                <w:szCs w:val="18"/>
              </w:rPr>
            </w:pPr>
          </w:p>
        </w:tc>
        <w:tc>
          <w:tcPr>
            <w:tcW w:w="1276" w:type="dxa"/>
          </w:tcPr>
          <w:p w14:paraId="3567CB8B"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0.3601</w:t>
            </w:r>
          </w:p>
        </w:tc>
      </w:tr>
      <w:tr w:rsidR="00157E18" w:rsidRPr="00157E18" w14:paraId="6E77A941" w14:textId="77777777" w:rsidTr="00157E18">
        <w:tc>
          <w:tcPr>
            <w:tcW w:w="4825" w:type="dxa"/>
            <w:gridSpan w:val="2"/>
          </w:tcPr>
          <w:p w14:paraId="7703A1DB" w14:textId="77777777" w:rsidR="00157E18" w:rsidRPr="00157E18" w:rsidRDefault="00157E18" w:rsidP="007E1EB2">
            <w:pPr>
              <w:spacing w:line="240" w:lineRule="auto"/>
              <w:rPr>
                <w:b/>
                <w:sz w:val="18"/>
                <w:szCs w:val="18"/>
              </w:rPr>
            </w:pPr>
            <w:r w:rsidRPr="00157E18">
              <w:rPr>
                <w:sz w:val="18"/>
                <w:szCs w:val="18"/>
              </w:rPr>
              <w:t xml:space="preserve">       Below or equal to mean</w:t>
            </w:r>
          </w:p>
        </w:tc>
        <w:tc>
          <w:tcPr>
            <w:tcW w:w="2055" w:type="dxa"/>
          </w:tcPr>
          <w:p w14:paraId="616537D5"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44.3 (41.58, 46.95)</w:t>
            </w:r>
          </w:p>
        </w:tc>
        <w:tc>
          <w:tcPr>
            <w:tcW w:w="2056" w:type="dxa"/>
          </w:tcPr>
          <w:p w14:paraId="031BC82A"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39.9 (37.71, 42.12)</w:t>
            </w:r>
          </w:p>
        </w:tc>
        <w:tc>
          <w:tcPr>
            <w:tcW w:w="1276" w:type="dxa"/>
          </w:tcPr>
          <w:p w14:paraId="5BDAA84E" w14:textId="77777777" w:rsidR="00157E18" w:rsidRPr="00157E18" w:rsidRDefault="00157E18" w:rsidP="007E1EB2">
            <w:pPr>
              <w:spacing w:line="240" w:lineRule="auto"/>
              <w:jc w:val="right"/>
              <w:rPr>
                <w:rFonts w:cs="Times New Roman"/>
                <w:sz w:val="18"/>
                <w:szCs w:val="18"/>
              </w:rPr>
            </w:pPr>
          </w:p>
        </w:tc>
      </w:tr>
      <w:tr w:rsidR="00157E18" w:rsidRPr="00157E18" w14:paraId="387DB418" w14:textId="77777777" w:rsidTr="00157E18">
        <w:tc>
          <w:tcPr>
            <w:tcW w:w="4825" w:type="dxa"/>
            <w:gridSpan w:val="2"/>
          </w:tcPr>
          <w:p w14:paraId="7FA50930" w14:textId="77777777" w:rsidR="00157E18" w:rsidRPr="00157E18" w:rsidRDefault="00157E18" w:rsidP="007E1EB2">
            <w:pPr>
              <w:spacing w:line="240" w:lineRule="auto"/>
              <w:rPr>
                <w:b/>
                <w:sz w:val="18"/>
                <w:szCs w:val="18"/>
              </w:rPr>
            </w:pPr>
            <w:r w:rsidRPr="00157E18">
              <w:rPr>
                <w:sz w:val="18"/>
                <w:szCs w:val="18"/>
              </w:rPr>
              <w:t xml:space="preserve">       Above mean</w:t>
            </w:r>
          </w:p>
        </w:tc>
        <w:tc>
          <w:tcPr>
            <w:tcW w:w="2055" w:type="dxa"/>
          </w:tcPr>
          <w:p w14:paraId="795E69E6"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47.8 (44.99, 50.69)</w:t>
            </w:r>
          </w:p>
        </w:tc>
        <w:tc>
          <w:tcPr>
            <w:tcW w:w="2056" w:type="dxa"/>
          </w:tcPr>
          <w:p w14:paraId="36119950"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44.9 (42.69, 47.06)</w:t>
            </w:r>
          </w:p>
        </w:tc>
        <w:tc>
          <w:tcPr>
            <w:tcW w:w="1276" w:type="dxa"/>
          </w:tcPr>
          <w:p w14:paraId="5C33562C" w14:textId="77777777" w:rsidR="00157E18" w:rsidRPr="00157E18" w:rsidRDefault="00157E18" w:rsidP="007E1EB2">
            <w:pPr>
              <w:spacing w:line="240" w:lineRule="auto"/>
              <w:jc w:val="right"/>
              <w:rPr>
                <w:rFonts w:cs="Times New Roman"/>
                <w:sz w:val="18"/>
                <w:szCs w:val="18"/>
              </w:rPr>
            </w:pPr>
          </w:p>
        </w:tc>
      </w:tr>
      <w:tr w:rsidR="00157E18" w:rsidRPr="00157E18" w14:paraId="2A059503" w14:textId="77777777" w:rsidTr="00157E18">
        <w:tc>
          <w:tcPr>
            <w:tcW w:w="4825" w:type="dxa"/>
            <w:gridSpan w:val="2"/>
            <w:tcBorders>
              <w:bottom w:val="nil"/>
            </w:tcBorders>
          </w:tcPr>
          <w:p w14:paraId="4972DBF4" w14:textId="77777777" w:rsidR="00157E18" w:rsidRPr="00157E18" w:rsidRDefault="00157E18" w:rsidP="007E1EB2">
            <w:pPr>
              <w:pStyle w:val="ListParagraph"/>
              <w:numPr>
                <w:ilvl w:val="0"/>
                <w:numId w:val="17"/>
              </w:numPr>
              <w:autoSpaceDE/>
              <w:autoSpaceDN/>
              <w:adjustRightInd/>
              <w:spacing w:line="240" w:lineRule="auto"/>
              <w:rPr>
                <w:rFonts w:cs="Times New Roman"/>
                <w:sz w:val="18"/>
                <w:szCs w:val="18"/>
              </w:rPr>
            </w:pPr>
            <w:r w:rsidRPr="00157E18">
              <w:rPr>
                <w:b/>
                <w:sz w:val="18"/>
                <w:szCs w:val="18"/>
              </w:rPr>
              <w:t>Average baseline CMAI</w:t>
            </w:r>
            <w:r w:rsidRPr="00157E18">
              <w:rPr>
                <w:sz w:val="18"/>
                <w:szCs w:val="18"/>
              </w:rPr>
              <w:t xml:space="preserve"> (continuous)</w:t>
            </w:r>
          </w:p>
        </w:tc>
        <w:tc>
          <w:tcPr>
            <w:tcW w:w="2055" w:type="dxa"/>
            <w:tcBorders>
              <w:bottom w:val="nil"/>
            </w:tcBorders>
          </w:tcPr>
          <w:p w14:paraId="566CF44F" w14:textId="77777777" w:rsidR="00157E18" w:rsidRPr="00157E18" w:rsidRDefault="00157E18" w:rsidP="007E1EB2">
            <w:pPr>
              <w:spacing w:line="240" w:lineRule="auto"/>
              <w:jc w:val="right"/>
              <w:rPr>
                <w:rFonts w:cs="Times New Roman"/>
                <w:sz w:val="18"/>
                <w:szCs w:val="18"/>
              </w:rPr>
            </w:pPr>
          </w:p>
        </w:tc>
        <w:tc>
          <w:tcPr>
            <w:tcW w:w="2056" w:type="dxa"/>
            <w:tcBorders>
              <w:bottom w:val="nil"/>
            </w:tcBorders>
          </w:tcPr>
          <w:p w14:paraId="2CE55E48" w14:textId="77777777" w:rsidR="00157E18" w:rsidRPr="00157E18" w:rsidRDefault="00157E18" w:rsidP="007E1EB2">
            <w:pPr>
              <w:spacing w:line="240" w:lineRule="auto"/>
              <w:jc w:val="right"/>
              <w:rPr>
                <w:rFonts w:cs="Times New Roman"/>
                <w:sz w:val="18"/>
                <w:szCs w:val="18"/>
              </w:rPr>
            </w:pPr>
          </w:p>
        </w:tc>
        <w:tc>
          <w:tcPr>
            <w:tcW w:w="1276" w:type="dxa"/>
            <w:tcBorders>
              <w:bottom w:val="nil"/>
            </w:tcBorders>
          </w:tcPr>
          <w:p w14:paraId="765EB2FD"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0.7150</w:t>
            </w:r>
          </w:p>
        </w:tc>
      </w:tr>
      <w:tr w:rsidR="00157E18" w:rsidRPr="00157E18" w14:paraId="516D5A19" w14:textId="77777777" w:rsidTr="00157E18">
        <w:tc>
          <w:tcPr>
            <w:tcW w:w="4825" w:type="dxa"/>
            <w:gridSpan w:val="2"/>
            <w:tcBorders>
              <w:top w:val="nil"/>
              <w:bottom w:val="nil"/>
            </w:tcBorders>
          </w:tcPr>
          <w:p w14:paraId="33326CBB" w14:textId="77777777" w:rsidR="00157E18" w:rsidRPr="00157E18" w:rsidRDefault="00157E18" w:rsidP="007E1EB2">
            <w:pPr>
              <w:spacing w:line="240" w:lineRule="auto"/>
              <w:rPr>
                <w:sz w:val="18"/>
                <w:szCs w:val="18"/>
              </w:rPr>
            </w:pPr>
            <w:r w:rsidRPr="00157E18">
              <w:rPr>
                <w:sz w:val="18"/>
                <w:szCs w:val="18"/>
              </w:rPr>
              <w:t xml:space="preserve">       Below or equal to mean</w:t>
            </w:r>
          </w:p>
        </w:tc>
        <w:tc>
          <w:tcPr>
            <w:tcW w:w="2055" w:type="dxa"/>
            <w:tcBorders>
              <w:top w:val="nil"/>
              <w:bottom w:val="nil"/>
            </w:tcBorders>
          </w:tcPr>
          <w:p w14:paraId="30821734"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42.8 (40.43, 45.07)</w:t>
            </w:r>
          </w:p>
        </w:tc>
        <w:tc>
          <w:tcPr>
            <w:tcW w:w="2056" w:type="dxa"/>
            <w:tcBorders>
              <w:top w:val="nil"/>
              <w:bottom w:val="nil"/>
            </w:tcBorders>
          </w:tcPr>
          <w:p w14:paraId="09C0F47E"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40.3 (38.21, 42.32)</w:t>
            </w:r>
          </w:p>
        </w:tc>
        <w:tc>
          <w:tcPr>
            <w:tcW w:w="1276" w:type="dxa"/>
            <w:tcBorders>
              <w:top w:val="nil"/>
              <w:bottom w:val="nil"/>
            </w:tcBorders>
          </w:tcPr>
          <w:p w14:paraId="4A704E01" w14:textId="77777777" w:rsidR="00157E18" w:rsidRPr="00157E18" w:rsidRDefault="00157E18" w:rsidP="007E1EB2">
            <w:pPr>
              <w:spacing w:line="240" w:lineRule="auto"/>
              <w:jc w:val="right"/>
              <w:rPr>
                <w:rFonts w:cs="Times New Roman"/>
                <w:sz w:val="18"/>
                <w:szCs w:val="18"/>
              </w:rPr>
            </w:pPr>
          </w:p>
        </w:tc>
      </w:tr>
      <w:tr w:rsidR="00157E18" w:rsidRPr="00157E18" w14:paraId="7946F42B" w14:textId="77777777" w:rsidTr="00157E18">
        <w:tc>
          <w:tcPr>
            <w:tcW w:w="4825" w:type="dxa"/>
            <w:gridSpan w:val="2"/>
            <w:tcBorders>
              <w:top w:val="nil"/>
              <w:bottom w:val="single" w:sz="4" w:space="0" w:color="auto"/>
            </w:tcBorders>
          </w:tcPr>
          <w:p w14:paraId="6B2653D6" w14:textId="77777777" w:rsidR="00157E18" w:rsidRPr="00157E18" w:rsidRDefault="00157E18" w:rsidP="007E1EB2">
            <w:pPr>
              <w:spacing w:line="240" w:lineRule="auto"/>
              <w:rPr>
                <w:sz w:val="18"/>
                <w:szCs w:val="18"/>
              </w:rPr>
            </w:pPr>
            <w:r w:rsidRPr="00157E18">
              <w:rPr>
                <w:sz w:val="18"/>
                <w:szCs w:val="18"/>
              </w:rPr>
              <w:t xml:space="preserve">       Above mean</w:t>
            </w:r>
          </w:p>
        </w:tc>
        <w:tc>
          <w:tcPr>
            <w:tcW w:w="2055" w:type="dxa"/>
            <w:tcBorders>
              <w:top w:val="nil"/>
              <w:bottom w:val="single" w:sz="4" w:space="0" w:color="auto"/>
            </w:tcBorders>
          </w:tcPr>
          <w:p w14:paraId="386B2204"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49.5 (46.40, 52.61)</w:t>
            </w:r>
          </w:p>
        </w:tc>
        <w:tc>
          <w:tcPr>
            <w:tcW w:w="2056" w:type="dxa"/>
            <w:tcBorders>
              <w:top w:val="nil"/>
              <w:bottom w:val="single" w:sz="4" w:space="0" w:color="auto"/>
            </w:tcBorders>
          </w:tcPr>
          <w:p w14:paraId="0104D53D" w14:textId="77777777" w:rsidR="00157E18" w:rsidRPr="00157E18" w:rsidRDefault="00157E18" w:rsidP="007E1EB2">
            <w:pPr>
              <w:spacing w:line="240" w:lineRule="auto"/>
              <w:jc w:val="right"/>
              <w:rPr>
                <w:rFonts w:cs="Times New Roman"/>
                <w:sz w:val="18"/>
                <w:szCs w:val="18"/>
              </w:rPr>
            </w:pPr>
            <w:r w:rsidRPr="00157E18">
              <w:rPr>
                <w:rFonts w:cs="Times New Roman"/>
                <w:sz w:val="18"/>
                <w:szCs w:val="18"/>
              </w:rPr>
              <w:t>45.8 (43.37, 48.19)</w:t>
            </w:r>
          </w:p>
        </w:tc>
        <w:tc>
          <w:tcPr>
            <w:tcW w:w="1276" w:type="dxa"/>
            <w:tcBorders>
              <w:top w:val="nil"/>
              <w:bottom w:val="single" w:sz="4" w:space="0" w:color="auto"/>
            </w:tcBorders>
          </w:tcPr>
          <w:p w14:paraId="31753A36" w14:textId="77777777" w:rsidR="00157E18" w:rsidRPr="00157E18" w:rsidRDefault="00157E18" w:rsidP="007E1EB2">
            <w:pPr>
              <w:spacing w:line="240" w:lineRule="auto"/>
              <w:jc w:val="right"/>
              <w:rPr>
                <w:rFonts w:cs="Times New Roman"/>
                <w:sz w:val="18"/>
                <w:szCs w:val="18"/>
              </w:rPr>
            </w:pPr>
          </w:p>
        </w:tc>
      </w:tr>
      <w:tr w:rsidR="00157E18" w:rsidRPr="00157E18" w14:paraId="7B0B7F39" w14:textId="77777777" w:rsidTr="00157E18">
        <w:tc>
          <w:tcPr>
            <w:tcW w:w="10212" w:type="dxa"/>
            <w:gridSpan w:val="5"/>
            <w:tcBorders>
              <w:top w:val="single" w:sz="4" w:space="0" w:color="auto"/>
              <w:bottom w:val="single" w:sz="4" w:space="0" w:color="auto"/>
            </w:tcBorders>
          </w:tcPr>
          <w:p w14:paraId="32121710" w14:textId="61C8B268" w:rsidR="00157E18" w:rsidRPr="00157E18" w:rsidRDefault="007E1EB2" w:rsidP="007E1EB2">
            <w:pPr>
              <w:spacing w:line="240" w:lineRule="auto"/>
              <w:rPr>
                <w:rFonts w:cs="Times New Roman"/>
                <w:sz w:val="18"/>
                <w:szCs w:val="18"/>
              </w:rPr>
            </w:pPr>
            <w:r w:rsidRPr="007E1EB2">
              <w:rPr>
                <w:sz w:val="18"/>
                <w:szCs w:val="18"/>
                <w:vertAlign w:val="superscript"/>
              </w:rPr>
              <w:t>a</w:t>
            </w:r>
            <w:r w:rsidR="00157E18" w:rsidRPr="00157E18">
              <w:rPr>
                <w:sz w:val="18"/>
                <w:szCs w:val="18"/>
              </w:rPr>
              <w:t>the same variables in the model as in the primary analysis with added moderator and interaction term moderator*treatment</w:t>
            </w:r>
          </w:p>
        </w:tc>
      </w:tr>
    </w:tbl>
    <w:p w14:paraId="0932B9FB" w14:textId="77777777" w:rsidR="00EE7818" w:rsidRPr="00563AD3" w:rsidRDefault="00EE7818" w:rsidP="009B13F3">
      <w:pPr>
        <w:autoSpaceDE/>
        <w:autoSpaceDN/>
        <w:adjustRightInd/>
        <w:spacing w:before="120" w:after="0"/>
        <w:rPr>
          <w:rFonts w:eastAsia="Calibri"/>
          <w:sz w:val="24"/>
          <w:szCs w:val="24"/>
          <w:lang w:eastAsia="en-US"/>
        </w:rPr>
      </w:pPr>
    </w:p>
    <w:p w14:paraId="7A158F2C" w14:textId="3B115E3B" w:rsidR="00EE7818" w:rsidRPr="00563AD3" w:rsidRDefault="00EE7818" w:rsidP="009B13F3">
      <w:pPr>
        <w:rPr>
          <w:rFonts w:eastAsia="Calibri"/>
          <w:lang w:eastAsia="en-US"/>
        </w:rPr>
      </w:pPr>
      <w:r w:rsidRPr="00563AD3">
        <w:rPr>
          <w:rFonts w:eastAsia="Calibri"/>
          <w:lang w:eastAsia="en-US"/>
        </w:rPr>
        <w:t xml:space="preserve">All 675 residents in the cross-sectional sample were included in the exploratory analyses of care-home level mediators of the randomised effect of intervention versus control on CMAI </w:t>
      </w:r>
      <w:r w:rsidR="00B52F4C" w:rsidRPr="00563AD3">
        <w:rPr>
          <w:rFonts w:eastAsia="Calibri"/>
          <w:lang w:eastAsia="en-US"/>
        </w:rPr>
        <w:t>at 16-</w:t>
      </w:r>
      <w:r w:rsidRPr="00563AD3">
        <w:rPr>
          <w:rFonts w:eastAsia="Calibri"/>
          <w:lang w:eastAsia="en-US"/>
        </w:rPr>
        <w:t xml:space="preserve">months. The ‘natural indirect’ or mediated effects of each potential mediator (and their 95% confidence intervals) are given in Table </w:t>
      </w:r>
      <w:r w:rsidR="0005048E" w:rsidRPr="00563AD3">
        <w:rPr>
          <w:rFonts w:eastAsia="Calibri"/>
          <w:lang w:eastAsia="en-US"/>
        </w:rPr>
        <w:t>2</w:t>
      </w:r>
      <w:r w:rsidR="0005048E">
        <w:rPr>
          <w:rFonts w:eastAsia="Calibri"/>
          <w:lang w:eastAsia="en-US"/>
        </w:rPr>
        <w:t>5</w:t>
      </w:r>
      <w:r w:rsidR="0005048E" w:rsidRPr="00563AD3">
        <w:rPr>
          <w:rFonts w:eastAsia="Calibri"/>
          <w:lang w:eastAsia="en-US"/>
        </w:rPr>
        <w:t xml:space="preserve"> </w:t>
      </w:r>
      <w:r w:rsidRPr="00563AD3">
        <w:rPr>
          <w:rFonts w:eastAsia="Calibri"/>
          <w:lang w:eastAsia="en-US"/>
        </w:rPr>
        <w:t xml:space="preserve">adjusted for all the covariates included in the primary analysis of CMAI. It can be seen that no potential mediator was found to dominate the mediation of the effect of randomised treatment on the primary outcome, and none of the mediated effects were statistically significant at the 5% level. Further analyses are planned (outside the scope of the final analyses reported) to explore whether our </w:t>
      </w:r>
      <w:r w:rsidRPr="00563AD3">
        <w:rPr>
          <w:rFonts w:eastAsia="Calibri"/>
          <w:i/>
          <w:lang w:eastAsia="en-US"/>
        </w:rPr>
        <w:t>a priori</w:t>
      </w:r>
      <w:r w:rsidRPr="00563AD3">
        <w:rPr>
          <w:rFonts w:eastAsia="Calibri"/>
          <w:lang w:eastAsia="en-US"/>
        </w:rPr>
        <w:t xml:space="preserve"> potential mediators have a clearer role in mediating treatment received on the primary outcome.</w:t>
      </w:r>
    </w:p>
    <w:p w14:paraId="4232CD43" w14:textId="0FDA1830" w:rsidR="005159EA" w:rsidRPr="00563AD3" w:rsidRDefault="005159EA" w:rsidP="009B13F3">
      <w:pPr>
        <w:rPr>
          <w:rFonts w:eastAsia="Calibri"/>
          <w:lang w:eastAsia="en-US"/>
        </w:rPr>
      </w:pPr>
      <w:r w:rsidRPr="00563AD3">
        <w:rPr>
          <w:rFonts w:eastAsia="Calibri"/>
          <w:lang w:eastAsia="en-US"/>
        </w:rPr>
        <w:t xml:space="preserve">Unadjusted scores of predictive and process measures are in </w:t>
      </w:r>
      <w:r w:rsidR="00087868">
        <w:rPr>
          <w:rFonts w:eastAsia="Calibri"/>
          <w:lang w:eastAsia="en-US"/>
        </w:rPr>
        <w:t>Appendix 1</w:t>
      </w:r>
      <w:r w:rsidRPr="00563AD3">
        <w:rPr>
          <w:rFonts w:eastAsia="Calibri"/>
          <w:lang w:eastAsia="en-US"/>
        </w:rPr>
        <w:t xml:space="preserve">, Tables </w:t>
      </w:r>
      <w:r w:rsidR="006311A8">
        <w:rPr>
          <w:rFonts w:eastAsia="Calibri"/>
          <w:lang w:eastAsia="en-US"/>
        </w:rPr>
        <w:t>62</w:t>
      </w:r>
      <w:r w:rsidR="006311A8" w:rsidRPr="00563AD3">
        <w:rPr>
          <w:rFonts w:eastAsia="Calibri"/>
          <w:lang w:eastAsia="en-US"/>
        </w:rPr>
        <w:t xml:space="preserve"> </w:t>
      </w:r>
      <w:r w:rsidR="00246670">
        <w:rPr>
          <w:rFonts w:eastAsia="Calibri"/>
          <w:lang w:eastAsia="en-US"/>
        </w:rPr>
        <w:t xml:space="preserve">to </w:t>
      </w:r>
      <w:r w:rsidR="006311A8">
        <w:rPr>
          <w:rFonts w:eastAsia="Calibri"/>
          <w:lang w:eastAsia="en-US"/>
        </w:rPr>
        <w:t>64</w:t>
      </w:r>
      <w:r w:rsidRPr="00563AD3">
        <w:rPr>
          <w:rFonts w:eastAsia="Calibri"/>
          <w:lang w:eastAsia="en-US"/>
        </w:rPr>
        <w:t>.</w:t>
      </w:r>
    </w:p>
    <w:p w14:paraId="282285A5" w14:textId="4198A14E" w:rsidR="00EE7818" w:rsidRPr="00563AD3" w:rsidRDefault="00EE7818" w:rsidP="009B13F3">
      <w:pPr>
        <w:pStyle w:val="Tableheading"/>
        <w:rPr>
          <w:rFonts w:eastAsia="Calibri"/>
          <w:lang w:eastAsia="en-US"/>
        </w:rPr>
      </w:pPr>
      <w:bookmarkStart w:id="216" w:name="_Toc948222"/>
      <w:r w:rsidRPr="00563AD3">
        <w:rPr>
          <w:rFonts w:eastAsia="Calibri"/>
          <w:lang w:eastAsia="en-US"/>
        </w:rPr>
        <w:t xml:space="preserve">Table </w:t>
      </w:r>
      <w:r w:rsidR="0005048E" w:rsidRPr="00563AD3">
        <w:rPr>
          <w:rFonts w:eastAsia="Calibri"/>
          <w:lang w:eastAsia="en-US"/>
        </w:rPr>
        <w:t>2</w:t>
      </w:r>
      <w:r w:rsidR="0005048E">
        <w:rPr>
          <w:rFonts w:eastAsia="Calibri"/>
          <w:lang w:eastAsia="en-US"/>
        </w:rPr>
        <w:t>5</w:t>
      </w:r>
      <w:r w:rsidR="0005048E" w:rsidRPr="00563AD3">
        <w:rPr>
          <w:rFonts w:eastAsia="Calibri"/>
          <w:lang w:eastAsia="en-US"/>
        </w:rPr>
        <w:t xml:space="preserve"> </w:t>
      </w:r>
      <w:r w:rsidRPr="00563AD3">
        <w:rPr>
          <w:rFonts w:eastAsia="Calibri"/>
          <w:lang w:eastAsia="en-US"/>
        </w:rPr>
        <w:t>Causal Mediators Analyses based on Multiple Imputations</w:t>
      </w:r>
      <w:bookmarkEnd w:id="216"/>
    </w:p>
    <w:tbl>
      <w:tblPr>
        <w:tblStyle w:val="TableGrid12"/>
        <w:tblW w:w="9782" w:type="dxa"/>
        <w:tblInd w:w="-289" w:type="dxa"/>
        <w:tblLook w:val="04A0" w:firstRow="1" w:lastRow="0" w:firstColumn="1" w:lastColumn="0" w:noHBand="0" w:noVBand="1"/>
      </w:tblPr>
      <w:tblGrid>
        <w:gridCol w:w="5529"/>
        <w:gridCol w:w="2126"/>
        <w:gridCol w:w="2127"/>
      </w:tblGrid>
      <w:tr w:rsidR="00EE7818" w:rsidRPr="007E1EB2" w14:paraId="6CA05768" w14:textId="77777777" w:rsidTr="00435F3C">
        <w:tc>
          <w:tcPr>
            <w:tcW w:w="5529" w:type="dxa"/>
            <w:tcBorders>
              <w:left w:val="nil"/>
              <w:right w:val="nil"/>
            </w:tcBorders>
          </w:tcPr>
          <w:p w14:paraId="4F6DCBC1" w14:textId="77777777" w:rsidR="00EE7818" w:rsidRPr="007E1EB2" w:rsidRDefault="00EE7818" w:rsidP="007E1EB2">
            <w:pPr>
              <w:autoSpaceDE/>
              <w:autoSpaceDN/>
              <w:adjustRightInd/>
              <w:spacing w:line="240" w:lineRule="auto"/>
              <w:rPr>
                <w:rFonts w:eastAsia="Calibri"/>
                <w:sz w:val="22"/>
                <w:szCs w:val="22"/>
                <w:lang w:eastAsia="en-US"/>
              </w:rPr>
            </w:pPr>
          </w:p>
        </w:tc>
        <w:tc>
          <w:tcPr>
            <w:tcW w:w="2126" w:type="dxa"/>
            <w:tcBorders>
              <w:left w:val="nil"/>
              <w:right w:val="nil"/>
            </w:tcBorders>
          </w:tcPr>
          <w:p w14:paraId="422E8986"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 xml:space="preserve">Adjusted Natural Indirect Effect </w:t>
            </w:r>
          </w:p>
          <w:p w14:paraId="0E5EAE6D"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(Standard Error)</w:t>
            </w:r>
          </w:p>
        </w:tc>
        <w:tc>
          <w:tcPr>
            <w:tcW w:w="2127" w:type="dxa"/>
            <w:tcBorders>
              <w:left w:val="nil"/>
              <w:right w:val="nil"/>
            </w:tcBorders>
          </w:tcPr>
          <w:p w14:paraId="61564FC8"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 xml:space="preserve">95% </w:t>
            </w:r>
          </w:p>
          <w:p w14:paraId="473F90BC"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Confidence Interval</w:t>
            </w:r>
          </w:p>
        </w:tc>
      </w:tr>
      <w:tr w:rsidR="00EE7818" w:rsidRPr="007E1EB2" w14:paraId="4EB76D6F" w14:textId="77777777" w:rsidTr="00435F3C">
        <w:tc>
          <w:tcPr>
            <w:tcW w:w="5529" w:type="dxa"/>
            <w:tcBorders>
              <w:left w:val="nil"/>
              <w:bottom w:val="nil"/>
              <w:right w:val="nil"/>
            </w:tcBorders>
          </w:tcPr>
          <w:p w14:paraId="5E462C30" w14:textId="7672F3CE" w:rsidR="00EE7818" w:rsidRPr="007E1EB2" w:rsidRDefault="00EE7818" w:rsidP="007E1EB2">
            <w:pPr>
              <w:autoSpaceDE/>
              <w:autoSpaceDN/>
              <w:adjustRightInd/>
              <w:spacing w:line="240" w:lineRule="auto"/>
              <w:rPr>
                <w:rFonts w:eastAsia="Calibri"/>
                <w:b/>
                <w:i/>
                <w:sz w:val="22"/>
                <w:szCs w:val="22"/>
                <w:lang w:eastAsia="en-US"/>
              </w:rPr>
            </w:pPr>
            <w:r w:rsidRPr="007E1EB2">
              <w:rPr>
                <w:rFonts w:eastAsia="Calibri"/>
                <w:b/>
                <w:i/>
                <w:sz w:val="22"/>
                <w:szCs w:val="22"/>
                <w:lang w:eastAsia="en-US"/>
              </w:rPr>
              <w:t>Potential Care Home-Level Mediators (at 6</w:t>
            </w:r>
            <w:r w:rsidR="00B80810" w:rsidRPr="007E1EB2">
              <w:rPr>
                <w:rFonts w:eastAsia="Calibri"/>
                <w:b/>
                <w:i/>
                <w:sz w:val="22"/>
                <w:szCs w:val="22"/>
                <w:lang w:eastAsia="en-US"/>
              </w:rPr>
              <w:t>-months</w:t>
            </w:r>
            <w:r w:rsidRPr="007E1EB2">
              <w:rPr>
                <w:rFonts w:eastAsia="Calibri"/>
                <w:b/>
                <w:i/>
                <w:sz w:val="22"/>
                <w:szCs w:val="22"/>
                <w:lang w:eastAsia="en-US"/>
              </w:rPr>
              <w:t>):</w:t>
            </w:r>
          </w:p>
        </w:tc>
        <w:tc>
          <w:tcPr>
            <w:tcW w:w="2126" w:type="dxa"/>
            <w:tcBorders>
              <w:left w:val="nil"/>
              <w:bottom w:val="nil"/>
              <w:right w:val="nil"/>
            </w:tcBorders>
          </w:tcPr>
          <w:p w14:paraId="451A0D92" w14:textId="77777777" w:rsidR="00EE7818" w:rsidRPr="007E1EB2" w:rsidRDefault="00EE7818" w:rsidP="007E1EB2">
            <w:pPr>
              <w:autoSpaceDE/>
              <w:autoSpaceDN/>
              <w:adjustRightInd/>
              <w:spacing w:line="240" w:lineRule="auto"/>
              <w:jc w:val="right"/>
              <w:rPr>
                <w:rFonts w:eastAsia="Calibri"/>
                <w:sz w:val="22"/>
                <w:szCs w:val="22"/>
                <w:lang w:eastAsia="en-US"/>
              </w:rPr>
            </w:pPr>
          </w:p>
        </w:tc>
        <w:tc>
          <w:tcPr>
            <w:tcW w:w="2127" w:type="dxa"/>
            <w:tcBorders>
              <w:left w:val="nil"/>
              <w:bottom w:val="nil"/>
              <w:right w:val="nil"/>
            </w:tcBorders>
          </w:tcPr>
          <w:p w14:paraId="1387759B" w14:textId="77777777" w:rsidR="00EE7818" w:rsidRPr="007E1EB2" w:rsidRDefault="00EE7818" w:rsidP="007E1EB2">
            <w:pPr>
              <w:autoSpaceDE/>
              <w:autoSpaceDN/>
              <w:adjustRightInd/>
              <w:spacing w:line="240" w:lineRule="auto"/>
              <w:jc w:val="right"/>
              <w:rPr>
                <w:rFonts w:eastAsia="Calibri"/>
                <w:sz w:val="22"/>
                <w:szCs w:val="22"/>
                <w:lang w:eastAsia="en-US"/>
              </w:rPr>
            </w:pPr>
          </w:p>
        </w:tc>
      </w:tr>
      <w:tr w:rsidR="00EE7818" w:rsidRPr="007E1EB2" w14:paraId="4FFC5B06" w14:textId="77777777" w:rsidTr="00435F3C">
        <w:tc>
          <w:tcPr>
            <w:tcW w:w="5529" w:type="dxa"/>
            <w:tcBorders>
              <w:top w:val="nil"/>
              <w:left w:val="nil"/>
              <w:bottom w:val="nil"/>
              <w:right w:val="nil"/>
            </w:tcBorders>
            <w:shd w:val="clear" w:color="auto" w:fill="auto"/>
          </w:tcPr>
          <w:p w14:paraId="6DEE2904" w14:textId="77777777" w:rsidR="00EE7818" w:rsidRPr="007E1EB2" w:rsidRDefault="00EE7818" w:rsidP="007E1EB2">
            <w:pPr>
              <w:autoSpaceDE/>
              <w:autoSpaceDN/>
              <w:adjustRightInd/>
              <w:spacing w:line="240" w:lineRule="auto"/>
              <w:rPr>
                <w:rFonts w:eastAsia="Calibri"/>
                <w:sz w:val="22"/>
                <w:szCs w:val="22"/>
                <w:lang w:eastAsia="en-US"/>
              </w:rPr>
            </w:pPr>
            <w:r w:rsidRPr="007E1EB2">
              <w:rPr>
                <w:rFonts w:eastAsia="Calibri"/>
                <w:sz w:val="22"/>
                <w:szCs w:val="22"/>
                <w:lang w:eastAsia="en-US"/>
              </w:rPr>
              <w:t>Change in care home manager (yes/no)</w:t>
            </w:r>
          </w:p>
        </w:tc>
        <w:tc>
          <w:tcPr>
            <w:tcW w:w="2126" w:type="dxa"/>
            <w:tcBorders>
              <w:top w:val="nil"/>
              <w:left w:val="nil"/>
              <w:bottom w:val="nil"/>
              <w:right w:val="nil"/>
            </w:tcBorders>
            <w:shd w:val="clear" w:color="auto" w:fill="auto"/>
          </w:tcPr>
          <w:p w14:paraId="64A87BA8"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0.27 (0.22)</w:t>
            </w:r>
          </w:p>
        </w:tc>
        <w:tc>
          <w:tcPr>
            <w:tcW w:w="2127" w:type="dxa"/>
            <w:tcBorders>
              <w:top w:val="nil"/>
              <w:left w:val="nil"/>
              <w:bottom w:val="nil"/>
              <w:right w:val="nil"/>
            </w:tcBorders>
            <w:shd w:val="clear" w:color="auto" w:fill="auto"/>
          </w:tcPr>
          <w:p w14:paraId="2E9CC9F4"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-0.16 to 0.70</w:t>
            </w:r>
          </w:p>
        </w:tc>
      </w:tr>
      <w:tr w:rsidR="00EE7818" w:rsidRPr="007E1EB2" w14:paraId="21A02375" w14:textId="77777777" w:rsidTr="00435F3C">
        <w:tc>
          <w:tcPr>
            <w:tcW w:w="5529" w:type="dxa"/>
            <w:tcBorders>
              <w:top w:val="nil"/>
              <w:left w:val="nil"/>
              <w:bottom w:val="nil"/>
              <w:right w:val="nil"/>
            </w:tcBorders>
          </w:tcPr>
          <w:p w14:paraId="1F3CD6AA" w14:textId="77777777" w:rsidR="00EE7818" w:rsidRPr="007E1EB2" w:rsidRDefault="00EE7818" w:rsidP="007E1EB2">
            <w:pPr>
              <w:autoSpaceDE/>
              <w:autoSpaceDN/>
              <w:adjustRightInd/>
              <w:spacing w:line="240" w:lineRule="auto"/>
              <w:rPr>
                <w:rFonts w:eastAsia="Calibri"/>
                <w:sz w:val="22"/>
                <w:szCs w:val="22"/>
                <w:lang w:eastAsia="en-US"/>
              </w:rPr>
            </w:pPr>
            <w:r w:rsidRPr="007E1EB2">
              <w:rPr>
                <w:rFonts w:eastAsia="Calibri"/>
                <w:sz w:val="22"/>
                <w:szCs w:val="22"/>
                <w:lang w:eastAsia="en-US"/>
              </w:rPr>
              <w:t>QUIS (proportion of positive interactions)</w:t>
            </w:r>
          </w:p>
        </w:tc>
        <w:tc>
          <w:tcPr>
            <w:tcW w:w="2126" w:type="dxa"/>
            <w:tcBorders>
              <w:top w:val="nil"/>
              <w:left w:val="nil"/>
              <w:bottom w:val="nil"/>
              <w:right w:val="nil"/>
            </w:tcBorders>
          </w:tcPr>
          <w:p w14:paraId="7C03F74B"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0.18 (0.34)</w:t>
            </w:r>
          </w:p>
        </w:tc>
        <w:tc>
          <w:tcPr>
            <w:tcW w:w="2127" w:type="dxa"/>
            <w:tcBorders>
              <w:top w:val="nil"/>
              <w:left w:val="nil"/>
              <w:bottom w:val="nil"/>
              <w:right w:val="nil"/>
            </w:tcBorders>
          </w:tcPr>
          <w:p w14:paraId="3F32F9A6"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-0.48 to 0.84</w:t>
            </w:r>
          </w:p>
        </w:tc>
      </w:tr>
      <w:tr w:rsidR="00EE7818" w:rsidRPr="007E1EB2" w14:paraId="6C2F7157" w14:textId="77777777" w:rsidTr="00435F3C">
        <w:tc>
          <w:tcPr>
            <w:tcW w:w="5529" w:type="dxa"/>
            <w:tcBorders>
              <w:top w:val="nil"/>
              <w:left w:val="nil"/>
              <w:bottom w:val="nil"/>
              <w:right w:val="nil"/>
            </w:tcBorders>
          </w:tcPr>
          <w:p w14:paraId="177D044A" w14:textId="77777777" w:rsidR="00EE7818" w:rsidRPr="007E1EB2" w:rsidRDefault="00EE7818" w:rsidP="007E1EB2">
            <w:pPr>
              <w:autoSpaceDE/>
              <w:autoSpaceDN/>
              <w:adjustRightInd/>
              <w:spacing w:line="240" w:lineRule="auto"/>
              <w:rPr>
                <w:rFonts w:eastAsia="Calibri"/>
                <w:sz w:val="22"/>
                <w:szCs w:val="22"/>
                <w:lang w:eastAsia="en-US"/>
              </w:rPr>
            </w:pPr>
            <w:r w:rsidRPr="007E1EB2">
              <w:rPr>
                <w:rFonts w:eastAsia="Calibri"/>
                <w:sz w:val="22"/>
                <w:szCs w:val="22"/>
                <w:lang w:eastAsia="en-US"/>
              </w:rPr>
              <w:t>EAT improvement in privacy and community (yes/no)</w:t>
            </w:r>
          </w:p>
        </w:tc>
        <w:tc>
          <w:tcPr>
            <w:tcW w:w="2126" w:type="dxa"/>
            <w:tcBorders>
              <w:top w:val="nil"/>
              <w:left w:val="nil"/>
              <w:bottom w:val="nil"/>
              <w:right w:val="nil"/>
            </w:tcBorders>
          </w:tcPr>
          <w:p w14:paraId="321A5AFB"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0.21 (0.39)</w:t>
            </w:r>
          </w:p>
        </w:tc>
        <w:tc>
          <w:tcPr>
            <w:tcW w:w="2127" w:type="dxa"/>
            <w:tcBorders>
              <w:top w:val="nil"/>
              <w:left w:val="nil"/>
              <w:bottom w:val="nil"/>
              <w:right w:val="nil"/>
            </w:tcBorders>
          </w:tcPr>
          <w:p w14:paraId="38212FB1"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-0.56 to 0.98</w:t>
            </w:r>
          </w:p>
        </w:tc>
      </w:tr>
      <w:tr w:rsidR="00EE7818" w:rsidRPr="007E1EB2" w14:paraId="1E604DE3" w14:textId="77777777" w:rsidTr="00435F3C">
        <w:tc>
          <w:tcPr>
            <w:tcW w:w="5529" w:type="dxa"/>
            <w:tcBorders>
              <w:top w:val="nil"/>
              <w:left w:val="nil"/>
              <w:bottom w:val="nil"/>
              <w:right w:val="nil"/>
            </w:tcBorders>
          </w:tcPr>
          <w:p w14:paraId="731C00DA" w14:textId="77777777" w:rsidR="00EE7818" w:rsidRPr="007E1EB2" w:rsidRDefault="00EE7818" w:rsidP="007E1EB2">
            <w:pPr>
              <w:autoSpaceDE/>
              <w:autoSpaceDN/>
              <w:adjustRightInd/>
              <w:spacing w:line="240" w:lineRule="auto"/>
              <w:rPr>
                <w:rFonts w:eastAsia="Calibri"/>
                <w:sz w:val="22"/>
                <w:szCs w:val="22"/>
                <w:lang w:eastAsia="en-US"/>
              </w:rPr>
            </w:pPr>
            <w:r w:rsidRPr="007E1EB2">
              <w:rPr>
                <w:rFonts w:eastAsia="Calibri"/>
                <w:sz w:val="22"/>
                <w:szCs w:val="22"/>
                <w:lang w:eastAsia="en-US"/>
              </w:rPr>
              <w:t>EAT improvement in community links (yes/no)</w:t>
            </w:r>
          </w:p>
        </w:tc>
        <w:tc>
          <w:tcPr>
            <w:tcW w:w="2126" w:type="dxa"/>
            <w:tcBorders>
              <w:top w:val="nil"/>
              <w:left w:val="nil"/>
              <w:bottom w:val="nil"/>
              <w:right w:val="nil"/>
            </w:tcBorders>
          </w:tcPr>
          <w:p w14:paraId="14599AEB"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0.00 (0.37)</w:t>
            </w:r>
          </w:p>
        </w:tc>
        <w:tc>
          <w:tcPr>
            <w:tcW w:w="2127" w:type="dxa"/>
            <w:tcBorders>
              <w:top w:val="nil"/>
              <w:left w:val="nil"/>
              <w:bottom w:val="nil"/>
              <w:right w:val="nil"/>
            </w:tcBorders>
          </w:tcPr>
          <w:p w14:paraId="4C98D641"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-0.72 to 0.73</w:t>
            </w:r>
          </w:p>
        </w:tc>
      </w:tr>
      <w:tr w:rsidR="00EE7818" w:rsidRPr="007E1EB2" w14:paraId="5A66C622" w14:textId="77777777" w:rsidTr="00435F3C">
        <w:tc>
          <w:tcPr>
            <w:tcW w:w="5529" w:type="dxa"/>
            <w:tcBorders>
              <w:top w:val="nil"/>
              <w:left w:val="nil"/>
              <w:bottom w:val="nil"/>
              <w:right w:val="nil"/>
            </w:tcBorders>
          </w:tcPr>
          <w:p w14:paraId="6F98C1DF" w14:textId="77777777" w:rsidR="00EE7818" w:rsidRPr="007E1EB2" w:rsidRDefault="00EE7818" w:rsidP="007E1EB2">
            <w:pPr>
              <w:autoSpaceDE/>
              <w:autoSpaceDN/>
              <w:adjustRightInd/>
              <w:spacing w:line="240" w:lineRule="auto"/>
              <w:rPr>
                <w:rFonts w:eastAsia="Calibri"/>
                <w:sz w:val="22"/>
                <w:szCs w:val="22"/>
                <w:lang w:eastAsia="en-US"/>
              </w:rPr>
            </w:pPr>
            <w:r w:rsidRPr="007E1EB2">
              <w:rPr>
                <w:rFonts w:eastAsia="Calibri"/>
                <w:sz w:val="22"/>
                <w:szCs w:val="22"/>
                <w:lang w:eastAsia="en-US"/>
              </w:rPr>
              <w:t>EAT improvement in domestic activity (yes/no)</w:t>
            </w:r>
          </w:p>
        </w:tc>
        <w:tc>
          <w:tcPr>
            <w:tcW w:w="2126" w:type="dxa"/>
            <w:tcBorders>
              <w:top w:val="nil"/>
              <w:left w:val="nil"/>
              <w:bottom w:val="nil"/>
              <w:right w:val="nil"/>
            </w:tcBorders>
          </w:tcPr>
          <w:p w14:paraId="525281FF"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0.39 (0.27)</w:t>
            </w:r>
          </w:p>
        </w:tc>
        <w:tc>
          <w:tcPr>
            <w:tcW w:w="2127" w:type="dxa"/>
            <w:tcBorders>
              <w:top w:val="nil"/>
              <w:left w:val="nil"/>
              <w:bottom w:val="nil"/>
              <w:right w:val="nil"/>
            </w:tcBorders>
          </w:tcPr>
          <w:p w14:paraId="4251E263"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-0.13 to 0.91</w:t>
            </w:r>
          </w:p>
        </w:tc>
      </w:tr>
      <w:tr w:rsidR="00EE7818" w:rsidRPr="007E1EB2" w14:paraId="7567B8CB" w14:textId="77777777" w:rsidTr="00435F3C">
        <w:tc>
          <w:tcPr>
            <w:tcW w:w="5529" w:type="dxa"/>
            <w:tcBorders>
              <w:top w:val="nil"/>
              <w:left w:val="nil"/>
              <w:right w:val="nil"/>
            </w:tcBorders>
          </w:tcPr>
          <w:p w14:paraId="33CBDBD9" w14:textId="77777777" w:rsidR="00EE7818" w:rsidRPr="007E1EB2" w:rsidRDefault="00EE7818" w:rsidP="007E1EB2">
            <w:pPr>
              <w:autoSpaceDE/>
              <w:autoSpaceDN/>
              <w:adjustRightInd/>
              <w:spacing w:line="240" w:lineRule="auto"/>
              <w:rPr>
                <w:rFonts w:eastAsia="Calibri"/>
                <w:sz w:val="22"/>
                <w:szCs w:val="22"/>
                <w:lang w:eastAsia="en-US"/>
              </w:rPr>
            </w:pPr>
            <w:r w:rsidRPr="007E1EB2">
              <w:rPr>
                <w:rFonts w:eastAsia="Calibri"/>
                <w:sz w:val="22"/>
                <w:szCs w:val="22"/>
                <w:lang w:eastAsia="en-US"/>
              </w:rPr>
              <w:t>Improved Group Living Home Characteristics (yes/no)</w:t>
            </w:r>
          </w:p>
        </w:tc>
        <w:tc>
          <w:tcPr>
            <w:tcW w:w="2126" w:type="dxa"/>
            <w:tcBorders>
              <w:top w:val="nil"/>
              <w:left w:val="nil"/>
              <w:right w:val="nil"/>
            </w:tcBorders>
          </w:tcPr>
          <w:p w14:paraId="2EBDD0FA"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-0.67 (0.55)</w:t>
            </w:r>
          </w:p>
        </w:tc>
        <w:tc>
          <w:tcPr>
            <w:tcW w:w="2127" w:type="dxa"/>
            <w:tcBorders>
              <w:top w:val="nil"/>
              <w:left w:val="nil"/>
              <w:right w:val="nil"/>
            </w:tcBorders>
          </w:tcPr>
          <w:p w14:paraId="4306C2B0"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-1.75 to 0.41</w:t>
            </w:r>
          </w:p>
        </w:tc>
      </w:tr>
      <w:tr w:rsidR="00EE7818" w:rsidRPr="007E1EB2" w14:paraId="6211ECC6" w14:textId="77777777" w:rsidTr="00435F3C">
        <w:tc>
          <w:tcPr>
            <w:tcW w:w="5529" w:type="dxa"/>
            <w:tcBorders>
              <w:left w:val="nil"/>
              <w:bottom w:val="nil"/>
              <w:right w:val="nil"/>
            </w:tcBorders>
          </w:tcPr>
          <w:p w14:paraId="2729424D" w14:textId="37051F4C" w:rsidR="00EE7818" w:rsidRPr="007E1EB2" w:rsidRDefault="00EE7818" w:rsidP="007E1EB2">
            <w:pPr>
              <w:autoSpaceDE/>
              <w:autoSpaceDN/>
              <w:adjustRightInd/>
              <w:spacing w:line="240" w:lineRule="auto"/>
              <w:rPr>
                <w:rFonts w:eastAsia="Calibri"/>
                <w:sz w:val="22"/>
                <w:szCs w:val="22"/>
                <w:lang w:eastAsia="en-US"/>
              </w:rPr>
            </w:pPr>
            <w:r w:rsidRPr="007E1EB2">
              <w:rPr>
                <w:rFonts w:eastAsia="Calibri"/>
                <w:b/>
                <w:i/>
                <w:sz w:val="22"/>
                <w:szCs w:val="22"/>
                <w:lang w:eastAsia="en-US"/>
              </w:rPr>
              <w:t>Potential Care-Home Level Mediators (at 16</w:t>
            </w:r>
            <w:r w:rsidR="00B80810" w:rsidRPr="007E1EB2">
              <w:rPr>
                <w:rFonts w:eastAsia="Calibri"/>
                <w:b/>
                <w:i/>
                <w:sz w:val="22"/>
                <w:szCs w:val="22"/>
                <w:lang w:eastAsia="en-US"/>
              </w:rPr>
              <w:t>-months</w:t>
            </w:r>
            <w:r w:rsidRPr="007E1EB2">
              <w:rPr>
                <w:rFonts w:eastAsia="Calibri"/>
                <w:b/>
                <w:i/>
                <w:sz w:val="22"/>
                <w:szCs w:val="22"/>
                <w:lang w:eastAsia="en-US"/>
              </w:rPr>
              <w:t>):</w:t>
            </w:r>
          </w:p>
        </w:tc>
        <w:tc>
          <w:tcPr>
            <w:tcW w:w="2126" w:type="dxa"/>
            <w:tcBorders>
              <w:left w:val="nil"/>
              <w:bottom w:val="nil"/>
              <w:right w:val="nil"/>
            </w:tcBorders>
          </w:tcPr>
          <w:p w14:paraId="74E155DE" w14:textId="77777777" w:rsidR="00EE7818" w:rsidRPr="007E1EB2" w:rsidRDefault="00EE7818" w:rsidP="007E1EB2">
            <w:pPr>
              <w:autoSpaceDE/>
              <w:autoSpaceDN/>
              <w:adjustRightInd/>
              <w:spacing w:line="240" w:lineRule="auto"/>
              <w:jc w:val="right"/>
              <w:rPr>
                <w:rFonts w:eastAsia="Calibri"/>
                <w:sz w:val="22"/>
                <w:szCs w:val="22"/>
                <w:lang w:eastAsia="en-US"/>
              </w:rPr>
            </w:pPr>
          </w:p>
        </w:tc>
        <w:tc>
          <w:tcPr>
            <w:tcW w:w="2127" w:type="dxa"/>
            <w:tcBorders>
              <w:left w:val="nil"/>
              <w:bottom w:val="nil"/>
              <w:right w:val="nil"/>
            </w:tcBorders>
          </w:tcPr>
          <w:p w14:paraId="03A813F2" w14:textId="77777777" w:rsidR="00EE7818" w:rsidRPr="007E1EB2" w:rsidRDefault="00EE7818" w:rsidP="007E1EB2">
            <w:pPr>
              <w:autoSpaceDE/>
              <w:autoSpaceDN/>
              <w:adjustRightInd/>
              <w:spacing w:line="240" w:lineRule="auto"/>
              <w:jc w:val="right"/>
              <w:rPr>
                <w:rFonts w:eastAsia="Calibri"/>
                <w:sz w:val="22"/>
                <w:szCs w:val="22"/>
                <w:lang w:eastAsia="en-US"/>
              </w:rPr>
            </w:pPr>
          </w:p>
        </w:tc>
      </w:tr>
      <w:tr w:rsidR="00EE7818" w:rsidRPr="007E1EB2" w14:paraId="3886A130" w14:textId="77777777" w:rsidTr="00435F3C">
        <w:tc>
          <w:tcPr>
            <w:tcW w:w="5529" w:type="dxa"/>
            <w:tcBorders>
              <w:top w:val="nil"/>
              <w:left w:val="nil"/>
              <w:bottom w:val="nil"/>
              <w:right w:val="nil"/>
            </w:tcBorders>
          </w:tcPr>
          <w:p w14:paraId="64B55B2B" w14:textId="77777777" w:rsidR="00EE7818" w:rsidRPr="007E1EB2" w:rsidRDefault="00EE7818" w:rsidP="007E1EB2">
            <w:pPr>
              <w:autoSpaceDE/>
              <w:autoSpaceDN/>
              <w:adjustRightInd/>
              <w:spacing w:line="240" w:lineRule="auto"/>
              <w:rPr>
                <w:rFonts w:eastAsia="Calibri"/>
                <w:sz w:val="22"/>
                <w:szCs w:val="22"/>
                <w:lang w:eastAsia="en-US"/>
              </w:rPr>
            </w:pPr>
            <w:r w:rsidRPr="007E1EB2">
              <w:rPr>
                <w:rFonts w:eastAsia="Calibri"/>
                <w:sz w:val="22"/>
                <w:szCs w:val="22"/>
                <w:lang w:eastAsia="en-US"/>
              </w:rPr>
              <w:t>Change in care home manager (yes/no)</w:t>
            </w:r>
          </w:p>
        </w:tc>
        <w:tc>
          <w:tcPr>
            <w:tcW w:w="2126" w:type="dxa"/>
            <w:tcBorders>
              <w:top w:val="nil"/>
              <w:left w:val="nil"/>
              <w:bottom w:val="nil"/>
              <w:right w:val="nil"/>
            </w:tcBorders>
          </w:tcPr>
          <w:p w14:paraId="1C776866"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-0.00 (0.11)</w:t>
            </w:r>
          </w:p>
        </w:tc>
        <w:tc>
          <w:tcPr>
            <w:tcW w:w="2127" w:type="dxa"/>
            <w:tcBorders>
              <w:top w:val="nil"/>
              <w:left w:val="nil"/>
              <w:bottom w:val="nil"/>
              <w:right w:val="nil"/>
            </w:tcBorders>
          </w:tcPr>
          <w:p w14:paraId="2BECDA7C"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-0.23 to 0.22</w:t>
            </w:r>
          </w:p>
        </w:tc>
      </w:tr>
      <w:tr w:rsidR="00EE7818" w:rsidRPr="007E1EB2" w14:paraId="615C5A7F" w14:textId="77777777" w:rsidTr="00435F3C">
        <w:tc>
          <w:tcPr>
            <w:tcW w:w="5529" w:type="dxa"/>
            <w:tcBorders>
              <w:top w:val="nil"/>
              <w:left w:val="nil"/>
              <w:bottom w:val="nil"/>
              <w:right w:val="nil"/>
            </w:tcBorders>
          </w:tcPr>
          <w:p w14:paraId="1FE2759F" w14:textId="77777777" w:rsidR="00EE7818" w:rsidRPr="007E1EB2" w:rsidRDefault="00EE7818" w:rsidP="007E1EB2">
            <w:pPr>
              <w:autoSpaceDE/>
              <w:autoSpaceDN/>
              <w:adjustRightInd/>
              <w:spacing w:line="240" w:lineRule="auto"/>
              <w:rPr>
                <w:rFonts w:eastAsia="Calibri"/>
                <w:sz w:val="22"/>
                <w:szCs w:val="22"/>
                <w:lang w:eastAsia="en-US"/>
              </w:rPr>
            </w:pPr>
            <w:r w:rsidRPr="007E1EB2">
              <w:rPr>
                <w:rFonts w:eastAsia="Calibri"/>
                <w:sz w:val="22"/>
                <w:szCs w:val="22"/>
                <w:lang w:eastAsia="en-US"/>
              </w:rPr>
              <w:t>QUIS (proportion of positive interactions)</w:t>
            </w:r>
          </w:p>
        </w:tc>
        <w:tc>
          <w:tcPr>
            <w:tcW w:w="2126" w:type="dxa"/>
            <w:tcBorders>
              <w:top w:val="nil"/>
              <w:left w:val="nil"/>
              <w:bottom w:val="nil"/>
              <w:right w:val="nil"/>
            </w:tcBorders>
          </w:tcPr>
          <w:p w14:paraId="4DC71DAB"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0.00 (0.06)</w:t>
            </w:r>
          </w:p>
        </w:tc>
        <w:tc>
          <w:tcPr>
            <w:tcW w:w="2127" w:type="dxa"/>
            <w:tcBorders>
              <w:top w:val="nil"/>
              <w:left w:val="nil"/>
              <w:bottom w:val="nil"/>
              <w:right w:val="nil"/>
            </w:tcBorders>
          </w:tcPr>
          <w:p w14:paraId="6AC9F8D8"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-0.11 to 0.11</w:t>
            </w:r>
          </w:p>
        </w:tc>
      </w:tr>
      <w:tr w:rsidR="00EE7818" w:rsidRPr="007E1EB2" w14:paraId="632062A7" w14:textId="77777777" w:rsidTr="00435F3C">
        <w:tc>
          <w:tcPr>
            <w:tcW w:w="5529" w:type="dxa"/>
            <w:tcBorders>
              <w:top w:val="nil"/>
              <w:left w:val="nil"/>
              <w:bottom w:val="nil"/>
              <w:right w:val="nil"/>
            </w:tcBorders>
          </w:tcPr>
          <w:p w14:paraId="2F08A6DC" w14:textId="77777777" w:rsidR="00EE7818" w:rsidRPr="007E1EB2" w:rsidRDefault="00EE7818" w:rsidP="007E1EB2">
            <w:pPr>
              <w:autoSpaceDE/>
              <w:autoSpaceDN/>
              <w:adjustRightInd/>
              <w:spacing w:line="240" w:lineRule="auto"/>
              <w:rPr>
                <w:rFonts w:eastAsia="Calibri"/>
                <w:sz w:val="22"/>
                <w:szCs w:val="22"/>
                <w:lang w:eastAsia="en-US"/>
              </w:rPr>
            </w:pPr>
            <w:r w:rsidRPr="007E1EB2">
              <w:rPr>
                <w:rFonts w:eastAsia="Calibri"/>
                <w:sz w:val="22"/>
                <w:szCs w:val="22"/>
                <w:lang w:eastAsia="en-US"/>
              </w:rPr>
              <w:t>EAT improvement in privacy and community (yes/no)</w:t>
            </w:r>
          </w:p>
        </w:tc>
        <w:tc>
          <w:tcPr>
            <w:tcW w:w="2126" w:type="dxa"/>
            <w:tcBorders>
              <w:top w:val="nil"/>
              <w:left w:val="nil"/>
              <w:bottom w:val="nil"/>
              <w:right w:val="nil"/>
            </w:tcBorders>
          </w:tcPr>
          <w:p w14:paraId="79F60EE6"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0.12 (0.23)</w:t>
            </w:r>
          </w:p>
        </w:tc>
        <w:tc>
          <w:tcPr>
            <w:tcW w:w="2127" w:type="dxa"/>
            <w:tcBorders>
              <w:top w:val="nil"/>
              <w:left w:val="nil"/>
              <w:bottom w:val="nil"/>
              <w:right w:val="nil"/>
            </w:tcBorders>
          </w:tcPr>
          <w:p w14:paraId="6FA68A9C"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-0.34 to 0.58</w:t>
            </w:r>
          </w:p>
        </w:tc>
      </w:tr>
      <w:tr w:rsidR="00EE7818" w:rsidRPr="007E1EB2" w14:paraId="4FA9D72F" w14:textId="77777777" w:rsidTr="00435F3C">
        <w:tc>
          <w:tcPr>
            <w:tcW w:w="5529" w:type="dxa"/>
            <w:tcBorders>
              <w:top w:val="nil"/>
              <w:left w:val="nil"/>
              <w:bottom w:val="nil"/>
              <w:right w:val="nil"/>
            </w:tcBorders>
          </w:tcPr>
          <w:p w14:paraId="6C7594BB" w14:textId="77777777" w:rsidR="00EE7818" w:rsidRPr="007E1EB2" w:rsidRDefault="00EE7818" w:rsidP="007E1EB2">
            <w:pPr>
              <w:autoSpaceDE/>
              <w:autoSpaceDN/>
              <w:adjustRightInd/>
              <w:spacing w:line="240" w:lineRule="auto"/>
              <w:rPr>
                <w:rFonts w:eastAsia="Calibri"/>
                <w:sz w:val="22"/>
                <w:szCs w:val="22"/>
                <w:lang w:eastAsia="en-US"/>
              </w:rPr>
            </w:pPr>
            <w:r w:rsidRPr="007E1EB2">
              <w:rPr>
                <w:rFonts w:eastAsia="Calibri"/>
                <w:sz w:val="22"/>
                <w:szCs w:val="22"/>
                <w:lang w:eastAsia="en-US"/>
              </w:rPr>
              <w:t>EAT improvement in community links (yes/no)</w:t>
            </w:r>
          </w:p>
        </w:tc>
        <w:tc>
          <w:tcPr>
            <w:tcW w:w="2126" w:type="dxa"/>
            <w:tcBorders>
              <w:top w:val="nil"/>
              <w:left w:val="nil"/>
              <w:bottom w:val="nil"/>
              <w:right w:val="nil"/>
            </w:tcBorders>
          </w:tcPr>
          <w:p w14:paraId="75D7B1A2"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w:t>
            </w:r>
          </w:p>
        </w:tc>
        <w:tc>
          <w:tcPr>
            <w:tcW w:w="2127" w:type="dxa"/>
            <w:tcBorders>
              <w:top w:val="nil"/>
              <w:left w:val="nil"/>
              <w:bottom w:val="nil"/>
              <w:right w:val="nil"/>
            </w:tcBorders>
          </w:tcPr>
          <w:p w14:paraId="6EC67CAC"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w:t>
            </w:r>
          </w:p>
        </w:tc>
      </w:tr>
      <w:tr w:rsidR="00EE7818" w:rsidRPr="007E1EB2" w14:paraId="3CBCEABA" w14:textId="77777777" w:rsidTr="00435F3C">
        <w:tc>
          <w:tcPr>
            <w:tcW w:w="5529" w:type="dxa"/>
            <w:tcBorders>
              <w:top w:val="nil"/>
              <w:left w:val="nil"/>
              <w:bottom w:val="nil"/>
              <w:right w:val="nil"/>
            </w:tcBorders>
          </w:tcPr>
          <w:p w14:paraId="41B0F3ED" w14:textId="77777777" w:rsidR="00EE7818" w:rsidRPr="007E1EB2" w:rsidRDefault="00EE7818" w:rsidP="007E1EB2">
            <w:pPr>
              <w:autoSpaceDE/>
              <w:autoSpaceDN/>
              <w:adjustRightInd/>
              <w:spacing w:line="240" w:lineRule="auto"/>
              <w:rPr>
                <w:rFonts w:eastAsia="Calibri"/>
                <w:sz w:val="22"/>
                <w:szCs w:val="22"/>
                <w:lang w:eastAsia="en-US"/>
              </w:rPr>
            </w:pPr>
            <w:r w:rsidRPr="007E1EB2">
              <w:rPr>
                <w:rFonts w:eastAsia="Calibri"/>
                <w:sz w:val="22"/>
                <w:szCs w:val="22"/>
                <w:lang w:eastAsia="en-US"/>
              </w:rPr>
              <w:t>EAT improvement in domestic activity (yes/no)</w:t>
            </w:r>
          </w:p>
        </w:tc>
        <w:tc>
          <w:tcPr>
            <w:tcW w:w="2126" w:type="dxa"/>
            <w:tcBorders>
              <w:top w:val="nil"/>
              <w:left w:val="nil"/>
              <w:bottom w:val="nil"/>
              <w:right w:val="nil"/>
            </w:tcBorders>
          </w:tcPr>
          <w:p w14:paraId="3C8A9A5F"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0.15 (0.17)</w:t>
            </w:r>
          </w:p>
        </w:tc>
        <w:tc>
          <w:tcPr>
            <w:tcW w:w="2127" w:type="dxa"/>
            <w:tcBorders>
              <w:top w:val="nil"/>
              <w:left w:val="nil"/>
              <w:bottom w:val="nil"/>
              <w:right w:val="nil"/>
            </w:tcBorders>
          </w:tcPr>
          <w:p w14:paraId="2C510F19"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-0.18 to 0.47</w:t>
            </w:r>
          </w:p>
        </w:tc>
      </w:tr>
      <w:tr w:rsidR="00EE7818" w:rsidRPr="007E1EB2" w14:paraId="61A24DE7" w14:textId="77777777" w:rsidTr="00435F3C">
        <w:tc>
          <w:tcPr>
            <w:tcW w:w="5529" w:type="dxa"/>
            <w:tcBorders>
              <w:top w:val="nil"/>
              <w:left w:val="nil"/>
              <w:right w:val="nil"/>
            </w:tcBorders>
          </w:tcPr>
          <w:p w14:paraId="3685C7B3" w14:textId="77777777" w:rsidR="00EE7818" w:rsidRPr="007E1EB2" w:rsidRDefault="00EE7818" w:rsidP="007E1EB2">
            <w:pPr>
              <w:autoSpaceDE/>
              <w:autoSpaceDN/>
              <w:adjustRightInd/>
              <w:spacing w:line="240" w:lineRule="auto"/>
              <w:rPr>
                <w:rFonts w:eastAsia="Calibri"/>
                <w:sz w:val="22"/>
                <w:szCs w:val="22"/>
                <w:lang w:eastAsia="en-US"/>
              </w:rPr>
            </w:pPr>
            <w:r w:rsidRPr="007E1EB2">
              <w:rPr>
                <w:rFonts w:eastAsia="Calibri"/>
                <w:sz w:val="22"/>
                <w:szCs w:val="22"/>
                <w:lang w:eastAsia="en-US"/>
              </w:rPr>
              <w:t>Improved Group Living Home Characteristics (yes/no)</w:t>
            </w:r>
          </w:p>
        </w:tc>
        <w:tc>
          <w:tcPr>
            <w:tcW w:w="2126" w:type="dxa"/>
            <w:tcBorders>
              <w:top w:val="nil"/>
              <w:left w:val="nil"/>
              <w:right w:val="nil"/>
            </w:tcBorders>
          </w:tcPr>
          <w:p w14:paraId="454AE79B"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-0.67 (0.42)</w:t>
            </w:r>
          </w:p>
        </w:tc>
        <w:tc>
          <w:tcPr>
            <w:tcW w:w="2127" w:type="dxa"/>
            <w:tcBorders>
              <w:top w:val="nil"/>
              <w:left w:val="nil"/>
              <w:right w:val="nil"/>
            </w:tcBorders>
          </w:tcPr>
          <w:p w14:paraId="65A40D62" w14:textId="77777777" w:rsidR="00EE7818" w:rsidRPr="007E1EB2" w:rsidRDefault="00EE7818" w:rsidP="007E1EB2">
            <w:pPr>
              <w:autoSpaceDE/>
              <w:autoSpaceDN/>
              <w:adjustRightInd/>
              <w:spacing w:line="240" w:lineRule="auto"/>
              <w:jc w:val="right"/>
              <w:rPr>
                <w:rFonts w:eastAsia="Calibri"/>
                <w:sz w:val="22"/>
                <w:szCs w:val="22"/>
                <w:lang w:eastAsia="en-US"/>
              </w:rPr>
            </w:pPr>
            <w:r w:rsidRPr="007E1EB2">
              <w:rPr>
                <w:rFonts w:eastAsia="Calibri"/>
                <w:sz w:val="22"/>
                <w:szCs w:val="22"/>
                <w:lang w:eastAsia="en-US"/>
              </w:rPr>
              <w:t>-1.49 to 0.16</w:t>
            </w:r>
          </w:p>
        </w:tc>
      </w:tr>
    </w:tbl>
    <w:p w14:paraId="6BA8F3F5" w14:textId="52F50233" w:rsidR="00AB7FBC" w:rsidRPr="00563AD3" w:rsidRDefault="00403BB1" w:rsidP="009B13F3">
      <w:pPr>
        <w:rPr>
          <w:rFonts w:eastAsia="Times New Roman"/>
          <w:lang w:eastAsia="en-US"/>
        </w:rPr>
      </w:pPr>
      <w:r>
        <w:rPr>
          <w:rFonts w:eastAsia="Times New Roman"/>
          <w:lang w:eastAsia="en-US"/>
        </w:rPr>
        <w:t xml:space="preserve">Mediator analysis did not account for clustering </w:t>
      </w:r>
    </w:p>
    <w:p w14:paraId="44D47998" w14:textId="3DA968B6" w:rsidR="003755E7" w:rsidRPr="00563AD3" w:rsidRDefault="003755E7" w:rsidP="009B13F3">
      <w:pPr>
        <w:pStyle w:val="Heading3"/>
        <w:rPr>
          <w:rFonts w:eastAsia="Times New Roman"/>
          <w:lang w:eastAsia="en-US"/>
        </w:rPr>
      </w:pPr>
      <w:bookmarkStart w:id="217" w:name="_Toc525544038"/>
      <w:r w:rsidRPr="00563AD3">
        <w:rPr>
          <w:rFonts w:eastAsia="Times New Roman"/>
          <w:lang w:eastAsia="en-US"/>
        </w:rPr>
        <w:t>5.5.2 Interview data</w:t>
      </w:r>
      <w:bookmarkEnd w:id="217"/>
    </w:p>
    <w:p w14:paraId="11CF89BD" w14:textId="151522F6" w:rsidR="003755E7" w:rsidRPr="00563AD3" w:rsidRDefault="003755E7" w:rsidP="009B13F3">
      <w:r w:rsidRPr="00563AD3">
        <w:t>Drawing on interviewees</w:t>
      </w:r>
      <w:r w:rsidR="00E857B0">
        <w:t>’</w:t>
      </w:r>
      <w:r w:rsidRPr="00563AD3">
        <w:t xml:space="preserve"> perceptions of the </w:t>
      </w:r>
      <w:r w:rsidR="00597D22" w:rsidRPr="00563AD3">
        <w:t>DCM™</w:t>
      </w:r>
      <w:r w:rsidRPr="00563AD3">
        <w:t xml:space="preserve"> implementation process and its impacts, alongside the quantitative trial data, we had intended to propose a model for the intervention’s mechanisms of impact. This model was intended to set out the processes through which the implementation of </w:t>
      </w:r>
      <w:r w:rsidR="00597D22" w:rsidRPr="00563AD3">
        <w:t>DCM™</w:t>
      </w:r>
      <w:r w:rsidRPr="00563AD3">
        <w:t xml:space="preserve"> may lead to change, and the barriers and facilitators which may enable or inhibit the achievement and maintenance of those changes. Whilst the above results set out some of the contextual features required to facilitate </w:t>
      </w:r>
      <w:r w:rsidR="00597D22" w:rsidRPr="00563AD3">
        <w:t>DCM™</w:t>
      </w:r>
      <w:r w:rsidRPr="00563AD3">
        <w:t xml:space="preserve"> implementation, and the challenges which need to be overcome in order to implement </w:t>
      </w:r>
      <w:r w:rsidR="00597D22" w:rsidRPr="00563AD3">
        <w:t>DCM™</w:t>
      </w:r>
      <w:r w:rsidRPr="00563AD3">
        <w:t xml:space="preserve"> effectively, given the negative trial result and the great variability in </w:t>
      </w:r>
      <w:r w:rsidR="00597D22" w:rsidRPr="00563AD3">
        <w:t>DCM™</w:t>
      </w:r>
      <w:r w:rsidRPr="00563AD3">
        <w:t xml:space="preserve"> implementation observed, we have been unable to come to any conclusions about potential mechanisms of action. Specific potential barriers to mechanisms of action were poor implementation of </w:t>
      </w:r>
      <w:r w:rsidR="00597D22" w:rsidRPr="00563AD3">
        <w:t>DCM™</w:t>
      </w:r>
      <w:r w:rsidRPr="00563AD3">
        <w:t xml:space="preserve">, particularly beyond the first supported mapping cycle, meaning exposure to </w:t>
      </w:r>
      <w:r w:rsidR="00597D22" w:rsidRPr="00563AD3">
        <w:t>DCM™</w:t>
      </w:r>
      <w:r w:rsidRPr="00563AD3">
        <w:t xml:space="preserve"> over the trial period was limited to one or fewer cycles over the 15-month period for three-quarters of the intervention homes.   </w:t>
      </w:r>
    </w:p>
    <w:p w14:paraId="02C20046" w14:textId="77777777" w:rsidR="003755E7" w:rsidRPr="00563AD3" w:rsidRDefault="003755E7" w:rsidP="009B13F3">
      <w:pPr>
        <w:rPr>
          <w:lang w:eastAsia="en-US"/>
        </w:rPr>
      </w:pPr>
    </w:p>
    <w:p w14:paraId="5B312FBA" w14:textId="6F5BD4E2" w:rsidR="008A60E2" w:rsidRPr="00563AD3" w:rsidRDefault="002D5157" w:rsidP="009B13F3">
      <w:pPr>
        <w:autoSpaceDE/>
        <w:autoSpaceDN/>
        <w:adjustRightInd/>
      </w:pPr>
      <w:r w:rsidRPr="00563AD3">
        <w:br w:type="page"/>
      </w:r>
    </w:p>
    <w:p w14:paraId="3AAB30DB" w14:textId="4213DFB7" w:rsidR="008A60E2" w:rsidRPr="00563AD3" w:rsidRDefault="00410C6F" w:rsidP="009B13F3">
      <w:pPr>
        <w:pStyle w:val="Heading1"/>
        <w:spacing w:line="360" w:lineRule="auto"/>
      </w:pPr>
      <w:bookmarkStart w:id="218" w:name="_Toc525544039"/>
      <w:r w:rsidRPr="00563AD3">
        <w:t>6</w:t>
      </w:r>
      <w:r w:rsidR="008A60E2" w:rsidRPr="00563AD3">
        <w:t xml:space="preserve">. </w:t>
      </w:r>
      <w:r w:rsidR="004765FE" w:rsidRPr="00563AD3">
        <w:t>Discussion</w:t>
      </w:r>
      <w:bookmarkEnd w:id="218"/>
      <w:r w:rsidR="004765FE" w:rsidRPr="00563AD3">
        <w:t xml:space="preserve"> </w:t>
      </w:r>
    </w:p>
    <w:p w14:paraId="7A0E970F" w14:textId="77777777" w:rsidR="00561F37" w:rsidRPr="00563AD3" w:rsidRDefault="00561F37" w:rsidP="009B13F3"/>
    <w:p w14:paraId="5E7A27DD" w14:textId="43C51049" w:rsidR="00931070" w:rsidRPr="00563AD3" w:rsidRDefault="00410C6F" w:rsidP="009B13F3">
      <w:pPr>
        <w:pStyle w:val="Heading2"/>
      </w:pPr>
      <w:bookmarkStart w:id="219" w:name="_Toc525544040"/>
      <w:r w:rsidRPr="00563AD3">
        <w:t>6</w:t>
      </w:r>
      <w:r w:rsidR="00931070" w:rsidRPr="00563AD3">
        <w:t>.1 Key findings</w:t>
      </w:r>
      <w:bookmarkEnd w:id="219"/>
    </w:p>
    <w:p w14:paraId="72B023C3" w14:textId="1A36EADC" w:rsidR="00FB065B" w:rsidRPr="00571DFD" w:rsidRDefault="00FB065B" w:rsidP="009B13F3">
      <w:r w:rsidRPr="00563AD3">
        <w:t xml:space="preserve">The </w:t>
      </w:r>
      <w:r w:rsidR="00597D22" w:rsidRPr="00563AD3">
        <w:t>DCM™</w:t>
      </w:r>
      <w:r w:rsidRPr="00563AD3">
        <w:t xml:space="preserve"> EPIC trial was a pragmatic, multi-centre cluster RCT of </w:t>
      </w:r>
      <w:r w:rsidR="00597D22" w:rsidRPr="00563AD3">
        <w:t>DCM™</w:t>
      </w:r>
      <w:r w:rsidRPr="00563AD3">
        <w:t xml:space="preserve">’s effectiveness and cost effectiveness compared to usual care control in UK care home settings. The trial evaluated whether </w:t>
      </w:r>
      <w:r w:rsidR="00597D22" w:rsidRPr="00563AD3">
        <w:t>DCM™</w:t>
      </w:r>
      <w:r w:rsidRPr="00563AD3">
        <w:t xml:space="preserve"> led to reductions in agitation, other BSC, PRN anti-psychotic and other tranquillizer use and improved quality of life for care home residents with dementia and improved quality of staff interactions with residents. It also sought to determine whether </w:t>
      </w:r>
      <w:r w:rsidR="00597D22" w:rsidRPr="00563AD3">
        <w:t>DCM™</w:t>
      </w:r>
      <w:r w:rsidRPr="00563AD3">
        <w:t xml:space="preserve"> was cost-effective. Thirty-one care homes were randomised to implement the </w:t>
      </w:r>
      <w:r w:rsidR="00597D22" w:rsidRPr="00563AD3">
        <w:t>DCM™</w:t>
      </w:r>
      <w:r w:rsidRPr="00563AD3">
        <w:t xml:space="preserve"> intervention and 19 to control. A total </w:t>
      </w:r>
      <w:r w:rsidRPr="00571DFD">
        <w:t xml:space="preserve">of 987 residents were recruited and registered; 726 at baseline (308 in the control </w:t>
      </w:r>
      <w:r w:rsidR="00182DC5" w:rsidRPr="00571DFD">
        <w:t>arm</w:t>
      </w:r>
      <w:r w:rsidRPr="00571DFD">
        <w:t xml:space="preserve"> and 418 in intervention) and a further 261 at 16-month follow-up (99 in the control </w:t>
      </w:r>
      <w:r w:rsidR="00182DC5" w:rsidRPr="00571DFD">
        <w:t>arm</w:t>
      </w:r>
      <w:r w:rsidRPr="00571DFD">
        <w:t xml:space="preserve"> and 162 intervention). A total of 675 residents were included in the final cross-sectional sample (287 in the control </w:t>
      </w:r>
      <w:r w:rsidR="00182DC5" w:rsidRPr="00571DFD">
        <w:t>arm</w:t>
      </w:r>
      <w:r w:rsidRPr="00571DFD">
        <w:t xml:space="preserve"> and 388 in intervention) used for the primary analysis; </w:t>
      </w:r>
      <w:r w:rsidR="000106A1" w:rsidRPr="00571DFD">
        <w:t xml:space="preserve">414 </w:t>
      </w:r>
      <w:r w:rsidRPr="00571DFD">
        <w:t>from the original sample and 261 recruited at the 16-month time-point.</w:t>
      </w:r>
    </w:p>
    <w:p w14:paraId="4D6F29DE" w14:textId="5BD0C205" w:rsidR="00931070" w:rsidRPr="00563AD3" w:rsidRDefault="00CF36A5" w:rsidP="009B13F3">
      <w:r w:rsidRPr="00563AD3">
        <w:t xml:space="preserve"> </w:t>
      </w:r>
    </w:p>
    <w:p w14:paraId="682CF9BC" w14:textId="3D5EE6F0" w:rsidR="00931070" w:rsidRPr="00563AD3" w:rsidRDefault="00410C6F" w:rsidP="009B13F3">
      <w:pPr>
        <w:pStyle w:val="Heading2"/>
      </w:pPr>
      <w:bookmarkStart w:id="220" w:name="_Toc525544041"/>
      <w:r w:rsidRPr="00563AD3">
        <w:t>6</w:t>
      </w:r>
      <w:r w:rsidR="00931070" w:rsidRPr="00563AD3">
        <w:t>.2 Primary outcomes</w:t>
      </w:r>
      <w:bookmarkEnd w:id="220"/>
    </w:p>
    <w:p w14:paraId="36606AC6" w14:textId="27E68ACE" w:rsidR="00FB065B" w:rsidRDefault="00FB065B" w:rsidP="009B13F3">
      <w:r w:rsidRPr="00563AD3">
        <w:t xml:space="preserve">Care home residents in intervention </w:t>
      </w:r>
      <w:r w:rsidR="00182DC5" w:rsidRPr="00563AD3">
        <w:t>arm</w:t>
      </w:r>
      <w:r w:rsidRPr="00563AD3">
        <w:t xml:space="preserve"> care homes did not demonstrate any clinically meaningful or statistically significant reduction in agitation compared to control </w:t>
      </w:r>
      <w:r w:rsidR="00182DC5" w:rsidRPr="00563AD3">
        <w:t>arm</w:t>
      </w:r>
      <w:r w:rsidRPr="00563AD3">
        <w:t xml:space="preserve"> residents. </w:t>
      </w:r>
    </w:p>
    <w:p w14:paraId="5267CCBD" w14:textId="77777777" w:rsidR="007E2367" w:rsidRPr="00563AD3" w:rsidRDefault="007E2367" w:rsidP="009B13F3"/>
    <w:p w14:paraId="592A6848" w14:textId="39F375DE" w:rsidR="00931070" w:rsidRPr="00563AD3" w:rsidRDefault="00410C6F" w:rsidP="009B13F3">
      <w:pPr>
        <w:pStyle w:val="Heading2"/>
      </w:pPr>
      <w:bookmarkStart w:id="221" w:name="_Toc525544042"/>
      <w:r w:rsidRPr="00563AD3">
        <w:t>6</w:t>
      </w:r>
      <w:r w:rsidR="00931070" w:rsidRPr="00563AD3">
        <w:t>.3 Secondary outcomes</w:t>
      </w:r>
      <w:bookmarkEnd w:id="221"/>
    </w:p>
    <w:p w14:paraId="29512750" w14:textId="47DCAEBF" w:rsidR="00FB065B" w:rsidRPr="00563AD3" w:rsidRDefault="00FB065B" w:rsidP="009B13F3">
      <w:r w:rsidRPr="00571DFD">
        <w:t xml:space="preserve">There were no clinically meaningful or statistically significant differences in BSC, quality of life, </w:t>
      </w:r>
      <w:r w:rsidR="00C74BB8" w:rsidRPr="00571DFD">
        <w:t>PRN</w:t>
      </w:r>
      <w:r w:rsidRPr="00571DFD">
        <w:t xml:space="preserve"> use of </w:t>
      </w:r>
      <w:r w:rsidR="004A6BC2">
        <w:t xml:space="preserve">prescription </w:t>
      </w:r>
      <w:r w:rsidRPr="00571DFD">
        <w:t>medications for care home residents with dementia at 6- or 16-month follow-up.</w:t>
      </w:r>
      <w:r w:rsidRPr="0086664D">
        <w:t xml:space="preserve"> </w:t>
      </w:r>
      <w:r w:rsidR="000743DC" w:rsidRPr="00563AD3">
        <w:t>However, trends for BSC and mood (depression/apathy) were found in favour of the intervention at 16-months</w:t>
      </w:r>
      <w:r w:rsidR="00246670">
        <w:t xml:space="preserve"> in the closed cohort</w:t>
      </w:r>
      <w:r w:rsidR="000743DC" w:rsidRPr="00563AD3">
        <w:t xml:space="preserve">. </w:t>
      </w:r>
      <w:r w:rsidR="000743DC" w:rsidRPr="00571DFD">
        <w:t xml:space="preserve">The </w:t>
      </w:r>
      <w:r w:rsidR="004A6BC2">
        <w:t>prescription</w:t>
      </w:r>
      <w:r w:rsidR="000743DC" w:rsidRPr="00571DFD">
        <w:t xml:space="preserve"> rates of PRN </w:t>
      </w:r>
      <w:r w:rsidR="00182DC5" w:rsidRPr="00571DFD">
        <w:t>medications</w:t>
      </w:r>
      <w:r w:rsidR="000743DC" w:rsidRPr="00571DFD">
        <w:t xml:space="preserve"> were low across both </w:t>
      </w:r>
      <w:r w:rsidR="00182DC5" w:rsidRPr="00571DFD">
        <w:t>arms</w:t>
      </w:r>
      <w:r w:rsidR="000743DC" w:rsidRPr="00571DFD">
        <w:t xml:space="preserve"> at all time-points and this alongside the wide confidence intervals within the secondary analyses makes the results difficult to interpret.</w:t>
      </w:r>
      <w:r w:rsidR="000743DC" w:rsidRPr="00563AD3">
        <w:t xml:space="preserve"> The quality of staff interactions </w:t>
      </w:r>
      <w:r w:rsidR="002C23CF" w:rsidRPr="00563AD3">
        <w:t>did not differ between arms at either time-point.</w:t>
      </w:r>
    </w:p>
    <w:p w14:paraId="4D14C510" w14:textId="4DDF3345" w:rsidR="00FB065B" w:rsidRPr="00563AD3" w:rsidRDefault="00005465" w:rsidP="009B13F3">
      <w:r w:rsidRPr="00563AD3">
        <w:t xml:space="preserve">Given the poor return rates for staff outcome measures we were unable to evaluate any potential impact of </w:t>
      </w:r>
      <w:r w:rsidR="00597D22" w:rsidRPr="00563AD3">
        <w:t>DCM™</w:t>
      </w:r>
      <w:r w:rsidRPr="00563AD3">
        <w:t xml:space="preserve"> on staff health related QoL </w:t>
      </w:r>
      <w:r w:rsidR="00A8433A">
        <w:t xml:space="preserve">(GHQ-12) </w:t>
      </w:r>
      <w:r w:rsidRPr="00563AD3">
        <w:t>or feelings of confidence in caring for people with dementia</w:t>
      </w:r>
      <w:r w:rsidR="00A8433A">
        <w:t xml:space="preserve"> (SCIDS)</w:t>
      </w:r>
      <w:r w:rsidRPr="00563AD3">
        <w:t>.</w:t>
      </w:r>
    </w:p>
    <w:p w14:paraId="54AC9B1A" w14:textId="77777777" w:rsidR="00FB065B" w:rsidRPr="00FD5CAE" w:rsidRDefault="00410C6F" w:rsidP="00FD5CAE">
      <w:pPr>
        <w:pStyle w:val="Heading2"/>
      </w:pPr>
      <w:bookmarkStart w:id="222" w:name="_Toc525544043"/>
      <w:r w:rsidRPr="00FD5CAE">
        <w:rPr>
          <w:rStyle w:val="Heading2Char"/>
          <w:b/>
          <w:sz w:val="22"/>
          <w:szCs w:val="22"/>
        </w:rPr>
        <w:t>6</w:t>
      </w:r>
      <w:r w:rsidR="00931070" w:rsidRPr="00FD5CAE">
        <w:rPr>
          <w:rStyle w:val="Heading2Char"/>
          <w:b/>
          <w:sz w:val="22"/>
          <w:szCs w:val="22"/>
        </w:rPr>
        <w:t>.4</w:t>
      </w:r>
      <w:r w:rsidR="00931070" w:rsidRPr="00FD5CAE">
        <w:t xml:space="preserve"> </w:t>
      </w:r>
      <w:r w:rsidR="00FB065B" w:rsidRPr="00FD5CAE">
        <w:t>Economic evaluation</w:t>
      </w:r>
      <w:bookmarkEnd w:id="222"/>
    </w:p>
    <w:p w14:paraId="0D3632DF" w14:textId="77777777" w:rsidR="006270FB" w:rsidRPr="00563AD3" w:rsidRDefault="006270FB" w:rsidP="009B13F3">
      <w:r w:rsidRPr="00563AD3">
        <w:t>We conducted an economic evaluation alongside a clinical trial adhering where possible to the NICE reference case for technology appraisals.  The primary analysis was a cost-utility (cost per QALY) evaluation, and a cost-effectiveness (cost per unit improvement in CMAI) evaluation was conducted as a secondary analysis.</w:t>
      </w:r>
    </w:p>
    <w:p w14:paraId="734A5D9D" w14:textId="5DD07106" w:rsidR="006270FB" w:rsidRPr="00563AD3" w:rsidRDefault="006270FB" w:rsidP="009B13F3">
      <w:r w:rsidRPr="00563AD3">
        <w:t>Costs for the intervention per person were £421.07. This depended on a number of assumptions including the number of staff involved, number of cycles implemented and the number of residents who might benefit. In general, our assumptions regarding these costs were conservative.  We also conducted a sensitivity analysis which accounted for different costs incurred by care homes dependent on their compliance with the intervention.</w:t>
      </w:r>
    </w:p>
    <w:p w14:paraId="06F6509E" w14:textId="4E501F10" w:rsidR="006270FB" w:rsidRPr="00563AD3" w:rsidRDefault="006270FB" w:rsidP="009B13F3">
      <w:r w:rsidRPr="00563AD3">
        <w:t xml:space="preserve">Costs of resource use were substantially higher in the intervention </w:t>
      </w:r>
      <w:r w:rsidR="00182DC5" w:rsidRPr="00563AD3">
        <w:t>arm</w:t>
      </w:r>
      <w:r w:rsidRPr="00563AD3">
        <w:t xml:space="preserve"> and this was driven by higher secondary (hospital) care costs. This resulted from the presence of several high cost individuals in the intervention arm (n=6 in the intervention </w:t>
      </w:r>
      <w:r w:rsidR="00182DC5" w:rsidRPr="00563AD3">
        <w:t>arm</w:t>
      </w:r>
      <w:r w:rsidRPr="00563AD3">
        <w:t xml:space="preserve"> had higher costs than the highest cost individual in the control </w:t>
      </w:r>
      <w:r w:rsidR="00182DC5" w:rsidRPr="00563AD3">
        <w:t>arm</w:t>
      </w:r>
      <w:r w:rsidRPr="00563AD3">
        <w:t>). We conducted sensitivity analyses where we removed these six individuals (in a complete case analysis and prior to conducting MI for an analysis using MI data) in order to examine the impact of these outliers on our cost-utility estimates.</w:t>
      </w:r>
    </w:p>
    <w:p w14:paraId="327F6530" w14:textId="504C0B00" w:rsidR="006270FB" w:rsidRPr="00563AD3" w:rsidRDefault="006270FB" w:rsidP="009B13F3">
      <w:r w:rsidRPr="00563AD3">
        <w:t xml:space="preserve">Regardless of the utility measure used and the analytical approach adopted, QoL appeared to be higher in the intervention than control </w:t>
      </w:r>
      <w:r w:rsidR="00182DC5" w:rsidRPr="00563AD3">
        <w:t>arm</w:t>
      </w:r>
      <w:r w:rsidRPr="00563AD3">
        <w:t xml:space="preserve"> at 16-months. Although QoL declined over 16-months, in general this decline was lower in the active treatment arm. </w:t>
      </w:r>
    </w:p>
    <w:p w14:paraId="5C59A738" w14:textId="29DE6AD8" w:rsidR="006270FB" w:rsidRPr="00563AD3" w:rsidRDefault="006270FB" w:rsidP="009B13F3">
      <w:pPr>
        <w:rPr>
          <w:bCs/>
        </w:rPr>
      </w:pPr>
      <w:r w:rsidRPr="00563AD3">
        <w:t xml:space="preserve">The base case ICER was </w:t>
      </w:r>
      <w:r w:rsidRPr="00563AD3">
        <w:rPr>
          <w:bCs/>
        </w:rPr>
        <w:t xml:space="preserve">£60,627 and, being substantially over the NICE threshold of £20,000, suggests </w:t>
      </w:r>
      <w:r w:rsidR="00597D22" w:rsidRPr="00563AD3">
        <w:rPr>
          <w:bCs/>
        </w:rPr>
        <w:t>DCM™</w:t>
      </w:r>
      <w:r w:rsidRPr="00563AD3">
        <w:rPr>
          <w:bCs/>
        </w:rPr>
        <w:t xml:space="preserve"> would not be an efficient use of health/social service resources. The sensitivity analyses were consistent in finding the intervention to be more costly but more effective than control. With the exception of analyses which excluded the high cost individuals, ICERs from the sensitivity analyses ranged from £</w:t>
      </w:r>
      <w:r w:rsidR="008F757C" w:rsidRPr="00563AD3">
        <w:rPr>
          <w:bCs/>
        </w:rPr>
        <w:t>24,139</w:t>
      </w:r>
      <w:r w:rsidRPr="00563AD3">
        <w:rPr>
          <w:bCs/>
        </w:rPr>
        <w:t xml:space="preserve"> to £5</w:t>
      </w:r>
      <w:r w:rsidR="008F757C" w:rsidRPr="00563AD3">
        <w:rPr>
          <w:bCs/>
        </w:rPr>
        <w:t>7</w:t>
      </w:r>
      <w:r w:rsidRPr="00563AD3">
        <w:rPr>
          <w:bCs/>
        </w:rPr>
        <w:t>,5</w:t>
      </w:r>
      <w:r w:rsidR="008F757C" w:rsidRPr="00563AD3">
        <w:rPr>
          <w:bCs/>
        </w:rPr>
        <w:t>09</w:t>
      </w:r>
      <w:r w:rsidRPr="00563AD3">
        <w:rPr>
          <w:bCs/>
        </w:rPr>
        <w:t>.</w:t>
      </w:r>
    </w:p>
    <w:p w14:paraId="767105CD" w14:textId="707A654F" w:rsidR="006270FB" w:rsidRPr="00563AD3" w:rsidRDefault="008F757C" w:rsidP="009B13F3">
      <w:pPr>
        <w:rPr>
          <w:bCs/>
        </w:rPr>
      </w:pPr>
      <w:r w:rsidRPr="00563AD3">
        <w:rPr>
          <w:bCs/>
        </w:rPr>
        <w:t>A</w:t>
      </w:r>
      <w:r w:rsidR="006270FB" w:rsidRPr="00563AD3">
        <w:rPr>
          <w:bCs/>
        </w:rPr>
        <w:t xml:space="preserve">nalyses which excluded high cost individuals in the intervention </w:t>
      </w:r>
      <w:r w:rsidR="00182DC5" w:rsidRPr="00563AD3">
        <w:rPr>
          <w:bCs/>
        </w:rPr>
        <w:t>arm</w:t>
      </w:r>
      <w:r w:rsidR="006270FB" w:rsidRPr="00563AD3">
        <w:rPr>
          <w:bCs/>
        </w:rPr>
        <w:t xml:space="preserve"> yielded ICERs that were below (£10,975/QALY for the CCA) or</w:t>
      </w:r>
      <w:r w:rsidR="006270FB" w:rsidRPr="00563AD3" w:rsidDel="005529B4">
        <w:rPr>
          <w:bCs/>
        </w:rPr>
        <w:t xml:space="preserve"> </w:t>
      </w:r>
      <w:r w:rsidR="006270FB" w:rsidRPr="00563AD3">
        <w:rPr>
          <w:bCs/>
        </w:rPr>
        <w:t>closer to (£</w:t>
      </w:r>
      <w:r w:rsidR="006270FB" w:rsidRPr="00563AD3">
        <w:t>36,371</w:t>
      </w:r>
      <w:r w:rsidR="006270FB" w:rsidRPr="00563AD3">
        <w:rPr>
          <w:bCs/>
        </w:rPr>
        <w:t xml:space="preserve">/QALY for the MI analysis) the NICE threshold. When </w:t>
      </w:r>
      <w:r w:rsidR="006270FB" w:rsidRPr="00563AD3">
        <w:t>we examined data on comorbidities and the reason for hospital admission for the six high cost individuals, it was not possible to conclude that these higher secondary care costs could have been the result of chance rather than attributable to the intervention.  Hence there was no reasonable justification for removing these individuals from the main analyses.</w:t>
      </w:r>
      <w:r w:rsidRPr="00563AD3">
        <w:t xml:space="preserve"> ICERs from analyses adjusting for baseline costs or including more compliant care homes only also approached cost-effectiveness. However, these estimates were based on reduced samples and are considered less robust.</w:t>
      </w:r>
    </w:p>
    <w:p w14:paraId="68F89057" w14:textId="34840759" w:rsidR="006270FB" w:rsidRPr="00563AD3" w:rsidRDefault="006270FB" w:rsidP="009B13F3">
      <w:r w:rsidRPr="00563AD3">
        <w:rPr>
          <w:bCs/>
        </w:rPr>
        <w:t xml:space="preserve">Consistent with the main cost-effectiveness analysis, the net benefit regression analyses indicated that </w:t>
      </w:r>
      <w:r w:rsidR="00597D22" w:rsidRPr="00563AD3">
        <w:rPr>
          <w:bCs/>
        </w:rPr>
        <w:t>DCM™</w:t>
      </w:r>
      <w:r w:rsidRPr="00563AD3">
        <w:rPr>
          <w:bCs/>
        </w:rPr>
        <w:t xml:space="preserve"> did not represent value for money when compared to usual care.  Furthermore, the net benefit regression and CACE analyses also showed no indication that intervention compliance may have had a mediating effect.  </w:t>
      </w:r>
      <w:r w:rsidRPr="00563AD3">
        <w:t>This was despite the likelihood that these analyses were biased by the failure to control for (unobserved) factors related to potential differences in care home quality (which might be positively related to the likelihood of compliance as well as resident quality of life).</w:t>
      </w:r>
    </w:p>
    <w:p w14:paraId="22C65803" w14:textId="6D69EFD5" w:rsidR="006270FB" w:rsidRPr="00563AD3" w:rsidRDefault="006270FB" w:rsidP="009B13F3">
      <w:r w:rsidRPr="00563AD3">
        <w:t>We found the cost per unit improvement in CMAI to be between £67 and £289 depending on the analysis. This lower figure, although not our base case, is roughly in line with previously generated estimates of comparable interventions</w:t>
      </w:r>
      <w:r w:rsidR="007571E2">
        <w:t>.</w:t>
      </w:r>
      <w:r w:rsidR="0019754B" w:rsidRPr="00563AD3">
        <w:t xml:space="preserve"> </w:t>
      </w:r>
      <w:r w:rsidR="00955ECB" w:rsidRPr="00563AD3">
        <w:fldChar w:fldCharType="begin">
          <w:fldData xml:space="preserve">PEVuZE5vdGU+PENpdGU+PEF1dGhvcj5MaXZpbmdzdG9uPC9BdXRob3I+PFllYXI+MjAxNDwvWWVh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</w:fldData>
        </w:fldChar>
      </w:r>
      <w:r w:rsidR="00535E40">
        <w:instrText xml:space="preserve"> ADDIN EN.CITE </w:instrText>
      </w:r>
      <w:r w:rsidR="00535E40">
        <w:fldChar w:fldCharType="begin">
          <w:fldData xml:space="preserve">PEVuZE5vdGU+PENpdGU+PEF1dGhvcj5MaXZpbmdzdG9uPC9BdXRob3I+PFllYXI+MjAxNDwvWWVh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</w:fldData>
        </w:fldChar>
      </w:r>
      <w:r w:rsidR="00535E40">
        <w:instrText xml:space="preserve"> ADDIN EN.CITE.DATA </w:instrText>
      </w:r>
      <w:r w:rsidR="00535E40">
        <w:fldChar w:fldCharType="end"/>
      </w:r>
      <w:r w:rsidR="00955ECB" w:rsidRPr="00563AD3">
        <w:fldChar w:fldCharType="separate"/>
      </w:r>
      <w:r w:rsidR="00535E40" w:rsidRPr="00535E40">
        <w:rPr>
          <w:noProof/>
          <w:vertAlign w:val="superscript"/>
        </w:rPr>
        <w:t>159, 160</w:t>
      </w:r>
      <w:r w:rsidR="00955ECB" w:rsidRPr="00563AD3">
        <w:fldChar w:fldCharType="end"/>
      </w:r>
    </w:p>
    <w:p w14:paraId="6EB8A359" w14:textId="77777777" w:rsidR="00FB065B" w:rsidRPr="00563AD3" w:rsidRDefault="00FB065B" w:rsidP="009B13F3"/>
    <w:p w14:paraId="11C33DE5" w14:textId="446FFC8B" w:rsidR="00931070" w:rsidRPr="00563AD3" w:rsidRDefault="00410C6F" w:rsidP="009B13F3">
      <w:pPr>
        <w:pStyle w:val="Heading2"/>
      </w:pPr>
      <w:bookmarkStart w:id="223" w:name="_Toc525544044"/>
      <w:r w:rsidRPr="00563AD3">
        <w:t>6</w:t>
      </w:r>
      <w:r w:rsidR="00931070" w:rsidRPr="00563AD3">
        <w:t>.5 Safety</w:t>
      </w:r>
      <w:bookmarkEnd w:id="223"/>
    </w:p>
    <w:p w14:paraId="57677723" w14:textId="17CD8E20" w:rsidR="00FB065B" w:rsidRPr="00563AD3" w:rsidRDefault="00FB065B" w:rsidP="009B13F3">
      <w:r w:rsidRPr="00563AD3">
        <w:t xml:space="preserve">Undertaking </w:t>
      </w:r>
      <w:r w:rsidR="00597D22" w:rsidRPr="00563AD3">
        <w:t>DCM™</w:t>
      </w:r>
      <w:r w:rsidRPr="00563AD3">
        <w:t xml:space="preserve"> was not detrimental to care home residents. No unexpected SAEs occurred in the trial and the majority of residents did not have any hospital admissions over the trial period, with admissions figures and length of stay similar across intervention and control </w:t>
      </w:r>
      <w:r w:rsidR="00182DC5" w:rsidRPr="00563AD3">
        <w:t>arms</w:t>
      </w:r>
      <w:r w:rsidRPr="00563AD3">
        <w:t>.</w:t>
      </w:r>
    </w:p>
    <w:p w14:paraId="45F8CE2B" w14:textId="77777777" w:rsidR="00FB065B" w:rsidRPr="00563AD3" w:rsidRDefault="00FB065B" w:rsidP="009B13F3"/>
    <w:p w14:paraId="43FC1FAD" w14:textId="216CC96C" w:rsidR="00931070" w:rsidRPr="00563AD3" w:rsidRDefault="00410C6F" w:rsidP="009B13F3">
      <w:pPr>
        <w:pStyle w:val="Heading2"/>
      </w:pPr>
      <w:bookmarkStart w:id="224" w:name="_Toc525544045"/>
      <w:r w:rsidRPr="00563AD3">
        <w:t>6</w:t>
      </w:r>
      <w:r w:rsidR="00931070" w:rsidRPr="00563AD3">
        <w:t xml:space="preserve">.6 Comparison to other trials of </w:t>
      </w:r>
      <w:r w:rsidR="00597D22" w:rsidRPr="00563AD3">
        <w:t>DCM™</w:t>
      </w:r>
      <w:r w:rsidR="00931070" w:rsidRPr="00563AD3">
        <w:t xml:space="preserve"> in care home settings</w:t>
      </w:r>
      <w:bookmarkEnd w:id="224"/>
    </w:p>
    <w:p w14:paraId="56ED0D55" w14:textId="1ABA4161" w:rsidR="0038040D" w:rsidRPr="00563AD3" w:rsidRDefault="0038040D" w:rsidP="009B13F3">
      <w:r w:rsidRPr="00563AD3">
        <w:t xml:space="preserve">The efficacy of </w:t>
      </w:r>
      <w:r w:rsidR="00597D22" w:rsidRPr="00563AD3">
        <w:t>DCM™</w:t>
      </w:r>
      <w:r w:rsidRPr="00563AD3">
        <w:t xml:space="preserve"> has been evaluated in three previous exploratory cluster RCTs </w:t>
      </w:r>
      <w:r w:rsidRPr="00563AD3">
        <w:fldChar w:fldCharType="begin">
          <w:fldData xml:space="preserve">PEVuZE5vdGU+PENpdGU+PEF1dGhvcj5DaGVub3dldGg8L0F1dGhvcj48WWVhcj4yMDA5PC9ZZWFy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</w:fldData>
        </w:fldChar>
      </w:r>
      <w:r w:rsidR="008C7FD1">
        <w:instrText xml:space="preserve"> ADDIN EN.CITE </w:instrText>
      </w:r>
      <w:r w:rsidR="008C7FD1">
        <w:fldChar w:fldCharType="begin">
          <w:fldData xml:space="preserve">PEVuZE5vdGU+PENpdGU+PEF1dGhvcj5DaGVub3dldGg8L0F1dGhvcj48WWVhcj4yMDA5PC9ZZWFy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</w:fldData>
        </w:fldChar>
      </w:r>
      <w:r w:rsidR="008C7FD1">
        <w:instrText xml:space="preserve"> ADDIN EN.CITE.DATA </w:instrText>
      </w:r>
      <w:r w:rsidR="008C7FD1">
        <w:fldChar w:fldCharType="end"/>
      </w:r>
      <w:r w:rsidRPr="00563AD3">
        <w:fldChar w:fldCharType="separate"/>
      </w:r>
      <w:r w:rsidR="00EC2AA2" w:rsidRPr="00EC2AA2">
        <w:rPr>
          <w:noProof/>
          <w:vertAlign w:val="superscript"/>
        </w:rPr>
        <w:t>63, 93, 94</w:t>
      </w:r>
      <w:r w:rsidRPr="00563AD3">
        <w:fldChar w:fldCharType="end"/>
      </w:r>
      <w:r w:rsidRPr="00563AD3">
        <w:t xml:space="preserve"> and one quasi-experimental trial</w:t>
      </w:r>
      <w:r w:rsidR="007571E2">
        <w:t>.</w:t>
      </w:r>
      <w:r w:rsidRPr="00563AD3">
        <w:t xml:space="preserve"> </w:t>
      </w:r>
      <w:r w:rsidRPr="00563AD3">
        <w:fldChar w:fldCharType="begin"/>
      </w:r>
      <w:r w:rsidR="008C7FD1">
        <w:instrText xml:space="preserve"> ADDIN EN.CITE &lt;EndNote&gt;&lt;Cite&gt;&lt;Author&gt;Dichter&lt;/Author&gt;&lt;Year&gt;2015&lt;/Year&gt;&lt;RecNum&gt;1796&lt;/RecNum&gt;&lt;DisplayText&gt;&lt;style face="superscript"&gt;92&lt;/style&gt;&lt;/DisplayText&gt;&lt;record&gt;&lt;rec-number&gt;1796&lt;/rec-number&gt;&lt;foreign-keys&gt;&lt;key app="EN" db-id="wprxwptv75dtdree0t5x2ptmvadptw5fr2ww" timestamp="1517314167"&gt;1796&lt;/key&gt;&lt;/foreign-keys&gt;&lt;ref-type name="Journal Article"&gt;17&lt;/ref-type&gt;&lt;contributors&gt;&lt;authors&gt;&lt;author&gt;Dichter, M.N.&lt;/author&gt;&lt;author&gt;Quasdorf, T.&lt;/author&gt;&lt;author&gt;Schwab, C.G.G.&lt;/author&gt;&lt;author&gt;Trutschel, D.&lt;/author&gt;&lt;author&gt;Haastert, B.&lt;/author&gt;&lt;author&gt;Riesner, C.&lt;/author&gt;&lt;author&gt;Bartholomeyczik, S.&lt;/author&gt;&lt;author&gt;Halek, M.&lt;/author&gt;&lt;/authors&gt;&lt;/contributors&gt;&lt;titles&gt;&lt;title&gt;Dementia care mapping: effects on residents’ quality of life and challenging behavior in German nursing homes. A quasi-experimental trial&lt;/title&gt;&lt;secondary-title&gt;International Psychogeriatrics&lt;/secondary-title&gt;&lt;/titles&gt;&lt;periodical&gt;&lt;full-title&gt;International Psychogeriatrics&lt;/full-title&gt;&lt;abbr-1&gt;Int. Psychogeriatr.&lt;/abbr-1&gt;&lt;abbr-2&gt;Int Psychogeriatr&lt;/abbr-2&gt;&lt;/periodical&gt;&lt;pages&gt;1875-1892&lt;/pages&gt;&lt;volume&gt;27&lt;/volume&gt;&lt;number&gt;11&lt;/number&gt;&lt;dates&gt;&lt;year&gt;2015&lt;/year&gt;&lt;/dates&gt;&lt;urls&gt;&lt;/urls&gt;&lt;/record&gt;&lt;/Cite&gt;&lt;/EndNote&gt;</w:instrText>
      </w:r>
      <w:r w:rsidRPr="00563AD3">
        <w:fldChar w:fldCharType="separate"/>
      </w:r>
      <w:r w:rsidR="00EC2AA2" w:rsidRPr="00EC2AA2">
        <w:rPr>
          <w:noProof/>
          <w:vertAlign w:val="superscript"/>
        </w:rPr>
        <w:t>92</w:t>
      </w:r>
      <w:r w:rsidRPr="00563AD3">
        <w:fldChar w:fldCharType="end"/>
      </w:r>
      <w:r w:rsidRPr="00563AD3">
        <w:t xml:space="preserve"> The RCT conducted by Chenoweth et al </w:t>
      </w:r>
      <w:r w:rsidRPr="00563AD3">
        <w:fldChar w:fldCharType="begin"/>
      </w:r>
      <w:r w:rsidR="008C7FD1">
        <w:instrText xml:space="preserve"> ADDIN EN.CITE &lt;EndNote&gt;&lt;Cite&gt;&lt;Author&gt;Chenoweth&lt;/Author&gt;&lt;Year&gt;2009&lt;/Year&gt;&lt;RecNum&gt;1069&lt;/RecNum&gt;&lt;DisplayText&gt;&lt;style face="superscript"&gt;63&lt;/style&gt;&lt;/DisplayText&gt;&lt;record&gt;&lt;rec-number&gt;1069&lt;/rec-number&gt;&lt;foreign-keys&gt;&lt;key app="EN" db-id="wprxwptv75dtdree0t5x2ptmvadptw5fr2ww" timestamp="1269348634"&gt;1069&lt;/key&gt;&lt;/foreign-keys&gt;&lt;ref-type name="Journal Article"&gt;17&lt;/ref-type&gt;&lt;contributors&gt;&lt;authors&gt;&lt;author&gt;Chenoweth, L.&lt;/author&gt;&lt;author&gt;King, M.T.&lt;/author&gt;&lt;author&gt;Jeon, Y.H.&lt;/author&gt;&lt;author&gt;Brodaty, H.&lt;/author&gt;&lt;author&gt;Stein-Parbury, J.&lt;/author&gt;&lt;author&gt;Haas, M.&lt;/author&gt;&lt;author&gt;Luscombe, G.&lt;/author&gt;&lt;/authors&gt;&lt;/contributors&gt;&lt;titles&gt;&lt;title&gt;Caring for Aged Dementia Care Resident Study (CADRES) of person-centred dementia care, dementia-care mapping, and usual care in dementia: a cluster-randomised trial&lt;/title&gt;&lt;secondary-title&gt;The Lancet - Neurology&lt;/secondary-title&gt;&lt;/titles&gt;&lt;pages&gt;317-25&lt;/pages&gt;&lt;volume&gt;8&lt;/volume&gt;&lt;number&gt;April&lt;/number&gt;&lt;dates&gt;&lt;year&gt;2009&lt;/year&gt;&lt;/dates&gt;&lt;urls&gt;&lt;/urls&gt;&lt;/record&gt;&lt;/Cite&gt;&lt;/EndNote&gt;</w:instrText>
      </w:r>
      <w:r w:rsidRPr="00563AD3">
        <w:fldChar w:fldCharType="separate"/>
      </w:r>
      <w:r w:rsidR="007301D7" w:rsidRPr="007301D7">
        <w:rPr>
          <w:noProof/>
          <w:vertAlign w:val="superscript"/>
        </w:rPr>
        <w:t>63</w:t>
      </w:r>
      <w:r w:rsidRPr="00563AD3">
        <w:fldChar w:fldCharType="end"/>
      </w:r>
      <w:r w:rsidRPr="00563AD3">
        <w:t xml:space="preserve"> found that researcher led cycles of </w:t>
      </w:r>
      <w:r w:rsidR="00597D22" w:rsidRPr="00563AD3">
        <w:t>DCM™</w:t>
      </w:r>
      <w:r w:rsidRPr="00563AD3">
        <w:t xml:space="preserve"> led to significant reductions in agitation and falls for care home residents with dementia compared to those in the usual care control. Likewise, the Norwegian study carried out by Rokstad et al </w:t>
      </w:r>
      <w:r w:rsidRPr="00563AD3">
        <w:fldChar w:fldCharType="begin"/>
      </w:r>
      <w:r w:rsidR="008C7FD1">
        <w:instrText xml:space="preserve"> ADDIN EN.CITE &lt;EndNote&gt;&lt;Cite&gt;&lt;Author&gt;Rokstad&lt;/Author&gt;&lt;Year&gt;2013&lt;/Year&gt;&lt;RecNum&gt;1407&lt;/RecNum&gt;&lt;DisplayText&gt;&lt;style face="superscript"&gt;93&lt;/style&gt;&lt;/DisplayText&gt;&lt;record&gt;&lt;rec-number&gt;1407&lt;/rec-number&gt;&lt;foreign-keys&gt;&lt;key app="EN" db-id="wprxwptv75dtdree0t5x2ptmvadptw5fr2ww" timestamp="1395669898"&gt;1407&lt;/key&gt;&lt;/foreign-keys&gt;&lt;ref-type name="Journal Article"&gt;17&lt;/ref-type&gt;&lt;contributors&gt;&lt;authors&gt;&lt;author&gt;Rokstad, A.M.&lt;/author&gt;&lt;author&gt;Røsvik, J.&lt;/author&gt;&lt;author&gt;Kirkevold, Ø.&lt;/author&gt;&lt;author&gt;Selbæk, G.&lt;/author&gt;&lt;author&gt;Saltyte Benth, J.&lt;/author&gt;&lt;author&gt;Engedal, K.&lt;/author&gt;&lt;/authors&gt;&lt;/contributors&gt;&lt;titles&gt;&lt;title&gt;The Effect of Person-Centred Dementia Care to Prevent Agitation and Other Neuropsychiatric Symptoms and Enhance Quality of Life in Nursing Home Patients: A 10-Month Randomized Controlled Trial&lt;/title&gt;&lt;secondary-title&gt;Dementia and Geriatric Cognitive Disorders&lt;/secondary-title&gt;&lt;/titles&gt;&lt;periodical&gt;&lt;full-title&gt;Dementia and Geriatric Cognitive Disorders&lt;/full-title&gt;&lt;abbr-1&gt;Dement. Geriatr. Cogn. Disord.&lt;/abbr-1&gt;&lt;abbr-2&gt;Dement Geriatr Cogn Disord&lt;/abbr-2&gt;&lt;abbr-3&gt;Dementia &amp;amp; Geriatric Cognitive Disorders&lt;/abbr-3&gt;&lt;/periodical&gt;&lt;pages&gt;340-53&lt;/pages&gt;&lt;volume&gt;36&lt;/volume&gt;&lt;dates&gt;&lt;year&gt;2013&lt;/year&gt;&lt;/dates&gt;&lt;urls&gt;&lt;/urls&gt;&lt;/record&gt;&lt;/Cite&gt;&lt;/EndNote&gt;</w:instrText>
      </w:r>
      <w:r w:rsidRPr="00563AD3">
        <w:fldChar w:fldCharType="separate"/>
      </w:r>
      <w:r w:rsidR="00EC2AA2" w:rsidRPr="00EC2AA2">
        <w:rPr>
          <w:noProof/>
          <w:vertAlign w:val="superscript"/>
        </w:rPr>
        <w:t>93</w:t>
      </w:r>
      <w:r w:rsidRPr="00563AD3">
        <w:fldChar w:fldCharType="end"/>
      </w:r>
      <w:r w:rsidRPr="00563AD3">
        <w:t xml:space="preserve"> found a significant reduction in overall BSC, agitation and psychosis and a significant improvement in quality of life for care home residents with dementia in the </w:t>
      </w:r>
      <w:r w:rsidR="00597D22" w:rsidRPr="00563AD3">
        <w:t>DCM™</w:t>
      </w:r>
      <w:r w:rsidRPr="00563AD3">
        <w:t xml:space="preserve"> intervention </w:t>
      </w:r>
      <w:r w:rsidR="00182DC5" w:rsidRPr="00563AD3">
        <w:t>arm</w:t>
      </w:r>
      <w:r w:rsidRPr="00563AD3">
        <w:t xml:space="preserve">, compared to usual care control. This study also used researcher-led cycles of </w:t>
      </w:r>
      <w:r w:rsidR="00597D22" w:rsidRPr="00563AD3">
        <w:t>DCM™</w:t>
      </w:r>
      <w:r w:rsidRPr="00563AD3">
        <w:t xml:space="preserve"> implementation. Conversely the cluster RCT conducted by van de Ven et al</w:t>
      </w:r>
      <w:r w:rsidR="007571E2">
        <w:t>,</w:t>
      </w:r>
      <w:r w:rsidRPr="00563AD3">
        <w:t xml:space="preserve"> </w:t>
      </w:r>
      <w:r w:rsidRPr="00563AD3">
        <w:fldChar w:fldCharType="begin"/>
      </w:r>
      <w:r w:rsidR="008C7FD1">
        <w:instrText xml:space="preserve"> ADDIN EN.CITE &lt;EndNote&gt;&lt;Cite&gt;&lt;Author&gt;van de Ven&lt;/Author&gt;&lt;Year&gt;2013&lt;/Year&gt;&lt;RecNum&gt;1408&lt;/RecNum&gt;&lt;DisplayText&gt;&lt;style face="superscript"&gt;94&lt;/style&gt;&lt;/DisplayText&gt;&lt;record&gt;&lt;rec-number&gt;1408&lt;/rec-number&gt;&lt;foreign-keys&gt;&lt;key app="EN" db-id="wprxwptv75dtdree0t5x2ptmvadptw5fr2ww" timestamp="1395670662"&gt;1408&lt;/key&gt;&lt;/foreign-keys&gt;&lt;ref-type name="Journal Article"&gt;17&lt;/ref-type&gt;&lt;contributors&gt;&lt;authors&gt;&lt;author&gt;van de Ven, G.&lt;/author&gt;&lt;author&gt;Drasovic, I.&lt;/author&gt;&lt;author&gt;Adang, E.M.M.&lt;/author&gt;&lt;author&gt;Donders, R.&lt;/author&gt;&lt;author&gt;Zuidema, S.&lt;/author&gt;&lt;author&gt;Koopmans, R.T.C.M.&lt;/author&gt;&lt;author&gt;Vernooij-Dassen, M.&lt;/author&gt;&lt;/authors&gt;&lt;/contributors&gt;&lt;titles&gt;&lt;title&gt;Effects of Dementia-Care Mapping on Residents and Staff of Care Homes: A Pragmatic Cluster-Randomised Controlled Trial.&lt;/title&gt;&lt;secondary-title&gt;PLoS ONE&lt;/secondary-title&gt;&lt;/titles&gt;&lt;periodical&gt;&lt;full-title&gt;PloS One&lt;/full-title&gt;&lt;abbr-1&gt;PLoS One&lt;/abbr-1&gt;&lt;abbr-2&gt;PLoS One&lt;/abbr-2&gt;&lt;/periodical&gt;&lt;pages&gt;e67325&lt;/pages&gt;&lt;volume&gt;8&lt;/volume&gt;&lt;number&gt;7&lt;/number&gt;&lt;dates&gt;&lt;year&gt;2013&lt;/year&gt;&lt;/dates&gt;&lt;urls&gt;&lt;/urls&gt;&lt;/record&gt;&lt;/Cite&gt;&lt;/EndNote&gt;</w:instrText>
      </w:r>
      <w:r w:rsidRPr="00563AD3">
        <w:fldChar w:fldCharType="separate"/>
      </w:r>
      <w:r w:rsidR="00EC2AA2" w:rsidRPr="00EC2AA2">
        <w:rPr>
          <w:noProof/>
          <w:vertAlign w:val="superscript"/>
        </w:rPr>
        <w:t>94</w:t>
      </w:r>
      <w:r w:rsidRPr="00563AD3">
        <w:fldChar w:fldCharType="end"/>
      </w:r>
      <w:r w:rsidRPr="00563AD3">
        <w:t xml:space="preserve"> using care home staff led cycles of </w:t>
      </w:r>
      <w:r w:rsidR="00597D22" w:rsidRPr="00563AD3">
        <w:t>DCM™</w:t>
      </w:r>
      <w:r w:rsidRPr="00563AD3">
        <w:t xml:space="preserve">, found no significant difference in agitation between the </w:t>
      </w:r>
      <w:r w:rsidR="00597D22" w:rsidRPr="00563AD3">
        <w:t>DCM™</w:t>
      </w:r>
      <w:r w:rsidRPr="00563AD3">
        <w:t xml:space="preserve"> intervention </w:t>
      </w:r>
      <w:r w:rsidR="00182DC5" w:rsidRPr="00563AD3">
        <w:t>arm</w:t>
      </w:r>
      <w:r w:rsidRPr="00563AD3">
        <w:t xml:space="preserve"> and usual care control. This trial did find a significant improvement in staff emotional reactions towards people with dementia in the </w:t>
      </w:r>
      <w:r w:rsidR="00597D22" w:rsidRPr="00563AD3">
        <w:t>DCM™</w:t>
      </w:r>
      <w:r w:rsidRPr="00563AD3">
        <w:t xml:space="preserve"> intervention </w:t>
      </w:r>
      <w:r w:rsidR="00182DC5" w:rsidRPr="00563AD3">
        <w:t>arm</w:t>
      </w:r>
      <w:r w:rsidRPr="00563AD3">
        <w:t xml:space="preserve"> compared to control. The quasi-experimental trial conducted by Dichter et al</w:t>
      </w:r>
      <w:r w:rsidR="007571E2">
        <w:t>,</w:t>
      </w:r>
      <w:r w:rsidRPr="00563AD3">
        <w:t xml:space="preserve"> </w:t>
      </w:r>
      <w:r w:rsidRPr="00563AD3">
        <w:fldChar w:fldCharType="begin"/>
      </w:r>
      <w:r w:rsidR="008C7FD1">
        <w:instrText xml:space="preserve"> ADDIN EN.CITE &lt;EndNote&gt;&lt;Cite&gt;&lt;Author&gt;Dichter&lt;/Author&gt;&lt;Year&gt;2015&lt;/Year&gt;&lt;RecNum&gt;1796&lt;/RecNum&gt;&lt;DisplayText&gt;&lt;style face="superscript"&gt;92&lt;/style&gt;&lt;/DisplayText&gt;&lt;record&gt;&lt;rec-number&gt;1796&lt;/rec-number&gt;&lt;foreign-keys&gt;&lt;key app="EN" db-id="wprxwptv75dtdree0t5x2ptmvadptw5fr2ww" timestamp="1517314167"&gt;1796&lt;/key&gt;&lt;/foreign-keys&gt;&lt;ref-type name="Journal Article"&gt;17&lt;/ref-type&gt;&lt;contributors&gt;&lt;authors&gt;&lt;author&gt;Dichter, M.N.&lt;/author&gt;&lt;author&gt;Quasdorf, T.&lt;/author&gt;&lt;author&gt;Schwab, C.G.G.&lt;/author&gt;&lt;author&gt;Trutschel, D.&lt;/author&gt;&lt;author&gt;Haastert, B.&lt;/author&gt;&lt;author&gt;Riesner, C.&lt;/author&gt;&lt;author&gt;Bartholomeyczik, S.&lt;/author&gt;&lt;author&gt;Halek, M.&lt;/author&gt;&lt;/authors&gt;&lt;/contributors&gt;&lt;titles&gt;&lt;title&gt;Dementia care mapping: effects on residents’ quality of life and challenging behavior in German nursing homes. A quasi-experimental trial&lt;/title&gt;&lt;secondary-title&gt;International Psychogeriatrics&lt;/secondary-title&gt;&lt;/titles&gt;&lt;periodical&gt;&lt;full-title&gt;International Psychogeriatrics&lt;/full-title&gt;&lt;abbr-1&gt;Int. Psychogeriatr.&lt;/abbr-1&gt;&lt;abbr-2&gt;Int Psychogeriatr&lt;/abbr-2&gt;&lt;/periodical&gt;&lt;pages&gt;1875-1892&lt;/pages&gt;&lt;volume&gt;27&lt;/volume&gt;&lt;number&gt;11&lt;/number&gt;&lt;dates&gt;&lt;year&gt;2015&lt;/year&gt;&lt;/dates&gt;&lt;urls&gt;&lt;/urls&gt;&lt;/record&gt;&lt;/Cite&gt;&lt;/EndNote&gt;</w:instrText>
      </w:r>
      <w:r w:rsidRPr="00563AD3">
        <w:fldChar w:fldCharType="separate"/>
      </w:r>
      <w:r w:rsidR="00EC2AA2" w:rsidRPr="00EC2AA2">
        <w:rPr>
          <w:noProof/>
          <w:vertAlign w:val="superscript"/>
        </w:rPr>
        <w:t>92</w:t>
      </w:r>
      <w:r w:rsidRPr="00563AD3">
        <w:fldChar w:fldCharType="end"/>
      </w:r>
      <w:r w:rsidRPr="00563AD3">
        <w:t xml:space="preserve"> adopted car</w:t>
      </w:r>
      <w:r w:rsidR="002D5AA1" w:rsidRPr="00563AD3">
        <w:t xml:space="preserve">e home staff led cycles of </w:t>
      </w:r>
      <w:r w:rsidR="00597D22" w:rsidRPr="00563AD3">
        <w:t>DCM™</w:t>
      </w:r>
      <w:r w:rsidR="002D5AA1" w:rsidRPr="00563AD3">
        <w:t xml:space="preserve"> and </w:t>
      </w:r>
      <w:r w:rsidRPr="00563AD3">
        <w:t xml:space="preserve">also found no significant benefits of the </w:t>
      </w:r>
      <w:r w:rsidR="00597D22" w:rsidRPr="00563AD3">
        <w:t>DCM™</w:t>
      </w:r>
      <w:r w:rsidRPr="00563AD3">
        <w:t xml:space="preserve"> intervention over control for resident QoL or BSC. </w:t>
      </w:r>
    </w:p>
    <w:p w14:paraId="5F254D9E" w14:textId="3DA148C7" w:rsidR="0038040D" w:rsidRPr="00563AD3" w:rsidRDefault="0038040D" w:rsidP="009B13F3">
      <w:r w:rsidRPr="00563AD3">
        <w:t xml:space="preserve">The </w:t>
      </w:r>
      <w:r w:rsidR="00597D22" w:rsidRPr="00563AD3">
        <w:t>DCM™</w:t>
      </w:r>
      <w:r w:rsidRPr="00563AD3">
        <w:t xml:space="preserve"> EPIC trial is the only pragmatic, explanatory trial conducted on the effectiveness and cost effectiveness of </w:t>
      </w:r>
      <w:r w:rsidR="00597D22" w:rsidRPr="00563AD3">
        <w:t>DCM™</w:t>
      </w:r>
      <w:r w:rsidRPr="00563AD3">
        <w:t xml:space="preserve"> to date. It did not replicate the findings of the exploratory trials conducted by Chenoweth et al </w:t>
      </w:r>
      <w:r w:rsidRPr="00563AD3">
        <w:fldChar w:fldCharType="begin"/>
      </w:r>
      <w:r w:rsidR="008C7FD1">
        <w:instrText xml:space="preserve"> ADDIN EN.CITE &lt;EndNote&gt;&lt;Cite&gt;&lt;Author&gt;Chenoweth&lt;/Author&gt;&lt;Year&gt;2009&lt;/Year&gt;&lt;RecNum&gt;1069&lt;/RecNum&gt;&lt;DisplayText&gt;&lt;style face="superscript"&gt;63&lt;/style&gt;&lt;/DisplayText&gt;&lt;record&gt;&lt;rec-number&gt;1069&lt;/rec-number&gt;&lt;foreign-keys&gt;&lt;key app="EN" db-id="wprxwptv75dtdree0t5x2ptmvadptw5fr2ww" timestamp="1269348634"&gt;1069&lt;/key&gt;&lt;/foreign-keys&gt;&lt;ref-type name="Journal Article"&gt;17&lt;/ref-type&gt;&lt;contributors&gt;&lt;authors&gt;&lt;author&gt;Chenoweth, L.&lt;/author&gt;&lt;author&gt;King, M.T.&lt;/author&gt;&lt;author&gt;Jeon, Y.H.&lt;/author&gt;&lt;author&gt;Brodaty, H.&lt;/author&gt;&lt;author&gt;Stein-Parbury, J.&lt;/author&gt;&lt;author&gt;Haas, M.&lt;/author&gt;&lt;author&gt;Luscombe, G.&lt;/author&gt;&lt;/authors&gt;&lt;/contributors&gt;&lt;titles&gt;&lt;title&gt;Caring for Aged Dementia Care Resident Study (CADRES) of person-centred dementia care, dementia-care mapping, and usual care in dementia: a cluster-randomised trial&lt;/title&gt;&lt;secondary-title&gt;The Lancet - Neurology&lt;/secondary-title&gt;&lt;/titles&gt;&lt;pages&gt;317-25&lt;/pages&gt;&lt;volume&gt;8&lt;/volume&gt;&lt;number&gt;April&lt;/number&gt;&lt;dates&gt;&lt;year&gt;2009&lt;/year&gt;&lt;/dates&gt;&lt;urls&gt;&lt;/urls&gt;&lt;/record&gt;&lt;/Cite&gt;&lt;/EndNote&gt;</w:instrText>
      </w:r>
      <w:r w:rsidRPr="00563AD3">
        <w:fldChar w:fldCharType="separate"/>
      </w:r>
      <w:r w:rsidR="007301D7" w:rsidRPr="007301D7">
        <w:rPr>
          <w:noProof/>
          <w:vertAlign w:val="superscript"/>
        </w:rPr>
        <w:t>63</w:t>
      </w:r>
      <w:r w:rsidRPr="00563AD3">
        <w:fldChar w:fldCharType="end"/>
      </w:r>
      <w:r w:rsidRPr="00563AD3">
        <w:t xml:space="preserve"> or Rokstad et al </w:t>
      </w:r>
      <w:r w:rsidRPr="00563AD3">
        <w:fldChar w:fldCharType="begin"/>
      </w:r>
      <w:r w:rsidR="008C7FD1">
        <w:instrText xml:space="preserve"> ADDIN EN.CITE &lt;EndNote&gt;&lt;Cite&gt;&lt;Author&gt;Rokstad&lt;/Author&gt;&lt;Year&gt;2013&lt;/Year&gt;&lt;RecNum&gt;1407&lt;/RecNum&gt;&lt;DisplayText&gt;&lt;style face="superscript"&gt;93&lt;/style&gt;&lt;/DisplayText&gt;&lt;record&gt;&lt;rec-number&gt;1407&lt;/rec-number&gt;&lt;foreign-keys&gt;&lt;key app="EN" db-id="wprxwptv75dtdree0t5x2ptmvadptw5fr2ww" timestamp="1395669898"&gt;1407&lt;/key&gt;&lt;/foreign-keys&gt;&lt;ref-type name="Journal Article"&gt;17&lt;/ref-type&gt;&lt;contributors&gt;&lt;authors&gt;&lt;author&gt;Rokstad, A.M.&lt;/author&gt;&lt;author&gt;Røsvik, J.&lt;/author&gt;&lt;author&gt;Kirkevold, Ø.&lt;/author&gt;&lt;author&gt;Selbæk, G.&lt;/author&gt;&lt;author&gt;Saltyte Benth, J.&lt;/author&gt;&lt;author&gt;Engedal, K.&lt;/author&gt;&lt;/authors&gt;&lt;/contributors&gt;&lt;titles&gt;&lt;title&gt;The Effect of Person-Centred Dementia Care to Prevent Agitation and Other Neuropsychiatric Symptoms and Enhance Quality of Life in Nursing Home Patients: A 10-Month Randomized Controlled Trial&lt;/title&gt;&lt;secondary-title&gt;Dementia and Geriatric Cognitive Disorders&lt;/secondary-title&gt;&lt;/titles&gt;&lt;periodical&gt;&lt;full-title&gt;Dementia and Geriatric Cognitive Disorders&lt;/full-title&gt;&lt;abbr-1&gt;Dement. Geriatr. Cogn. Disord.&lt;/abbr-1&gt;&lt;abbr-2&gt;Dement Geriatr Cogn Disord&lt;/abbr-2&gt;&lt;abbr-3&gt;Dementia &amp;amp; Geriatric Cognitive Disorders&lt;/abbr-3&gt;&lt;/periodical&gt;&lt;pages&gt;340-53&lt;/pages&gt;&lt;volume&gt;36&lt;/volume&gt;&lt;dates&gt;&lt;year&gt;2013&lt;/year&gt;&lt;/dates&gt;&lt;urls&gt;&lt;/urls&gt;&lt;/record&gt;&lt;/Cite&gt;&lt;/EndNote&gt;</w:instrText>
      </w:r>
      <w:r w:rsidRPr="00563AD3">
        <w:fldChar w:fldCharType="separate"/>
      </w:r>
      <w:r w:rsidR="00EC2AA2" w:rsidRPr="00EC2AA2">
        <w:rPr>
          <w:noProof/>
          <w:vertAlign w:val="superscript"/>
        </w:rPr>
        <w:t>93</w:t>
      </w:r>
      <w:r w:rsidRPr="00563AD3">
        <w:fldChar w:fldCharType="end"/>
      </w:r>
      <w:r w:rsidRPr="00563AD3">
        <w:t xml:space="preserve">, where significant benefits of </w:t>
      </w:r>
      <w:r w:rsidR="00597D22" w:rsidRPr="00563AD3">
        <w:t>DCM™</w:t>
      </w:r>
      <w:r w:rsidRPr="00563AD3">
        <w:t xml:space="preserve"> over usual care control for resident agitation, falls and QoL were indicated. It did support the findings of the exploratory trial by van de Ven </w:t>
      </w:r>
      <w:r w:rsidRPr="00563AD3">
        <w:fldChar w:fldCharType="begin"/>
      </w:r>
      <w:r w:rsidR="008C7FD1">
        <w:instrText xml:space="preserve"> ADDIN EN.CITE &lt;EndNote&gt;&lt;Cite&gt;&lt;Author&gt;van de Ven&lt;/Author&gt;&lt;Year&gt;2013&lt;/Year&gt;&lt;RecNum&gt;1408&lt;/RecNum&gt;&lt;DisplayText&gt;&lt;style face="superscript"&gt;94&lt;/style&gt;&lt;/DisplayText&gt;&lt;record&gt;&lt;rec-number&gt;1408&lt;/rec-number&gt;&lt;foreign-keys&gt;&lt;key app="EN" db-id="wprxwptv75dtdree0t5x2ptmvadptw5fr2ww" timestamp="1395670662"&gt;1408&lt;/key&gt;&lt;/foreign-keys&gt;&lt;ref-type name="Journal Article"&gt;17&lt;/ref-type&gt;&lt;contributors&gt;&lt;authors&gt;&lt;author&gt;van de Ven, G.&lt;/author&gt;&lt;author&gt;Drasovic, I.&lt;/author&gt;&lt;author&gt;Adang, E.M.M.&lt;/author&gt;&lt;author&gt;Donders, R.&lt;/author&gt;&lt;author&gt;Zuidema, S.&lt;/author&gt;&lt;author&gt;Koopmans, R.T.C.M.&lt;/author&gt;&lt;author&gt;Vernooij-Dassen, M.&lt;/author&gt;&lt;/authors&gt;&lt;/contributors&gt;&lt;titles&gt;&lt;title&gt;Effects of Dementia-Care Mapping on Residents and Staff of Care Homes: A Pragmatic Cluster-Randomised Controlled Trial.&lt;/title&gt;&lt;secondary-title&gt;PLoS ONE&lt;/secondary-title&gt;&lt;/titles&gt;&lt;periodical&gt;&lt;full-title&gt;PloS One&lt;/full-title&gt;&lt;abbr-1&gt;PLoS One&lt;/abbr-1&gt;&lt;abbr-2&gt;PLoS One&lt;/abbr-2&gt;&lt;/periodical&gt;&lt;pages&gt;e67325&lt;/pages&gt;&lt;volume&gt;8&lt;/volume&gt;&lt;number&gt;7&lt;/number&gt;&lt;dates&gt;&lt;year&gt;2013&lt;/year&gt;&lt;/dates&gt;&lt;urls&gt;&lt;/urls&gt;&lt;/record&gt;&lt;/Cite&gt;&lt;/EndNote&gt;</w:instrText>
      </w:r>
      <w:r w:rsidRPr="00563AD3">
        <w:fldChar w:fldCharType="separate"/>
      </w:r>
      <w:r w:rsidR="00EC2AA2" w:rsidRPr="00EC2AA2">
        <w:rPr>
          <w:noProof/>
          <w:vertAlign w:val="superscript"/>
        </w:rPr>
        <w:t>94</w:t>
      </w:r>
      <w:r w:rsidRPr="00563AD3">
        <w:fldChar w:fldCharType="end"/>
      </w:r>
      <w:r w:rsidRPr="00563AD3">
        <w:t xml:space="preserve"> and the quasi-experimental trial of Dichter et al </w:t>
      </w:r>
      <w:r w:rsidRPr="00563AD3">
        <w:fldChar w:fldCharType="begin"/>
      </w:r>
      <w:r w:rsidR="008C7FD1">
        <w:instrText xml:space="preserve"> ADDIN EN.CITE &lt;EndNote&gt;&lt;Cite&gt;&lt;Author&gt;Dichter&lt;/Author&gt;&lt;Year&gt;2015&lt;/Year&gt;&lt;RecNum&gt;1796&lt;/RecNum&gt;&lt;DisplayText&gt;&lt;style face="superscript"&gt;92&lt;/style&gt;&lt;/DisplayText&gt;&lt;record&gt;&lt;rec-number&gt;1796&lt;/rec-number&gt;&lt;foreign-keys&gt;&lt;key app="EN" db-id="wprxwptv75dtdree0t5x2ptmvadptw5fr2ww" timestamp="1517314167"&gt;1796&lt;/key&gt;&lt;/foreign-keys&gt;&lt;ref-type name="Journal Article"&gt;17&lt;/ref-type&gt;&lt;contributors&gt;&lt;authors&gt;&lt;author&gt;Dichter, M.N.&lt;/author&gt;&lt;author&gt;Quasdorf, T.&lt;/author&gt;&lt;author&gt;Schwab, C.G.G.&lt;/author&gt;&lt;author&gt;Trutschel, D.&lt;/author&gt;&lt;author&gt;Haastert, B.&lt;/author&gt;&lt;author&gt;Riesner, C.&lt;/author&gt;&lt;author&gt;Bartholomeyczik, S.&lt;/author&gt;&lt;author&gt;Halek, M.&lt;/author&gt;&lt;/authors&gt;&lt;/contributors&gt;&lt;titles&gt;&lt;title&gt;Dementia care mapping: effects on residents’ quality of life and challenging behavior in German nursing homes. A quasi-experimental trial&lt;/title&gt;&lt;secondary-title&gt;International Psychogeriatrics&lt;/secondary-title&gt;&lt;/titles&gt;&lt;periodical&gt;&lt;full-title&gt;International Psychogeriatrics&lt;/full-title&gt;&lt;abbr-1&gt;Int. Psychogeriatr.&lt;/abbr-1&gt;&lt;abbr-2&gt;Int Psychogeriatr&lt;/abbr-2&gt;&lt;/periodical&gt;&lt;pages&gt;1875-1892&lt;/pages&gt;&lt;volume&gt;27&lt;/volume&gt;&lt;number&gt;11&lt;/number&gt;&lt;dates&gt;&lt;year&gt;2015&lt;/year&gt;&lt;/dates&gt;&lt;urls&gt;&lt;/urls&gt;&lt;/record&gt;&lt;/Cite&gt;&lt;/EndNote&gt;</w:instrText>
      </w:r>
      <w:r w:rsidRPr="00563AD3">
        <w:fldChar w:fldCharType="separate"/>
      </w:r>
      <w:r w:rsidR="00EC2AA2" w:rsidRPr="00EC2AA2">
        <w:rPr>
          <w:noProof/>
          <w:vertAlign w:val="superscript"/>
        </w:rPr>
        <w:t>92</w:t>
      </w:r>
      <w:r w:rsidRPr="00563AD3">
        <w:fldChar w:fldCharType="end"/>
      </w:r>
      <w:r w:rsidRPr="00563AD3">
        <w:t xml:space="preserve"> where no significant benefits of </w:t>
      </w:r>
      <w:r w:rsidR="00597D22" w:rsidRPr="00563AD3">
        <w:t>DCM™</w:t>
      </w:r>
      <w:r w:rsidRPr="00563AD3">
        <w:t xml:space="preserve"> were found for agitation, BSC or QoL over control. Unlike the economic evaluation of </w:t>
      </w:r>
      <w:r w:rsidR="00597D22" w:rsidRPr="00563AD3">
        <w:t>DCM™</w:t>
      </w:r>
      <w:r w:rsidRPr="00563AD3">
        <w:t xml:space="preserve"> conducted by van de Ven et al</w:t>
      </w:r>
      <w:r w:rsidR="007571E2">
        <w:t>,</w:t>
      </w:r>
      <w:r w:rsidRPr="00563AD3">
        <w:t xml:space="preserve"> </w:t>
      </w:r>
      <w:r w:rsidRPr="00563AD3">
        <w:fldChar w:fldCharType="begin"/>
      </w:r>
      <w:r w:rsidR="00535E40">
        <w:instrText xml:space="preserve"> ADDIN EN.CITE &lt;EndNote&gt;&lt;Cite&gt;&lt;Author&gt;van de Ven&lt;/Author&gt;&lt;Year&gt;2014&lt;/Year&gt;&lt;RecNum&gt;1798&lt;/RecNum&gt;&lt;DisplayText&gt;&lt;style face="superscript"&gt;161&lt;/style&gt;&lt;/DisplayText&gt;&lt;record&gt;&lt;rec-number&gt;1798&lt;/rec-number&gt;&lt;foreign-keys&gt;&lt;key app="EN" db-id="wprxwptv75dtdree0t5x2ptmvadptw5fr2ww" timestamp="1517321325"&gt;1798&lt;/key&gt;&lt;/foreign-keys&gt;&lt;ref-type name="Journal Article"&gt;17&lt;/ref-type&gt;&lt;contributors&gt;&lt;authors&gt;&lt;author&gt;van de Ven, G.&lt;/author&gt;&lt;author&gt;Drasovic, I.&lt;/author&gt;&lt;author&gt;van Herpen, E.&lt;/author&gt;&lt;author&gt;Koopmans, R.T.C.M.&lt;/author&gt;&lt;author&gt;Donders, R.&lt;/author&gt;&lt;author&gt;Zuidema, S.&lt;/author&gt;&lt;author&gt;Adang, E.M.M.&lt;/author&gt;&lt;author&gt;Vernooij-Dassen, M.&lt;/author&gt;&lt;/authors&gt;&lt;/contributors&gt;&lt;titles&gt;&lt;title&gt;The Economics of Dementia-Care Mapping in Nursing Homes: A Cluster-Randomised Controlled Trial&lt;/title&gt;&lt;secondary-title&gt;PLoS ONE&lt;/secondary-title&gt;&lt;/titles&gt;&lt;periodical&gt;&lt;full-title&gt;PloS One&lt;/full-title&gt;&lt;abbr-1&gt;PLoS One&lt;/abbr-1&gt;&lt;abbr-2&gt;PLoS One&lt;/abbr-2&gt;&lt;/periodical&gt;&lt;pages&gt;e86662&lt;/pages&gt;&lt;volume&gt;19&lt;/volume&gt;&lt;number&gt;1&lt;/number&gt;&lt;dates&gt;&lt;year&gt;2014&lt;/year&gt;&lt;/dates&gt;&lt;urls&gt;&lt;/urls&gt;&lt;/record&gt;&lt;/Cite&gt;&lt;/EndNote&gt;</w:instrText>
      </w:r>
      <w:r w:rsidRPr="00563AD3">
        <w:fldChar w:fldCharType="separate"/>
      </w:r>
      <w:r w:rsidR="00535E40" w:rsidRPr="00535E40">
        <w:rPr>
          <w:noProof/>
          <w:vertAlign w:val="superscript"/>
        </w:rPr>
        <w:t>161</w:t>
      </w:r>
      <w:r w:rsidRPr="00563AD3">
        <w:fldChar w:fldCharType="end"/>
      </w:r>
      <w:r w:rsidRPr="00563AD3">
        <w:t xml:space="preserve"> which found </w:t>
      </w:r>
      <w:r w:rsidR="00597D22" w:rsidRPr="00563AD3">
        <w:t>DCM™</w:t>
      </w:r>
      <w:r w:rsidRPr="00563AD3">
        <w:t xml:space="preserve"> to be cost neutral, the </w:t>
      </w:r>
      <w:r w:rsidR="00597D22" w:rsidRPr="00563AD3">
        <w:t>DCM™</w:t>
      </w:r>
      <w:r w:rsidRPr="00563AD3">
        <w:t xml:space="preserve"> EPIC trial found </w:t>
      </w:r>
      <w:r w:rsidR="00597D22" w:rsidRPr="00563AD3">
        <w:t>DCM™</w:t>
      </w:r>
      <w:r w:rsidRPr="00563AD3">
        <w:t xml:space="preserve"> not to be cost-effective. The costliness of </w:t>
      </w:r>
      <w:r w:rsidR="00597D22" w:rsidRPr="00563AD3">
        <w:t>DCM™</w:t>
      </w:r>
      <w:r w:rsidRPr="00563AD3">
        <w:t xml:space="preserve"> as an intervention was also identified by Chenoweth et al</w:t>
      </w:r>
      <w:r w:rsidR="007571E2">
        <w:t>,</w:t>
      </w:r>
      <w:r w:rsidRPr="00563AD3">
        <w:t xml:space="preserve"> </w:t>
      </w:r>
      <w:r w:rsidRPr="00563AD3">
        <w:fldChar w:fldCharType="begin"/>
      </w:r>
      <w:r w:rsidR="008C7FD1">
        <w:instrText xml:space="preserve"> ADDIN EN.CITE &lt;EndNote&gt;&lt;Cite&gt;&lt;Author&gt;Chenoweth&lt;/Author&gt;&lt;Year&gt;2009&lt;/Year&gt;&lt;RecNum&gt;1069&lt;/RecNum&gt;&lt;DisplayText&gt;&lt;style face="superscript"&gt;63&lt;/style&gt;&lt;/DisplayText&gt;&lt;record&gt;&lt;rec-number&gt;1069&lt;/rec-number&gt;&lt;foreign-keys&gt;&lt;key app="EN" db-id="wprxwptv75dtdree0t5x2ptmvadptw5fr2ww" timestamp="1269348634"&gt;1069&lt;/key&gt;&lt;/foreign-keys&gt;&lt;ref-type name="Journal Article"&gt;17&lt;/ref-type&gt;&lt;contributors&gt;&lt;authors&gt;&lt;author&gt;Chenoweth, L.&lt;/author&gt;&lt;author&gt;King, M.T.&lt;/author&gt;&lt;author&gt;Jeon, Y.H.&lt;/author&gt;&lt;author&gt;Brodaty, H.&lt;/author&gt;&lt;author&gt;Stein-Parbury, J.&lt;/author&gt;&lt;author&gt;Haas, M.&lt;/author&gt;&lt;author&gt;Luscombe, G.&lt;/author&gt;&lt;/authors&gt;&lt;/contributors&gt;&lt;titles&gt;&lt;title&gt;Caring for Aged Dementia Care Resident Study (CADRES) of person-centred dementia care, dementia-care mapping, and usual care in dementia: a cluster-randomised trial&lt;/title&gt;&lt;secondary-title&gt;The Lancet - Neurology&lt;/secondary-title&gt;&lt;/titles&gt;&lt;pages&gt;317-25&lt;/pages&gt;&lt;volume&gt;8&lt;/volume&gt;&lt;number&gt;April&lt;/number&gt;&lt;dates&gt;&lt;year&gt;2009&lt;/year&gt;&lt;/dates&gt;&lt;urls&gt;&lt;/urls&gt;&lt;/record&gt;&lt;/Cite&gt;&lt;/EndNote&gt;</w:instrText>
      </w:r>
      <w:r w:rsidRPr="00563AD3">
        <w:fldChar w:fldCharType="separate"/>
      </w:r>
      <w:r w:rsidR="007301D7" w:rsidRPr="007301D7">
        <w:rPr>
          <w:noProof/>
          <w:vertAlign w:val="superscript"/>
        </w:rPr>
        <w:t>63</w:t>
      </w:r>
      <w:r w:rsidRPr="00563AD3">
        <w:fldChar w:fldCharType="end"/>
      </w:r>
      <w:r w:rsidRPr="00563AD3">
        <w:t xml:space="preserve"> who found the costs of </w:t>
      </w:r>
      <w:r w:rsidR="00597D22" w:rsidRPr="00563AD3">
        <w:t>DCM™</w:t>
      </w:r>
      <w:r w:rsidRPr="00563AD3">
        <w:t xml:space="preserve"> per CMAI point averted over usual care, were markedly higher compared to person-centred care training. Due to poor return rates on staff measures, we were unable to assess any potential effects of </w:t>
      </w:r>
      <w:r w:rsidR="00597D22" w:rsidRPr="00563AD3">
        <w:t>DCM™</w:t>
      </w:r>
      <w:r w:rsidRPr="00563AD3">
        <w:t xml:space="preserve"> on staff outcomes in the </w:t>
      </w:r>
      <w:r w:rsidR="00597D22" w:rsidRPr="00563AD3">
        <w:t>DCM™</w:t>
      </w:r>
      <w:r w:rsidRPr="00563AD3">
        <w:t xml:space="preserve"> EPC trial. </w:t>
      </w:r>
    </w:p>
    <w:p w14:paraId="2596CBD6" w14:textId="44463420" w:rsidR="00FB065B" w:rsidRPr="00563AD3" w:rsidRDefault="0038040D" w:rsidP="009B13F3">
      <w:r w:rsidRPr="00563AD3">
        <w:t xml:space="preserve">Comparison between the outcomes of the </w:t>
      </w:r>
      <w:r w:rsidR="00597D22" w:rsidRPr="00563AD3">
        <w:t>DCM™</w:t>
      </w:r>
      <w:r w:rsidRPr="00563AD3">
        <w:t xml:space="preserve"> EPIC trial and previous trials requires caution given the pragmatic, explanatory design of this trial compared to the exploratory designs of the previous studies. Likewise, this is the only trial to have been conducted in the UK and thus the care home resident population, care systems and costs differ from those of previous trials. Nevertheless, a common feature emerges i</w:t>
      </w:r>
      <w:r w:rsidR="007E2367">
        <w:t xml:space="preserve">n that all trials adopting care </w:t>
      </w:r>
      <w:r w:rsidRPr="00563AD3">
        <w:t xml:space="preserve">home staff led cycles of </w:t>
      </w:r>
      <w:r w:rsidR="00597D22" w:rsidRPr="00563AD3">
        <w:t>DCM™</w:t>
      </w:r>
      <w:r w:rsidRPr="00563AD3">
        <w:t xml:space="preserve">, even with support from a </w:t>
      </w:r>
      <w:r w:rsidR="00597D22" w:rsidRPr="00563AD3">
        <w:t>DCM™</w:t>
      </w:r>
      <w:r w:rsidRPr="00563AD3">
        <w:t xml:space="preserve"> expert or lead, recorded implementation challenges and no significant benefits of </w:t>
      </w:r>
      <w:r w:rsidR="00597D22" w:rsidRPr="00563AD3">
        <w:t>DCM™</w:t>
      </w:r>
      <w:r w:rsidRPr="00563AD3">
        <w:t xml:space="preserve"> over usual care control. In the two trials where significant benefits of </w:t>
      </w:r>
      <w:r w:rsidR="00597D22" w:rsidRPr="00563AD3">
        <w:t>DCM™</w:t>
      </w:r>
      <w:r w:rsidRPr="00563AD3">
        <w:t xml:space="preserve"> were reported over control, </w:t>
      </w:r>
      <w:r w:rsidR="00597D22" w:rsidRPr="00563AD3">
        <w:t>DCM™</w:t>
      </w:r>
      <w:r w:rsidRPr="00563AD3">
        <w:t xml:space="preserve"> was led by researchers and few implementation challenges were identified. This indicates that consideration needs to be given to the model of </w:t>
      </w:r>
      <w:r w:rsidR="00597D22" w:rsidRPr="00563AD3">
        <w:t>DCM™</w:t>
      </w:r>
      <w:r w:rsidRPr="00563AD3">
        <w:t xml:space="preserve"> implementation and leadership, with </w:t>
      </w:r>
      <w:r w:rsidR="00690A69" w:rsidRPr="00563AD3">
        <w:t>all trials to date adopting care home staff led cycles, failing to find effectiveness over control, in contrast to the trials where efficacy was found through external/research led cycles</w:t>
      </w:r>
      <w:r w:rsidRPr="00563AD3">
        <w:t>.</w:t>
      </w:r>
    </w:p>
    <w:p w14:paraId="1BEC30F9" w14:textId="604D528C" w:rsidR="001F1C8A" w:rsidRPr="00563AD3" w:rsidRDefault="001F1C8A" w:rsidP="009B13F3">
      <w:r w:rsidRPr="00563AD3">
        <w:t>The potential benefits of externally supported interventions is confirmed by other intervention trials in care home settings. The WHELD trial</w:t>
      </w:r>
      <w:r w:rsidR="007571E2">
        <w:t>,</w:t>
      </w:r>
      <w:r w:rsidR="00E50D5F" w:rsidRPr="00563AD3">
        <w:t xml:space="preserve"> </w:t>
      </w:r>
      <w:r w:rsidR="00E50D5F" w:rsidRPr="00563AD3">
        <w:fldChar w:fldCharType="begin"/>
      </w:r>
      <w:r w:rsidR="008C7FD1">
        <w:instrText xml:space="preserve"> ADDIN EN.CITE &lt;EndNote&gt;&lt;Cite&gt;&lt;Author&gt;Ballard&lt;/Author&gt;&lt;Year&gt;2018&lt;/Year&gt;&lt;RecNum&gt;1811&lt;/RecNum&gt;&lt;DisplayText&gt;&lt;style face="superscript"&gt;76&lt;/style&gt;&lt;/DisplayText&gt;&lt;record&gt;&lt;rec-number&gt;1811&lt;/rec-number&gt;&lt;foreign-keys&gt;&lt;key app="EN" db-id="wprxwptv75dtdree0t5x2ptmvadptw5fr2ww" timestamp="1518024171"&gt;1811&lt;/key&gt;&lt;/foreign-keys&gt;&lt;ref-type name="Journal Article"&gt;17&lt;/ref-type&gt;&lt;contributors&gt;&lt;authors&gt;&lt;author&gt;Ballard, C.&lt;/author&gt;&lt;author&gt;Corbett, A.&lt;/author&gt;&lt;author&gt;Orrell, M.&lt;/author&gt;&lt;author&gt;Williams, G.&lt;/author&gt;&lt;author&gt;Moniz-Cook, E.&lt;/author&gt;&lt;author&gt;Romeo, R.&lt;/author&gt;&lt;author&gt;Woods, B.&lt;/author&gt;&lt;author&gt;Garrod, L.&lt;/author&gt;&lt;author&gt;Testad, I.&lt;/author&gt;&lt;author&gt;Woodward-Carlton, B.&lt;/author&gt;&lt;author&gt;Wenborn, J.&lt;/author&gt;&lt;author&gt;Knapp, M.&lt;/author&gt;&lt;author&gt;Fossey, J.&lt;/author&gt;&lt;/authors&gt;&lt;/contributors&gt;&lt;titles&gt;&lt;title&gt;Impact of person-centred care training and person-centred activities on quality of life, agitation, and antipsychotic use in people with dementia living in nursing homes: A cluster-randomised controlled trial&lt;/title&gt;&lt;secondary-title&gt;PLoS Medicine&lt;/secondary-title&gt;&lt;/titles&gt;&lt;periodical&gt;&lt;full-title&gt;PLoS Medicine&lt;/full-title&gt;&lt;abbr-1&gt;PLoS Med.&lt;/abbr-1&gt;&lt;abbr-2&gt;PLoS Med&lt;/abbr-2&gt;&lt;/periodical&gt;&lt;pages&gt;e1002500&lt;/pages&gt;&lt;volume&gt;15&lt;/volume&gt;&lt;number&gt;2&lt;/number&gt;&lt;dates&gt;&lt;year&gt;2018&lt;/year&gt;&lt;/dates&gt;&lt;urls&gt;&lt;/urls&gt;&lt;/record&gt;&lt;/Cite&gt;&lt;/EndNote&gt;</w:instrText>
      </w:r>
      <w:r w:rsidR="00E50D5F" w:rsidRPr="00563AD3">
        <w:fldChar w:fldCharType="separate"/>
      </w:r>
      <w:r w:rsidR="00EC2AA2" w:rsidRPr="00EC2AA2">
        <w:rPr>
          <w:noProof/>
          <w:vertAlign w:val="superscript"/>
        </w:rPr>
        <w:t>76</w:t>
      </w:r>
      <w:r w:rsidR="00E50D5F" w:rsidRPr="00563AD3">
        <w:fldChar w:fldCharType="end"/>
      </w:r>
      <w:r w:rsidRPr="00563AD3">
        <w:t xml:space="preserve"> which combined staff training with support from a WHELD therapist who provided coaching, supervision and regular review over a 9-month per</w:t>
      </w:r>
      <w:r w:rsidR="00690A69" w:rsidRPr="00563AD3">
        <w:t xml:space="preserve">iod, found </w:t>
      </w:r>
      <w:r w:rsidRPr="00563AD3">
        <w:t xml:space="preserve">statistically significant </w:t>
      </w:r>
      <w:r w:rsidR="00E50D5F" w:rsidRPr="00563AD3">
        <w:t>benefits for</w:t>
      </w:r>
      <w:r w:rsidRPr="00563AD3">
        <w:t xml:space="preserve"> quality of life</w:t>
      </w:r>
      <w:r w:rsidR="00E50D5F" w:rsidRPr="00563AD3">
        <w:t>, agitation and neuropsychiatric symptoms and positive care interactions compared to treatment as usual. The benefits being greater for those with moderately severe dementia.</w:t>
      </w:r>
    </w:p>
    <w:p w14:paraId="03151B6B" w14:textId="53B1CD41" w:rsidR="00690A69" w:rsidRPr="00563AD3" w:rsidRDefault="00690A69" w:rsidP="009B13F3">
      <w:r w:rsidRPr="00563AD3">
        <w:t>T</w:t>
      </w:r>
      <w:r w:rsidR="004E7F90" w:rsidRPr="00563AD3">
        <w:t xml:space="preserve">his trial is the first </w:t>
      </w:r>
      <w:r w:rsidRPr="00563AD3">
        <w:t xml:space="preserve">randomised, controlled study </w:t>
      </w:r>
      <w:r w:rsidR="004E7F90" w:rsidRPr="00563AD3">
        <w:t xml:space="preserve">of </w:t>
      </w:r>
      <w:r w:rsidR="00597D22" w:rsidRPr="00563AD3">
        <w:t>DCM™</w:t>
      </w:r>
      <w:r w:rsidR="004E7F90" w:rsidRPr="00563AD3">
        <w:t xml:space="preserve"> in the UK </w:t>
      </w:r>
      <w:r w:rsidRPr="00563AD3">
        <w:t xml:space="preserve">and </w:t>
      </w:r>
      <w:r w:rsidR="004E7F90" w:rsidRPr="00563AD3">
        <w:t xml:space="preserve">reflects the largely practice-led development </w:t>
      </w:r>
      <w:r w:rsidRPr="00563AD3">
        <w:t xml:space="preserve">and evolution </w:t>
      </w:r>
      <w:r w:rsidR="004E7F90" w:rsidRPr="00563AD3">
        <w:t xml:space="preserve">of the </w:t>
      </w:r>
      <w:r w:rsidR="009C1030" w:rsidRPr="00563AD3">
        <w:t>method</w:t>
      </w:r>
      <w:r w:rsidRPr="00563AD3">
        <w:t xml:space="preserve"> in the UK</w:t>
      </w:r>
      <w:r w:rsidR="004E7F90" w:rsidRPr="00563AD3">
        <w:t>. While the current 8</w:t>
      </w:r>
      <w:r w:rsidR="004E7F90" w:rsidRPr="00563AD3">
        <w:rPr>
          <w:vertAlign w:val="superscript"/>
        </w:rPr>
        <w:t>th</w:t>
      </w:r>
      <w:r w:rsidR="004E7F90" w:rsidRPr="00563AD3">
        <w:t xml:space="preserve"> edition of </w:t>
      </w:r>
      <w:r w:rsidR="00597D22" w:rsidRPr="00563AD3">
        <w:t>DCM™</w:t>
      </w:r>
      <w:r w:rsidR="004E7F90" w:rsidRPr="00563AD3">
        <w:t xml:space="preserve"> </w:t>
      </w:r>
      <w:r w:rsidR="009C1030" w:rsidRPr="00563AD3">
        <w:t>was</w:t>
      </w:r>
      <w:r w:rsidR="004E7F90" w:rsidRPr="00563AD3">
        <w:t xml:space="preserve"> produced following a </w:t>
      </w:r>
      <w:r w:rsidR="00026C62" w:rsidRPr="00563AD3">
        <w:t>thorough review process, only the revised observational tool was evaluated using formal research</w:t>
      </w:r>
      <w:r w:rsidRPr="00563AD3">
        <w:t xml:space="preserve"> methods</w:t>
      </w:r>
      <w:r w:rsidR="00026C62" w:rsidRPr="00563AD3">
        <w:t xml:space="preserve">, with the additional guidance on </w:t>
      </w:r>
      <w:r w:rsidR="00597D22" w:rsidRPr="00563AD3">
        <w:t>DCM™</w:t>
      </w:r>
      <w:r w:rsidR="00026C62" w:rsidRPr="00563AD3">
        <w:t xml:space="preserve"> implementation developed through a series of working groups involving practitioners</w:t>
      </w:r>
      <w:r w:rsidR="007571E2">
        <w:t>.</w:t>
      </w:r>
      <w:r w:rsidR="00026C62" w:rsidRPr="00563AD3">
        <w:t xml:space="preserve"> </w:t>
      </w:r>
      <w:r w:rsidR="00026C62" w:rsidRPr="00563AD3">
        <w:fldChar w:fldCharType="begin"/>
      </w:r>
      <w:r w:rsidR="00A126E7">
        <w:instrText xml:space="preserve"> ADDIN EN.CITE &lt;EndNote&gt;&lt;Cite&gt;&lt;Author&gt;Brooker&lt;/Author&gt;&lt;Year&gt;2006&lt;/Year&gt;&lt;RecNum&gt;852&lt;/RecNum&gt;&lt;DisplayText&gt;&lt;style face="superscript"&gt;109&lt;/style&gt;&lt;/DisplayText&gt;&lt;record&gt;&lt;rec-number&gt;852&lt;/rec-number&gt;&lt;foreign-keys&gt;&lt;key app="EN" db-id="wprxwptv75dtdree0t5x2ptmvadptw5fr2ww" timestamp="1269348633"&gt;852&lt;/key&gt;&lt;/foreign-keys&gt;&lt;ref-type name="Journal Article"&gt;17&lt;/ref-type&gt;&lt;contributors&gt;&lt;authors&gt;&lt;author&gt;Brooker, D.&lt;/author&gt;&lt;author&gt;Surr, C.&lt;/author&gt;&lt;/authors&gt;&lt;/contributors&gt;&lt;titles&gt;&lt;title&gt;Dementia Care Mapping (DCM): initial validation of DCM 8 in UK field trials&lt;/title&gt;&lt;secondary-title&gt;International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Psychiatry&lt;/abbr-2&gt;&lt;/periodical&gt;&lt;pages&gt;1018-1025&lt;/pages&gt;&lt;volume&gt;21&lt;/volume&gt;&lt;number&gt;11&lt;/number&gt;&lt;dates&gt;&lt;year&gt;2006&lt;/year&gt;&lt;/dates&gt;&lt;urls&gt;&lt;/urls&gt;&lt;/record&gt;&lt;/Cite&gt;&lt;/EndNote&gt;</w:instrText>
      </w:r>
      <w:r w:rsidR="00026C62" w:rsidRPr="00563AD3">
        <w:fldChar w:fldCharType="separate"/>
      </w:r>
      <w:r w:rsidR="00A126E7" w:rsidRPr="00A126E7">
        <w:rPr>
          <w:noProof/>
          <w:vertAlign w:val="superscript"/>
        </w:rPr>
        <w:t>109</w:t>
      </w:r>
      <w:r w:rsidR="00026C62" w:rsidRPr="00563AD3">
        <w:fldChar w:fldCharType="end"/>
      </w:r>
      <w:r w:rsidR="00026C62" w:rsidRPr="00563AD3">
        <w:t xml:space="preserve"> </w:t>
      </w:r>
      <w:r w:rsidR="004E7F90" w:rsidRPr="00563AD3">
        <w:t xml:space="preserve">A recent systematic review </w:t>
      </w:r>
      <w:r w:rsidR="004E7F90" w:rsidRPr="00563AD3">
        <w:fldChar w:fldCharType="begin"/>
      </w:r>
      <w:r w:rsidR="008C7FD1">
        <w:instrText xml:space="preserve"> ADDIN EN.CITE &lt;EndNote&gt;&lt;Cite&gt;&lt;Author&gt;Surr&lt;/Author&gt;&lt;Year&gt;2018&lt;/Year&gt;&lt;RecNum&gt;1797&lt;/RecNum&gt;&lt;DisplayText&gt;&lt;style face="superscript"&gt;96&lt;/style&gt;&lt;/DisplayText&gt;&lt;record&gt;&lt;rec-number&gt;1797&lt;/rec-number&gt;&lt;foreign-keys&gt;&lt;key app="EN" db-id="wprxwptv75dtdree0t5x2ptmvadptw5fr2ww" timestamp="1517319067"&gt;1797&lt;/key&gt;&lt;/foreign-keys&gt;&lt;ref-type name="Journal Article"&gt;17&lt;/ref-type&gt;&lt;contributors&gt;&lt;authors&gt;&lt;author&gt;Surr, C.&lt;/author&gt;&lt;author&gt;Griffiths, A.W.&lt;/author&gt;&lt;author&gt;Kelley, R.&lt;/author&gt;&lt;/authors&gt;&lt;/contributors&gt;&lt;titles&gt;&lt;title&gt;Implementing Dementia Care Mapping as a practice development tool in dementia care services: a systematic review&lt;/title&gt;&lt;secondary-title&gt;Clinical Interventions in Aging&lt;/secondary-title&gt;&lt;/titles&gt;&lt;periodical&gt;&lt;full-title&gt;Clinical Interventions in Aging&lt;/full-title&gt;&lt;abbr-1&gt;Clin. Interv. Aging&lt;/abbr-1&gt;&lt;abbr-2&gt;Clin Interv Aging&lt;/abbr-2&gt;&lt;/periodical&gt;&lt;pages&gt;165-177&lt;/pages&gt;&lt;volume&gt;13&lt;/volume&gt;&lt;dates&gt;&lt;year&gt;2018&lt;/year&gt;&lt;/dates&gt;&lt;urls&gt;&lt;/urls&gt;&lt;/record&gt;&lt;/Cite&gt;&lt;/EndNote&gt;</w:instrText>
      </w:r>
      <w:r w:rsidR="004E7F90" w:rsidRPr="00563AD3">
        <w:fldChar w:fldCharType="separate"/>
      </w:r>
      <w:r w:rsidR="00EC2AA2" w:rsidRPr="00EC2AA2">
        <w:rPr>
          <w:noProof/>
          <w:vertAlign w:val="superscript"/>
        </w:rPr>
        <w:t>96</w:t>
      </w:r>
      <w:r w:rsidR="004E7F90" w:rsidRPr="00563AD3">
        <w:fldChar w:fldCharType="end"/>
      </w:r>
      <w:r w:rsidR="004E7F90" w:rsidRPr="00563AD3">
        <w:t xml:space="preserve"> of the published research </w:t>
      </w:r>
      <w:r w:rsidRPr="00563AD3">
        <w:t xml:space="preserve">evidence </w:t>
      </w:r>
      <w:r w:rsidR="004E7F90" w:rsidRPr="00563AD3">
        <w:t xml:space="preserve">on the process of </w:t>
      </w:r>
      <w:r w:rsidR="00597D22" w:rsidRPr="00563AD3">
        <w:t>DCM™</w:t>
      </w:r>
      <w:r w:rsidR="004E7F90" w:rsidRPr="00563AD3">
        <w:t xml:space="preserve"> implementation, when used as a practice development methodology</w:t>
      </w:r>
      <w:r w:rsidRPr="00563AD3">
        <w:t>,</w:t>
      </w:r>
      <w:r w:rsidR="004E7F90" w:rsidRPr="00563AD3">
        <w:t xml:space="preserve"> </w:t>
      </w:r>
      <w:r w:rsidR="00026C62" w:rsidRPr="00563AD3">
        <w:t xml:space="preserve">found only twelve papers representing nine research studies that reported on this area. Only six papers used formal research methods to gather data and all were published from 2014 onwards, indicating </w:t>
      </w:r>
      <w:r w:rsidR="00852D7A" w:rsidRPr="00563AD3">
        <w:t xml:space="preserve">the limited published </w:t>
      </w:r>
      <w:r w:rsidR="00026C62" w:rsidRPr="00563AD3">
        <w:t xml:space="preserve">research </w:t>
      </w:r>
      <w:r w:rsidRPr="00563AD3">
        <w:t>in this area</w:t>
      </w:r>
      <w:r w:rsidR="009C1030" w:rsidRPr="00563AD3">
        <w:t xml:space="preserve"> to date</w:t>
      </w:r>
      <w:r w:rsidR="00852D7A" w:rsidRPr="00563AD3">
        <w:t>,</w:t>
      </w:r>
      <w:r w:rsidR="00026C62" w:rsidRPr="00563AD3">
        <w:t xml:space="preserve"> despite </w:t>
      </w:r>
      <w:r w:rsidR="00597D22" w:rsidRPr="00563AD3">
        <w:t>DCM™</w:t>
      </w:r>
      <w:r w:rsidRPr="00563AD3">
        <w:t>’s</w:t>
      </w:r>
      <w:r w:rsidR="00026C62" w:rsidRPr="00563AD3">
        <w:t xml:space="preserve"> use </w:t>
      </w:r>
      <w:r w:rsidRPr="00563AD3">
        <w:t>in practice for over 20</w:t>
      </w:r>
      <w:r w:rsidR="00026C62" w:rsidRPr="00563AD3">
        <w:t xml:space="preserve"> years. The review concluded that more research is required. </w:t>
      </w:r>
    </w:p>
    <w:p w14:paraId="33A79F6F" w14:textId="26A1CCED" w:rsidR="004E7F90" w:rsidRPr="00563AD3" w:rsidRDefault="00852D7A" w:rsidP="009B13F3">
      <w:r w:rsidRPr="00563AD3">
        <w:t xml:space="preserve">The formal process evaluation reported as part of this trial is the largest study of </w:t>
      </w:r>
      <w:r w:rsidR="00597D22" w:rsidRPr="00563AD3">
        <w:t>DCM™</w:t>
      </w:r>
      <w:r w:rsidRPr="00563AD3">
        <w:t xml:space="preserve"> implementation to be conducted to date</w:t>
      </w:r>
      <w:r w:rsidR="009C1030" w:rsidRPr="00563AD3">
        <w:t xml:space="preserve"> internationally</w:t>
      </w:r>
      <w:r w:rsidRPr="00563AD3">
        <w:t>. Therefore, i</w:t>
      </w:r>
      <w:r w:rsidR="00026C62" w:rsidRPr="00563AD3">
        <w:t>n addition to the process evaluation results reported above</w:t>
      </w:r>
      <w:r w:rsidR="00690A69" w:rsidRPr="00563AD3">
        <w:t>,</w:t>
      </w:r>
      <w:r w:rsidR="00026C62" w:rsidRPr="00563AD3">
        <w:t xml:space="preserve"> a number of in-depth </w:t>
      </w:r>
      <w:r w:rsidR="001F1C8A" w:rsidRPr="00563AD3">
        <w:t xml:space="preserve">papers discussing </w:t>
      </w:r>
      <w:r w:rsidR="00597D22" w:rsidRPr="00563AD3">
        <w:t>DCM™</w:t>
      </w:r>
      <w:r w:rsidR="00026C62" w:rsidRPr="00563AD3">
        <w:t xml:space="preserve"> implementation from the perspective of mappers, care home staff, care home managers and expert mappers are being prepared in order to contribute to this body of evidence. </w:t>
      </w:r>
    </w:p>
    <w:p w14:paraId="7C34B659" w14:textId="77777777" w:rsidR="001F1C8A" w:rsidRPr="00563AD3" w:rsidRDefault="001F1C8A" w:rsidP="009B13F3"/>
    <w:p w14:paraId="0F5C32B1" w14:textId="7B34720D" w:rsidR="00931070" w:rsidRPr="00563AD3" w:rsidRDefault="00410C6F" w:rsidP="009B13F3">
      <w:pPr>
        <w:pStyle w:val="Heading2"/>
      </w:pPr>
      <w:bookmarkStart w:id="225" w:name="_Toc525544046"/>
      <w:r w:rsidRPr="00563AD3">
        <w:t>6</w:t>
      </w:r>
      <w:r w:rsidR="00931070" w:rsidRPr="00563AD3">
        <w:t>.7 Strengths and limitations of the study</w:t>
      </w:r>
      <w:bookmarkEnd w:id="225"/>
    </w:p>
    <w:p w14:paraId="1B693BE3" w14:textId="77777777" w:rsidR="007E2367" w:rsidRDefault="00EA3861" w:rsidP="009B13F3">
      <w:r w:rsidRPr="00563AD3">
        <w:t xml:space="preserve">The </w:t>
      </w:r>
      <w:r w:rsidR="00597D22" w:rsidRPr="00563AD3">
        <w:t>DCM™</w:t>
      </w:r>
      <w:r w:rsidRPr="00563AD3">
        <w:t xml:space="preserve"> EPIC trial is the largest and only definitive trial of the effectiveness and cost effectiveness of </w:t>
      </w:r>
      <w:r w:rsidR="00597D22" w:rsidRPr="00563AD3">
        <w:t>DCM™</w:t>
      </w:r>
      <w:r w:rsidRPr="00563AD3">
        <w:t xml:space="preserve"> to date (worldwide). It successfully recruited on time and to target</w:t>
      </w:r>
      <w:r w:rsidR="000A32F7" w:rsidRPr="00563AD3">
        <w:t xml:space="preserve"> adding to the relatively limited body of research on conduct of pragmatic, cluster RCT studies in care home settings</w:t>
      </w:r>
      <w:r w:rsidRPr="00563AD3">
        <w:t xml:space="preserve">. </w:t>
      </w:r>
      <w:r w:rsidR="000A32F7" w:rsidRPr="00563AD3">
        <w:t xml:space="preserve">Our use of random sampling to approach care homes within specific geographical regions permitted recruitment of a number of care homes who had not participated in research previously. This has increased the pool of care homes who have been exposed to research and in particular to clinical trials and thus the numbers of homes who may be considered ‘research ready’. The </w:t>
      </w:r>
      <w:r w:rsidR="005170A7" w:rsidRPr="00563AD3">
        <w:t>EPIC trial</w:t>
      </w:r>
      <w:r w:rsidR="000A32F7" w:rsidRPr="00563AD3">
        <w:t xml:space="preserve"> gave care home staff and managers an opportunity to participate in research and a number of staff trained as mappers discussed the value they placed on being able to access this training for their own professional development. </w:t>
      </w:r>
      <w:r w:rsidR="009C1030" w:rsidRPr="00563AD3">
        <w:t>Some</w:t>
      </w:r>
      <w:r w:rsidR="005170A7" w:rsidRPr="00563AD3">
        <w:t xml:space="preserve"> of the care homes have expressed a desire to be involved in future research projects with the local recruitment hubs. </w:t>
      </w:r>
    </w:p>
    <w:p w14:paraId="62799304" w14:textId="218BABAB" w:rsidR="000A32F7" w:rsidRDefault="003934B2" w:rsidP="009B13F3">
      <w:r w:rsidRPr="00563AD3">
        <w:t xml:space="preserve">The </w:t>
      </w:r>
      <w:r w:rsidR="00597D22" w:rsidRPr="00563AD3">
        <w:t>DCM™</w:t>
      </w:r>
      <w:r w:rsidR="005170A7" w:rsidRPr="00563AD3">
        <w:t xml:space="preserve"> EPIC </w:t>
      </w:r>
      <w:r w:rsidRPr="00563AD3">
        <w:t>trial has also provided a valuable opportunity to increase the number of researchers with e</w:t>
      </w:r>
      <w:r w:rsidR="005170A7" w:rsidRPr="00563AD3">
        <w:t>xpertise</w:t>
      </w:r>
      <w:r w:rsidRPr="00563AD3">
        <w:t xml:space="preserve"> in conducting dementia research </w:t>
      </w:r>
      <w:r w:rsidR="005170A7" w:rsidRPr="00563AD3">
        <w:t>within care home settings</w:t>
      </w:r>
      <w:r w:rsidR="007E2367">
        <w:t>,</w:t>
      </w:r>
      <w:r w:rsidR="005170A7" w:rsidRPr="00563AD3">
        <w:t xml:space="preserve"> </w:t>
      </w:r>
      <w:r w:rsidR="009C1030" w:rsidRPr="00563AD3">
        <w:t>across a range of trial roles</w:t>
      </w:r>
      <w:r w:rsidR="007E2367">
        <w:t>.</w:t>
      </w:r>
      <w:r w:rsidR="009C1030" w:rsidRPr="00563AD3">
        <w:t xml:space="preserve"> </w:t>
      </w:r>
      <w:r w:rsidR="007E2367">
        <w:t>S</w:t>
      </w:r>
      <w:r w:rsidR="009C1030" w:rsidRPr="00563AD3">
        <w:t xml:space="preserve">ome </w:t>
      </w:r>
      <w:r w:rsidRPr="00563AD3">
        <w:t xml:space="preserve">research assistants employed on the trial </w:t>
      </w:r>
      <w:r w:rsidR="007E2367">
        <w:t xml:space="preserve">have </w:t>
      </w:r>
      <w:r w:rsidR="009C1030" w:rsidRPr="00563AD3">
        <w:t>tak</w:t>
      </w:r>
      <w:r w:rsidR="007E2367">
        <w:t>en</w:t>
      </w:r>
      <w:r w:rsidR="009C1030" w:rsidRPr="00563AD3">
        <w:t xml:space="preserve"> </w:t>
      </w:r>
      <w:r w:rsidR="005170A7" w:rsidRPr="00563AD3">
        <w:t xml:space="preserve">up permanent PhD or post-doctoral positions in dementia research </w:t>
      </w:r>
      <w:r w:rsidR="009C1030" w:rsidRPr="00563AD3">
        <w:t>or</w:t>
      </w:r>
      <w:r w:rsidR="005170A7" w:rsidRPr="00563AD3">
        <w:t xml:space="preserve"> </w:t>
      </w:r>
      <w:r w:rsidR="007E2367">
        <w:t xml:space="preserve">are </w:t>
      </w:r>
      <w:r w:rsidR="005170A7" w:rsidRPr="00563AD3">
        <w:t>commenc</w:t>
      </w:r>
      <w:r w:rsidR="009C1030" w:rsidRPr="00563AD3">
        <w:t>ing</w:t>
      </w:r>
      <w:r w:rsidR="005170A7" w:rsidRPr="00563AD3">
        <w:t xml:space="preserve"> Clinical Psychology training</w:t>
      </w:r>
      <w:r w:rsidR="009C1030" w:rsidRPr="00563AD3">
        <w:t>,</w:t>
      </w:r>
      <w:r w:rsidR="005170A7" w:rsidRPr="00563AD3">
        <w:t xml:space="preserve"> </w:t>
      </w:r>
      <w:r w:rsidRPr="00563AD3">
        <w:t>ensuring th</w:t>
      </w:r>
      <w:r w:rsidR="009C1030" w:rsidRPr="00563AD3">
        <w:t xml:space="preserve">eir </w:t>
      </w:r>
      <w:r w:rsidRPr="00563AD3">
        <w:t>expertise is retained within the field.</w:t>
      </w:r>
      <w:r w:rsidR="005170A7" w:rsidRPr="00563AD3">
        <w:t xml:space="preserve"> </w:t>
      </w:r>
      <w:r w:rsidRPr="00563AD3">
        <w:t xml:space="preserve"> </w:t>
      </w:r>
      <w:r w:rsidR="000A32F7" w:rsidRPr="00563AD3">
        <w:t xml:space="preserve"> </w:t>
      </w:r>
    </w:p>
    <w:p w14:paraId="4EEC1661" w14:textId="6603C8E5" w:rsidR="007E2367" w:rsidRDefault="007E2367" w:rsidP="009B13F3"/>
    <w:p w14:paraId="3A3EF7BF" w14:textId="77777777" w:rsidR="007E2367" w:rsidRPr="00563AD3" w:rsidRDefault="007E2367" w:rsidP="009B13F3"/>
    <w:p w14:paraId="3CF6F0EC" w14:textId="1DCF8352" w:rsidR="00931070" w:rsidRPr="00563AD3" w:rsidRDefault="00410C6F" w:rsidP="009B13F3">
      <w:pPr>
        <w:pStyle w:val="Heading3"/>
        <w:rPr>
          <w:sz w:val="18"/>
          <w:szCs w:val="18"/>
        </w:rPr>
      </w:pPr>
      <w:bookmarkStart w:id="226" w:name="_Toc525544047"/>
      <w:r w:rsidRPr="00563AD3">
        <w:t>6</w:t>
      </w:r>
      <w:r w:rsidR="00931070" w:rsidRPr="00563AD3">
        <w:t>.7.1 Study design</w:t>
      </w:r>
      <w:bookmarkEnd w:id="226"/>
      <w:r w:rsidR="00931070" w:rsidRPr="00563AD3">
        <w:rPr>
          <w:sz w:val="18"/>
          <w:szCs w:val="18"/>
        </w:rPr>
        <w:t xml:space="preserve"> </w:t>
      </w:r>
    </w:p>
    <w:p w14:paraId="0FF2457D" w14:textId="2B7FF2BF" w:rsidR="002432EF" w:rsidRPr="00563AD3" w:rsidRDefault="002432EF" w:rsidP="009B13F3">
      <w:r w:rsidRPr="00563AD3">
        <w:t>The EPIC trial followed the Medical Research Council guidance on evaluation of a complex intervention. A</w:t>
      </w:r>
      <w:r w:rsidRPr="00563AD3">
        <w:rPr>
          <w:color w:val="000000"/>
          <w:sz w:val="21"/>
          <w:szCs w:val="21"/>
        </w:rPr>
        <w:t xml:space="preserve"> cluster RCT design was utilised, appropriate outcome measures were selected, a full economic evalua</w:t>
      </w:r>
      <w:r w:rsidR="00CE21CE" w:rsidRPr="00563AD3">
        <w:rPr>
          <w:color w:val="000000"/>
          <w:sz w:val="21"/>
          <w:szCs w:val="21"/>
        </w:rPr>
        <w:t>tion was conducted as well as a</w:t>
      </w:r>
      <w:r w:rsidRPr="00563AD3">
        <w:rPr>
          <w:color w:val="000000"/>
          <w:sz w:val="21"/>
          <w:szCs w:val="21"/>
        </w:rPr>
        <w:t xml:space="preserve"> full, integrated process evaluation.</w:t>
      </w:r>
    </w:p>
    <w:p w14:paraId="71A1FCB1" w14:textId="189EF3DC" w:rsidR="002432EF" w:rsidRPr="00563AD3" w:rsidRDefault="002432EF" w:rsidP="009B13F3">
      <w:r w:rsidRPr="00563AD3">
        <w:t>However, loss to follow-up was larger than had been anticipated (</w:t>
      </w:r>
      <w:r w:rsidRPr="00571DFD">
        <w:t xml:space="preserve">close to 50% vs </w:t>
      </w:r>
      <w:r w:rsidR="003172F9" w:rsidRPr="00571DFD">
        <w:t xml:space="preserve">estimated </w:t>
      </w:r>
      <w:r w:rsidRPr="00571DFD">
        <w:t>25-30%)</w:t>
      </w:r>
      <w:r w:rsidRPr="0086664D">
        <w:rPr>
          <w:color w:val="00B050"/>
        </w:rPr>
        <w:t xml:space="preserve"> </w:t>
      </w:r>
      <w:r w:rsidRPr="00563AD3">
        <w:t xml:space="preserve">due mainly to resident deaths because of the frailty of this population and this resulted in the necessity to implement a design change and to adopt an open-cohort design mid-trial. This is not an established design for cluster RCT studies and three of the co-applicants (Walwyn, Farrin and Surr) have been successful in gaining additional funding to conduct methodological research on the use of open-cohort designs. </w:t>
      </w:r>
    </w:p>
    <w:p w14:paraId="58A95D02" w14:textId="06F1B3EF" w:rsidR="00CE21CE" w:rsidRPr="00563AD3" w:rsidRDefault="00336BDD" w:rsidP="009B13F3">
      <w:r w:rsidRPr="00563AD3">
        <w:t xml:space="preserve">Cluster blinding to allocation was not feasible within the trial since care home staff were responsible for intervention delivery. </w:t>
      </w:r>
      <w:r w:rsidR="00CE21CE" w:rsidRPr="00563AD3">
        <w:t>Therefore, this could have led to reporting bias. Independent observational measures of agitation (PAS, CMAI-O) were therefore collected by an independent, blinded researcher to permit analysis of potential reporting bias by arm.</w:t>
      </w:r>
      <w:r w:rsidR="003704A8" w:rsidRPr="00563AD3">
        <w:t xml:space="preserve"> However, observational measures do not capture agitation that may occur outside of public areas, for example during personal care and the set observation days and time meant agitation could not be assessed that occurred outside of the observational hours, for example evening and night-time and over more than two half- days during a week. Therefore, the comparison between observational and proxy reported measures must be considered with some caution.  </w:t>
      </w:r>
    </w:p>
    <w:p w14:paraId="56C7541C" w14:textId="5C0F5AE8" w:rsidR="00336BDD" w:rsidRPr="00563AD3" w:rsidRDefault="00336BDD" w:rsidP="009B13F3">
      <w:r w:rsidRPr="00563AD3">
        <w:t xml:space="preserve">Researchers were all blinded to cluster allocation and were not permitted to collect data in homes to which they became </w:t>
      </w:r>
      <w:r w:rsidR="000A5AD8" w:rsidRPr="00563AD3">
        <w:t>unbli</w:t>
      </w:r>
      <w:r w:rsidRPr="00563AD3">
        <w:t xml:space="preserve">nded. This required flexibility within the research teams and some cross working between research hubs to provide cover when researchers became </w:t>
      </w:r>
      <w:r w:rsidR="000A5AD8" w:rsidRPr="00563AD3">
        <w:t>unbli</w:t>
      </w:r>
      <w:r w:rsidRPr="00563AD3">
        <w:t>nded. The independent researcher who collected observational PAS, CMAI-O and QUIS data was both blinded and independent and so had collected no other data in the care home apart from the</w:t>
      </w:r>
      <w:r w:rsidR="000743DC" w:rsidRPr="00563AD3">
        <w:t>se</w:t>
      </w:r>
      <w:r w:rsidRPr="00563AD3">
        <w:t xml:space="preserve"> observational measures. The maintenance of the independent researcher and researcher blinding to </w:t>
      </w:r>
      <w:r w:rsidR="000A5AD8" w:rsidRPr="00563AD3">
        <w:t xml:space="preserve">cluster </w:t>
      </w:r>
      <w:r w:rsidRPr="00563AD3">
        <w:t xml:space="preserve">allocation of homes in which they collected data was </w:t>
      </w:r>
      <w:r w:rsidR="000A5AD8" w:rsidRPr="00563AD3">
        <w:t>able to be maintained throughout the trial</w:t>
      </w:r>
      <w:r w:rsidRPr="00563AD3">
        <w:t>.</w:t>
      </w:r>
    </w:p>
    <w:p w14:paraId="1C816E6F" w14:textId="7F0DA288" w:rsidR="003704A8" w:rsidRDefault="003704A8" w:rsidP="009B13F3">
      <w:r w:rsidRPr="00563AD3">
        <w:t xml:space="preserve">Due to the variability in the ability of care home residents with dementia to self-report on measures of BSC and quality of life, the primary and secondary analyses were conducted using staff proxy completed measures. It was not possible to use relative/supporter proxy measures as many residents did not have a proxy informant recruited either due to visiting less frequently than was required for the measures used (at least once a fortnight) or because relatives/supporters did not wish to take part. Proxy completed measures are reported to have some but not full correlation with self-report </w:t>
      </w:r>
      <w:r w:rsidR="00487663">
        <w:fldChar w:fldCharType="begin"/>
      </w:r>
      <w:r w:rsidR="00535E40">
        <w:instrText xml:space="preserve"> ADDIN EN.CITE &lt;EndNote&gt;&lt;Cite&gt;&lt;Author&gt;Moyle&lt;/Author&gt;&lt;Year&gt;2012&lt;/Year&gt;&lt;RecNum&gt;1872&lt;/RecNum&gt;&lt;DisplayText&gt;&lt;style face="superscript"&gt;162&lt;/style&gt;&lt;/DisplayText&gt;&lt;record&gt;&lt;rec-number&gt;1872&lt;/rec-number&gt;&lt;foreign-keys&gt;&lt;key app="EN" db-id="wprxwptv75dtdree0t5x2ptmvadptw5fr2ww" timestamp="1520595368"&gt;1872&lt;/key&gt;&lt;/foreign-keys&gt;&lt;ref-type name="Journal Article"&gt;17&lt;/ref-type&gt;&lt;contributors&gt;&lt;authors&gt;&lt;author&gt;Moyle, Wendy&lt;/author&gt;&lt;author&gt;Murfield, Jenny E.&lt;/author&gt;&lt;author&gt;Griffiths, Susan G.&lt;/author&gt;&lt;author&gt;Venturato, Lorraine&lt;/author&gt;&lt;/authors&gt;&lt;/contributors&gt;&lt;titles&gt;&lt;title&gt;Assessing quality of life of older people with dementia: a comparison of quantitative self-report and proxy accounts&lt;/title&gt;&lt;secondary-title&gt;Journal of Advanced Nursing&lt;/secondary-title&gt;&lt;/titles&gt;&lt;periodical&gt;&lt;full-title&gt;Journal of Advanced Nursing&lt;/full-title&gt;&lt;abbr-1&gt;J. Adv. Nurs.&lt;/abbr-1&gt;&lt;abbr-2&gt;J Adv Nurs&lt;/abbr-2&gt;&lt;/periodical&gt;&lt;pages&gt;2237-2246&lt;/pages&gt;&lt;volume&gt;68&lt;/volume&gt;&lt;number&gt;10&lt;/number&gt;&lt;keywords&gt;&lt;keyword&gt;care staff&lt;/keyword&gt;&lt;keyword&gt;cognitive impairment&lt;/keyword&gt;&lt;keyword&gt;dementia&lt;/keyword&gt;&lt;keyword&gt;family carers&lt;/keyword&gt;&lt;keyword&gt;gerontological nursing&lt;/keyword&gt;&lt;keyword&gt;long-term care&lt;/keyword&gt;&lt;keyword&gt;nursing staff&lt;/keyword&gt;&lt;/keywords&gt;&lt;dates&gt;&lt;year&gt;2012&lt;/year&gt;&lt;/dates&gt;&lt;publisher&gt;Blackwell Publishing Ltd&lt;/publisher&gt;&lt;urls&gt;&lt;related-urls&gt;&lt;url&gt;http://dx.doi.org/10.1111/j.1365-2648.2011.05912.x&lt;/url&gt;&lt;/related-urls&gt;&lt;/urls&gt;&lt;/record&gt;&lt;/Cite&gt;&lt;/EndNote&gt;</w:instrText>
      </w:r>
      <w:r w:rsidR="00487663">
        <w:fldChar w:fldCharType="separate"/>
      </w:r>
      <w:r w:rsidR="00535E40" w:rsidRPr="00535E40">
        <w:rPr>
          <w:noProof/>
          <w:vertAlign w:val="superscript"/>
        </w:rPr>
        <w:t>162</w:t>
      </w:r>
      <w:r w:rsidR="00487663">
        <w:fldChar w:fldCharType="end"/>
      </w:r>
      <w:r w:rsidR="00487663">
        <w:t xml:space="preserve"> </w:t>
      </w:r>
      <w:r w:rsidRPr="00563AD3">
        <w:t>and therefore</w:t>
      </w:r>
      <w:r w:rsidR="008B2FA9">
        <w:t>,</w:t>
      </w:r>
      <w:r w:rsidRPr="00563AD3">
        <w:t xml:space="preserve"> it is a limitation of this study that outcomes are reliant upon proxy views. Whilst we attempted to use the same staff proxy respondent at each time point, this was not always feasible due to staff turnover, sickness and annual leave. There is no reason, to conclude that these issues affected one arm of the trial more or differently to the other. However, the issues associated with use of staff proxy informants in both arms of the trial must be considered when interpreting the results.</w:t>
      </w:r>
    </w:p>
    <w:p w14:paraId="52A3D965" w14:textId="26AC668F" w:rsidR="00E610AF" w:rsidRDefault="00E610AF" w:rsidP="009B13F3">
      <w:r>
        <w:t>Poor intervention adherence beyond the first expert supported cycle of DCM</w:t>
      </w:r>
      <w:r w:rsidRPr="00E610AF">
        <w:rPr>
          <w:vertAlign w:val="superscript"/>
        </w:rPr>
        <w:t>TM</w:t>
      </w:r>
      <w:r>
        <w:t xml:space="preserve"> is a further limitation. Given the pragmatic trial design, aiming to implement DCM</w:t>
      </w:r>
      <w:r w:rsidRPr="00E610AF">
        <w:rPr>
          <w:vertAlign w:val="superscript"/>
        </w:rPr>
        <w:t>TM</w:t>
      </w:r>
      <w:r>
        <w:t xml:space="preserve"> in ‘real world’ conditions, the findings are important for highlighting implementation challenges and for informing future use in such settings.</w:t>
      </w:r>
    </w:p>
    <w:p w14:paraId="3EE7545D" w14:textId="77777777" w:rsidR="007E2367" w:rsidRPr="00563AD3" w:rsidRDefault="007E2367" w:rsidP="009B13F3"/>
    <w:p w14:paraId="44214FEE" w14:textId="0F9157B9" w:rsidR="00310814" w:rsidRPr="00563AD3" w:rsidRDefault="00310814" w:rsidP="009B13F3">
      <w:pPr>
        <w:pStyle w:val="Heading3"/>
      </w:pPr>
      <w:bookmarkStart w:id="227" w:name="_Toc525544048"/>
      <w:r w:rsidRPr="00563AD3">
        <w:t>6.7.2 Health economic analysis</w:t>
      </w:r>
      <w:bookmarkEnd w:id="227"/>
    </w:p>
    <w:p w14:paraId="0A67482D" w14:textId="5887A278" w:rsidR="00310814" w:rsidRPr="00563AD3" w:rsidRDefault="00310814" w:rsidP="009B13F3">
      <w:r w:rsidRPr="00563AD3">
        <w:t xml:space="preserve">The health economic analysis has a number of limitations. The level of missing data was high and evaluation heavily reliant on imputation. Given the difficulties in incorporating the cross-sectional cohort approach in the economic evaluation framework, in particular the requirement to have baseline data to calculate change in costs and QALYs, it was not possible to fully capitalise on the increased sample size in a robust way. </w:t>
      </w:r>
    </w:p>
    <w:p w14:paraId="348E16E3" w14:textId="5730CAC6" w:rsidR="00FC2CE0" w:rsidRDefault="00FC2CE0" w:rsidP="009B13F3">
      <w:r w:rsidRPr="00FC2CE0">
        <w:t>The adoption of a health and social care perspective meant that some societal costs were not accounted for in the analysis (e.g. informal care), however it is highly unlikely these would have had a substantial impact on total costs and collecting such data would have presented significant challenges.</w:t>
      </w:r>
    </w:p>
    <w:p w14:paraId="0DD60734" w14:textId="6B00651B" w:rsidR="00FC2CE0" w:rsidRDefault="00310814" w:rsidP="009B13F3">
      <w:r w:rsidRPr="00563AD3">
        <w:t xml:space="preserve">Additional consideration is needed of how to deal with high cost outliers </w:t>
      </w:r>
      <w:r w:rsidR="002A0A93" w:rsidRPr="00563AD3">
        <w:fldChar w:fldCharType="begin"/>
      </w:r>
      <w:r w:rsidR="00535E40">
        <w:instrText xml:space="preserve"> ADDIN EN.CITE &lt;EndNote&gt;&lt;Cite&gt;&lt;Author&gt;Wen&lt;/Author&gt;&lt;Year&gt;2013&lt;/Year&gt;&lt;RecNum&gt;1817&lt;/RecNum&gt;&lt;DisplayText&gt;&lt;style face="superscript"&gt;163&lt;/style&gt;&lt;/DisplayText&gt;&lt;record&gt;&lt;rec-number&gt;1817&lt;/rec-number&gt;&lt;foreign-keys&gt;&lt;key app="EN" db-id="wprxwptv75dtdree0t5x2ptmvadptw5fr2ww" timestamp="1519030504"&gt;1817&lt;/key&gt;&lt;/foreign-keys&gt;&lt;ref-type name="Journal Article"&gt;17&lt;/ref-type&gt;&lt;contributors&gt;&lt;authors&gt;&lt;author&gt;Wen, Y.W.&lt;/author&gt;&lt;author&gt;Tsai, Y.W.&lt;/author&gt;&lt;author&gt;Wu, D.B.&lt;/author&gt;&lt;author&gt;Chen, P.F.&lt;/author&gt;&lt;/authors&gt;&lt;/contributors&gt;&lt;titles&gt;&lt;title&gt;The Impact of Outliers on Net-Benefit Regression Model in Cost-Effectiveness Analysis&lt;/title&gt;&lt;secondary-title&gt;PLoS ONE&lt;/secondary-title&gt;&lt;/titles&gt;&lt;periodical&gt;&lt;full-title&gt;PloS One&lt;/full-title&gt;&lt;abbr-1&gt;PLoS One&lt;/abbr-1&gt;&lt;abbr-2&gt;PLoS One&lt;/abbr-2&gt;&lt;/periodical&gt;&lt;pages&gt;e65930&lt;/pages&gt;&lt;volume&gt;19&lt;/volume&gt;&lt;number&gt;8&lt;/number&gt;&lt;dates&gt;&lt;year&gt;2013&lt;/year&gt;&lt;/dates&gt;&lt;urls&gt;&lt;/urls&gt;&lt;/record&gt;&lt;/Cite&gt;&lt;/EndNote&gt;</w:instrText>
      </w:r>
      <w:r w:rsidR="002A0A93" w:rsidRPr="00563AD3">
        <w:fldChar w:fldCharType="separate"/>
      </w:r>
      <w:r w:rsidR="00535E40" w:rsidRPr="00535E40">
        <w:rPr>
          <w:noProof/>
          <w:vertAlign w:val="superscript"/>
        </w:rPr>
        <w:t>163</w:t>
      </w:r>
      <w:r w:rsidR="002A0A93" w:rsidRPr="00563AD3">
        <w:fldChar w:fldCharType="end"/>
      </w:r>
      <w:r w:rsidR="002A0A93" w:rsidRPr="00563AD3">
        <w:t xml:space="preserve"> </w:t>
      </w:r>
      <w:r w:rsidRPr="00563AD3">
        <w:t xml:space="preserve">and when it may be appropriate to exclude them from analyses. Research should identify the most appropriate way to measure and combine QoL estimates in this group. </w:t>
      </w:r>
    </w:p>
    <w:p w14:paraId="3748A5D0" w14:textId="7EC95BDC" w:rsidR="00310814" w:rsidRPr="00563AD3" w:rsidRDefault="00310814" w:rsidP="009B13F3">
      <w:r w:rsidRPr="00563AD3">
        <w:t xml:space="preserve">Finally, future research should explore the maintenance of the health benefits of the </w:t>
      </w:r>
      <w:r w:rsidR="00597D22" w:rsidRPr="00563AD3">
        <w:t>DCM™</w:t>
      </w:r>
      <w:r w:rsidRPr="00563AD3">
        <w:t xml:space="preserve"> intervention identified here. </w:t>
      </w:r>
    </w:p>
    <w:p w14:paraId="40858DC5" w14:textId="7D64FE10" w:rsidR="00931070" w:rsidRPr="00563AD3" w:rsidRDefault="00931070" w:rsidP="009B13F3"/>
    <w:p w14:paraId="4FB039F4" w14:textId="0DA0B5AB" w:rsidR="00C72105" w:rsidRPr="00563AD3" w:rsidRDefault="00410C6F" w:rsidP="009B13F3">
      <w:pPr>
        <w:pStyle w:val="Heading2"/>
      </w:pPr>
      <w:bookmarkStart w:id="228" w:name="_Toc525544049"/>
      <w:r w:rsidRPr="00563AD3">
        <w:t>6</w:t>
      </w:r>
      <w:r w:rsidR="000743DC" w:rsidRPr="00563AD3">
        <w:t>.8</w:t>
      </w:r>
      <w:r w:rsidR="008A60E2" w:rsidRPr="00563AD3">
        <w:t xml:space="preserve"> </w:t>
      </w:r>
      <w:r w:rsidR="00C72105" w:rsidRPr="00563AD3">
        <w:t>Generalisability</w:t>
      </w:r>
      <w:r w:rsidR="003172F9" w:rsidRPr="00563AD3">
        <w:t xml:space="preserve"> and sources of bias</w:t>
      </w:r>
      <w:bookmarkEnd w:id="228"/>
    </w:p>
    <w:p w14:paraId="24241F37" w14:textId="7ABDC205" w:rsidR="003172F9" w:rsidRPr="00563AD3" w:rsidRDefault="003172F9" w:rsidP="009B13F3">
      <w:r w:rsidRPr="00563AD3">
        <w:t xml:space="preserve">Random selection of care homes from the large pool of eligible homes from three geographically wide recruitment hub areas ensured a good representation of different care home settings and </w:t>
      </w:r>
      <w:r w:rsidR="000743DC" w:rsidRPr="00563AD3">
        <w:t xml:space="preserve">thus </w:t>
      </w:r>
      <w:r w:rsidRPr="00563AD3">
        <w:t xml:space="preserve">generalisability of the trial across </w:t>
      </w:r>
      <w:r w:rsidR="000743DC" w:rsidRPr="00563AD3">
        <w:t>care ho</w:t>
      </w:r>
      <w:r w:rsidR="008B2FA9">
        <w:t>m</w:t>
      </w:r>
      <w:r w:rsidR="000743DC" w:rsidRPr="00563AD3">
        <w:t xml:space="preserve">e settings in </w:t>
      </w:r>
      <w:r w:rsidRPr="00563AD3">
        <w:t xml:space="preserve">England. </w:t>
      </w:r>
      <w:r w:rsidR="00506490" w:rsidRPr="00563AD3">
        <w:t xml:space="preserve">This aided minimisation of selection bias. Our exclusion of care homes that were subject to admissions bans, supportive input or other </w:t>
      </w:r>
      <w:r w:rsidR="000743DC" w:rsidRPr="00563AD3">
        <w:t xml:space="preserve">improvement </w:t>
      </w:r>
      <w:r w:rsidR="00506490" w:rsidRPr="00563AD3">
        <w:t>measures</w:t>
      </w:r>
      <w:r w:rsidR="000743DC" w:rsidRPr="00563AD3">
        <w:t>,</w:t>
      </w:r>
      <w:r w:rsidR="00506490" w:rsidRPr="00563AD3">
        <w:t xml:space="preserve"> due issues </w:t>
      </w:r>
      <w:r w:rsidR="000743DC" w:rsidRPr="00563AD3">
        <w:t xml:space="preserve">or concerns </w:t>
      </w:r>
      <w:r w:rsidR="00506490" w:rsidRPr="00563AD3">
        <w:t>around care quality</w:t>
      </w:r>
      <w:r w:rsidR="000743DC" w:rsidRPr="00563AD3">
        <w:t>,</w:t>
      </w:r>
      <w:r w:rsidR="00506490" w:rsidRPr="00563AD3">
        <w:t xml:space="preserve"> means a small prop</w:t>
      </w:r>
      <w:r w:rsidR="000743DC" w:rsidRPr="00563AD3">
        <w:t xml:space="preserve">ortion (c.3%) </w:t>
      </w:r>
      <w:r w:rsidR="000743DC" w:rsidRPr="00563AD3">
        <w:fldChar w:fldCharType="begin"/>
      </w:r>
      <w:r w:rsidR="00535E40">
        <w:instrText xml:space="preserve"> ADDIN EN.CITE &lt;EndNote&gt;&lt;Cite&gt;&lt;Author&gt;Care Quality Commission&lt;/Author&gt;&lt;Year&gt;2017&lt;/Year&gt;&lt;RecNum&gt;1732&lt;/RecNum&gt;&lt;DisplayText&gt;&lt;style face="superscript"&gt;164&lt;/style&gt;&lt;/DisplayText&gt;&lt;record&gt;&lt;rec-number&gt;1732&lt;/rec-number&gt;&lt;foreign-keys&gt;&lt;key app="EN" db-id="wprxwptv75dtdree0t5x2ptmvadptw5fr2ww" timestamp="1511547274"&gt;1732&lt;/key&gt;&lt;/foreign-keys&gt;&lt;ref-type name="Report"&gt;27&lt;/ref-type&gt;&lt;contributors&gt;&lt;authors&gt;&lt;author&gt;Care Quality Commission,&lt;/author&gt;&lt;/authors&gt;&lt;/contributors&gt;&lt;titles&gt;&lt;title&gt;The state of health care and adult social care in England 2016/17&lt;/title&gt;&lt;/titles&gt;&lt;dates&gt;&lt;year&gt;2017&lt;/year&gt;&lt;/dates&gt;&lt;pub-location&gt;London&lt;/pub-location&gt;&lt;publisher&gt;Care Quality Commission&lt;/publisher&gt;&lt;urls&gt;&lt;/urls&gt;&lt;/record&gt;&lt;/Cite&gt;&lt;/EndNote&gt;</w:instrText>
      </w:r>
      <w:r w:rsidR="000743DC" w:rsidRPr="00563AD3">
        <w:fldChar w:fldCharType="separate"/>
      </w:r>
      <w:r w:rsidR="00535E40" w:rsidRPr="00535E40">
        <w:rPr>
          <w:noProof/>
          <w:vertAlign w:val="superscript"/>
        </w:rPr>
        <w:t>164</w:t>
      </w:r>
      <w:r w:rsidR="000743DC" w:rsidRPr="00563AD3">
        <w:fldChar w:fldCharType="end"/>
      </w:r>
      <w:r w:rsidR="000743DC" w:rsidRPr="00563AD3">
        <w:t xml:space="preserve"> of the care home sector we</w:t>
      </w:r>
      <w:r w:rsidR="00506490" w:rsidRPr="00563AD3">
        <w:t>re not represented in the trial. F</w:t>
      </w:r>
      <w:r w:rsidRPr="00563AD3">
        <w:t xml:space="preserve">ollowing randomisation, the characteristics of the clusters were found to be balanced. No clusters were lost during the trial. There was a higher variation in cluster sizes in control compared to intervention, however the median cluster size was similar in both arms and in both cohorts. </w:t>
      </w:r>
    </w:p>
    <w:p w14:paraId="18CE356F" w14:textId="304EA64C" w:rsidR="003172F9" w:rsidRPr="00563AD3" w:rsidRDefault="003172F9" w:rsidP="009B13F3">
      <w:r w:rsidRPr="00563AD3">
        <w:t xml:space="preserve">Recruitment of residents was carefully designed to minimise selection bias at various levels. Resident recruitment commenced following the recruitment of care homes but prior to their randomisation. All residents who were identified as eligible and who consented to take part in the trial were recruited. Following the change in design, recruitment </w:t>
      </w:r>
      <w:r w:rsidR="005157E0" w:rsidRPr="00563AD3">
        <w:t xml:space="preserve">at 16-months </w:t>
      </w:r>
      <w:r w:rsidRPr="00563AD3">
        <w:t xml:space="preserve">of all eligible </w:t>
      </w:r>
      <w:r w:rsidR="005157E0" w:rsidRPr="00563AD3">
        <w:t>residents with dementia who were n</w:t>
      </w:r>
      <w:r w:rsidRPr="00563AD3">
        <w:t xml:space="preserve">ot already participating </w:t>
      </w:r>
      <w:r w:rsidR="005157E0" w:rsidRPr="00563AD3">
        <w:t xml:space="preserve">in the trial </w:t>
      </w:r>
      <w:r w:rsidRPr="00563AD3">
        <w:t xml:space="preserve">or </w:t>
      </w:r>
      <w:r w:rsidR="005157E0" w:rsidRPr="00563AD3">
        <w:t>who had previously declined to take part,</w:t>
      </w:r>
      <w:r w:rsidRPr="00563AD3">
        <w:t xml:space="preserve"> contributed to minimisation of selection bias. Researchers independent of the care home were involved in resident recruitment. Screened and registered residents’ characteristics were well balanced across </w:t>
      </w:r>
      <w:r w:rsidR="00182DC5" w:rsidRPr="00563AD3">
        <w:t>arms</w:t>
      </w:r>
      <w:r w:rsidRPr="00563AD3">
        <w:t xml:space="preserve"> and cohorts, demonstratin</w:t>
      </w:r>
      <w:r w:rsidR="005157E0" w:rsidRPr="00563AD3">
        <w:t xml:space="preserve">g a lack of selection bias in </w:t>
      </w:r>
      <w:r w:rsidRPr="00563AD3">
        <w:t xml:space="preserve">resident recruitment. </w:t>
      </w:r>
    </w:p>
    <w:p w14:paraId="39E49C7F" w14:textId="1C6BBBBA" w:rsidR="003172F9" w:rsidRPr="00563AD3" w:rsidRDefault="003172F9" w:rsidP="009B13F3">
      <w:r w:rsidRPr="00563AD3">
        <w:t>Allocation concealment during the researchers’ visits to care homes was not always successful, however every effort was made that researchers collected no further data in care homes to whose allocation they were unblinded.</w:t>
      </w:r>
      <w:r w:rsidR="005157E0" w:rsidRPr="00563AD3">
        <w:t xml:space="preserve"> Research blinding to allocation of care homes in which they collected data, was able to be maintained throughout the trial.</w:t>
      </w:r>
    </w:p>
    <w:p w14:paraId="0B42FA03" w14:textId="77777777" w:rsidR="002A0A93" w:rsidRPr="00563AD3" w:rsidRDefault="002A0A93" w:rsidP="009B13F3"/>
    <w:p w14:paraId="5B3E3FE8" w14:textId="01908190" w:rsidR="00931070" w:rsidRPr="00563AD3" w:rsidRDefault="00410C6F" w:rsidP="009B13F3">
      <w:pPr>
        <w:pStyle w:val="Heading2"/>
      </w:pPr>
      <w:bookmarkStart w:id="229" w:name="_Toc525544050"/>
      <w:r w:rsidRPr="00563AD3">
        <w:t>6</w:t>
      </w:r>
      <w:r w:rsidR="00931070" w:rsidRPr="00563AD3">
        <w:t>.</w:t>
      </w:r>
      <w:r w:rsidR="00E857B0">
        <w:t>9</w:t>
      </w:r>
      <w:r w:rsidR="00931070" w:rsidRPr="00563AD3">
        <w:t xml:space="preserve"> Implementation of a complex intervention</w:t>
      </w:r>
      <w:bookmarkEnd w:id="229"/>
    </w:p>
    <w:p w14:paraId="2DF0AB96" w14:textId="6DBA4F80" w:rsidR="00721FB0" w:rsidRPr="00563AD3" w:rsidRDefault="006760DC" w:rsidP="009B13F3">
      <w:r w:rsidRPr="00563AD3">
        <w:t xml:space="preserve">As a pragmatic trial, the </w:t>
      </w:r>
      <w:r w:rsidR="00597D22" w:rsidRPr="00563AD3">
        <w:t>DCM™</w:t>
      </w:r>
      <w:r w:rsidRPr="00563AD3">
        <w:t xml:space="preserve"> intervention was implemented as it would usually be in UK care home settings, with some components enhanced from standard practice, but still within the scope of what would be feasible in </w:t>
      </w:r>
      <w:r w:rsidR="002A0A93" w:rsidRPr="00563AD3">
        <w:t>usual practice</w:t>
      </w:r>
      <w:r w:rsidRPr="00563AD3">
        <w:t xml:space="preserve">. This included (1) selection of care homes on the basis of criteria that would ensure there were no setting conditions likely to reduce ability to engage with the trial e.g. quality concerns, competing research studies; (2) selection of mappers using criteria </w:t>
      </w:r>
      <w:r w:rsidR="00721FB0" w:rsidRPr="00563AD3">
        <w:t>of</w:t>
      </w:r>
      <w:r w:rsidRPr="00563AD3">
        <w:t xml:space="preserve"> required qualities and skills; (3) provision of a standard 4-day </w:t>
      </w:r>
      <w:r w:rsidR="00597D22" w:rsidRPr="00563AD3">
        <w:t>DCM™</w:t>
      </w:r>
      <w:r w:rsidRPr="00563AD3">
        <w:t xml:space="preserve"> training course</w:t>
      </w:r>
      <w:r w:rsidR="00721FB0" w:rsidRPr="00563AD3">
        <w:t xml:space="preserve"> with assessment</w:t>
      </w:r>
      <w:r w:rsidRPr="00563AD3">
        <w:t xml:space="preserve">; (4) provision of support for the first cycle of </w:t>
      </w:r>
      <w:r w:rsidR="00597D22" w:rsidRPr="00563AD3">
        <w:t>DCM™</w:t>
      </w:r>
      <w:r w:rsidRPr="00563AD3">
        <w:t xml:space="preserve"> from an expert mapper; (5) </w:t>
      </w:r>
      <w:r w:rsidR="00BA3E59" w:rsidRPr="00563AD3">
        <w:t xml:space="preserve">provision of standardised documentation for </w:t>
      </w:r>
      <w:r w:rsidR="00597D22" w:rsidRPr="00563AD3">
        <w:t>DCM™</w:t>
      </w:r>
      <w:r w:rsidR="00BA3E59" w:rsidRPr="00563AD3">
        <w:t xml:space="preserve"> implementation e.g. report template, action plan template (6) </w:t>
      </w:r>
      <w:r w:rsidRPr="00563AD3">
        <w:t xml:space="preserve">ongoing telephone and e-mail support from the </w:t>
      </w:r>
      <w:r w:rsidR="00597D22" w:rsidRPr="00563AD3">
        <w:t>DCM™</w:t>
      </w:r>
      <w:r w:rsidRPr="00563AD3">
        <w:t xml:space="preserve"> intervention lead</w:t>
      </w:r>
      <w:r w:rsidR="00BA3E59" w:rsidRPr="00563AD3">
        <w:t>; (7</w:t>
      </w:r>
      <w:r w:rsidRPr="00563AD3">
        <w:t xml:space="preserve">) prompts to conduct mapping cycles at </w:t>
      </w:r>
      <w:r w:rsidR="00BA3E59" w:rsidRPr="00563AD3">
        <w:t>the required</w:t>
      </w:r>
      <w:r w:rsidRPr="00563AD3">
        <w:t xml:space="preserve"> intervals sent to mappers by SMS and through the post.</w:t>
      </w:r>
      <w:r w:rsidR="00BA3E59" w:rsidRPr="00563AD3">
        <w:t xml:space="preserve"> </w:t>
      </w:r>
    </w:p>
    <w:p w14:paraId="424F2C50" w14:textId="1D0B3014" w:rsidR="00721FB0" w:rsidRPr="00563AD3" w:rsidRDefault="00597D22" w:rsidP="009B13F3">
      <w:r w:rsidRPr="00563AD3">
        <w:t>DCM™</w:t>
      </w:r>
      <w:r w:rsidR="00BA3E59" w:rsidRPr="00563AD3">
        <w:t xml:space="preserve"> training was provided at </w:t>
      </w:r>
      <w:r w:rsidR="00721FB0" w:rsidRPr="00563AD3">
        <w:t>standard training</w:t>
      </w:r>
      <w:r w:rsidR="00BA3E59" w:rsidRPr="00563AD3">
        <w:t xml:space="preserve"> locations (Bradford and London) for ‘open’ </w:t>
      </w:r>
      <w:r w:rsidRPr="00563AD3">
        <w:t>DCM™</w:t>
      </w:r>
      <w:r w:rsidR="00BA3E59" w:rsidRPr="00563AD3">
        <w:t xml:space="preserve"> courses (those </w:t>
      </w:r>
      <w:r w:rsidR="00644841" w:rsidRPr="00563AD3">
        <w:t xml:space="preserve">open to any trainees and </w:t>
      </w:r>
      <w:r w:rsidR="00BA3E59" w:rsidRPr="00563AD3">
        <w:t>not purchased by a si</w:t>
      </w:r>
      <w:r w:rsidR="00644841" w:rsidRPr="00563AD3">
        <w:t xml:space="preserve">ngle provider organisation </w:t>
      </w:r>
      <w:r w:rsidR="00BA3E59" w:rsidRPr="00563AD3">
        <w:t xml:space="preserve">for their own staff). </w:t>
      </w:r>
      <w:r w:rsidR="00721FB0" w:rsidRPr="00563AD3">
        <w:t xml:space="preserve">However, evidence gathered during the mapper recruitment phase, subsequent efforts to recruit further mappers to replace those who had withdrawn and the process evaluation all indicated that this was difficult for many care home staff and </w:t>
      </w:r>
      <w:r w:rsidR="00644841" w:rsidRPr="00563AD3">
        <w:t xml:space="preserve">thus </w:t>
      </w:r>
      <w:r w:rsidR="00721FB0" w:rsidRPr="00563AD3">
        <w:t xml:space="preserve">restricted who could be recruited as a mapper. For the majority of those recruited as mappers, the four-day training course had to be completed on a residential basis, </w:t>
      </w:r>
      <w:r w:rsidR="00644841" w:rsidRPr="00563AD3">
        <w:t xml:space="preserve">or required significant daily travel. </w:t>
      </w:r>
      <w:r w:rsidR="00721FB0" w:rsidRPr="00563AD3">
        <w:t xml:space="preserve">Some of those identified as potential mappers </w:t>
      </w:r>
      <w:r w:rsidR="00644841" w:rsidRPr="00563AD3">
        <w:t>indicated they would be</w:t>
      </w:r>
      <w:r w:rsidR="00721FB0" w:rsidRPr="00563AD3">
        <w:t xml:space="preserve"> unable to attend the training because of childcare or other responsibilities, whilst others did not wish to or were concerned about travelling and/or attending the training on a residential basis. </w:t>
      </w:r>
    </w:p>
    <w:p w14:paraId="0799D19F" w14:textId="22F0D5EA" w:rsidR="006D4517" w:rsidRPr="00563AD3" w:rsidRDefault="006D4517" w:rsidP="009B13F3">
      <w:r w:rsidRPr="00563AD3">
        <w:t xml:space="preserve">While overall commencement of </w:t>
      </w:r>
      <w:r w:rsidR="00597D22" w:rsidRPr="00563AD3">
        <w:t>DCM™</w:t>
      </w:r>
      <w:r w:rsidRPr="00563AD3">
        <w:t xml:space="preserve"> training within the planned two-months of randomisation was adequate, 29% of homes (n=9) experienced delays in training mappers, and one home failed to </w:t>
      </w:r>
      <w:r w:rsidR="00721FB0" w:rsidRPr="00563AD3">
        <w:t>train any mappers</w:t>
      </w:r>
      <w:r w:rsidRPr="00563AD3">
        <w:t xml:space="preserve"> during the trial period. Mapper withdrawal was also high with over half of homes having one or more mappers withdraw during the trial period and a third of homes having no trained mappers in post by 16-month follow up. Reasons for withdrawal were mainly personal (leaving the organisation, ill-health, maternity leave, change of role within the home). Finding suitable replacement mappers who could be trained during the trial period was not possible in the majority of homes. The</w:t>
      </w:r>
      <w:r w:rsidR="00721FB0" w:rsidRPr="00563AD3">
        <w:t>se</w:t>
      </w:r>
      <w:r w:rsidRPr="00563AD3">
        <w:t xml:space="preserve"> issues impacted on the ability to implement </w:t>
      </w:r>
      <w:r w:rsidR="00597D22" w:rsidRPr="00563AD3">
        <w:t>DCM™</w:t>
      </w:r>
      <w:r w:rsidRPr="00563AD3">
        <w:t xml:space="preserve"> over the trial period and raise questions regarding the </w:t>
      </w:r>
      <w:r w:rsidR="00721FB0" w:rsidRPr="00563AD3">
        <w:t xml:space="preserve">long term </w:t>
      </w:r>
      <w:r w:rsidRPr="00563AD3">
        <w:t xml:space="preserve">sustainability of </w:t>
      </w:r>
      <w:r w:rsidR="00597D22" w:rsidRPr="00563AD3">
        <w:t>DCM™</w:t>
      </w:r>
      <w:r w:rsidRPr="00563AD3">
        <w:t xml:space="preserve"> as an intervention within care home settings.</w:t>
      </w:r>
    </w:p>
    <w:p w14:paraId="4090B8A6" w14:textId="02E4A721" w:rsidR="002911D8" w:rsidRPr="00563AD3" w:rsidRDefault="002911D8" w:rsidP="009B13F3">
      <w:r w:rsidRPr="00563AD3">
        <w:t xml:space="preserve">Given </w:t>
      </w:r>
      <w:r w:rsidR="00597D22" w:rsidRPr="00563AD3">
        <w:t>DCM™</w:t>
      </w:r>
      <w:r w:rsidRPr="00563AD3">
        <w:t xml:space="preserve"> is an established intervention</w:t>
      </w:r>
      <w:r w:rsidR="00246670">
        <w:t>,</w:t>
      </w:r>
      <w:r w:rsidRPr="00563AD3">
        <w:t xml:space="preserve"> piloting of </w:t>
      </w:r>
      <w:r w:rsidR="00074D2E" w:rsidRPr="00563AD3">
        <w:t>its</w:t>
      </w:r>
      <w:r w:rsidRPr="00563AD3">
        <w:t xml:space="preserve"> implementation was not </w:t>
      </w:r>
      <w:r w:rsidR="00644841" w:rsidRPr="00563AD3">
        <w:t xml:space="preserve">considered as a </w:t>
      </w:r>
      <w:r w:rsidRPr="00563AD3">
        <w:t>require</w:t>
      </w:r>
      <w:r w:rsidR="00644841" w:rsidRPr="00563AD3">
        <w:t>ment</w:t>
      </w:r>
      <w:r w:rsidR="00074D2E" w:rsidRPr="00563AD3">
        <w:t xml:space="preserve"> within this trial</w:t>
      </w:r>
      <w:r w:rsidRPr="00563AD3">
        <w:t xml:space="preserve">. </w:t>
      </w:r>
      <w:r w:rsidR="001F1A70">
        <w:t>However, given the lack of robust evidence on implementation of DCM</w:t>
      </w:r>
      <w:r w:rsidR="001F1A70" w:rsidRPr="001F1A70">
        <w:rPr>
          <w:vertAlign w:val="superscript"/>
        </w:rPr>
        <w:t>TM</w:t>
      </w:r>
      <w:r w:rsidR="001F1A70">
        <w:t xml:space="preserve"> available at the time of trail design and the subsequent implementation challenges identified, undertaking some feasibility work to assess intervention adherence in care home settings and potential barriers and facilitators to this may have been beneficial. </w:t>
      </w:r>
      <w:r w:rsidR="005319FE" w:rsidRPr="00563AD3">
        <w:t xml:space="preserve">Published and </w:t>
      </w:r>
      <w:r w:rsidR="00644841" w:rsidRPr="00563AD3">
        <w:t>practitioner</w:t>
      </w:r>
      <w:r w:rsidR="005319FE" w:rsidRPr="00563AD3">
        <w:t xml:space="preserve"> evidence regarding best practice in </w:t>
      </w:r>
      <w:r w:rsidR="00597D22" w:rsidRPr="00563AD3">
        <w:t>DCM™</w:t>
      </w:r>
      <w:r w:rsidR="005319FE" w:rsidRPr="00563AD3">
        <w:t xml:space="preserve"> implementation was consulted in designing the study, and experts in use of </w:t>
      </w:r>
      <w:r w:rsidR="00597D22" w:rsidRPr="00563AD3">
        <w:t>DCM™</w:t>
      </w:r>
      <w:r w:rsidR="005319FE" w:rsidRPr="00563AD3">
        <w:t xml:space="preserve"> were involved in the trial design and delivery. </w:t>
      </w:r>
      <w:r w:rsidR="00597D22" w:rsidRPr="00563AD3">
        <w:t>DCM™</w:t>
      </w:r>
      <w:r w:rsidR="005319FE" w:rsidRPr="00563AD3">
        <w:t xml:space="preserve"> implementation within the trial included the range of supports and prompts for mapping described above, which are over and above what would normally be received by a mapper following completion of </w:t>
      </w:r>
      <w:r w:rsidR="00597D22" w:rsidRPr="00563AD3">
        <w:t>DCM™</w:t>
      </w:r>
      <w:r w:rsidR="005319FE" w:rsidRPr="00563AD3">
        <w:t xml:space="preserve"> training. </w:t>
      </w:r>
      <w:r w:rsidRPr="00563AD3">
        <w:t xml:space="preserve">Nevertheless, </w:t>
      </w:r>
      <w:r w:rsidR="005319FE" w:rsidRPr="00563AD3">
        <w:t xml:space="preserve">considerable </w:t>
      </w:r>
      <w:r w:rsidR="00597D22" w:rsidRPr="00563AD3">
        <w:t>DCM™</w:t>
      </w:r>
      <w:r w:rsidR="005319FE" w:rsidRPr="00563AD3">
        <w:t xml:space="preserve"> </w:t>
      </w:r>
      <w:r w:rsidRPr="00563AD3">
        <w:t xml:space="preserve">implementation difficulties </w:t>
      </w:r>
      <w:r w:rsidR="00074D2E" w:rsidRPr="00563AD3">
        <w:t xml:space="preserve">and problems with compliance </w:t>
      </w:r>
      <w:r w:rsidR="005319FE" w:rsidRPr="00563AD3">
        <w:t xml:space="preserve">were still encountered. </w:t>
      </w:r>
    </w:p>
    <w:p w14:paraId="28533943" w14:textId="447C646B" w:rsidR="002D1565" w:rsidRPr="00563AD3" w:rsidRDefault="002D1565" w:rsidP="009B13F3"/>
    <w:p w14:paraId="58DBC631" w14:textId="55E3B8EE" w:rsidR="00931070" w:rsidRPr="00563AD3" w:rsidRDefault="00410C6F" w:rsidP="009B13F3">
      <w:pPr>
        <w:pStyle w:val="Heading3"/>
      </w:pPr>
      <w:bookmarkStart w:id="230" w:name="_Toc525544051"/>
      <w:r w:rsidRPr="00563AD3">
        <w:t>6</w:t>
      </w:r>
      <w:r w:rsidR="00714318" w:rsidRPr="00563AD3">
        <w:t>.</w:t>
      </w:r>
      <w:r w:rsidR="00E857B0">
        <w:t>9</w:t>
      </w:r>
      <w:r w:rsidR="00714318" w:rsidRPr="00563AD3">
        <w:t>.1</w:t>
      </w:r>
      <w:r w:rsidR="00931070" w:rsidRPr="00563AD3">
        <w:t xml:space="preserve"> Intervention compliance</w:t>
      </w:r>
      <w:bookmarkEnd w:id="230"/>
    </w:p>
    <w:p w14:paraId="5CFA58FE" w14:textId="7D3AF331" w:rsidR="002911D8" w:rsidRPr="00563AD3" w:rsidRDefault="00597D22" w:rsidP="009B13F3">
      <w:r w:rsidRPr="00563AD3">
        <w:t>DCM™</w:t>
      </w:r>
      <w:r w:rsidR="002911D8" w:rsidRPr="00563AD3">
        <w:t xml:space="preserve"> implementation was poore</w:t>
      </w:r>
      <w:r w:rsidR="00074D2E" w:rsidRPr="00563AD3">
        <w:t xml:space="preserve">r than expected and </w:t>
      </w:r>
      <w:r w:rsidR="002911D8" w:rsidRPr="00563AD3">
        <w:t xml:space="preserve">even with </w:t>
      </w:r>
      <w:r w:rsidRPr="00563AD3">
        <w:t>DCM™</w:t>
      </w:r>
      <w:r w:rsidR="002911D8" w:rsidRPr="00563AD3">
        <w:t xml:space="preserve"> expert mapper support</w:t>
      </w:r>
      <w:r w:rsidR="00074D2E" w:rsidRPr="00563AD3">
        <w:t>,</w:t>
      </w:r>
      <w:r w:rsidR="002911D8" w:rsidRPr="00563AD3">
        <w:t xml:space="preserve"> 10% of intervention care homes failed to undertake any </w:t>
      </w:r>
      <w:r w:rsidRPr="00563AD3">
        <w:t>DCM™</w:t>
      </w:r>
      <w:r w:rsidR="002911D8" w:rsidRPr="00563AD3">
        <w:t xml:space="preserve"> activity and 23% did not complete one full cycle. A further 52% of homes completed only their first expert mapper supported cycle, leaving </w:t>
      </w:r>
      <w:r w:rsidR="00714318" w:rsidRPr="00563AD3">
        <w:t xml:space="preserve">just over </w:t>
      </w:r>
      <w:r w:rsidR="002911D8" w:rsidRPr="00563AD3">
        <w:t>a quarter (26%) who completed more t</w:t>
      </w:r>
      <w:r w:rsidR="00DA0920" w:rsidRPr="00563AD3">
        <w:t>han one cycle with only 13% (n=4</w:t>
      </w:r>
      <w:r w:rsidR="002911D8" w:rsidRPr="00563AD3">
        <w:t>) completing the three full</w:t>
      </w:r>
      <w:r w:rsidR="002A0A93" w:rsidRPr="00563AD3">
        <w:t>, per protocol</w:t>
      </w:r>
      <w:r w:rsidR="002911D8" w:rsidRPr="00563AD3">
        <w:t xml:space="preserve"> cycles to an acceptable level. </w:t>
      </w:r>
      <w:r w:rsidR="00DA0920" w:rsidRPr="00563AD3">
        <w:t>This was despite a</w:t>
      </w:r>
      <w:r w:rsidR="002911D8" w:rsidRPr="00563AD3">
        <w:t xml:space="preserve"> range of methods for </w:t>
      </w:r>
      <w:r w:rsidR="005319FE" w:rsidRPr="00563AD3">
        <w:t xml:space="preserve">tracking and </w:t>
      </w:r>
      <w:r w:rsidR="002911D8" w:rsidRPr="00563AD3">
        <w:t>supporting intervention compliance were implemented during the trial. Tracking intervention compliance was challenging a</w:t>
      </w:r>
      <w:r w:rsidR="00DA0920" w:rsidRPr="00563AD3">
        <w:t xml:space="preserve">nd required considerable effort. </w:t>
      </w:r>
      <w:r w:rsidR="00714318" w:rsidRPr="00563AD3">
        <w:t xml:space="preserve">Despite this there was missing documentation, particularly that associated with </w:t>
      </w:r>
      <w:r w:rsidR="00433C32" w:rsidRPr="00563AD3">
        <w:t>briefing and feedback sessions and assumptions had to be made that previous components of the cycle had been completed if documented evidence for later components was submitted e.g. assumption that a briefing session had occurred if there was documented evidence of mapping observations having taken place.</w:t>
      </w:r>
      <w:r w:rsidR="00714318" w:rsidRPr="00563AD3">
        <w:t xml:space="preserve"> </w:t>
      </w:r>
    </w:p>
    <w:p w14:paraId="5CF939ED" w14:textId="4497E842" w:rsidR="002911D8" w:rsidRDefault="002911D8" w:rsidP="009B13F3">
      <w:r w:rsidRPr="00563AD3">
        <w:t xml:space="preserve">Two homes withdrew from the </w:t>
      </w:r>
      <w:r w:rsidR="00597D22" w:rsidRPr="00563AD3">
        <w:t>DCM™</w:t>
      </w:r>
      <w:r w:rsidRPr="00563AD3">
        <w:t xml:space="preserve"> intervention during the trial period, one because they felt </w:t>
      </w:r>
      <w:r w:rsidR="00597D22" w:rsidRPr="00563AD3">
        <w:t>DCM™</w:t>
      </w:r>
      <w:r w:rsidRPr="00563AD3">
        <w:t xml:space="preserve"> was not of value and the other because they were unable to identify</w:t>
      </w:r>
      <w:r w:rsidR="006D4517" w:rsidRPr="00563AD3">
        <w:t xml:space="preserve"> any suitable mappers following withdrawal of the trained mappers due to personal reasons.</w:t>
      </w:r>
      <w:r w:rsidRPr="00563AD3">
        <w:t xml:space="preserve"> </w:t>
      </w:r>
      <w:r w:rsidR="006D4517" w:rsidRPr="00563AD3">
        <w:t xml:space="preserve">The poor intervention compliance was disappointing given our adoption of established </w:t>
      </w:r>
      <w:r w:rsidR="00597D22" w:rsidRPr="00563AD3">
        <w:t>DCM™</w:t>
      </w:r>
      <w:r w:rsidR="006D4517" w:rsidRPr="00563AD3">
        <w:t xml:space="preserve"> training and implementation processes and the introduction of enhanced support for the trained care home mappers</w:t>
      </w:r>
      <w:r w:rsidR="00501613" w:rsidRPr="00563AD3">
        <w:t xml:space="preserve"> </w:t>
      </w:r>
      <w:r w:rsidR="006D4517" w:rsidRPr="00563AD3">
        <w:t xml:space="preserve">above that which might be expected in usual </w:t>
      </w:r>
      <w:r w:rsidR="00597D22" w:rsidRPr="00563AD3">
        <w:t>DCM™</w:t>
      </w:r>
      <w:r w:rsidR="006D4517" w:rsidRPr="00563AD3">
        <w:t xml:space="preserve"> practice.</w:t>
      </w:r>
      <w:r w:rsidR="002A0A93" w:rsidRPr="00563AD3">
        <w:t xml:space="preserve"> This has implications for considering implementation of </w:t>
      </w:r>
      <w:r w:rsidR="00597D22" w:rsidRPr="00563AD3">
        <w:t>DCM™</w:t>
      </w:r>
      <w:r w:rsidR="002A0A93" w:rsidRPr="00563AD3">
        <w:t xml:space="preserve"> in the future, in particular consideration of models of implementation that are not reliant on care home staff.</w:t>
      </w:r>
    </w:p>
    <w:p w14:paraId="12B6109C" w14:textId="77777777" w:rsidR="007E2367" w:rsidRPr="00563AD3" w:rsidRDefault="007E2367" w:rsidP="009B13F3"/>
    <w:p w14:paraId="4F3D4FB6" w14:textId="7896C502" w:rsidR="00931070" w:rsidRPr="00563AD3" w:rsidRDefault="00410C6F" w:rsidP="009B13F3">
      <w:pPr>
        <w:pStyle w:val="Heading3"/>
      </w:pPr>
      <w:bookmarkStart w:id="231" w:name="_Toc525544052"/>
      <w:r w:rsidRPr="00563AD3">
        <w:t>6</w:t>
      </w:r>
      <w:r w:rsidR="00931070" w:rsidRPr="00563AD3">
        <w:t>.</w:t>
      </w:r>
      <w:r w:rsidR="00E857B0">
        <w:t>9</w:t>
      </w:r>
      <w:r w:rsidR="00931070" w:rsidRPr="00563AD3">
        <w:t>.</w:t>
      </w:r>
      <w:r w:rsidR="00EB3021" w:rsidRPr="00563AD3">
        <w:t>2</w:t>
      </w:r>
      <w:r w:rsidR="00931070" w:rsidRPr="00563AD3">
        <w:t xml:space="preserve"> Integral process evaluation</w:t>
      </w:r>
      <w:r w:rsidR="00E24E14" w:rsidRPr="00563AD3">
        <w:t xml:space="preserve"> (separate papers in preparation)</w:t>
      </w:r>
      <w:bookmarkEnd w:id="231"/>
    </w:p>
    <w:p w14:paraId="3C19B63A" w14:textId="73643698" w:rsidR="00931070" w:rsidRDefault="00E24E14" w:rsidP="009B13F3">
      <w:r w:rsidRPr="00563AD3">
        <w:t xml:space="preserve">An integral process evaluation was conducted within the </w:t>
      </w:r>
      <w:r w:rsidR="00597D22" w:rsidRPr="00563AD3">
        <w:t>DCM™</w:t>
      </w:r>
      <w:r w:rsidRPr="00563AD3">
        <w:t xml:space="preserve"> EPIC trial. It investigated the perceptions of </w:t>
      </w:r>
      <w:r w:rsidR="00597D22" w:rsidRPr="00563AD3">
        <w:t>DCM™</w:t>
      </w:r>
      <w:r w:rsidRPr="00563AD3">
        <w:t xml:space="preserve"> implementation and impact from the perspective of mappers, care home managers and staff, care home residents with dementia, their relatives/friends and the </w:t>
      </w:r>
      <w:r w:rsidR="00597D22" w:rsidRPr="00563AD3">
        <w:t>DCM™</w:t>
      </w:r>
      <w:r w:rsidRPr="00563AD3">
        <w:t xml:space="preserve"> expert mappers. The process evaluation results have provided a valuable context within which to understand and interpret the </w:t>
      </w:r>
      <w:r w:rsidR="00597D22" w:rsidRPr="00563AD3">
        <w:t>DCM™</w:t>
      </w:r>
      <w:r w:rsidRPr="00563AD3">
        <w:t xml:space="preserve"> EPIC trial findings</w:t>
      </w:r>
      <w:r w:rsidR="00DA0920" w:rsidRPr="00563AD3">
        <w:t xml:space="preserve"> and will be presented in detail in additional papers that are currently in preparation</w:t>
      </w:r>
      <w:r w:rsidRPr="00563AD3">
        <w:t>.</w:t>
      </w:r>
    </w:p>
    <w:p w14:paraId="668F565C" w14:textId="77777777" w:rsidR="007E2367" w:rsidRPr="00563AD3" w:rsidRDefault="007E2367" w:rsidP="009B13F3"/>
    <w:p w14:paraId="7D4C1C70" w14:textId="53A04319" w:rsidR="00931070" w:rsidRPr="00563AD3" w:rsidRDefault="00410C6F" w:rsidP="009B13F3">
      <w:pPr>
        <w:pStyle w:val="Heading2"/>
      </w:pPr>
      <w:bookmarkStart w:id="232" w:name="_Toc525544053"/>
      <w:r w:rsidRPr="00563AD3">
        <w:t>6</w:t>
      </w:r>
      <w:r w:rsidR="00336BDD" w:rsidRPr="00563AD3">
        <w:t>.1</w:t>
      </w:r>
      <w:r w:rsidR="00E857B0">
        <w:t>0</w:t>
      </w:r>
      <w:r w:rsidR="00931070" w:rsidRPr="00563AD3">
        <w:t xml:space="preserve"> Interpretation of results</w:t>
      </w:r>
      <w:bookmarkEnd w:id="232"/>
    </w:p>
    <w:p w14:paraId="405C800A" w14:textId="3987E234" w:rsidR="00931070" w:rsidRDefault="00561F37" w:rsidP="009B13F3">
      <w:r w:rsidRPr="00563AD3">
        <w:t xml:space="preserve">The results of this trial may potentially be attributed to poor intervention compliance. While </w:t>
      </w:r>
      <w:r w:rsidR="00597D22" w:rsidRPr="00563AD3">
        <w:t>DCM™</w:t>
      </w:r>
      <w:r w:rsidRPr="00563AD3">
        <w:t xml:space="preserve"> implementation was successful in a number of sites and the process evaluation was able to identify factors associated with successful implementation as well as barriers to this, the proportion of intervention homes who failed to complete any</w:t>
      </w:r>
      <w:r w:rsidR="0014504C" w:rsidRPr="00563AD3">
        <w:t>,</w:t>
      </w:r>
      <w:r w:rsidRPr="00563AD3">
        <w:t xml:space="preserve"> </w:t>
      </w:r>
      <w:r w:rsidR="0014504C" w:rsidRPr="00563AD3">
        <w:t>or more than the</w:t>
      </w:r>
      <w:r w:rsidRPr="00563AD3">
        <w:t xml:space="preserve"> initial expert supported cycle, was disappointing. </w:t>
      </w:r>
      <w:r w:rsidR="0014504C" w:rsidRPr="00563AD3">
        <w:t xml:space="preserve">This indicates that although </w:t>
      </w:r>
      <w:r w:rsidR="00597D22" w:rsidRPr="00563AD3">
        <w:t>DCM™</w:t>
      </w:r>
      <w:r w:rsidR="0014504C" w:rsidRPr="00563AD3">
        <w:t xml:space="preserve"> was a well-used intervention within care homes prior to this trial and was assumed therefore, to be acceptable and feasible to use in these settings, this may not be the case. </w:t>
      </w:r>
      <w:r w:rsidRPr="00563AD3">
        <w:t xml:space="preserve">While the exploratory CACE analyses indicated that the treatment effect may increase if care homes complete at least two </w:t>
      </w:r>
      <w:r w:rsidR="00597D22" w:rsidRPr="00563AD3">
        <w:t>DCM™</w:t>
      </w:r>
      <w:r w:rsidRPr="00563AD3">
        <w:t xml:space="preserve"> cycles to an acceptable level compared to completing only one cycle and are thus suggestive of a dose-response relationship, further research would need to be undertaken to explore this potential relationship.</w:t>
      </w:r>
      <w:r w:rsidR="0014504C" w:rsidRPr="00563AD3">
        <w:t xml:space="preserve"> </w:t>
      </w:r>
    </w:p>
    <w:p w14:paraId="2CFDB18B" w14:textId="77777777" w:rsidR="007E2367" w:rsidRPr="00563AD3" w:rsidRDefault="007E2367" w:rsidP="009B13F3"/>
    <w:p w14:paraId="26BAA64C" w14:textId="39DB9A1D" w:rsidR="00931070" w:rsidRPr="00563AD3" w:rsidRDefault="00410C6F" w:rsidP="009B13F3">
      <w:pPr>
        <w:pStyle w:val="Heading3"/>
      </w:pPr>
      <w:bookmarkStart w:id="233" w:name="_Toc525544054"/>
      <w:r w:rsidRPr="00563AD3">
        <w:t>6</w:t>
      </w:r>
      <w:r w:rsidR="00336BDD" w:rsidRPr="00563AD3">
        <w:t>.1</w:t>
      </w:r>
      <w:r w:rsidR="00E857B0">
        <w:t>0</w:t>
      </w:r>
      <w:r w:rsidR="00336BDD" w:rsidRPr="00563AD3">
        <w:t>.1</w:t>
      </w:r>
      <w:r w:rsidR="00931070" w:rsidRPr="00563AD3">
        <w:t xml:space="preserve"> Economic evaluation</w:t>
      </w:r>
      <w:bookmarkEnd w:id="233"/>
    </w:p>
    <w:p w14:paraId="56AA89D8" w14:textId="5F00F6EC" w:rsidR="004872B6" w:rsidRPr="00563AD3" w:rsidRDefault="004872B6" w:rsidP="009B13F3">
      <w:r w:rsidRPr="00563AD3">
        <w:t xml:space="preserve">We estimated the mean resident cost of </w:t>
      </w:r>
      <w:r w:rsidR="00597D22" w:rsidRPr="00563AD3">
        <w:t>DCM™</w:t>
      </w:r>
      <w:r w:rsidRPr="00563AD3">
        <w:t xml:space="preserve"> to be £421.07 and the most costly components of this attendance at </w:t>
      </w:r>
      <w:r w:rsidR="00597D22" w:rsidRPr="00563AD3">
        <w:t>DCM™</w:t>
      </w:r>
      <w:r w:rsidRPr="00563AD3">
        <w:t xml:space="preserve"> training and </w:t>
      </w:r>
      <w:r w:rsidR="00597D22" w:rsidRPr="00563AD3">
        <w:t>DCM™</w:t>
      </w:r>
      <w:r w:rsidRPr="00563AD3">
        <w:t xml:space="preserve"> expert mapper support. While there appeared to be incremental health (QALY) benefits for </w:t>
      </w:r>
      <w:r w:rsidR="00561F37" w:rsidRPr="00563AD3">
        <w:t>the intervention</w:t>
      </w:r>
      <w:r w:rsidRPr="00563AD3">
        <w:t xml:space="preserve"> over </w:t>
      </w:r>
      <w:r w:rsidR="00561F37" w:rsidRPr="00563AD3">
        <w:t>control</w:t>
      </w:r>
      <w:r w:rsidRPr="00563AD3">
        <w:t xml:space="preserve">, these were relatively modest and out-weighed by the additional costs. As such, </w:t>
      </w:r>
      <w:r w:rsidR="00597D22" w:rsidRPr="00563AD3">
        <w:t>DCM™</w:t>
      </w:r>
      <w:r w:rsidRPr="00563AD3">
        <w:t xml:space="preserve"> did not appear to represent value for money in the cost-utility framework. Cost per reduction in CMAI cost-effectiveness values were generated and these should be interpreted alongside previous studies reporting the same metric. </w:t>
      </w:r>
    </w:p>
    <w:p w14:paraId="06EA939A" w14:textId="59B3F01F" w:rsidR="00E24E14" w:rsidRPr="00563AD3" w:rsidRDefault="004872B6" w:rsidP="009B13F3">
      <w:r w:rsidRPr="00563AD3">
        <w:t xml:space="preserve">The results were largely driven by a small number of high cost outliers in the </w:t>
      </w:r>
      <w:r w:rsidR="00561F37" w:rsidRPr="00563AD3">
        <w:t xml:space="preserve">intervention </w:t>
      </w:r>
      <w:r w:rsidR="00182DC5" w:rsidRPr="00563AD3">
        <w:t>arm</w:t>
      </w:r>
      <w:r w:rsidRPr="00563AD3">
        <w:t xml:space="preserve"> and sensitivity analyses removing these reduced the ICER substantively. Since we cannot definitively state that these cost outliers were random and not associated with the intervention, they are retained in the main analysis. The conclusions were robust to sensitivity analyses. However, efforts to reduce the cost of the intervention and improve compliance may improve value for money estimates.</w:t>
      </w:r>
      <w:r w:rsidR="0014504C" w:rsidRPr="00563AD3">
        <w:t xml:space="preserve"> However, given the </w:t>
      </w:r>
      <w:r w:rsidR="00597D22" w:rsidRPr="00563AD3">
        <w:t>DCM™</w:t>
      </w:r>
      <w:r w:rsidR="0014504C" w:rsidRPr="00563AD3">
        <w:t xml:space="preserve"> implementation challenges identified in this study it seems unlikely greater adherence would be feasible to achieve with </w:t>
      </w:r>
      <w:r w:rsidR="00597D22" w:rsidRPr="00563AD3">
        <w:t>DCM™</w:t>
      </w:r>
      <w:r w:rsidR="0014504C" w:rsidRPr="00563AD3">
        <w:t xml:space="preserve"> cycles led solely by care home staff. Therefore, the costs of potential alternative models of delivery would need to be considered carefully in future research.</w:t>
      </w:r>
    </w:p>
    <w:p w14:paraId="72120B1F" w14:textId="77777777" w:rsidR="004872B6" w:rsidRPr="00563AD3" w:rsidRDefault="004872B6" w:rsidP="009B13F3"/>
    <w:p w14:paraId="350F6DCF" w14:textId="4CAB162D" w:rsidR="00931070" w:rsidRPr="00563AD3" w:rsidRDefault="00410C6F" w:rsidP="009B13F3">
      <w:pPr>
        <w:pStyle w:val="Heading3"/>
      </w:pPr>
      <w:bookmarkStart w:id="234" w:name="_Toc525544055"/>
      <w:r w:rsidRPr="00563AD3">
        <w:t>6</w:t>
      </w:r>
      <w:r w:rsidR="00931070" w:rsidRPr="00563AD3">
        <w:t>.1</w:t>
      </w:r>
      <w:r w:rsidR="00E857B0">
        <w:t>0</w:t>
      </w:r>
      <w:r w:rsidR="00336BDD" w:rsidRPr="00563AD3">
        <w:t>.2</w:t>
      </w:r>
      <w:r w:rsidR="00931070" w:rsidRPr="00563AD3">
        <w:t xml:space="preserve"> Overall evidence</w:t>
      </w:r>
      <w:bookmarkEnd w:id="234"/>
    </w:p>
    <w:p w14:paraId="4853AC5A" w14:textId="2B506E72" w:rsidR="004765FE" w:rsidRPr="00563AD3" w:rsidRDefault="004352F8" w:rsidP="009B13F3">
      <w:r w:rsidRPr="00563AD3">
        <w:t xml:space="preserve">Systematic </w:t>
      </w:r>
      <w:r w:rsidR="00D81AF4" w:rsidRPr="00563AD3">
        <w:t xml:space="preserve">reviews have identified </w:t>
      </w:r>
      <w:r w:rsidR="00597D22" w:rsidRPr="00563AD3">
        <w:t>DCM™</w:t>
      </w:r>
      <w:r w:rsidR="00D81AF4" w:rsidRPr="00563AD3">
        <w:t xml:space="preserve"> as </w:t>
      </w:r>
      <w:r w:rsidRPr="00563AD3">
        <w:t xml:space="preserve">effective for reducing agitation immediately and at 6-months post-randomisation in care home residents with dementia </w:t>
      </w:r>
      <w:r w:rsidRPr="00563AD3">
        <w:fldChar w:fldCharType="begin"/>
      </w:r>
      <w:r w:rsidR="008C7FD1">
        <w:instrText xml:space="preserve"> ADDIN EN.CITE &lt;EndNote&gt;&lt;Cite&gt;&lt;Author&gt;Livingston&lt;/Author&gt;&lt;Year&gt;2014&lt;/Year&gt;&lt;RecNum&gt;1782&lt;/RecNum&gt;&lt;DisplayText&gt;&lt;style face="superscript"&gt;62&lt;/style&gt;&lt;/DisplayText&gt;&lt;record&gt;&lt;rec-number&gt;1782&lt;/rec-number&gt;&lt;foreign-keys&gt;&lt;key app="EN" db-id="wprxwptv75dtdree0t5x2ptmvadptw5fr2ww" timestamp="1516647037"&gt;1782&lt;/key&gt;&lt;/foreign-keys&gt;&lt;ref-type name="Journal Article"&gt;17&lt;/ref-type&gt;&lt;contributors&gt;&lt;authors&gt;&lt;author&gt;Livingston, G.&lt;/author&gt;&lt;author&gt;Kelly, L.&lt;/author&gt;&lt;author&gt;Lewis-Holmes, E.&lt;/author&gt;&lt;author&gt;Baio, G.&lt;/author&gt;&lt;author&gt;Morris, S.&lt;/author&gt;&lt;author&gt;Patel, N.&lt;/author&gt;&lt;author&gt;Omar, R.Z.&lt;/author&gt;&lt;author&gt;Katona, C.&lt;/author&gt;&lt;author&gt;Cooper, C.&lt;/author&gt;&lt;/authors&gt;&lt;/contributors&gt;&lt;titles&gt;&lt;title&gt;Non-pharmacological interventions for agitation in dementia: systematic review of randomised controlled trials&lt;/title&gt;&lt;secondary-title&gt;British Journal of Psychiatry&lt;/secondary-title&gt;&lt;/titles&gt;&lt;periodical&gt;&lt;full-title&gt;British Journal of Psychiatry&lt;/full-title&gt;&lt;abbr-1&gt;Br. J. Psychiatry&lt;/abbr-1&gt;&lt;abbr-2&gt;Br J Psychiatry&lt;/abbr-2&gt;&lt;/periodical&gt;&lt;pages&gt;436-442&lt;/pages&gt;&lt;volume&gt;205&lt;/volume&gt;&lt;number&gt;6&lt;/number&gt;&lt;dates&gt;&lt;year&gt;2014&lt;/year&gt;&lt;/dates&gt;&lt;urls&gt;&lt;/urls&gt;&lt;/record&gt;&lt;/Cite&gt;&lt;/EndNote&gt;</w:instrText>
      </w:r>
      <w:r w:rsidRPr="00563AD3">
        <w:fldChar w:fldCharType="separate"/>
      </w:r>
      <w:r w:rsidR="007301D7" w:rsidRPr="007301D7">
        <w:rPr>
          <w:noProof/>
          <w:vertAlign w:val="superscript"/>
        </w:rPr>
        <w:t>62</w:t>
      </w:r>
      <w:r w:rsidRPr="00563AD3">
        <w:fldChar w:fldCharType="end"/>
      </w:r>
      <w:r w:rsidRPr="00563AD3">
        <w:t xml:space="preserve"> and in presenting benefits for care home staff</w:t>
      </w:r>
      <w:r w:rsidR="00F5675C">
        <w:t>.</w:t>
      </w:r>
      <w:r w:rsidRPr="00563AD3">
        <w:t xml:space="preserve"> </w:t>
      </w:r>
      <w:r w:rsidRPr="00563AD3">
        <w:fldChar w:fldCharType="begin"/>
      </w:r>
      <w:r w:rsidR="00535E40">
        <w:instrText xml:space="preserve"> ADDIN EN.CITE &lt;EndNote&gt;&lt;Cite&gt;&lt;Author&gt;Barbosa&lt;/Author&gt;&lt;Year&gt;2017&lt;/Year&gt;&lt;RecNum&gt;1800&lt;/RecNum&gt;&lt;DisplayText&gt;&lt;style face="superscript"&gt;165&lt;/style&gt;&lt;/DisplayText&gt;&lt;record&gt;&lt;rec-number&gt;1800&lt;/rec-number&gt;&lt;foreign-keys&gt;&lt;key app="EN" db-id="wprxwptv75dtdree0t5x2ptmvadptw5fr2ww" timestamp="1517329523"&gt;1800&lt;/key&gt;&lt;/foreign-keys&gt;&lt;ref-type name="Journal Article"&gt;17&lt;/ref-type&gt;&lt;contributors&gt;&lt;authors&gt;&lt;author&gt;Barbosa, A.&lt;/author&gt;&lt;author&gt;Lord, K.&lt;/author&gt;&lt;author&gt;Blighe, A.&lt;/author&gt;&lt;author&gt;Mountain, G.&lt;/author&gt;&lt;/authors&gt;&lt;/contributors&gt;&lt;titles&gt;&lt;title&gt;Dementia Care Mapping in long-term care settings: a systematic review of the evidence&lt;/title&gt;&lt;secondary-title&gt;International Psychogeriatrics&lt;/secondary-title&gt;&lt;/titles&gt;&lt;periodical&gt;&lt;full-title&gt;International Psychogeriatrics&lt;/full-title&gt;&lt;abbr-1&gt;Int. Psychogeriatr.&lt;/abbr-1&gt;&lt;abbr-2&gt;Int Psychogeriatr&lt;/abbr-2&gt;&lt;/periodical&gt;&lt;pages&gt;1609-18&lt;/pages&gt;&lt;volume&gt;29&lt;/volume&gt;&lt;number&gt;10&lt;/number&gt;&lt;dates&gt;&lt;year&gt;2017&lt;/year&gt;&lt;/dates&gt;&lt;urls&gt;&lt;/urls&gt;&lt;/record&gt;&lt;/Cite&gt;&lt;/EndNote&gt;</w:instrText>
      </w:r>
      <w:r w:rsidRPr="00563AD3">
        <w:fldChar w:fldCharType="separate"/>
      </w:r>
      <w:r w:rsidR="00535E40" w:rsidRPr="00535E40">
        <w:rPr>
          <w:noProof/>
          <w:vertAlign w:val="superscript"/>
        </w:rPr>
        <w:t>165</w:t>
      </w:r>
      <w:r w:rsidRPr="00563AD3">
        <w:fldChar w:fldCharType="end"/>
      </w:r>
      <w:r w:rsidRPr="00563AD3">
        <w:t xml:space="preserve"> However, the number of published studies is low, their outcomes varied and robust evidence to guide effective </w:t>
      </w:r>
      <w:r w:rsidR="00597D22" w:rsidRPr="00563AD3">
        <w:t>DCM™</w:t>
      </w:r>
      <w:r w:rsidRPr="00563AD3">
        <w:t xml:space="preserve"> implementation is extremely limited</w:t>
      </w:r>
      <w:r w:rsidR="00F5675C">
        <w:t>.</w:t>
      </w:r>
      <w:r w:rsidRPr="00563AD3">
        <w:t xml:space="preserve"> </w:t>
      </w:r>
      <w:r w:rsidRPr="00563AD3">
        <w:fldChar w:fldCharType="begin"/>
      </w:r>
      <w:r w:rsidR="008C7FD1">
        <w:instrText xml:space="preserve"> ADDIN EN.CITE &lt;EndNote&gt;&lt;Cite&gt;&lt;Author&gt;Surr&lt;/Author&gt;&lt;Year&gt;2018&lt;/Year&gt;&lt;RecNum&gt;1797&lt;/RecNum&gt;&lt;DisplayText&gt;&lt;style face="superscript"&gt;96&lt;/style&gt;&lt;/DisplayText&gt;&lt;record&gt;&lt;rec-number&gt;1797&lt;/rec-number&gt;&lt;foreign-keys&gt;&lt;key app="EN" db-id="wprxwptv75dtdree0t5x2ptmvadptw5fr2ww" timestamp="1517319067"&gt;1797&lt;/key&gt;&lt;/foreign-keys&gt;&lt;ref-type name="Journal Article"&gt;17&lt;/ref-type&gt;&lt;contributors&gt;&lt;authors&gt;&lt;author&gt;Surr, C.&lt;/author&gt;&lt;author&gt;Griffiths, A.W.&lt;/author&gt;&lt;author&gt;Kelley, R.&lt;/author&gt;&lt;/authors&gt;&lt;/contributors&gt;&lt;titles&gt;&lt;title&gt;Implementing Dementia Care Mapping as a practice development tool in dementia care services: a systematic review&lt;/title&gt;&lt;secondary-title&gt;Clinical Interventions in Aging&lt;/secondary-title&gt;&lt;/titles&gt;&lt;periodical&gt;&lt;full-title&gt;Clinical Interventions in Aging&lt;/full-title&gt;&lt;abbr-1&gt;Clin. Interv. Aging&lt;/abbr-1&gt;&lt;abbr-2&gt;Clin Interv Aging&lt;/abbr-2&gt;&lt;/periodical&gt;&lt;pages&gt;165-177&lt;/pages&gt;&lt;volume&gt;13&lt;/volume&gt;&lt;dates&gt;&lt;year&gt;2018&lt;/year&gt;&lt;/dates&gt;&lt;urls&gt;&lt;/urls&gt;&lt;/record&gt;&lt;/Cite&gt;&lt;/EndNote&gt;</w:instrText>
      </w:r>
      <w:r w:rsidRPr="00563AD3">
        <w:fldChar w:fldCharType="separate"/>
      </w:r>
      <w:r w:rsidR="00EC2AA2" w:rsidRPr="00EC2AA2">
        <w:rPr>
          <w:noProof/>
          <w:vertAlign w:val="superscript"/>
        </w:rPr>
        <w:t>96</w:t>
      </w:r>
      <w:r w:rsidRPr="00563AD3">
        <w:fldChar w:fldCharType="end"/>
      </w:r>
      <w:r w:rsidRPr="00563AD3">
        <w:t xml:space="preserve"> Trials demonstrating efficacy of </w:t>
      </w:r>
      <w:r w:rsidR="00597D22" w:rsidRPr="00563AD3">
        <w:t>DCM™</w:t>
      </w:r>
      <w:r w:rsidRPr="00563AD3">
        <w:t xml:space="preserve"> have to date included researcher led cycles of </w:t>
      </w:r>
      <w:r w:rsidR="00597D22" w:rsidRPr="00563AD3">
        <w:t>DCM™</w:t>
      </w:r>
      <w:r w:rsidRPr="00563AD3">
        <w:t xml:space="preserve">. The </w:t>
      </w:r>
      <w:r w:rsidR="00597D22" w:rsidRPr="00563AD3">
        <w:t>DCM™</w:t>
      </w:r>
      <w:r w:rsidRPr="00563AD3">
        <w:t xml:space="preserve"> EPIC trial sought to examine whether </w:t>
      </w:r>
      <w:r w:rsidR="00597D22" w:rsidRPr="00563AD3">
        <w:t>DCM™</w:t>
      </w:r>
      <w:r w:rsidRPr="00563AD3">
        <w:t xml:space="preserve"> implemented within care homes settings, following usual UK models of care home staff led cycles, was effective and cost effective. It is the largest and only </w:t>
      </w:r>
      <w:r w:rsidR="000710A5" w:rsidRPr="00563AD3">
        <w:t>explanatory</w:t>
      </w:r>
      <w:r w:rsidRPr="00563AD3">
        <w:t xml:space="preserve"> trial of </w:t>
      </w:r>
      <w:r w:rsidR="00597D22" w:rsidRPr="00563AD3">
        <w:t>DCM™</w:t>
      </w:r>
      <w:r w:rsidRPr="00563AD3">
        <w:t xml:space="preserve"> </w:t>
      </w:r>
      <w:r w:rsidR="000710A5" w:rsidRPr="00563AD3">
        <w:t>conducted internationally and the only UK</w:t>
      </w:r>
      <w:r w:rsidR="00075770" w:rsidRPr="00563AD3">
        <w:t>-based</w:t>
      </w:r>
      <w:r w:rsidR="000710A5" w:rsidRPr="00563AD3">
        <w:t xml:space="preserve"> tri</w:t>
      </w:r>
      <w:r w:rsidR="00075770" w:rsidRPr="00563AD3">
        <w:t>a</w:t>
      </w:r>
      <w:r w:rsidR="000710A5" w:rsidRPr="00563AD3">
        <w:t xml:space="preserve">l. </w:t>
      </w:r>
      <w:r w:rsidR="00075770" w:rsidRPr="00563AD3">
        <w:t>R</w:t>
      </w:r>
      <w:r w:rsidRPr="00563AD3">
        <w:t xml:space="preserve">ecruiting </w:t>
      </w:r>
      <w:r w:rsidR="00075770" w:rsidRPr="00563AD3">
        <w:t>978 residents across 50</w:t>
      </w:r>
      <w:r w:rsidRPr="00563AD3">
        <w:t xml:space="preserve"> </w:t>
      </w:r>
      <w:r w:rsidR="00075770" w:rsidRPr="00563AD3">
        <w:t xml:space="preserve">care homes, and randomising 31 clusters to </w:t>
      </w:r>
      <w:r w:rsidR="00597D22" w:rsidRPr="00563AD3">
        <w:t>DCM™</w:t>
      </w:r>
      <w:r w:rsidR="00075770" w:rsidRPr="00563AD3">
        <w:t xml:space="preserve"> intervention, </w:t>
      </w:r>
      <w:r w:rsidR="00597D22" w:rsidRPr="00563AD3">
        <w:t>DCM™</w:t>
      </w:r>
      <w:r w:rsidR="00075770" w:rsidRPr="00563AD3">
        <w:t xml:space="preserve"> EPIC is the largest trial of </w:t>
      </w:r>
      <w:r w:rsidR="00597D22" w:rsidRPr="00563AD3">
        <w:t>DCM™</w:t>
      </w:r>
      <w:r w:rsidR="00075770" w:rsidRPr="00563AD3">
        <w:t xml:space="preserve"> conducted to date (the previous largest trial </w:t>
      </w:r>
      <w:r w:rsidR="00075770" w:rsidRPr="00563AD3">
        <w:fldChar w:fldCharType="begin"/>
      </w:r>
      <w:r w:rsidR="008C7FD1">
        <w:instrText xml:space="preserve"> ADDIN EN.CITE &lt;EndNote&gt;&lt;Cite&gt;&lt;Author&gt;van de Ven&lt;/Author&gt;&lt;Year&gt;2013&lt;/Year&gt;&lt;RecNum&gt;1408&lt;/RecNum&gt;&lt;DisplayText&gt;&lt;style face="superscript"&gt;94&lt;/style&gt;&lt;/DisplayText&gt;&lt;record&gt;&lt;rec-number&gt;1408&lt;/rec-number&gt;&lt;foreign-keys&gt;&lt;key app="EN" db-id="wprxwptv75dtdree0t5x2ptmvadptw5fr2ww" timestamp="1395670662"&gt;1408&lt;/key&gt;&lt;/foreign-keys&gt;&lt;ref-type name="Journal Article"&gt;17&lt;/ref-type&gt;&lt;contributors&gt;&lt;authors&gt;&lt;author&gt;van de Ven, G.&lt;/author&gt;&lt;author&gt;Drasovic, I.&lt;/author&gt;&lt;author&gt;Adang, E.M.M.&lt;/author&gt;&lt;author&gt;Donders, R.&lt;/author&gt;&lt;author&gt;Zuidema, S.&lt;/author&gt;&lt;author&gt;Koopmans, R.T.C.M.&lt;/author&gt;&lt;author&gt;Vernooij-Dassen, M.&lt;/author&gt;&lt;/authors&gt;&lt;/contributors&gt;&lt;titles&gt;&lt;title&gt;Effects of Dementia-Care Mapping on Residents and Staff of Care Homes: A Pragmatic Cluster-Randomised Controlled Trial.&lt;/title&gt;&lt;secondary-title&gt;PLoS ONE&lt;/secondary-title&gt;&lt;/titles&gt;&lt;periodical&gt;&lt;full-title&gt;PloS One&lt;/full-title&gt;&lt;abbr-1&gt;PLoS One&lt;/abbr-1&gt;&lt;abbr-2&gt;PLoS One&lt;/abbr-2&gt;&lt;/periodical&gt;&lt;pages&gt;e67325&lt;/pages&gt;&lt;volume&gt;8&lt;/volume&gt;&lt;number&gt;7&lt;/number&gt;&lt;dates&gt;&lt;year&gt;2013&lt;/year&gt;&lt;/dates&gt;&lt;urls&gt;&lt;/urls&gt;&lt;/record&gt;&lt;/Cite&gt;&lt;/EndNote&gt;</w:instrText>
      </w:r>
      <w:r w:rsidR="00075770" w:rsidRPr="00563AD3">
        <w:fldChar w:fldCharType="separate"/>
      </w:r>
      <w:r w:rsidR="00EC2AA2" w:rsidRPr="00EC2AA2">
        <w:rPr>
          <w:noProof/>
          <w:vertAlign w:val="superscript"/>
        </w:rPr>
        <w:t>94</w:t>
      </w:r>
      <w:r w:rsidR="00075770" w:rsidRPr="00563AD3">
        <w:fldChar w:fldCharType="end"/>
      </w:r>
      <w:r w:rsidR="00075770" w:rsidRPr="00563AD3">
        <w:t xml:space="preserve"> recruited 268 residents in 33 units across 14 care home locations and randomised 13 units in 7 care homes to </w:t>
      </w:r>
      <w:r w:rsidR="00597D22" w:rsidRPr="00563AD3">
        <w:t>DCM™</w:t>
      </w:r>
      <w:r w:rsidR="00075770" w:rsidRPr="00563AD3">
        <w:t xml:space="preserve">). The </w:t>
      </w:r>
      <w:r w:rsidR="00597D22" w:rsidRPr="00563AD3">
        <w:t>DCM™</w:t>
      </w:r>
      <w:r w:rsidR="00075770" w:rsidRPr="00563AD3">
        <w:t xml:space="preserve"> EPIC trial has provided conclusive evidence that implementation of care home staff led cycles of </w:t>
      </w:r>
      <w:r w:rsidR="00597D22" w:rsidRPr="00563AD3">
        <w:t>DCM™</w:t>
      </w:r>
      <w:r w:rsidR="00075770" w:rsidRPr="00563AD3">
        <w:t xml:space="preserve"> is not effective in reducing agitation, BSC, use of </w:t>
      </w:r>
      <w:r w:rsidR="00C74BB8" w:rsidRPr="00563AD3">
        <w:t>PRN</w:t>
      </w:r>
      <w:r w:rsidR="00075770" w:rsidRPr="00563AD3">
        <w:t xml:space="preserve"> anti-psychotic or other tranquillising medications or improving QoL for care homes residents with dementia compared to control. Neither is it </w:t>
      </w:r>
      <w:r w:rsidR="00D9697D" w:rsidRPr="00563AD3">
        <w:t>cost effective.</w:t>
      </w:r>
    </w:p>
    <w:p w14:paraId="41FD22FE" w14:textId="3FCC6C2B" w:rsidR="00D9697D" w:rsidRDefault="00D9697D" w:rsidP="009B13F3">
      <w:r w:rsidRPr="00563AD3">
        <w:t xml:space="preserve">The findings of the process evaluation indicate that despite a range of methods to support </w:t>
      </w:r>
      <w:r w:rsidR="00597D22" w:rsidRPr="00563AD3">
        <w:t>DCM™</w:t>
      </w:r>
      <w:r w:rsidRPr="00563AD3">
        <w:t xml:space="preserve"> implementation within the trial, care home staff led cycles of </w:t>
      </w:r>
      <w:r w:rsidR="00597D22" w:rsidRPr="00563AD3">
        <w:t>DCM™</w:t>
      </w:r>
      <w:r w:rsidRPr="00563AD3">
        <w:t xml:space="preserve"> result in poor intervention compliance, with the vast majority of care homes (74%) failing to complete more than the first </w:t>
      </w:r>
      <w:r w:rsidR="00597D22" w:rsidRPr="00563AD3">
        <w:t>DCM™</w:t>
      </w:r>
      <w:r w:rsidRPr="00563AD3">
        <w:t xml:space="preserve"> expert supported cycle. Barriers to </w:t>
      </w:r>
      <w:r w:rsidR="00597D22" w:rsidRPr="00563AD3">
        <w:t>DCM™</w:t>
      </w:r>
      <w:r w:rsidRPr="00563AD3">
        <w:t xml:space="preserve"> implementation were found at the individual mapper level, the </w:t>
      </w:r>
      <w:r w:rsidR="00597D22" w:rsidRPr="00563AD3">
        <w:t>DCM™</w:t>
      </w:r>
      <w:r w:rsidRPr="00563AD3">
        <w:t xml:space="preserve"> intervention level and the care home level. Further barriers caused by the burdens of trial participation were also identified. Considering these results alongside the findings from previous exploratory trials of </w:t>
      </w:r>
      <w:r w:rsidR="00597D22" w:rsidRPr="00563AD3">
        <w:t>DCM™</w:t>
      </w:r>
      <w:r w:rsidRPr="00563AD3">
        <w:t>, indicates that externally led</w:t>
      </w:r>
      <w:r w:rsidR="00E50D5F" w:rsidRPr="00563AD3">
        <w:t xml:space="preserve"> or supported</w:t>
      </w:r>
      <w:r w:rsidRPr="00563AD3">
        <w:t xml:space="preserve"> implementation of </w:t>
      </w:r>
      <w:r w:rsidR="00597D22" w:rsidRPr="00563AD3">
        <w:t>DCM™</w:t>
      </w:r>
      <w:r w:rsidRPr="00563AD3">
        <w:t xml:space="preserve"> may provide a more beneficial and sustainable format for </w:t>
      </w:r>
      <w:r w:rsidR="00597D22" w:rsidRPr="00563AD3">
        <w:t>DCM™</w:t>
      </w:r>
      <w:r w:rsidRPr="00563AD3">
        <w:t xml:space="preserve"> delivery. </w:t>
      </w:r>
      <w:r w:rsidR="001F1A70">
        <w:t>This aligns with the broader contextual challenges faced by care home</w:t>
      </w:r>
      <w:r w:rsidR="00E71B21">
        <w:t xml:space="preserve">s in implementing complex interventions that are staff led, these include </w:t>
      </w:r>
      <w:r w:rsidR="006165C3">
        <w:t xml:space="preserve">but are not limited to </w:t>
      </w:r>
      <w:r w:rsidR="00E71B21">
        <w:t xml:space="preserve">high staff turnover rates; low staff literacy, numeracy, IT skills and confidence; and lack of time and resources. Future research will need to consider mechanisms for addressing these wider contextual issues within the context of intervention design and delivery. Utilising ‘bottom up’ approaches to intervention design, that involve care home staff, managers and providers may provide a mechanism to identify and address potential challenges within the development process.   </w:t>
      </w:r>
      <w:r w:rsidR="001F1A70">
        <w:t xml:space="preserve"> </w:t>
      </w:r>
    </w:p>
    <w:p w14:paraId="205E861D" w14:textId="77777777" w:rsidR="007E2367" w:rsidRPr="00563AD3" w:rsidRDefault="007E2367" w:rsidP="009B13F3">
      <w:pPr>
        <w:rPr>
          <w:rFonts w:eastAsia="Times New Roman"/>
          <w:color w:val="333333"/>
        </w:rPr>
      </w:pPr>
    </w:p>
    <w:p w14:paraId="05CE77CB" w14:textId="1BE6E27B" w:rsidR="008A60E2" w:rsidRPr="00563AD3" w:rsidRDefault="00410C6F" w:rsidP="009B13F3">
      <w:pPr>
        <w:pStyle w:val="Heading1"/>
        <w:spacing w:after="240" w:line="360" w:lineRule="auto"/>
      </w:pPr>
      <w:bookmarkStart w:id="235" w:name="_Toc525544056"/>
      <w:r w:rsidRPr="00563AD3">
        <w:t>7</w:t>
      </w:r>
      <w:r w:rsidR="008A60E2" w:rsidRPr="00563AD3">
        <w:t xml:space="preserve">. </w:t>
      </w:r>
      <w:r w:rsidR="004765FE" w:rsidRPr="00563AD3">
        <w:t>Conclusions</w:t>
      </w:r>
      <w:bookmarkEnd w:id="235"/>
      <w:r w:rsidR="004765FE" w:rsidRPr="00563AD3">
        <w:t xml:space="preserve"> </w:t>
      </w:r>
    </w:p>
    <w:p w14:paraId="3726B824" w14:textId="72256B0F" w:rsidR="00305A7B" w:rsidRPr="00563AD3" w:rsidRDefault="00305A7B" w:rsidP="009B13F3">
      <w:pPr>
        <w:spacing w:after="240"/>
      </w:pPr>
      <w:r w:rsidRPr="00563AD3">
        <w:t xml:space="preserve">This trial indicates that as a care home staff led intervention </w:t>
      </w:r>
      <w:r w:rsidR="00597D22" w:rsidRPr="00563AD3">
        <w:t>DCM™</w:t>
      </w:r>
      <w:r w:rsidRPr="00563AD3">
        <w:t xml:space="preserve"> is not effective or cost effective at reducing agitation or improving quality of life and care outcomes for residents with dementia living in care home settings. This outcome may be associated with the poor </w:t>
      </w:r>
      <w:r w:rsidR="00597D22" w:rsidRPr="00563AD3">
        <w:t>DCM™</w:t>
      </w:r>
      <w:r w:rsidRPr="00563AD3">
        <w:t xml:space="preserve"> implementation we experienced during the trial, despite efforts to support care home mappers to implement the intervention. </w:t>
      </w:r>
      <w:r w:rsidR="00EC0FB7">
        <w:t>Providing</w:t>
      </w:r>
      <w:r w:rsidRPr="00563AD3">
        <w:t xml:space="preserve"> support </w:t>
      </w:r>
      <w:r w:rsidR="00EC0FB7">
        <w:t>for the first DCM</w:t>
      </w:r>
      <w:r w:rsidR="00EC0FB7" w:rsidRPr="00EC0FB7">
        <w:rPr>
          <w:vertAlign w:val="superscript"/>
        </w:rPr>
        <w:t>TM</w:t>
      </w:r>
      <w:r w:rsidR="00EC0FB7">
        <w:t xml:space="preserve"> cycle, in the form </w:t>
      </w:r>
      <w:r w:rsidRPr="00563AD3">
        <w:t xml:space="preserve">of an </w:t>
      </w:r>
      <w:r w:rsidR="00EC0FB7">
        <w:t xml:space="preserve">external </w:t>
      </w:r>
      <w:r w:rsidRPr="00563AD3">
        <w:t>expert mapper</w:t>
      </w:r>
      <w:r w:rsidR="00EC0FB7">
        <w:t>, enabled 77.4% of intervention homes to complete that cycle</w:t>
      </w:r>
      <w:r w:rsidRPr="00563AD3">
        <w:t xml:space="preserve">, </w:t>
      </w:r>
      <w:r w:rsidR="00EC0FB7">
        <w:t>however, DCM</w:t>
      </w:r>
      <w:r w:rsidR="00EC0FB7" w:rsidRPr="00EC0FB7">
        <w:rPr>
          <w:vertAlign w:val="superscript"/>
        </w:rPr>
        <w:t>TM</w:t>
      </w:r>
      <w:r w:rsidR="00EC0FB7">
        <w:t xml:space="preserve"> implementation reduced greatly </w:t>
      </w:r>
      <w:r w:rsidRPr="00563AD3">
        <w:t xml:space="preserve">after the first cycle when this support ended. Given the picture emerging from trials of </w:t>
      </w:r>
      <w:r w:rsidR="00597D22" w:rsidRPr="00563AD3">
        <w:t>DCM™</w:t>
      </w:r>
      <w:r w:rsidRPr="00563AD3">
        <w:t xml:space="preserve"> internationally, where care home staff led cycles of </w:t>
      </w:r>
      <w:r w:rsidR="00597D22" w:rsidRPr="00563AD3">
        <w:t>DCM™</w:t>
      </w:r>
      <w:r w:rsidRPr="00563AD3">
        <w:t xml:space="preserve"> have consistently led to negative trials results and researcher led cycles have produced significant outcomes this indicates models of </w:t>
      </w:r>
      <w:r w:rsidR="00597D22" w:rsidRPr="00563AD3">
        <w:t>DCM™</w:t>
      </w:r>
      <w:r w:rsidRPr="00563AD3">
        <w:t xml:space="preserve"> implementation that do not rely solely on care home staff to implement them warrant further investigation. The process evaluation revealed the challenges care home staff faced when trying to implement </w:t>
      </w:r>
      <w:r w:rsidR="00597D22" w:rsidRPr="00563AD3">
        <w:t>DCM™</w:t>
      </w:r>
      <w:r w:rsidRPr="00563AD3">
        <w:t xml:space="preserve"> including</w:t>
      </w:r>
      <w:r w:rsidR="003D109D" w:rsidRPr="00563AD3">
        <w:t>:</w:t>
      </w:r>
      <w:r w:rsidRPr="00563AD3">
        <w:t xml:space="preserve"> mappers not having the required skills and qualities to lead change, or feeling unconfident to do so</w:t>
      </w:r>
      <w:r w:rsidR="003D109D" w:rsidRPr="00563AD3">
        <w:t>;</w:t>
      </w:r>
      <w:r w:rsidRPr="00563AD3">
        <w:t xml:space="preserve"> lack of time, resources and management support</w:t>
      </w:r>
      <w:r w:rsidR="003D109D" w:rsidRPr="00563AD3">
        <w:t>;</w:t>
      </w:r>
      <w:r w:rsidRPr="00563AD3">
        <w:t xml:space="preserve"> and</w:t>
      </w:r>
      <w:r w:rsidR="003D109D" w:rsidRPr="00563AD3">
        <w:t xml:space="preserve"> difficulties in engaging colleagues in supporting the change process. Staff turnover, sickness and other personal issues that impacted on </w:t>
      </w:r>
      <w:r w:rsidR="00EC0FB7">
        <w:t xml:space="preserve">mappers’ </w:t>
      </w:r>
      <w:r w:rsidR="003D109D" w:rsidRPr="00563AD3">
        <w:t>ability to continue in the role</w:t>
      </w:r>
      <w:r w:rsidR="00EC0FB7">
        <w:t>,</w:t>
      </w:r>
      <w:r w:rsidR="003D109D" w:rsidRPr="00563AD3">
        <w:t xml:space="preserve"> </w:t>
      </w:r>
      <w:r w:rsidR="00EC0FB7">
        <w:t>were</w:t>
      </w:r>
      <w:r w:rsidR="003D109D" w:rsidRPr="00563AD3">
        <w:t xml:space="preserve"> also challenging, with over half the homes having at least one mapper withdraw during the study period. Nevertheless, a quarter of intervention care homes did complete two or more </w:t>
      </w:r>
      <w:r w:rsidR="00597D22" w:rsidRPr="00563AD3">
        <w:t>DCM™</w:t>
      </w:r>
      <w:r w:rsidR="003D109D" w:rsidRPr="00563AD3">
        <w:t xml:space="preserve"> cycles and staff within the process evaluation reported a range of benefits they felt using the tool had for residents, staff and care practices more broadly. This trial suggests that the majority of care home settings may not provide the right setting conditions for a costly intervention like </w:t>
      </w:r>
      <w:r w:rsidR="00597D22" w:rsidRPr="00563AD3">
        <w:t>DCM™</w:t>
      </w:r>
      <w:r w:rsidR="003D109D" w:rsidRPr="00563AD3">
        <w:t xml:space="preserve"> and that externally led models may provide a more </w:t>
      </w:r>
      <w:r w:rsidR="008B4AA0" w:rsidRPr="00563AD3">
        <w:t xml:space="preserve">practical and </w:t>
      </w:r>
      <w:r w:rsidR="003D109D" w:rsidRPr="00563AD3">
        <w:t xml:space="preserve">resource effective method of implementation. </w:t>
      </w:r>
      <w:r w:rsidR="008B4AA0" w:rsidRPr="00563AD3">
        <w:t>However, further research is needed to evaluate this. Our findings</w:t>
      </w:r>
      <w:r w:rsidR="003D109D" w:rsidRPr="00563AD3">
        <w:t xml:space="preserve"> ha</w:t>
      </w:r>
      <w:r w:rsidR="008B4AA0" w:rsidRPr="00563AD3">
        <w:t>ve</w:t>
      </w:r>
      <w:r w:rsidR="003D109D" w:rsidRPr="00563AD3">
        <w:t xml:space="preserve"> implications for future complex intervention trials in care home settings. Future research should more carefully consider the setting conditions needed for effective intervention implementation and thus the most appropriate models for delivering these interventions given the available resources and cultural and organisational contexts of care home settings.</w:t>
      </w:r>
    </w:p>
    <w:p w14:paraId="3FCE6752" w14:textId="0AAB90DA" w:rsidR="004765FE" w:rsidRPr="00563AD3" w:rsidRDefault="004765FE" w:rsidP="009B13F3">
      <w:pPr>
        <w:rPr>
          <w:rFonts w:eastAsia="Times New Roman"/>
          <w:color w:val="333333"/>
        </w:rPr>
      </w:pPr>
      <w:r w:rsidRPr="00563AD3">
        <w:br w:type="page"/>
      </w:r>
    </w:p>
    <w:p w14:paraId="6C5E96B8" w14:textId="32ADDD1D" w:rsidR="004765FE" w:rsidRPr="00563AD3" w:rsidRDefault="00410C6F" w:rsidP="009B13F3">
      <w:pPr>
        <w:pStyle w:val="Heading1"/>
        <w:spacing w:line="360" w:lineRule="auto"/>
      </w:pPr>
      <w:bookmarkStart w:id="236" w:name="_Toc525544057"/>
      <w:r w:rsidRPr="00563AD3">
        <w:t>8</w:t>
      </w:r>
      <w:r w:rsidR="008A60E2" w:rsidRPr="00563AD3">
        <w:t xml:space="preserve">. </w:t>
      </w:r>
      <w:r w:rsidR="004765FE" w:rsidRPr="00563AD3">
        <w:t>Acknowledgements</w:t>
      </w:r>
      <w:bookmarkEnd w:id="236"/>
    </w:p>
    <w:p w14:paraId="03C8FA32" w14:textId="1736951F" w:rsidR="00CD6667" w:rsidRPr="00563AD3" w:rsidRDefault="00CD6667" w:rsidP="009B13F3">
      <w:r w:rsidRPr="00563AD3">
        <w:t>This project was funded by the National Institute for Health Research Health Technology Assessment programme (project number 11/15/13). The views and opinions expressed therein are those of the authors and do not necessarily reflect those of the HTA, NIHR, NHS or the Department of Health.</w:t>
      </w:r>
    </w:p>
    <w:p w14:paraId="7E81B578" w14:textId="64B15186" w:rsidR="00B33E82" w:rsidRPr="00563AD3" w:rsidRDefault="00B33E82" w:rsidP="009B13F3">
      <w:pPr>
        <w:pStyle w:val="Heading2"/>
      </w:pPr>
      <w:bookmarkStart w:id="237" w:name="_Toc525544058"/>
      <w:r w:rsidRPr="00563AD3">
        <w:t>Contribution of authors</w:t>
      </w:r>
      <w:bookmarkEnd w:id="237"/>
    </w:p>
    <w:p w14:paraId="203250C0" w14:textId="4817EF16" w:rsidR="00B33E82" w:rsidRPr="00563AD3" w:rsidRDefault="008968BB" w:rsidP="009B13F3">
      <w:pPr>
        <w:rPr>
          <w:vertAlign w:val="superscript"/>
        </w:rPr>
      </w:pPr>
      <w:r w:rsidRPr="00563AD3">
        <w:t>Claire A Surr (Professor of Dementia Studies</w:t>
      </w:r>
      <w:r w:rsidR="00184A4C" w:rsidRPr="00563AD3">
        <w:t xml:space="preserve"> and Director of the Centre for Dementia Research</w:t>
      </w:r>
      <w:r w:rsidRPr="00563AD3">
        <w:t>): the conception and design of the study, analysis of the qualitative data, interpretation of data and drafting of this paper</w:t>
      </w:r>
      <w:r w:rsidR="00B33E82" w:rsidRPr="00563AD3">
        <w:rPr>
          <w:vertAlign w:val="superscript"/>
        </w:rPr>
        <w:t xml:space="preserve"> </w:t>
      </w:r>
    </w:p>
    <w:p w14:paraId="74AC5A52" w14:textId="722137AB" w:rsidR="00B33E82" w:rsidRPr="00563AD3" w:rsidRDefault="00B33E82" w:rsidP="009B13F3">
      <w:r w:rsidRPr="00563AD3">
        <w:t>Ivana Holloway</w:t>
      </w:r>
      <w:r w:rsidR="008968BB" w:rsidRPr="00563AD3">
        <w:t xml:space="preserve"> (</w:t>
      </w:r>
      <w:r w:rsidR="007C1515" w:rsidRPr="00563AD3">
        <w:t>Senior Medical Statistician</w:t>
      </w:r>
      <w:r w:rsidR="008968BB" w:rsidRPr="00563AD3">
        <w:t>): analysis of the statistical data, interpretation of data and drafting of this paper</w:t>
      </w:r>
    </w:p>
    <w:p w14:paraId="6F1C27AB" w14:textId="250FF9ED" w:rsidR="00B33E82" w:rsidRPr="00563AD3" w:rsidRDefault="00B33E82" w:rsidP="009B13F3">
      <w:r w:rsidRPr="00563AD3">
        <w:t>Rebecca EA Wal</w:t>
      </w:r>
      <w:r w:rsidR="008968BB" w:rsidRPr="00563AD3">
        <w:t>wyn (</w:t>
      </w:r>
      <w:r w:rsidR="007C1515" w:rsidRPr="00563AD3">
        <w:t>Principal Statistician</w:t>
      </w:r>
      <w:r w:rsidR="008968BB" w:rsidRPr="00563AD3">
        <w:t>): the conception and design of the study, analysis of the statistical data, interpretation of data and drafting of this paper</w:t>
      </w:r>
    </w:p>
    <w:p w14:paraId="0E68BBCF" w14:textId="77777777" w:rsidR="00180B24" w:rsidRPr="00563AD3" w:rsidRDefault="00180B24" w:rsidP="009B13F3">
      <w:r w:rsidRPr="00563AD3">
        <w:rPr>
          <w:rFonts w:eastAsia="Calibri"/>
          <w:color w:val="000000"/>
        </w:rPr>
        <w:t xml:space="preserve">Alys W Griffiths (Research Fellow): acquisition of data, </w:t>
      </w:r>
      <w:r w:rsidRPr="00563AD3">
        <w:t xml:space="preserve">analysis of the qualitative data, interpretation of data and drafting of this paper </w:t>
      </w:r>
    </w:p>
    <w:p w14:paraId="7C079B74" w14:textId="7EFED953" w:rsidR="00180B24" w:rsidRPr="00563AD3" w:rsidRDefault="00180B24" w:rsidP="009B13F3">
      <w:r w:rsidRPr="00563AD3">
        <w:t>David Meads (</w:t>
      </w:r>
      <w:r w:rsidR="007C1515" w:rsidRPr="00563AD3">
        <w:t>Associate Professor Health Economics</w:t>
      </w:r>
      <w:r w:rsidRPr="00563AD3">
        <w:t>): design of the study, analysis of the health economic data, interpretation of data and drafting of this paper</w:t>
      </w:r>
    </w:p>
    <w:p w14:paraId="4A678759" w14:textId="77777777" w:rsidR="00180B24" w:rsidRPr="00563AD3" w:rsidRDefault="00180B24" w:rsidP="009B13F3">
      <w:r w:rsidRPr="00563AD3">
        <w:rPr>
          <w:rFonts w:eastAsia="Calibri"/>
          <w:color w:val="000000"/>
        </w:rPr>
        <w:t xml:space="preserve">Rachael Kelley (Research Fellow): design of the process evaluation, </w:t>
      </w:r>
      <w:r w:rsidRPr="00563AD3">
        <w:t xml:space="preserve">analysis of the qualitative data, interpretation of data and drafting of this paper </w:t>
      </w:r>
    </w:p>
    <w:p w14:paraId="7E6490F4" w14:textId="082F1CFF" w:rsidR="00B33E82" w:rsidRPr="00563AD3" w:rsidRDefault="008968BB" w:rsidP="009B13F3">
      <w:r w:rsidRPr="00563AD3">
        <w:t>Adam Martin (</w:t>
      </w:r>
      <w:r w:rsidR="00FC2CE0">
        <w:t xml:space="preserve">Senior </w:t>
      </w:r>
      <w:r w:rsidR="007C1515" w:rsidRPr="00563AD3">
        <w:t>Research Fellow in Health Economics</w:t>
      </w:r>
      <w:r w:rsidRPr="00563AD3">
        <w:t>): analysis of the health economic data, interpretation of data and drafting of this paper</w:t>
      </w:r>
    </w:p>
    <w:p w14:paraId="7406DCC6" w14:textId="4F005B32" w:rsidR="008968BB" w:rsidRPr="00563AD3" w:rsidRDefault="00B33E82" w:rsidP="009B13F3">
      <w:pPr>
        <w:rPr>
          <w:rFonts w:eastAsia="Calibri"/>
          <w:color w:val="000000"/>
        </w:rPr>
      </w:pPr>
      <w:r w:rsidRPr="00563AD3">
        <w:rPr>
          <w:rFonts w:eastAsia="Calibri"/>
          <w:color w:val="000000"/>
        </w:rPr>
        <w:t>Vicki McLellan</w:t>
      </w:r>
      <w:r w:rsidR="008968BB" w:rsidRPr="00563AD3">
        <w:rPr>
          <w:rFonts w:eastAsia="Calibri"/>
          <w:color w:val="000000"/>
        </w:rPr>
        <w:t xml:space="preserve"> (</w:t>
      </w:r>
      <w:r w:rsidR="007C1515" w:rsidRPr="00563AD3">
        <w:rPr>
          <w:rFonts w:eastAsia="Calibri"/>
          <w:color w:val="000000"/>
        </w:rPr>
        <w:t>Senior Trial Co-ordinator</w:t>
      </w:r>
      <w:r w:rsidR="008968BB" w:rsidRPr="00563AD3">
        <w:rPr>
          <w:rFonts w:eastAsia="Calibri"/>
          <w:color w:val="000000"/>
        </w:rPr>
        <w:t>): data acquisition, management of the trial</w:t>
      </w:r>
      <w:r w:rsidR="002D798A" w:rsidRPr="00563AD3">
        <w:rPr>
          <w:rFonts w:eastAsia="Calibri"/>
          <w:color w:val="000000"/>
        </w:rPr>
        <w:t xml:space="preserve"> and drafting of this paper</w:t>
      </w:r>
    </w:p>
    <w:p w14:paraId="17092320" w14:textId="2A71E88B" w:rsidR="008968BB" w:rsidRPr="00563AD3" w:rsidRDefault="00B33E82" w:rsidP="009B13F3">
      <w:r w:rsidRPr="00563AD3">
        <w:t>Clive Ballard</w:t>
      </w:r>
      <w:r w:rsidR="008968BB" w:rsidRPr="00563AD3">
        <w:t xml:space="preserve"> (</w:t>
      </w:r>
      <w:r w:rsidR="007C1515" w:rsidRPr="00563AD3">
        <w:t>Pro-Vice-Chancellor Exeter Medical School</w:t>
      </w:r>
      <w:r w:rsidR="008968BB" w:rsidRPr="00563AD3">
        <w:t>): design of the study, data acquisition and commenting on the draft of this paper</w:t>
      </w:r>
      <w:r w:rsidRPr="00563AD3">
        <w:t xml:space="preserve"> </w:t>
      </w:r>
    </w:p>
    <w:p w14:paraId="6992B025" w14:textId="459CAE7B" w:rsidR="008968BB" w:rsidRPr="00563AD3" w:rsidRDefault="00B33E82" w:rsidP="009B13F3">
      <w:pPr>
        <w:rPr>
          <w:lang w:val="da-DK"/>
        </w:rPr>
      </w:pPr>
      <w:r w:rsidRPr="00563AD3">
        <w:t>Jane Fossey</w:t>
      </w:r>
      <w:r w:rsidR="008968BB" w:rsidRPr="00563AD3">
        <w:rPr>
          <w:lang w:val="da-DK"/>
        </w:rPr>
        <w:t xml:space="preserve"> (</w:t>
      </w:r>
      <w:r w:rsidR="007C1515" w:rsidRPr="00563AD3">
        <w:rPr>
          <w:lang w:val="da-DK"/>
        </w:rPr>
        <w:t>Associate Director of Psychological Services</w:t>
      </w:r>
      <w:r w:rsidR="008968BB" w:rsidRPr="00563AD3">
        <w:rPr>
          <w:lang w:val="da-DK"/>
        </w:rPr>
        <w:t>): design of the study, data acquisition and commenting on the draft of this paper</w:t>
      </w:r>
    </w:p>
    <w:p w14:paraId="42FA74A0" w14:textId="044F4ABD" w:rsidR="008968BB" w:rsidRPr="00563AD3" w:rsidRDefault="00B33E82" w:rsidP="009B13F3">
      <w:pPr>
        <w:rPr>
          <w:vertAlign w:val="superscript"/>
          <w:lang w:val="da-DK"/>
        </w:rPr>
      </w:pPr>
      <w:r w:rsidRPr="00563AD3">
        <w:rPr>
          <w:lang w:val="da-DK"/>
        </w:rPr>
        <w:t>Natasha Burnley</w:t>
      </w:r>
      <w:r w:rsidR="008968BB" w:rsidRPr="00563AD3">
        <w:rPr>
          <w:lang w:val="da-DK"/>
        </w:rPr>
        <w:t xml:space="preserve"> (Research Assistant): data acquisition, qualitative data analysis and interpretation and commenting on the draft of this paper</w:t>
      </w:r>
    </w:p>
    <w:p w14:paraId="41AB2213" w14:textId="678EBE27" w:rsidR="008968BB" w:rsidRPr="00563AD3" w:rsidRDefault="00B33E82" w:rsidP="009B13F3">
      <w:r w:rsidRPr="00563AD3">
        <w:rPr>
          <w:rFonts w:eastAsia="Calibri"/>
          <w:color w:val="000000"/>
        </w:rPr>
        <w:t>Lynn Chenoweth</w:t>
      </w:r>
      <w:r w:rsidR="008968BB" w:rsidRPr="00563AD3">
        <w:rPr>
          <w:rFonts w:eastAsia="Calibri"/>
          <w:color w:val="000000"/>
        </w:rPr>
        <w:t xml:space="preserve"> </w:t>
      </w:r>
      <w:r w:rsidR="008968BB" w:rsidRPr="00563AD3">
        <w:t>(</w:t>
      </w:r>
      <w:r w:rsidR="00184A4C" w:rsidRPr="00563AD3">
        <w:t>Professor of Nursing</w:t>
      </w:r>
      <w:r w:rsidR="008968BB" w:rsidRPr="00563AD3">
        <w:t>)</w:t>
      </w:r>
      <w:r w:rsidR="001675B8" w:rsidRPr="00563AD3">
        <w:t>: design of the study and commenting on the draft of this paper</w:t>
      </w:r>
    </w:p>
    <w:p w14:paraId="0A4D747D" w14:textId="5A965A60" w:rsidR="001675B8" w:rsidRPr="00563AD3" w:rsidRDefault="00B33E82" w:rsidP="009B13F3">
      <w:r w:rsidRPr="00563AD3">
        <w:t xml:space="preserve">Byron Creese </w:t>
      </w:r>
      <w:r w:rsidR="001675B8" w:rsidRPr="00563AD3">
        <w:t>(</w:t>
      </w:r>
      <w:r w:rsidR="00184A4C" w:rsidRPr="00563AD3">
        <w:t>Senior Research Fellow</w:t>
      </w:r>
      <w:r w:rsidR="001675B8" w:rsidRPr="00563AD3">
        <w:t xml:space="preserve">): </w:t>
      </w:r>
      <w:r w:rsidR="001675B8" w:rsidRPr="00563AD3">
        <w:rPr>
          <w:lang w:val="da-DK"/>
        </w:rPr>
        <w:t>data acquisition, qualitative data analysis and commenting on the draft of this paper</w:t>
      </w:r>
    </w:p>
    <w:p w14:paraId="0DFEE193" w14:textId="479C21A3" w:rsidR="001675B8" w:rsidRPr="00563AD3" w:rsidRDefault="00B33E82" w:rsidP="009B13F3">
      <w:pPr>
        <w:rPr>
          <w:vertAlign w:val="superscript"/>
        </w:rPr>
      </w:pPr>
      <w:r w:rsidRPr="00563AD3">
        <w:rPr>
          <w:rFonts w:eastAsia="Calibri"/>
          <w:color w:val="000000"/>
        </w:rPr>
        <w:t>Murna Downs</w:t>
      </w:r>
      <w:r w:rsidR="001675B8" w:rsidRPr="00563AD3">
        <w:rPr>
          <w:rFonts w:eastAsia="Calibri"/>
          <w:color w:val="000000"/>
        </w:rPr>
        <w:t xml:space="preserve"> (Professor of Dementia Studies): design of the study and commenting on the draft of this paper</w:t>
      </w:r>
    </w:p>
    <w:p w14:paraId="4CAF127F" w14:textId="4A4C5FB8" w:rsidR="001675B8" w:rsidRPr="00563AD3" w:rsidRDefault="00B33E82" w:rsidP="009B13F3">
      <w:pPr>
        <w:rPr>
          <w:rFonts w:eastAsia="Calibri"/>
          <w:color w:val="000000"/>
          <w:vertAlign w:val="superscript"/>
        </w:rPr>
      </w:pPr>
      <w:r w:rsidRPr="00563AD3">
        <w:rPr>
          <w:rFonts w:eastAsia="Calibri"/>
          <w:color w:val="000000"/>
        </w:rPr>
        <w:t>Lucy Garrod</w:t>
      </w:r>
      <w:r w:rsidR="001675B8" w:rsidRPr="00563AD3">
        <w:rPr>
          <w:rFonts w:eastAsia="Calibri"/>
          <w:color w:val="000000"/>
        </w:rPr>
        <w:t xml:space="preserve"> (</w:t>
      </w:r>
      <w:r w:rsidR="00184A4C" w:rsidRPr="00563AD3">
        <w:rPr>
          <w:rFonts w:eastAsia="Calibri"/>
          <w:color w:val="000000"/>
        </w:rPr>
        <w:t>Research Therapist</w:t>
      </w:r>
      <w:r w:rsidR="001675B8" w:rsidRPr="00563AD3">
        <w:rPr>
          <w:rFonts w:eastAsia="Calibri"/>
          <w:color w:val="000000"/>
        </w:rPr>
        <w:t xml:space="preserve">): </w:t>
      </w:r>
      <w:r w:rsidR="001675B8" w:rsidRPr="00563AD3">
        <w:rPr>
          <w:lang w:val="da-DK"/>
        </w:rPr>
        <w:t>data acquisition, qualitative data analysis and commenting on the draft of this paper</w:t>
      </w:r>
    </w:p>
    <w:p w14:paraId="7D90D052" w14:textId="6EF0C5B0" w:rsidR="001675B8" w:rsidRPr="00563AD3" w:rsidRDefault="00B33E82" w:rsidP="009B13F3">
      <w:pPr>
        <w:rPr>
          <w:vertAlign w:val="superscript"/>
        </w:rPr>
      </w:pPr>
      <w:r w:rsidRPr="00563AD3">
        <w:t>Elizabeth H Graham</w:t>
      </w:r>
      <w:r w:rsidR="00184A4C" w:rsidRPr="00563AD3">
        <w:t xml:space="preserve"> (Trial Manager)</w:t>
      </w:r>
      <w:r w:rsidR="001675B8" w:rsidRPr="00563AD3">
        <w:t xml:space="preserve">: study design, data acquisition </w:t>
      </w:r>
      <w:r w:rsidR="001675B8" w:rsidRPr="00563AD3">
        <w:rPr>
          <w:lang w:val="da-DK"/>
        </w:rPr>
        <w:t>and commenting on the draft of this paper</w:t>
      </w:r>
      <w:r w:rsidR="001675B8" w:rsidRPr="00563AD3">
        <w:t xml:space="preserve"> </w:t>
      </w:r>
    </w:p>
    <w:p w14:paraId="488CBDE3" w14:textId="727AB97C" w:rsidR="001675B8" w:rsidRPr="00563AD3" w:rsidRDefault="00B33E82" w:rsidP="009B13F3">
      <w:pPr>
        <w:rPr>
          <w:vertAlign w:val="superscript"/>
        </w:rPr>
      </w:pPr>
      <w:r w:rsidRPr="00563AD3">
        <w:rPr>
          <w:rFonts w:eastAsia="Calibri"/>
          <w:color w:val="000000"/>
        </w:rPr>
        <w:t>Amanda Lilley-Kelley</w:t>
      </w:r>
      <w:r w:rsidR="00184A4C" w:rsidRPr="00563AD3">
        <w:rPr>
          <w:rFonts w:eastAsia="Calibri"/>
          <w:color w:val="000000"/>
        </w:rPr>
        <w:t xml:space="preserve"> (Trial Manager)</w:t>
      </w:r>
      <w:r w:rsidR="001675B8" w:rsidRPr="00563AD3">
        <w:rPr>
          <w:rFonts w:eastAsia="Calibri"/>
          <w:color w:val="000000"/>
        </w:rPr>
        <w:t xml:space="preserve">: </w:t>
      </w:r>
      <w:r w:rsidR="001675B8" w:rsidRPr="00563AD3">
        <w:t xml:space="preserve">study design, data acquisition </w:t>
      </w:r>
      <w:r w:rsidR="001675B8" w:rsidRPr="00563AD3">
        <w:rPr>
          <w:lang w:val="da-DK"/>
        </w:rPr>
        <w:t>and commenting on the draft of this paper</w:t>
      </w:r>
      <w:r w:rsidR="001675B8" w:rsidRPr="00563AD3">
        <w:t xml:space="preserve"> </w:t>
      </w:r>
    </w:p>
    <w:p w14:paraId="0BAFAAE6" w14:textId="4D1E6309" w:rsidR="001675B8" w:rsidRPr="00563AD3" w:rsidRDefault="00B33E82" w:rsidP="009B13F3">
      <w:pPr>
        <w:rPr>
          <w:rFonts w:eastAsia="Calibri"/>
          <w:color w:val="000000"/>
          <w:vertAlign w:val="superscript"/>
        </w:rPr>
      </w:pPr>
      <w:r w:rsidRPr="00563AD3">
        <w:rPr>
          <w:rFonts w:eastAsia="Calibri"/>
          <w:color w:val="000000"/>
        </w:rPr>
        <w:t>Joanne McDermid</w:t>
      </w:r>
      <w:r w:rsidR="001675B8" w:rsidRPr="00563AD3">
        <w:rPr>
          <w:rFonts w:eastAsia="Calibri"/>
          <w:color w:val="000000"/>
        </w:rPr>
        <w:t xml:space="preserve"> (</w:t>
      </w:r>
      <w:r w:rsidR="007C1515" w:rsidRPr="00563AD3">
        <w:rPr>
          <w:rFonts w:eastAsia="Calibri"/>
          <w:color w:val="000000"/>
        </w:rPr>
        <w:t xml:space="preserve">Research </w:t>
      </w:r>
      <w:r w:rsidR="0019007C" w:rsidRPr="00563AD3">
        <w:rPr>
          <w:rFonts w:eastAsia="Calibri"/>
          <w:color w:val="000000"/>
        </w:rPr>
        <w:t>Therapist</w:t>
      </w:r>
      <w:r w:rsidR="001675B8" w:rsidRPr="00563AD3">
        <w:rPr>
          <w:rFonts w:eastAsia="Calibri"/>
          <w:color w:val="000000"/>
        </w:rPr>
        <w:t xml:space="preserve">): </w:t>
      </w:r>
      <w:r w:rsidR="001675B8" w:rsidRPr="00563AD3">
        <w:rPr>
          <w:lang w:val="da-DK"/>
        </w:rPr>
        <w:t>data acquisition, qualitative data analysis and commenting on the draft of this paper</w:t>
      </w:r>
    </w:p>
    <w:p w14:paraId="5F95595B" w14:textId="6ADAED8D" w:rsidR="001675B8" w:rsidRPr="00563AD3" w:rsidRDefault="00B33E82" w:rsidP="009B13F3">
      <w:pPr>
        <w:rPr>
          <w:rFonts w:eastAsia="Calibri"/>
          <w:color w:val="000000"/>
          <w:vertAlign w:val="superscript"/>
        </w:rPr>
      </w:pPr>
      <w:r w:rsidRPr="00563AD3">
        <w:rPr>
          <w:rFonts w:eastAsia="Calibri"/>
          <w:color w:val="000000"/>
        </w:rPr>
        <w:t>Holly Millard</w:t>
      </w:r>
      <w:r w:rsidR="001675B8" w:rsidRPr="00563AD3">
        <w:rPr>
          <w:rFonts w:eastAsia="Calibri"/>
          <w:color w:val="000000"/>
        </w:rPr>
        <w:t xml:space="preserve"> (</w:t>
      </w:r>
      <w:r w:rsidR="007C1515" w:rsidRPr="00563AD3">
        <w:rPr>
          <w:rFonts w:eastAsia="Calibri"/>
          <w:color w:val="000000"/>
        </w:rPr>
        <w:t>Assistant Psychologist</w:t>
      </w:r>
      <w:r w:rsidR="001675B8" w:rsidRPr="00563AD3">
        <w:rPr>
          <w:rFonts w:eastAsia="Calibri"/>
          <w:color w:val="000000"/>
        </w:rPr>
        <w:t xml:space="preserve">): </w:t>
      </w:r>
      <w:r w:rsidR="001675B8" w:rsidRPr="00563AD3">
        <w:rPr>
          <w:lang w:val="da-DK"/>
        </w:rPr>
        <w:t>data acquisition, qualitative data analysis and commenting on the draft of this paper</w:t>
      </w:r>
    </w:p>
    <w:p w14:paraId="4AD13090" w14:textId="4C64C0C2" w:rsidR="001675B8" w:rsidRPr="00563AD3" w:rsidRDefault="00B33E82" w:rsidP="009B13F3">
      <w:pPr>
        <w:rPr>
          <w:rFonts w:eastAsia="Calibri"/>
          <w:color w:val="000000"/>
          <w:vertAlign w:val="superscript"/>
        </w:rPr>
      </w:pPr>
      <w:r w:rsidRPr="00563AD3">
        <w:rPr>
          <w:rFonts w:eastAsia="Calibri"/>
          <w:color w:val="000000"/>
        </w:rPr>
        <w:t>Devon Perfect</w:t>
      </w:r>
      <w:r w:rsidR="001675B8" w:rsidRPr="00563AD3">
        <w:rPr>
          <w:rFonts w:eastAsia="Calibri"/>
          <w:color w:val="000000"/>
        </w:rPr>
        <w:t xml:space="preserve"> (</w:t>
      </w:r>
      <w:r w:rsidR="007C1515" w:rsidRPr="00563AD3">
        <w:rPr>
          <w:rFonts w:eastAsia="Calibri"/>
          <w:color w:val="000000"/>
        </w:rPr>
        <w:t>Senior Clinical Research Assistant</w:t>
      </w:r>
      <w:r w:rsidR="001675B8" w:rsidRPr="00563AD3">
        <w:rPr>
          <w:rFonts w:eastAsia="Calibri"/>
          <w:color w:val="000000"/>
        </w:rPr>
        <w:t xml:space="preserve">): </w:t>
      </w:r>
      <w:r w:rsidR="001675B8" w:rsidRPr="00563AD3">
        <w:rPr>
          <w:lang w:val="da-DK"/>
        </w:rPr>
        <w:t>data acquisition, qualitative data analysis and commenting on the draft of this paper</w:t>
      </w:r>
    </w:p>
    <w:p w14:paraId="42955CB8" w14:textId="11EA9606" w:rsidR="001675B8" w:rsidRPr="00563AD3" w:rsidRDefault="00B33E82" w:rsidP="009B13F3">
      <w:pPr>
        <w:rPr>
          <w:rFonts w:eastAsia="Calibri"/>
          <w:color w:val="000000"/>
          <w:vertAlign w:val="superscript"/>
        </w:rPr>
      </w:pPr>
      <w:r w:rsidRPr="00563AD3">
        <w:rPr>
          <w:rFonts w:eastAsia="Calibri"/>
          <w:color w:val="000000"/>
        </w:rPr>
        <w:t>Louise Robinson</w:t>
      </w:r>
      <w:r w:rsidR="001675B8" w:rsidRPr="00563AD3">
        <w:rPr>
          <w:rFonts w:eastAsia="Calibri"/>
          <w:color w:val="000000"/>
        </w:rPr>
        <w:t xml:space="preserve"> (</w:t>
      </w:r>
      <w:r w:rsidR="00184A4C" w:rsidRPr="00563AD3">
        <w:rPr>
          <w:rFonts w:eastAsia="Calibri"/>
          <w:color w:val="000000"/>
        </w:rPr>
        <w:t>Director, Newcastle University Institute for Ageing and Professor of Primary Care</w:t>
      </w:r>
      <w:r w:rsidR="001675B8" w:rsidRPr="00563AD3">
        <w:rPr>
          <w:rFonts w:eastAsia="Calibri"/>
          <w:color w:val="000000"/>
        </w:rPr>
        <w:t>): study design and commenting on the draft of this paper</w:t>
      </w:r>
    </w:p>
    <w:p w14:paraId="70AD9BB4" w14:textId="1628BBE1" w:rsidR="001675B8" w:rsidRPr="00563AD3" w:rsidRDefault="00B33E82" w:rsidP="009B13F3">
      <w:pPr>
        <w:rPr>
          <w:rFonts w:eastAsia="Calibri"/>
          <w:color w:val="000000"/>
          <w:vertAlign w:val="superscript"/>
        </w:rPr>
      </w:pPr>
      <w:r w:rsidRPr="00563AD3">
        <w:rPr>
          <w:rFonts w:eastAsia="Calibri"/>
          <w:color w:val="000000"/>
        </w:rPr>
        <w:t>Olivia Robinson</w:t>
      </w:r>
      <w:r w:rsidR="001675B8" w:rsidRPr="00563AD3">
        <w:rPr>
          <w:rFonts w:eastAsia="Calibri"/>
          <w:color w:val="000000"/>
        </w:rPr>
        <w:t xml:space="preserve"> (Research Assistant): </w:t>
      </w:r>
      <w:r w:rsidR="001675B8" w:rsidRPr="00563AD3">
        <w:rPr>
          <w:lang w:val="da-DK"/>
        </w:rPr>
        <w:t>data acquisition, qualitative data analysis and commenting on the draft of this paper</w:t>
      </w:r>
    </w:p>
    <w:p w14:paraId="355840BD" w14:textId="5630B7CD" w:rsidR="001675B8" w:rsidRPr="00563AD3" w:rsidRDefault="00B33E82" w:rsidP="009B13F3">
      <w:pPr>
        <w:rPr>
          <w:rFonts w:eastAsia="Calibri"/>
          <w:color w:val="000000"/>
          <w:vertAlign w:val="superscript"/>
        </w:rPr>
      </w:pPr>
      <w:r w:rsidRPr="00563AD3">
        <w:rPr>
          <w:rFonts w:eastAsia="Calibri"/>
          <w:color w:val="000000"/>
        </w:rPr>
        <w:t>Emily Shoesmith</w:t>
      </w:r>
      <w:r w:rsidR="001675B8" w:rsidRPr="00563AD3">
        <w:rPr>
          <w:rFonts w:eastAsia="Calibri"/>
          <w:color w:val="000000"/>
        </w:rPr>
        <w:t xml:space="preserve"> (Research Assistant): </w:t>
      </w:r>
      <w:r w:rsidR="001675B8" w:rsidRPr="00563AD3">
        <w:rPr>
          <w:lang w:val="da-DK"/>
        </w:rPr>
        <w:t>data acquisition, qualitative data analysis and commenting on the draft of this paper</w:t>
      </w:r>
    </w:p>
    <w:p w14:paraId="10EF8C4E" w14:textId="742A586B" w:rsidR="001675B8" w:rsidRPr="00563AD3" w:rsidRDefault="00B33E82" w:rsidP="009B13F3">
      <w:pPr>
        <w:rPr>
          <w:rFonts w:eastAsia="Calibri"/>
          <w:color w:val="000000"/>
          <w:vertAlign w:val="superscript"/>
        </w:rPr>
      </w:pPr>
      <w:r w:rsidRPr="00563AD3">
        <w:rPr>
          <w:rFonts w:eastAsia="Calibri"/>
          <w:color w:val="000000"/>
        </w:rPr>
        <w:t>Najma Siddiqi</w:t>
      </w:r>
      <w:r w:rsidR="001675B8" w:rsidRPr="00563AD3">
        <w:rPr>
          <w:rFonts w:eastAsia="Calibri"/>
          <w:color w:val="000000"/>
        </w:rPr>
        <w:t xml:space="preserve"> (</w:t>
      </w:r>
      <w:r w:rsidR="007C1515" w:rsidRPr="00563AD3">
        <w:rPr>
          <w:rFonts w:eastAsia="Calibri"/>
          <w:color w:val="000000"/>
        </w:rPr>
        <w:t>Clinical Senior Lecturer in Psychiatry</w:t>
      </w:r>
      <w:r w:rsidR="001675B8" w:rsidRPr="00563AD3">
        <w:rPr>
          <w:rFonts w:eastAsia="Calibri"/>
          <w:color w:val="000000"/>
        </w:rPr>
        <w:t>): study design and commenting on the draft of this paper</w:t>
      </w:r>
    </w:p>
    <w:p w14:paraId="2A10B0E2" w14:textId="3A9DB459" w:rsidR="001675B8" w:rsidRPr="00563AD3" w:rsidRDefault="00B33E82" w:rsidP="009B13F3">
      <w:pPr>
        <w:rPr>
          <w:rFonts w:eastAsia="Calibri"/>
          <w:color w:val="000000"/>
          <w:vertAlign w:val="superscript"/>
        </w:rPr>
      </w:pPr>
      <w:r w:rsidRPr="00563AD3">
        <w:rPr>
          <w:rFonts w:eastAsia="Calibri"/>
          <w:color w:val="000000"/>
        </w:rPr>
        <w:t>Graham Stokes</w:t>
      </w:r>
      <w:r w:rsidR="001675B8" w:rsidRPr="00563AD3">
        <w:rPr>
          <w:rFonts w:eastAsia="Calibri"/>
          <w:color w:val="000000"/>
        </w:rPr>
        <w:t xml:space="preserve"> (</w:t>
      </w:r>
      <w:r w:rsidR="007C1515" w:rsidRPr="00563AD3">
        <w:rPr>
          <w:rFonts w:eastAsia="Calibri"/>
          <w:color w:val="000000"/>
        </w:rPr>
        <w:t xml:space="preserve">Director of </w:t>
      </w:r>
      <w:r w:rsidR="00505CA0" w:rsidRPr="00563AD3">
        <w:rPr>
          <w:rFonts w:eastAsia="Calibri"/>
          <w:color w:val="000000"/>
        </w:rPr>
        <w:t xml:space="preserve">Memory </w:t>
      </w:r>
      <w:r w:rsidR="007C1515" w:rsidRPr="00563AD3">
        <w:rPr>
          <w:rFonts w:eastAsia="Calibri"/>
          <w:color w:val="000000"/>
        </w:rPr>
        <w:t>Care</w:t>
      </w:r>
      <w:r w:rsidR="00505CA0" w:rsidRPr="00563AD3">
        <w:rPr>
          <w:rFonts w:eastAsia="Calibri"/>
          <w:color w:val="000000"/>
        </w:rPr>
        <w:t xml:space="preserve"> Services</w:t>
      </w:r>
      <w:r w:rsidR="001675B8" w:rsidRPr="00563AD3">
        <w:rPr>
          <w:rFonts w:eastAsia="Calibri"/>
          <w:color w:val="000000"/>
        </w:rPr>
        <w:t>): study design and commenting on the draft of this paper</w:t>
      </w:r>
    </w:p>
    <w:p w14:paraId="4BE4E90F" w14:textId="73294857" w:rsidR="001675B8" w:rsidRPr="00563AD3" w:rsidRDefault="00B33E82" w:rsidP="009B13F3">
      <w:pPr>
        <w:rPr>
          <w:vertAlign w:val="superscript"/>
        </w:rPr>
      </w:pPr>
      <w:r w:rsidRPr="00563AD3">
        <w:rPr>
          <w:rFonts w:eastAsia="Calibri"/>
          <w:color w:val="000000"/>
        </w:rPr>
        <w:t>Daphne Wallace</w:t>
      </w:r>
      <w:r w:rsidR="001675B8" w:rsidRPr="00563AD3">
        <w:rPr>
          <w:rFonts w:eastAsia="Calibri"/>
          <w:color w:val="000000"/>
        </w:rPr>
        <w:t xml:space="preserve"> (Expert by Experience): study design and commenting on the draft of this paper</w:t>
      </w:r>
    </w:p>
    <w:p w14:paraId="0B814B2C" w14:textId="06E23A83" w:rsidR="00B33E82" w:rsidRPr="00563AD3" w:rsidRDefault="00B33E82" w:rsidP="009B13F3">
      <w:pPr>
        <w:rPr>
          <w:rFonts w:eastAsia="Calibri"/>
          <w:color w:val="000000"/>
        </w:rPr>
      </w:pPr>
      <w:r w:rsidRPr="00563AD3">
        <w:t>Amanda J Farrin</w:t>
      </w:r>
      <w:r w:rsidR="001675B8" w:rsidRPr="00563AD3">
        <w:t xml:space="preserve"> (</w:t>
      </w:r>
      <w:r w:rsidR="00184A4C" w:rsidRPr="00563AD3">
        <w:t>Professor of Clinical Trials &amp; Evaluation of Complex Interventions, Director of Complex Interventions Division</w:t>
      </w:r>
      <w:r w:rsidR="001675B8" w:rsidRPr="00563AD3">
        <w:t xml:space="preserve">): </w:t>
      </w:r>
      <w:r w:rsidR="002D798A" w:rsidRPr="00563AD3">
        <w:t>the conception and design of the study, interpretation of data and drafting of this paper</w:t>
      </w:r>
    </w:p>
    <w:p w14:paraId="4A329672" w14:textId="62941534" w:rsidR="00B33E82" w:rsidRPr="00563AD3" w:rsidRDefault="00B33E82" w:rsidP="009B13F3"/>
    <w:p w14:paraId="65FE4773" w14:textId="50898002" w:rsidR="00B33E82" w:rsidRPr="00563AD3" w:rsidRDefault="00B33E82" w:rsidP="009B13F3">
      <w:pPr>
        <w:pStyle w:val="Heading2"/>
      </w:pPr>
      <w:bookmarkStart w:id="238" w:name="_Toc525544059"/>
      <w:r w:rsidRPr="00563AD3">
        <w:t>Publications</w:t>
      </w:r>
      <w:bookmarkEnd w:id="238"/>
    </w:p>
    <w:p w14:paraId="75B3FAB8" w14:textId="6A9E850D" w:rsidR="00B33E82" w:rsidRDefault="00B33E82" w:rsidP="009B13F3">
      <w:r w:rsidRPr="000E5342">
        <w:t xml:space="preserve">Surr, C., </w:t>
      </w:r>
      <w:r w:rsidRPr="00563AD3">
        <w:t xml:space="preserve">Walwyn, R., Lilley-Kelley, A., Cicero, R., Meads, D., Ballard, C., Burton, K., Chenoweth, L., Corbett, A., Creese, B., Downs, M., Farrin, A.J., Fossey, J., Garrod, L., Graham, E.H., Griffiths, A., Holloway, I., Jones, S., Malik, B., Siddiqi, N., Robinson, L. and Wallace, D. (2016) Evaluating the effectiveness and cost effectiveness of Dementia Care Mapping™ to enable person-centred care for people with dementia and their carers (DCM-EPIC) in care homes: Study protocol for a randomised controlled trial. </w:t>
      </w:r>
      <w:r w:rsidRPr="00563AD3">
        <w:rPr>
          <w:i/>
        </w:rPr>
        <w:t xml:space="preserve">Trials. </w:t>
      </w:r>
      <w:r w:rsidRPr="00563AD3">
        <w:t>17:300. DOI: 10.1186/s13063-016-1416-z</w:t>
      </w:r>
    </w:p>
    <w:p w14:paraId="04C84D5A" w14:textId="77777777" w:rsidR="00535E40" w:rsidRDefault="000E5342" w:rsidP="009B13F3">
      <w:r>
        <w:t>Griffiths, A. Creese, B., Garrod, L., Chenoweth, L. and Surr, C. (</w:t>
      </w:r>
      <w:r w:rsidR="009E7481">
        <w:t>2018</w:t>
      </w:r>
      <w:r>
        <w:t xml:space="preserve">) </w:t>
      </w:r>
      <w:r w:rsidRPr="000E5342">
        <w:t>The development and use of the Assessment of Dementia Awareness and Person-centred Care Training (ADAPT) tool in long-term care</w:t>
      </w:r>
      <w:r>
        <w:t xml:space="preserve">. </w:t>
      </w:r>
      <w:r>
        <w:rPr>
          <w:i/>
        </w:rPr>
        <w:t>Dementia: the International Journal of Social Research and Practice</w:t>
      </w:r>
      <w:r w:rsidR="009E7481">
        <w:rPr>
          <w:i/>
        </w:rPr>
        <w:t xml:space="preserve"> </w:t>
      </w:r>
      <w:r w:rsidR="009E7481" w:rsidRPr="009E7481">
        <w:t>doi:</w:t>
      </w:r>
      <w:r w:rsidR="009E7481">
        <w:t>10.1177/1471301218768165</w:t>
      </w:r>
    </w:p>
    <w:p w14:paraId="3080568F" w14:textId="4D8DAF48" w:rsidR="00535E40" w:rsidRPr="00535E40" w:rsidRDefault="00535E40" w:rsidP="00535E40">
      <w:pPr>
        <w:rPr>
          <w:lang w:val="en-US"/>
        </w:rPr>
      </w:pPr>
      <w:r w:rsidRPr="00535E40">
        <w:rPr>
          <w:lang w:val="en-US"/>
        </w:rPr>
        <w:t xml:space="preserve">Griffiths, A., Kelley, R., Garrod, L., Perfect, D., Robinson, O., Shoesmith, E., McDermid, J., Burnley, N. and Surr, C. (2019) Barriers and facilitators to implementing Dementia Care Mapping in Care Homes: Results from the DCM EPIC Trial process evaluation. </w:t>
      </w:r>
      <w:r w:rsidRPr="00535E40">
        <w:rPr>
          <w:i/>
          <w:lang w:val="en-US"/>
        </w:rPr>
        <w:t>BMC Geriatrics.</w:t>
      </w:r>
      <w:r w:rsidRPr="00535E40">
        <w:rPr>
          <w:lang w:val="en-US"/>
        </w:rPr>
        <w:t xml:space="preserve"> 19: 37. doi: 0.1186/s12877-019-1045-y</w:t>
      </w:r>
    </w:p>
    <w:p w14:paraId="32F6F2E0" w14:textId="77777777" w:rsidR="00535E40" w:rsidRPr="00535E40" w:rsidRDefault="00535E40" w:rsidP="00535E40">
      <w:pPr>
        <w:rPr>
          <w:i/>
          <w:lang w:val="en-US"/>
        </w:rPr>
      </w:pPr>
      <w:r w:rsidRPr="00535E40">
        <w:rPr>
          <w:lang w:val="en-US"/>
        </w:rPr>
        <w:t>Griffiths, A., Albertyn, C., Burnley, N., Creese, B., Walwyn, R., Holloway, I., Safarikova, and Surr, C. (in press) Development and validation of an observational version of the Cohen-Mansfield Agitation Inventory.</w:t>
      </w:r>
      <w:r w:rsidRPr="00535E40">
        <w:rPr>
          <w:i/>
          <w:lang w:val="en-US"/>
        </w:rPr>
        <w:t xml:space="preserve"> International Psychogeriatrics</w:t>
      </w:r>
    </w:p>
    <w:p w14:paraId="5E634246" w14:textId="746C9620" w:rsidR="000E5342" w:rsidRDefault="000E5342" w:rsidP="009B13F3">
      <w:pPr>
        <w:rPr>
          <w:i/>
        </w:rPr>
      </w:pPr>
    </w:p>
    <w:p w14:paraId="403F7144" w14:textId="2706608D" w:rsidR="00B33E82" w:rsidRPr="00563AD3" w:rsidRDefault="00DE6B62" w:rsidP="009B13F3">
      <w:pPr>
        <w:pStyle w:val="Heading2"/>
      </w:pPr>
      <w:r w:rsidRPr="00DE6B62">
        <w:t>All data requests should be submitted to the corresponding author for consideration.  Access to available anonymised data may be granted following review</w:t>
      </w:r>
      <w:r w:rsidRPr="00DE6B62" w:rsidDel="00DE6B62">
        <w:t xml:space="preserve"> </w:t>
      </w:r>
      <w:r w:rsidR="008052F0">
        <w:t xml:space="preserve"> </w:t>
      </w:r>
      <w:bookmarkStart w:id="239" w:name="_Toc525544060"/>
      <w:r w:rsidR="00B33E82" w:rsidRPr="00563AD3">
        <w:t>Other acknowledgements</w:t>
      </w:r>
      <w:bookmarkEnd w:id="239"/>
      <w:r w:rsidR="00AA729B" w:rsidRPr="00563AD3">
        <w:t xml:space="preserve"> </w:t>
      </w:r>
    </w:p>
    <w:p w14:paraId="71B775AC" w14:textId="77777777" w:rsidR="00E0585A" w:rsidRPr="00563AD3" w:rsidRDefault="00E0585A" w:rsidP="009B13F3">
      <w:r w:rsidRPr="00563AD3">
        <w:t>We would like to thank all the care homes, individuals with dementia, their family members and care home staff for taking part in this study and giving freely of their time.</w:t>
      </w:r>
    </w:p>
    <w:p w14:paraId="525E6262" w14:textId="73958EF2" w:rsidR="004765FE" w:rsidRPr="00563AD3" w:rsidRDefault="004765FE" w:rsidP="009B13F3">
      <w:pPr>
        <w:rPr>
          <w:rFonts w:eastAsia="Times New Roman"/>
          <w:color w:val="333333"/>
        </w:rPr>
      </w:pPr>
      <w:r w:rsidRPr="00563AD3">
        <w:t xml:space="preserve">We would like to </w:t>
      </w:r>
      <w:r w:rsidR="002E46B4" w:rsidRPr="00563AD3">
        <w:t xml:space="preserve">thank the following people who </w:t>
      </w:r>
      <w:r w:rsidR="00CD6667" w:rsidRPr="00563AD3">
        <w:t xml:space="preserve">have </w:t>
      </w:r>
      <w:r w:rsidR="002E46B4" w:rsidRPr="00563AD3">
        <w:t xml:space="preserve">contributed to the successful completion of this trial. </w:t>
      </w:r>
      <w:r w:rsidR="00D8530B" w:rsidRPr="00563AD3">
        <w:t>Chris Albertyn, Heather Blakey, Marie Crabbe, Elyse Couch, Cara Gates, Layla Hamadi, Stephanie Jones, Baber Malik, Harriet Maunsell,  Kirsty Nash, Sahdia Parveen, Luisa Rabanal, Bina Sharma, Victoria Simons, Emily Smeaton, Alyma Somani, Emily Standell, Rebecca Thomas, Ingelin Testad and Miguel Vasconcelos Da Silva</w:t>
      </w:r>
      <w:r w:rsidR="003B6B22" w:rsidRPr="00563AD3">
        <w:t>, the researchers who collected the data;</w:t>
      </w:r>
      <w:r w:rsidR="00D8530B" w:rsidRPr="00563AD3">
        <w:t xml:space="preserve"> </w:t>
      </w:r>
      <w:r w:rsidR="002E46B4" w:rsidRPr="00563AD3">
        <w:t xml:space="preserve">Robert Cicero who supported development of the statistical analysis plan; Kayleigh Burton who undertook trial management; </w:t>
      </w:r>
      <w:r w:rsidR="00AA729B" w:rsidRPr="00563AD3">
        <w:t xml:space="preserve">Madeline Harms, Alison Fergusson and Laura Stubbs who undertook data management;  </w:t>
      </w:r>
      <w:r w:rsidR="00C547FB" w:rsidRPr="00563AD3">
        <w:t xml:space="preserve">Benjamin Thorpe who assisted with statistical programming; </w:t>
      </w:r>
      <w:r w:rsidR="002E46B4" w:rsidRPr="00563AD3">
        <w:t>Sharon Jones, Lisa Heller, Juniper West, Judith Farmer</w:t>
      </w:r>
      <w:r w:rsidR="00372583" w:rsidRPr="00563AD3">
        <w:t>, Maria Scurfield</w:t>
      </w:r>
      <w:r w:rsidR="002E46B4" w:rsidRPr="00563AD3">
        <w:t xml:space="preserve"> and Lisa Breame who supported </w:t>
      </w:r>
      <w:r w:rsidR="00070560" w:rsidRPr="00563AD3">
        <w:t>DCM™</w:t>
      </w:r>
      <w:r w:rsidR="002E46B4" w:rsidRPr="00563AD3">
        <w:t xml:space="preserve"> intervention </w:t>
      </w:r>
      <w:r w:rsidR="008A60E2" w:rsidRPr="00563AD3">
        <w:t xml:space="preserve">implementation </w:t>
      </w:r>
      <w:r w:rsidR="002E46B4" w:rsidRPr="00563AD3">
        <w:t>activities; Jan Robins</w:t>
      </w:r>
      <w:r w:rsidR="00A12370" w:rsidRPr="00563AD3">
        <w:t>, Clare Mason</w:t>
      </w:r>
      <w:r w:rsidR="002E46B4" w:rsidRPr="00563AD3">
        <w:t xml:space="preserve"> and Lindsey Collins who delivered Dementia Awareness training; </w:t>
      </w:r>
      <w:r w:rsidR="00A12370" w:rsidRPr="00563AD3">
        <w:t xml:space="preserve">Barbara Carlton, Sandra Duggan, Jane Ward, Daniella Watson and Connie Williams who were members of the Lay Advisory Group and </w:t>
      </w:r>
      <w:r w:rsidR="002E46B4" w:rsidRPr="00563AD3">
        <w:t>Sue Fortescue who sat on the Trial Management Group</w:t>
      </w:r>
      <w:r w:rsidR="0095320B" w:rsidRPr="00563AD3">
        <w:t xml:space="preserve"> and Lay Advisory Group</w:t>
      </w:r>
      <w:r w:rsidR="000137D2" w:rsidRPr="00563AD3">
        <w:t>.</w:t>
      </w:r>
      <w:r w:rsidR="00AA729B" w:rsidRPr="00563AD3">
        <w:t xml:space="preserve"> Ian Wheeler who </w:t>
      </w:r>
      <w:r w:rsidR="00372583" w:rsidRPr="00563AD3">
        <w:t>provided administrative support for the trial and Matt Murray from the Alzheimer’s Society who provided oversight for the Lay Advisory Group.</w:t>
      </w:r>
      <w:r w:rsidR="00505CA0" w:rsidRPr="00563AD3">
        <w:t xml:space="preserve"> </w:t>
      </w:r>
      <w:r w:rsidR="001348D0" w:rsidRPr="00563AD3">
        <w:t>GS</w:t>
      </w:r>
      <w:r w:rsidR="008D04D9" w:rsidRPr="00563AD3">
        <w:t xml:space="preserve"> would like to acknowledge Bupa UK, who were </w:t>
      </w:r>
      <w:r w:rsidR="001348D0" w:rsidRPr="00563AD3">
        <w:t>his</w:t>
      </w:r>
      <w:r w:rsidR="008D04D9" w:rsidRPr="00563AD3">
        <w:t xml:space="preserve"> employ</w:t>
      </w:r>
      <w:r w:rsidR="001348D0" w:rsidRPr="00563AD3">
        <w:t>ing organisation</w:t>
      </w:r>
      <w:r w:rsidR="008D04D9" w:rsidRPr="00563AD3">
        <w:t xml:space="preserve"> during </w:t>
      </w:r>
      <w:r w:rsidR="0039491E" w:rsidRPr="00563AD3">
        <w:t>the majority</w:t>
      </w:r>
      <w:r w:rsidR="008D04D9" w:rsidRPr="00563AD3">
        <w:t xml:space="preserve"> of the study period.</w:t>
      </w:r>
      <w:r w:rsidR="002E46B4" w:rsidRPr="00563AD3">
        <w:t xml:space="preserve"> </w:t>
      </w:r>
    </w:p>
    <w:p w14:paraId="341E8EBF" w14:textId="77777777" w:rsidR="008052F0" w:rsidRDefault="008052F0">
      <w:pPr>
        <w:autoSpaceDE/>
        <w:autoSpaceDN/>
        <w:adjustRightInd/>
        <w:spacing w:line="259" w:lineRule="auto"/>
        <w:rPr>
          <w:rFonts w:eastAsia="Times New Roman"/>
          <w:b/>
          <w:color w:val="333333"/>
          <w:sz w:val="28"/>
          <w:szCs w:val="28"/>
        </w:rPr>
      </w:pPr>
      <w:r>
        <w:br w:type="page"/>
      </w:r>
    </w:p>
    <w:p w14:paraId="09F136C7" w14:textId="61772DA2" w:rsidR="004765FE" w:rsidRPr="00563AD3" w:rsidRDefault="00AF3EE1" w:rsidP="009B13F3">
      <w:pPr>
        <w:pStyle w:val="Heading1"/>
        <w:spacing w:line="360" w:lineRule="auto"/>
      </w:pPr>
      <w:bookmarkStart w:id="240" w:name="_Toc525544061"/>
      <w:r w:rsidRPr="00563AD3">
        <w:t>9</w:t>
      </w:r>
      <w:r w:rsidR="008A60E2" w:rsidRPr="00563AD3">
        <w:t xml:space="preserve">. </w:t>
      </w:r>
      <w:r w:rsidR="004765FE" w:rsidRPr="00563AD3">
        <w:t>References</w:t>
      </w:r>
      <w:bookmarkEnd w:id="240"/>
      <w:r w:rsidR="00D412C2" w:rsidRPr="00563AD3">
        <w:t xml:space="preserve"> </w:t>
      </w:r>
    </w:p>
    <w:p w14:paraId="438F3BE5" w14:textId="77777777" w:rsidR="00535E40" w:rsidRPr="00535E40" w:rsidRDefault="000B4E72" w:rsidP="00535E40">
      <w:pPr>
        <w:pStyle w:val="EndNoteBibliography"/>
        <w:spacing w:after="0"/>
      </w:pPr>
      <w:r w:rsidRPr="00B03437">
        <w:rPr>
          <w:sz w:val="22"/>
        </w:rPr>
        <w:fldChar w:fldCharType="begin"/>
      </w:r>
      <w:r w:rsidRPr="00B03437">
        <w:rPr>
          <w:sz w:val="22"/>
        </w:rPr>
        <w:instrText xml:space="preserve"> ADDIN EN.REFLIST </w:instrText>
      </w:r>
      <w:r w:rsidRPr="00B03437">
        <w:rPr>
          <w:sz w:val="22"/>
        </w:rPr>
        <w:fldChar w:fldCharType="separate"/>
      </w:r>
      <w:r w:rsidR="00535E40" w:rsidRPr="00535E40">
        <w:t>1.</w:t>
      </w:r>
      <w:r w:rsidR="00535E40" w:rsidRPr="00535E40">
        <w:tab/>
        <w:t>Prince M, Knapp M, Guerchet M, McCrone P, Prina M, Comas-Herrera A</w:t>
      </w:r>
      <w:r w:rsidR="00535E40" w:rsidRPr="00535E40">
        <w:rPr>
          <w:i/>
        </w:rPr>
        <w:t>, et al.</w:t>
      </w:r>
      <w:r w:rsidR="00535E40" w:rsidRPr="00535E40">
        <w:t xml:space="preserve"> </w:t>
      </w:r>
      <w:r w:rsidR="00535E40" w:rsidRPr="00535E40">
        <w:rPr>
          <w:i/>
        </w:rPr>
        <w:t>Dementia UK: update</w:t>
      </w:r>
      <w:r w:rsidR="00535E40" w:rsidRPr="00535E40">
        <w:t>. London: Alzheimer's Society; 2014.</w:t>
      </w:r>
    </w:p>
    <w:p w14:paraId="249669D7" w14:textId="77777777" w:rsidR="00535E40" w:rsidRPr="00535E40" w:rsidRDefault="00535E40" w:rsidP="00535E40">
      <w:pPr>
        <w:pStyle w:val="EndNoteBibliography"/>
        <w:spacing w:after="0"/>
      </w:pPr>
      <w:r w:rsidRPr="00535E40">
        <w:t>2.</w:t>
      </w:r>
      <w:r w:rsidRPr="00535E40">
        <w:tab/>
        <w:t xml:space="preserve">Alzheimer's Society. </w:t>
      </w:r>
      <w:r w:rsidRPr="00535E40">
        <w:rPr>
          <w:i/>
        </w:rPr>
        <w:t>Low expectations. Attitudes on choice, care and community for people with dementia in care homes</w:t>
      </w:r>
      <w:r w:rsidRPr="00535E40">
        <w:t>. London: Alzheimer's Society; 2013.</w:t>
      </w:r>
    </w:p>
    <w:p w14:paraId="4532B06D" w14:textId="77777777" w:rsidR="00535E40" w:rsidRPr="00535E40" w:rsidRDefault="00535E40" w:rsidP="00535E40">
      <w:pPr>
        <w:pStyle w:val="EndNoteBibliography"/>
        <w:spacing w:after="0"/>
      </w:pPr>
      <w:r w:rsidRPr="00535E40">
        <w:t>3.</w:t>
      </w:r>
      <w:r w:rsidRPr="00535E40">
        <w:tab/>
        <w:t xml:space="preserve">Care Quality Commission. </w:t>
      </w:r>
      <w:r w:rsidRPr="00535E40">
        <w:rPr>
          <w:i/>
        </w:rPr>
        <w:t>The state of adult social care services 2014 to 2017</w:t>
      </w:r>
      <w:r w:rsidRPr="00535E40">
        <w:t>. Newcastle: Care Quality Commission; 2017.</w:t>
      </w:r>
    </w:p>
    <w:p w14:paraId="45D7ECFB" w14:textId="77777777" w:rsidR="00535E40" w:rsidRPr="00535E40" w:rsidRDefault="00535E40" w:rsidP="00535E40">
      <w:pPr>
        <w:pStyle w:val="EndNoteBibliography"/>
        <w:spacing w:after="0"/>
      </w:pPr>
      <w:r w:rsidRPr="00535E40">
        <w:t>4.</w:t>
      </w:r>
      <w:r w:rsidRPr="00535E40">
        <w:tab/>
        <w:t xml:space="preserve">All-Party Parliamentary Group on Dementia. </w:t>
      </w:r>
      <w:r w:rsidRPr="00535E40">
        <w:rPr>
          <w:i/>
        </w:rPr>
        <w:t>Always a last resort. Inquiry into the prescription of antipsychotic drugs to people with dementia living in care homes</w:t>
      </w:r>
      <w:r w:rsidRPr="00535E40">
        <w:t>. London: The Stationary Office; 2008.</w:t>
      </w:r>
    </w:p>
    <w:p w14:paraId="41B4BB68" w14:textId="77777777" w:rsidR="00535E40" w:rsidRPr="00535E40" w:rsidRDefault="00535E40" w:rsidP="00535E40">
      <w:pPr>
        <w:pStyle w:val="EndNoteBibliography"/>
        <w:spacing w:after="0"/>
      </w:pPr>
      <w:r w:rsidRPr="00535E40">
        <w:t>5.</w:t>
      </w:r>
      <w:r w:rsidRPr="00535E40">
        <w:tab/>
        <w:t xml:space="preserve">Department of Health. </w:t>
      </w:r>
      <w:r w:rsidRPr="00535E40">
        <w:rPr>
          <w:i/>
        </w:rPr>
        <w:t>Quality outcomes for people with dementia: building on the work of the National Dementia Strategy</w:t>
      </w:r>
      <w:r w:rsidRPr="00535E40">
        <w:t>. London: Department of Health; 2010.</w:t>
      </w:r>
    </w:p>
    <w:p w14:paraId="3592BAD3" w14:textId="77777777" w:rsidR="00535E40" w:rsidRPr="00535E40" w:rsidRDefault="00535E40" w:rsidP="00535E40">
      <w:pPr>
        <w:pStyle w:val="EndNoteBibliography"/>
        <w:spacing w:after="0"/>
      </w:pPr>
      <w:r w:rsidRPr="00535E40">
        <w:t>6.</w:t>
      </w:r>
      <w:r w:rsidRPr="00535E40">
        <w:tab/>
        <w:t xml:space="preserve">Department of Health. </w:t>
      </w:r>
      <w:r w:rsidRPr="00535E40">
        <w:rPr>
          <w:i/>
        </w:rPr>
        <w:t>Living well with dementia: A National Dementia Strategy</w:t>
      </w:r>
      <w:r w:rsidRPr="00535E40">
        <w:t>. London: Department of Health; 2009.</w:t>
      </w:r>
    </w:p>
    <w:p w14:paraId="71B56A98" w14:textId="77777777" w:rsidR="00535E40" w:rsidRPr="00535E40" w:rsidRDefault="00535E40" w:rsidP="00535E40">
      <w:pPr>
        <w:pStyle w:val="EndNoteBibliography"/>
        <w:spacing w:after="0"/>
      </w:pPr>
      <w:r w:rsidRPr="00535E40">
        <w:t>7.</w:t>
      </w:r>
      <w:r w:rsidRPr="00535E40">
        <w:tab/>
        <w:t xml:space="preserve">Department of Health. </w:t>
      </w:r>
      <w:r w:rsidRPr="00535E40">
        <w:rPr>
          <w:i/>
        </w:rPr>
        <w:t>Prime Minister's challenge on dementia. delivering major improvements in dementia care and research by 2015</w:t>
      </w:r>
      <w:r w:rsidRPr="00535E40">
        <w:t>. London: Department of Health; 2012.</w:t>
      </w:r>
    </w:p>
    <w:p w14:paraId="10C92378" w14:textId="77777777" w:rsidR="00535E40" w:rsidRPr="00535E40" w:rsidRDefault="00535E40" w:rsidP="00535E40">
      <w:pPr>
        <w:pStyle w:val="EndNoteBibliography"/>
        <w:spacing w:after="0"/>
      </w:pPr>
      <w:r w:rsidRPr="00535E40">
        <w:t>8.</w:t>
      </w:r>
      <w:r w:rsidRPr="00535E40">
        <w:tab/>
        <w:t xml:space="preserve">Department of Health. </w:t>
      </w:r>
      <w:r w:rsidRPr="00535E40">
        <w:rPr>
          <w:i/>
        </w:rPr>
        <w:t>Prime Minister's Challenge on Dementia 2020</w:t>
      </w:r>
      <w:r w:rsidRPr="00535E40">
        <w:t>. London: Department of Health; 2015.</w:t>
      </w:r>
    </w:p>
    <w:p w14:paraId="181E33F2" w14:textId="77777777" w:rsidR="00535E40" w:rsidRPr="00535E40" w:rsidRDefault="00535E40" w:rsidP="00535E40">
      <w:pPr>
        <w:pStyle w:val="EndNoteBibliography"/>
        <w:spacing w:after="0"/>
      </w:pPr>
      <w:r w:rsidRPr="00535E40">
        <w:t>9.</w:t>
      </w:r>
      <w:r w:rsidRPr="00535E40">
        <w:tab/>
        <w:t xml:space="preserve">Ministerial Advisory Group on Dementia Research. </w:t>
      </w:r>
      <w:r w:rsidRPr="00535E40">
        <w:rPr>
          <w:i/>
        </w:rPr>
        <w:t>The Ministerial Advisory Group on Dementia Research. Headline report</w:t>
      </w:r>
      <w:r w:rsidRPr="00535E40">
        <w:t>. London: Department of Health; 2011.</w:t>
      </w:r>
    </w:p>
    <w:p w14:paraId="08F8137D" w14:textId="77777777" w:rsidR="00535E40" w:rsidRPr="00535E40" w:rsidRDefault="00535E40" w:rsidP="00535E40">
      <w:pPr>
        <w:pStyle w:val="EndNoteBibliography"/>
        <w:spacing w:after="0"/>
      </w:pPr>
      <w:r w:rsidRPr="00535E40">
        <w:t>10.</w:t>
      </w:r>
      <w:r w:rsidRPr="00535E40">
        <w:tab/>
        <w:t xml:space="preserve">Bowie P, Mountain G. The relationship between patient behaviour and environmental quality for the dementing. </w:t>
      </w:r>
      <w:r w:rsidRPr="00535E40">
        <w:rPr>
          <w:i/>
        </w:rPr>
        <w:t>Int J Geriatr Psychiatry</w:t>
      </w:r>
      <w:r w:rsidRPr="00535E40">
        <w:t xml:space="preserve"> 1997;</w:t>
      </w:r>
      <w:r w:rsidRPr="00535E40">
        <w:rPr>
          <w:b/>
        </w:rPr>
        <w:t>12</w:t>
      </w:r>
      <w:r w:rsidRPr="00535E40">
        <w:t>:718-23.</w:t>
      </w:r>
    </w:p>
    <w:p w14:paraId="0E527349" w14:textId="77777777" w:rsidR="00535E40" w:rsidRPr="00535E40" w:rsidRDefault="00535E40" w:rsidP="00535E40">
      <w:pPr>
        <w:pStyle w:val="EndNoteBibliography"/>
        <w:spacing w:after="0"/>
      </w:pPr>
      <w:r w:rsidRPr="00535E40">
        <w:t>11.</w:t>
      </w:r>
      <w:r w:rsidRPr="00535E40">
        <w:tab/>
        <w:t>Ballard C, O'Brien J, James I, Mynt P, Lana M, Potkins D</w:t>
      </w:r>
      <w:r w:rsidRPr="00535E40">
        <w:rPr>
          <w:i/>
        </w:rPr>
        <w:t>, et al.</w:t>
      </w:r>
      <w:r w:rsidRPr="00535E40">
        <w:t xml:space="preserve"> Quality of life for people with dementia living in residential and nursing home care: The impact of performance on activities of daily living, behavioural and psychological symptoms, language skills and psychotropic drugs. </w:t>
      </w:r>
      <w:r w:rsidRPr="00535E40">
        <w:rPr>
          <w:i/>
        </w:rPr>
        <w:t>Int Psychogeriatr</w:t>
      </w:r>
      <w:r w:rsidRPr="00535E40">
        <w:t xml:space="preserve"> 2001;</w:t>
      </w:r>
      <w:r w:rsidRPr="00535E40">
        <w:rPr>
          <w:b/>
        </w:rPr>
        <w:t>13</w:t>
      </w:r>
      <w:r w:rsidRPr="00535E40">
        <w:t>:93-106.</w:t>
      </w:r>
    </w:p>
    <w:p w14:paraId="62D78531" w14:textId="77777777" w:rsidR="00535E40" w:rsidRPr="00535E40" w:rsidRDefault="00535E40" w:rsidP="00535E40">
      <w:pPr>
        <w:pStyle w:val="EndNoteBibliography"/>
        <w:spacing w:after="0"/>
      </w:pPr>
      <w:r w:rsidRPr="00535E40">
        <w:t>12.</w:t>
      </w:r>
      <w:r w:rsidRPr="00535E40">
        <w:tab/>
        <w:t xml:space="preserve">All-Party Parliamentary Group on Dementia. </w:t>
      </w:r>
      <w:r w:rsidRPr="00535E40">
        <w:rPr>
          <w:i/>
        </w:rPr>
        <w:t>Prepared to Care. Challenging the dementia skills gap</w:t>
      </w:r>
      <w:r w:rsidRPr="00535E40">
        <w:t>. London: The Stationary Office; 2009.</w:t>
      </w:r>
    </w:p>
    <w:p w14:paraId="1016B4CA" w14:textId="77777777" w:rsidR="00535E40" w:rsidRPr="00535E40" w:rsidRDefault="00535E40" w:rsidP="00535E40">
      <w:pPr>
        <w:pStyle w:val="EndNoteBibliography"/>
        <w:spacing w:after="0"/>
      </w:pPr>
      <w:r w:rsidRPr="00535E40">
        <w:t>13.</w:t>
      </w:r>
      <w:r w:rsidRPr="00535E40">
        <w:tab/>
        <w:t xml:space="preserve">Kuske B, Hanns S, Luck T, Angermeyer MC, Behrens J, Riedel-Heller SG. Nursing home staff training in dementia care: a systematic review of evaluated programmes. </w:t>
      </w:r>
      <w:r w:rsidRPr="00535E40">
        <w:rPr>
          <w:i/>
        </w:rPr>
        <w:t>International Psychogeriatrics</w:t>
      </w:r>
      <w:r w:rsidRPr="00535E40">
        <w:t xml:space="preserve"> 2007;</w:t>
      </w:r>
      <w:r w:rsidRPr="00535E40">
        <w:rPr>
          <w:b/>
        </w:rPr>
        <w:t>19</w:t>
      </w:r>
      <w:r w:rsidRPr="00535E40">
        <w:t>:818-41.</w:t>
      </w:r>
    </w:p>
    <w:p w14:paraId="5186CB86" w14:textId="77777777" w:rsidR="00535E40" w:rsidRPr="00535E40" w:rsidRDefault="00535E40" w:rsidP="00535E40">
      <w:pPr>
        <w:pStyle w:val="EndNoteBibliography"/>
        <w:spacing w:after="0"/>
      </w:pPr>
      <w:r w:rsidRPr="00535E40">
        <w:t>14.</w:t>
      </w:r>
      <w:r w:rsidRPr="00535E40">
        <w:tab/>
        <w:t>Surr C, Gates C, Irving D, Oyebode J, Smith SJ, Parveen S</w:t>
      </w:r>
      <w:r w:rsidRPr="00535E40">
        <w:rPr>
          <w:i/>
        </w:rPr>
        <w:t>, et al.</w:t>
      </w:r>
      <w:r w:rsidRPr="00535E40">
        <w:t xml:space="preserve"> Effective dementia education and training for the health and social care workforce: A systematic review of the literature. </w:t>
      </w:r>
      <w:r w:rsidRPr="00535E40">
        <w:rPr>
          <w:i/>
        </w:rPr>
        <w:t>Review of Educational Research</w:t>
      </w:r>
      <w:r w:rsidRPr="00535E40">
        <w:t xml:space="preserve"> 2017;</w:t>
      </w:r>
      <w:r w:rsidRPr="00535E40">
        <w:rPr>
          <w:b/>
        </w:rPr>
        <w:t>87</w:t>
      </w:r>
      <w:r w:rsidRPr="00535E40">
        <w:t>:966-1002.</w:t>
      </w:r>
    </w:p>
    <w:p w14:paraId="495AFFE0" w14:textId="77777777" w:rsidR="00535E40" w:rsidRPr="00535E40" w:rsidRDefault="00535E40" w:rsidP="00535E40">
      <w:pPr>
        <w:pStyle w:val="EndNoteBibliography"/>
        <w:spacing w:after="0"/>
      </w:pPr>
      <w:r w:rsidRPr="00535E40">
        <w:t>15.</w:t>
      </w:r>
      <w:r w:rsidRPr="00535E40">
        <w:tab/>
        <w:t xml:space="preserve">Fossey J, Masson S, Stafford J, Lawrence V, Corbett A, Ballard C. The disconnect between evidence and practice: a systematic review of person-centred interventions and training manuals for care home staff working with people with dementia. </w:t>
      </w:r>
      <w:r w:rsidRPr="00535E40">
        <w:rPr>
          <w:i/>
        </w:rPr>
        <w:t>Int J Geriatr Psychiatry</w:t>
      </w:r>
      <w:r w:rsidRPr="00535E40">
        <w:t xml:space="preserve"> 2014;</w:t>
      </w:r>
      <w:r w:rsidRPr="00535E40">
        <w:rPr>
          <w:b/>
        </w:rPr>
        <w:t>29</w:t>
      </w:r>
      <w:r w:rsidRPr="00535E40">
        <w:t>:797-807.</w:t>
      </w:r>
    </w:p>
    <w:p w14:paraId="20EEF2D3" w14:textId="77777777" w:rsidR="00535E40" w:rsidRPr="00535E40" w:rsidRDefault="00535E40" w:rsidP="00535E40">
      <w:pPr>
        <w:pStyle w:val="EndNoteBibliography"/>
        <w:spacing w:after="0"/>
      </w:pPr>
      <w:r w:rsidRPr="00535E40">
        <w:t>16.</w:t>
      </w:r>
      <w:r w:rsidRPr="00535E40">
        <w:tab/>
        <w:t xml:space="preserve">Bradford Dementia Group. </w:t>
      </w:r>
      <w:r w:rsidRPr="00535E40">
        <w:rPr>
          <w:i/>
        </w:rPr>
        <w:t>Evaluating Dementia Care. The DCM Method. 7th Edition.</w:t>
      </w:r>
      <w:r w:rsidRPr="00535E40">
        <w:t xml:space="preserve"> Bradford: University of Bradford; 1997.</w:t>
      </w:r>
    </w:p>
    <w:p w14:paraId="60A34F66" w14:textId="77777777" w:rsidR="00535E40" w:rsidRPr="00535E40" w:rsidRDefault="00535E40" w:rsidP="00535E40">
      <w:pPr>
        <w:pStyle w:val="EndNoteBibliography"/>
        <w:spacing w:after="0"/>
      </w:pPr>
      <w:r w:rsidRPr="00535E40">
        <w:t>17.</w:t>
      </w:r>
      <w:r w:rsidRPr="00535E40">
        <w:tab/>
        <w:t xml:space="preserve">Bradford Dementia Group. </w:t>
      </w:r>
      <w:r w:rsidRPr="00535E40">
        <w:rPr>
          <w:i/>
        </w:rPr>
        <w:t>DCM 8 User's Manual</w:t>
      </w:r>
      <w:r w:rsidRPr="00535E40">
        <w:t>. Bradford: University of Bradford; 2005.</w:t>
      </w:r>
    </w:p>
    <w:p w14:paraId="0871D0A7" w14:textId="77777777" w:rsidR="00535E40" w:rsidRPr="00535E40" w:rsidRDefault="00535E40" w:rsidP="00535E40">
      <w:pPr>
        <w:pStyle w:val="EndNoteBibliography"/>
        <w:spacing w:after="0"/>
      </w:pPr>
      <w:r w:rsidRPr="00535E40">
        <w:t>18.</w:t>
      </w:r>
      <w:r w:rsidRPr="00535E40">
        <w:tab/>
        <w:t xml:space="preserve">Cox S. Developing quality in services. In: Cantley C, editor. </w:t>
      </w:r>
      <w:r w:rsidRPr="00535E40">
        <w:rPr>
          <w:i/>
        </w:rPr>
        <w:t>A Handbook of Dementia Care</w:t>
      </w:r>
      <w:r w:rsidRPr="00535E40">
        <w:t>Buckinghamshire: Open University Press; 2001.</w:t>
      </w:r>
    </w:p>
    <w:p w14:paraId="10050B90" w14:textId="77777777" w:rsidR="00535E40" w:rsidRPr="00535E40" w:rsidRDefault="00535E40" w:rsidP="00535E40">
      <w:pPr>
        <w:pStyle w:val="EndNoteBibliography"/>
        <w:spacing w:after="0"/>
      </w:pPr>
      <w:r w:rsidRPr="00535E40">
        <w:t>19.</w:t>
      </w:r>
      <w:r w:rsidRPr="00535E40">
        <w:tab/>
        <w:t xml:space="preserve">Innes A. </w:t>
      </w:r>
      <w:r w:rsidRPr="00535E40">
        <w:rPr>
          <w:i/>
        </w:rPr>
        <w:t>Dementia Care Mapping: Applications across cultures</w:t>
      </w:r>
      <w:r w:rsidRPr="00535E40">
        <w:t>. Maryland: Health Professions Press; 2003.</w:t>
      </w:r>
    </w:p>
    <w:p w14:paraId="0F09C763" w14:textId="77777777" w:rsidR="00535E40" w:rsidRPr="00535E40" w:rsidRDefault="00535E40" w:rsidP="00535E40">
      <w:pPr>
        <w:pStyle w:val="EndNoteBibliography"/>
        <w:spacing w:after="0"/>
      </w:pPr>
      <w:r w:rsidRPr="00535E40">
        <w:t>20.</w:t>
      </w:r>
      <w:r w:rsidRPr="00535E40">
        <w:tab/>
        <w:t xml:space="preserve">Bredin K, Kitwood T, Wattis J. Decline in quality of life for patients with severe dementia following a ward merger. </w:t>
      </w:r>
      <w:r w:rsidRPr="00535E40">
        <w:rPr>
          <w:i/>
        </w:rPr>
        <w:t>Int J Geriatr Psychiatry</w:t>
      </w:r>
      <w:r w:rsidRPr="00535E40">
        <w:t xml:space="preserve"> 1995;</w:t>
      </w:r>
      <w:r w:rsidRPr="00535E40">
        <w:rPr>
          <w:b/>
        </w:rPr>
        <w:t>10</w:t>
      </w:r>
      <w:r w:rsidRPr="00535E40">
        <w:t>:967-73.</w:t>
      </w:r>
    </w:p>
    <w:p w14:paraId="6BE33AF8" w14:textId="77777777" w:rsidR="00535E40" w:rsidRPr="00535E40" w:rsidRDefault="00535E40" w:rsidP="00535E40">
      <w:pPr>
        <w:pStyle w:val="EndNoteBibliography"/>
        <w:spacing w:after="0"/>
      </w:pPr>
      <w:r w:rsidRPr="00535E40">
        <w:t>21.</w:t>
      </w:r>
      <w:r w:rsidRPr="00535E40">
        <w:tab/>
        <w:t xml:space="preserve">Brooker D. Auditing Outcome of Care in in-patient and day patient settings using Dementia Care Mapping. Can it be done? </w:t>
      </w:r>
      <w:r w:rsidRPr="00535E40">
        <w:rPr>
          <w:i/>
        </w:rPr>
        <w:t>PSIGE Newsletter</w:t>
      </w:r>
      <w:r w:rsidRPr="00535E40">
        <w:t xml:space="preserve"> 1994;</w:t>
      </w:r>
      <w:r w:rsidRPr="00535E40">
        <w:rPr>
          <w:b/>
        </w:rPr>
        <w:t>51</w:t>
      </w:r>
      <w:r w:rsidRPr="00535E40">
        <w:t>:18-22.</w:t>
      </w:r>
    </w:p>
    <w:p w14:paraId="4741295C" w14:textId="77777777" w:rsidR="00535E40" w:rsidRPr="00535E40" w:rsidRDefault="00535E40" w:rsidP="00535E40">
      <w:pPr>
        <w:pStyle w:val="EndNoteBibliography"/>
        <w:spacing w:after="0"/>
      </w:pPr>
      <w:r w:rsidRPr="00535E40">
        <w:t>22.</w:t>
      </w:r>
      <w:r w:rsidRPr="00535E40">
        <w:tab/>
        <w:t xml:space="preserve">Brooker D, Foster N, Banner A, Payne M, Jackson L. The efficacy of Dementia Care Mapping as an audit tool: report of a 3-year British NHS evaluation. </w:t>
      </w:r>
      <w:r w:rsidRPr="00535E40">
        <w:rPr>
          <w:i/>
        </w:rPr>
        <w:t>Aging and Mental Health</w:t>
      </w:r>
      <w:r w:rsidRPr="00535E40">
        <w:t xml:space="preserve"> 1998;</w:t>
      </w:r>
      <w:r w:rsidRPr="00535E40">
        <w:rPr>
          <w:b/>
        </w:rPr>
        <w:t>2</w:t>
      </w:r>
      <w:r w:rsidRPr="00535E40">
        <w:t>:60-70.</w:t>
      </w:r>
    </w:p>
    <w:p w14:paraId="0DB774C1" w14:textId="77777777" w:rsidR="00535E40" w:rsidRPr="00535E40" w:rsidRDefault="00535E40" w:rsidP="00535E40">
      <w:pPr>
        <w:pStyle w:val="EndNoteBibliography"/>
        <w:spacing w:after="0"/>
      </w:pPr>
      <w:r w:rsidRPr="00535E40">
        <w:t>23.</w:t>
      </w:r>
      <w:r w:rsidRPr="00535E40">
        <w:tab/>
        <w:t xml:space="preserve">Clare M. Spreading DCM far and wide in Suffolk. </w:t>
      </w:r>
      <w:r w:rsidRPr="00535E40">
        <w:rPr>
          <w:i/>
        </w:rPr>
        <w:t>Journal of Dementia Care</w:t>
      </w:r>
      <w:r w:rsidRPr="00535E40">
        <w:t xml:space="preserve"> 2006:10-1.</w:t>
      </w:r>
    </w:p>
    <w:p w14:paraId="0835C7F1" w14:textId="77777777" w:rsidR="00535E40" w:rsidRPr="00535E40" w:rsidRDefault="00535E40" w:rsidP="00535E40">
      <w:pPr>
        <w:pStyle w:val="EndNoteBibliography"/>
        <w:spacing w:after="0"/>
      </w:pPr>
      <w:r w:rsidRPr="00535E40">
        <w:t>24.</w:t>
      </w:r>
      <w:r w:rsidRPr="00535E40">
        <w:tab/>
        <w:t xml:space="preserve">Edwards P, Brotherton S. DCM 8 in Cheshire. </w:t>
      </w:r>
      <w:r w:rsidRPr="00535E40">
        <w:rPr>
          <w:i/>
        </w:rPr>
        <w:t>Journal of Dementia Care</w:t>
      </w:r>
      <w:r w:rsidRPr="00535E40">
        <w:t xml:space="preserve"> 2006.</w:t>
      </w:r>
    </w:p>
    <w:p w14:paraId="5B725903" w14:textId="77777777" w:rsidR="00535E40" w:rsidRPr="00535E40" w:rsidRDefault="00535E40" w:rsidP="00535E40">
      <w:pPr>
        <w:pStyle w:val="EndNoteBibliography"/>
        <w:spacing w:after="0"/>
      </w:pPr>
      <w:r w:rsidRPr="00535E40">
        <w:t>25.</w:t>
      </w:r>
      <w:r w:rsidRPr="00535E40">
        <w:tab/>
        <w:t xml:space="preserve">Jacques I. Evaluating care services for people living with dementia. </w:t>
      </w:r>
      <w:r w:rsidRPr="00535E40">
        <w:rPr>
          <w:i/>
        </w:rPr>
        <w:t>Elder Care</w:t>
      </w:r>
      <w:r w:rsidRPr="00535E40">
        <w:t xml:space="preserve"> 1996;</w:t>
      </w:r>
      <w:r w:rsidRPr="00535E40">
        <w:rPr>
          <w:b/>
        </w:rPr>
        <w:t>8</w:t>
      </w:r>
      <w:r w:rsidRPr="00535E40">
        <w:t>:10-3.</w:t>
      </w:r>
    </w:p>
    <w:p w14:paraId="0F25E57E" w14:textId="77777777" w:rsidR="00535E40" w:rsidRPr="00535E40" w:rsidRDefault="00535E40" w:rsidP="00535E40">
      <w:pPr>
        <w:pStyle w:val="EndNoteBibliography"/>
        <w:spacing w:after="0"/>
      </w:pPr>
      <w:r w:rsidRPr="00535E40">
        <w:t>26.</w:t>
      </w:r>
      <w:r w:rsidRPr="00535E40">
        <w:tab/>
        <w:t xml:space="preserve">Martin GW, Younger D. Anti oppressive practice: a route to the empowerment of people with dementia through communication and choice. </w:t>
      </w:r>
      <w:r w:rsidRPr="00535E40">
        <w:rPr>
          <w:i/>
        </w:rPr>
        <w:t>J Psychiatr Ment Health Nurs</w:t>
      </w:r>
      <w:r w:rsidRPr="00535E40">
        <w:t xml:space="preserve"> 2000;</w:t>
      </w:r>
      <w:r w:rsidRPr="00535E40">
        <w:rPr>
          <w:b/>
        </w:rPr>
        <w:t>7</w:t>
      </w:r>
      <w:r w:rsidRPr="00535E40">
        <w:t>:59-67.</w:t>
      </w:r>
    </w:p>
    <w:p w14:paraId="60AA4978" w14:textId="77777777" w:rsidR="00535E40" w:rsidRPr="00535E40" w:rsidRDefault="00535E40" w:rsidP="00535E40">
      <w:pPr>
        <w:pStyle w:val="EndNoteBibliography"/>
        <w:spacing w:after="0"/>
      </w:pPr>
      <w:r w:rsidRPr="00535E40">
        <w:t>27.</w:t>
      </w:r>
      <w:r w:rsidRPr="00535E40">
        <w:tab/>
        <w:t xml:space="preserve">Martin GW, Younger D. Person-centred care for people with dementia: A quality audit approach. </w:t>
      </w:r>
      <w:r w:rsidRPr="00535E40">
        <w:rPr>
          <w:i/>
        </w:rPr>
        <w:t>J Psychiatr Ment Health Nurs</w:t>
      </w:r>
      <w:r w:rsidRPr="00535E40">
        <w:t xml:space="preserve"> 2001;</w:t>
      </w:r>
      <w:r w:rsidRPr="00535E40">
        <w:rPr>
          <w:b/>
        </w:rPr>
        <w:t>8</w:t>
      </w:r>
      <w:r w:rsidRPr="00535E40">
        <w:t>:443-48.</w:t>
      </w:r>
    </w:p>
    <w:p w14:paraId="73C26752" w14:textId="77777777" w:rsidR="00535E40" w:rsidRPr="00535E40" w:rsidRDefault="00535E40" w:rsidP="00535E40">
      <w:pPr>
        <w:pStyle w:val="EndNoteBibliography"/>
        <w:spacing w:after="0"/>
      </w:pPr>
      <w:r w:rsidRPr="00535E40">
        <w:t>28.</w:t>
      </w:r>
      <w:r w:rsidRPr="00535E40">
        <w:tab/>
        <w:t xml:space="preserve">Wilkinson AM. Dementia Care Mapping: A pilot study of its implementation in a psychogeriatric service. </w:t>
      </w:r>
      <w:r w:rsidRPr="00535E40">
        <w:rPr>
          <w:i/>
        </w:rPr>
        <w:t>Int J Geriatr Psychiatry</w:t>
      </w:r>
      <w:r w:rsidRPr="00535E40">
        <w:t xml:space="preserve"> 1993;</w:t>
      </w:r>
      <w:r w:rsidRPr="00535E40">
        <w:rPr>
          <w:b/>
        </w:rPr>
        <w:t>8</w:t>
      </w:r>
      <w:r w:rsidRPr="00535E40">
        <w:t>:1027-9.</w:t>
      </w:r>
    </w:p>
    <w:p w14:paraId="75A174B5" w14:textId="77777777" w:rsidR="00535E40" w:rsidRPr="00535E40" w:rsidRDefault="00535E40" w:rsidP="00535E40">
      <w:pPr>
        <w:pStyle w:val="EndNoteBibliography"/>
        <w:spacing w:after="0"/>
      </w:pPr>
      <w:r w:rsidRPr="00535E40">
        <w:t>29.</w:t>
      </w:r>
      <w:r w:rsidRPr="00535E40">
        <w:tab/>
        <w:t xml:space="preserve">Williams J, Rees J. The use of 'Dementia Care Mapping' as a method of evaluating care received by patients with dementia - an initiative to improve quality of life. </w:t>
      </w:r>
      <w:r w:rsidRPr="00535E40">
        <w:rPr>
          <w:i/>
        </w:rPr>
        <w:t>J Adv Nurs</w:t>
      </w:r>
      <w:r w:rsidRPr="00535E40">
        <w:t xml:space="preserve"> 1997;</w:t>
      </w:r>
      <w:r w:rsidRPr="00535E40">
        <w:rPr>
          <w:b/>
        </w:rPr>
        <w:t>25</w:t>
      </w:r>
      <w:r w:rsidRPr="00535E40">
        <w:t>:316-23.</w:t>
      </w:r>
    </w:p>
    <w:p w14:paraId="04D8A195" w14:textId="77777777" w:rsidR="00535E40" w:rsidRPr="00535E40" w:rsidRDefault="00535E40" w:rsidP="00535E40">
      <w:pPr>
        <w:pStyle w:val="EndNoteBibliography"/>
        <w:spacing w:after="0"/>
      </w:pPr>
      <w:r w:rsidRPr="00535E40">
        <w:t>30.</w:t>
      </w:r>
      <w:r w:rsidRPr="00535E40">
        <w:tab/>
        <w:t xml:space="preserve">Ballard C, Corbett A. Management of neuropsychiatric symptoms in people with dementia. </w:t>
      </w:r>
      <w:r w:rsidRPr="00535E40">
        <w:rPr>
          <w:i/>
        </w:rPr>
        <w:t>CNS drugs</w:t>
      </w:r>
      <w:r w:rsidRPr="00535E40">
        <w:t xml:space="preserve"> 2010;</w:t>
      </w:r>
      <w:r w:rsidRPr="00535E40">
        <w:rPr>
          <w:b/>
        </w:rPr>
        <w:t>24</w:t>
      </w:r>
      <w:r w:rsidRPr="00535E40">
        <w:t>:729-39.</w:t>
      </w:r>
    </w:p>
    <w:p w14:paraId="765769D0" w14:textId="77777777" w:rsidR="00535E40" w:rsidRPr="00535E40" w:rsidRDefault="00535E40" w:rsidP="00535E40">
      <w:pPr>
        <w:pStyle w:val="EndNoteBibliography"/>
        <w:spacing w:after="0"/>
      </w:pPr>
      <w:r w:rsidRPr="00535E40">
        <w:t>31.</w:t>
      </w:r>
      <w:r w:rsidRPr="00535E40">
        <w:tab/>
        <w:t>Margallo-Lana M, Swann A, O'Brien J, Fairburn A, Reichelt K, Potkins D</w:t>
      </w:r>
      <w:r w:rsidRPr="00535E40">
        <w:rPr>
          <w:i/>
        </w:rPr>
        <w:t>, et al.</w:t>
      </w:r>
      <w:r w:rsidRPr="00535E40">
        <w:t xml:space="preserve"> Prevalence and Pharmacological Management of Behavioural and Psychological Symptoms Amongst Dementia Sufferers Living in Care Environments. </w:t>
      </w:r>
      <w:r w:rsidRPr="00535E40">
        <w:rPr>
          <w:i/>
        </w:rPr>
        <w:t>Int J Geriatr Psychiatry</w:t>
      </w:r>
      <w:r w:rsidRPr="00535E40">
        <w:t xml:space="preserve"> 2001;</w:t>
      </w:r>
      <w:r w:rsidRPr="00535E40">
        <w:rPr>
          <w:b/>
        </w:rPr>
        <w:t>16</w:t>
      </w:r>
      <w:r w:rsidRPr="00535E40">
        <w:t>:39-44.</w:t>
      </w:r>
    </w:p>
    <w:p w14:paraId="25326EC1" w14:textId="77777777" w:rsidR="00535E40" w:rsidRPr="00535E40" w:rsidRDefault="00535E40" w:rsidP="00535E40">
      <w:pPr>
        <w:pStyle w:val="EndNoteBibliography"/>
        <w:spacing w:after="0"/>
      </w:pPr>
      <w:r w:rsidRPr="00535E40">
        <w:t>32.</w:t>
      </w:r>
      <w:r w:rsidRPr="00535E40">
        <w:tab/>
        <w:t xml:space="preserve">Davison TE, Hudgson C, McCabe MP, George K, Buchanan G. An individualised psychosocial approach for 'treatment resistent' behavioural symptoms of dementia among aged care residents. </w:t>
      </w:r>
      <w:r w:rsidRPr="00535E40">
        <w:rPr>
          <w:i/>
        </w:rPr>
        <w:t>Int Psychogeriatr</w:t>
      </w:r>
      <w:r w:rsidRPr="00535E40">
        <w:t xml:space="preserve"> 2007;</w:t>
      </w:r>
      <w:r w:rsidRPr="00535E40">
        <w:rPr>
          <w:b/>
        </w:rPr>
        <w:t>19</w:t>
      </w:r>
      <w:r w:rsidRPr="00535E40">
        <w:t>:859-73.</w:t>
      </w:r>
    </w:p>
    <w:p w14:paraId="16966B0B" w14:textId="77777777" w:rsidR="00535E40" w:rsidRPr="00535E40" w:rsidRDefault="00535E40" w:rsidP="00535E40">
      <w:pPr>
        <w:pStyle w:val="EndNoteBibliography"/>
        <w:spacing w:after="0"/>
      </w:pPr>
      <w:r w:rsidRPr="00535E40">
        <w:t>33.</w:t>
      </w:r>
      <w:r w:rsidRPr="00535E40">
        <w:tab/>
        <w:t>Banerjee S, Smith SC, Lamping DL, Harwood RH, Foley B, Smith P</w:t>
      </w:r>
      <w:r w:rsidRPr="00535E40">
        <w:rPr>
          <w:i/>
        </w:rPr>
        <w:t>, et al.</w:t>
      </w:r>
      <w:r w:rsidRPr="00535E40">
        <w:t xml:space="preserve"> Quality of life in dementia: more than just cognition. An analysis of associations with quality of life in dementia. </w:t>
      </w:r>
      <w:r w:rsidRPr="00535E40">
        <w:rPr>
          <w:i/>
        </w:rPr>
        <w:t>J Neurol Neurosurg Psychiatry</w:t>
      </w:r>
      <w:r w:rsidRPr="00535E40">
        <w:t xml:space="preserve"> 2006;</w:t>
      </w:r>
      <w:r w:rsidRPr="00535E40">
        <w:rPr>
          <w:b/>
        </w:rPr>
        <w:t>77</w:t>
      </w:r>
      <w:r w:rsidRPr="00535E40">
        <w:t>:146-48.</w:t>
      </w:r>
    </w:p>
    <w:p w14:paraId="3272BFCA" w14:textId="77777777" w:rsidR="00535E40" w:rsidRPr="00535E40" w:rsidRDefault="00535E40" w:rsidP="00535E40">
      <w:pPr>
        <w:pStyle w:val="EndNoteBibliography"/>
        <w:spacing w:after="0"/>
      </w:pPr>
      <w:r w:rsidRPr="00535E40">
        <w:t>34.</w:t>
      </w:r>
      <w:r w:rsidRPr="00535E40">
        <w:tab/>
        <w:t xml:space="preserve">Liperoti R, Pedone C, Corsonello A. Antipsychotics for the treatment of behavioural and psychological symptoms of dementia (BPSD). </w:t>
      </w:r>
      <w:r w:rsidRPr="00535E40">
        <w:rPr>
          <w:i/>
        </w:rPr>
        <w:t>Curr Neuropharmacol</w:t>
      </w:r>
      <w:r w:rsidRPr="00535E40">
        <w:t xml:space="preserve"> 2008;</w:t>
      </w:r>
      <w:r w:rsidRPr="00535E40">
        <w:rPr>
          <w:b/>
        </w:rPr>
        <w:t>6</w:t>
      </w:r>
      <w:r w:rsidRPr="00535E40">
        <w:t>:117-24.</w:t>
      </w:r>
    </w:p>
    <w:p w14:paraId="217D4AA6" w14:textId="77777777" w:rsidR="00535E40" w:rsidRPr="00535E40" w:rsidRDefault="00535E40" w:rsidP="00535E40">
      <w:pPr>
        <w:pStyle w:val="EndNoteBibliography"/>
        <w:spacing w:after="0"/>
      </w:pPr>
      <w:r w:rsidRPr="00535E40">
        <w:t>35.</w:t>
      </w:r>
      <w:r w:rsidRPr="00535E40">
        <w:tab/>
        <w:t>Deudon A, Maubourguet N, Gervais X, Leone E, Broker P, Carcaillon L</w:t>
      </w:r>
      <w:r w:rsidRPr="00535E40">
        <w:rPr>
          <w:i/>
        </w:rPr>
        <w:t>, et al.</w:t>
      </w:r>
      <w:r w:rsidRPr="00535E40">
        <w:t xml:space="preserve"> Non-pharmacological management of behavioural symptoms in nursing homes. </w:t>
      </w:r>
      <w:r w:rsidRPr="00535E40">
        <w:rPr>
          <w:i/>
        </w:rPr>
        <w:t>Int J Geriatr Psychiatry</w:t>
      </w:r>
      <w:r w:rsidRPr="00535E40">
        <w:t xml:space="preserve"> 2009;</w:t>
      </w:r>
      <w:r w:rsidRPr="00535E40">
        <w:rPr>
          <w:b/>
        </w:rPr>
        <w:t>24</w:t>
      </w:r>
      <w:r w:rsidRPr="00535E40">
        <w:t>:1386-95.</w:t>
      </w:r>
    </w:p>
    <w:p w14:paraId="58297377" w14:textId="77777777" w:rsidR="00535E40" w:rsidRPr="00535E40" w:rsidRDefault="00535E40" w:rsidP="00535E40">
      <w:pPr>
        <w:pStyle w:val="EndNoteBibliography"/>
        <w:spacing w:after="0"/>
      </w:pPr>
      <w:r w:rsidRPr="00535E40">
        <w:t>36.</w:t>
      </w:r>
      <w:r w:rsidRPr="00535E40">
        <w:tab/>
        <w:t>Herrmann N, Lanctot KL, Sambrook R, Lesnikova N, Hebert R, McCracken P</w:t>
      </w:r>
      <w:r w:rsidRPr="00535E40">
        <w:rPr>
          <w:i/>
        </w:rPr>
        <w:t>, et al.</w:t>
      </w:r>
      <w:r w:rsidRPr="00535E40">
        <w:t xml:space="preserve"> The contribution of neuropsychiatric symptoms to the cost of dementia care. </w:t>
      </w:r>
      <w:r w:rsidRPr="00535E40">
        <w:rPr>
          <w:i/>
        </w:rPr>
        <w:t>Int J Geriatr Psychiatry</w:t>
      </w:r>
      <w:r w:rsidRPr="00535E40">
        <w:t xml:space="preserve"> 2006;</w:t>
      </w:r>
      <w:r w:rsidRPr="00535E40">
        <w:rPr>
          <w:b/>
        </w:rPr>
        <w:t>21</w:t>
      </w:r>
      <w:r w:rsidRPr="00535E40">
        <w:t>:972-6.</w:t>
      </w:r>
    </w:p>
    <w:p w14:paraId="045DECB5" w14:textId="77777777" w:rsidR="00535E40" w:rsidRPr="00535E40" w:rsidRDefault="00535E40" w:rsidP="00535E40">
      <w:pPr>
        <w:pStyle w:val="EndNoteBibliography"/>
        <w:spacing w:after="0"/>
      </w:pPr>
      <w:r w:rsidRPr="00535E40">
        <w:t>37.</w:t>
      </w:r>
      <w:r w:rsidRPr="00535E40">
        <w:tab/>
        <w:t xml:space="preserve">Finkel S. Introduction to behavioural and psychological symptoms of dementia (BPSD). </w:t>
      </w:r>
      <w:r w:rsidRPr="00535E40">
        <w:rPr>
          <w:i/>
        </w:rPr>
        <w:t>Int J Geriatr Psychiatry</w:t>
      </w:r>
      <w:r w:rsidRPr="00535E40">
        <w:t xml:space="preserve"> 2000;</w:t>
      </w:r>
      <w:r w:rsidRPr="00535E40">
        <w:rPr>
          <w:b/>
        </w:rPr>
        <w:t>15</w:t>
      </w:r>
      <w:r w:rsidRPr="00535E40">
        <w:t>:S2-S4.</w:t>
      </w:r>
    </w:p>
    <w:p w14:paraId="391090AB" w14:textId="77777777" w:rsidR="00535E40" w:rsidRPr="00535E40" w:rsidRDefault="00535E40" w:rsidP="00535E40">
      <w:pPr>
        <w:pStyle w:val="EndNoteBibliography"/>
        <w:spacing w:after="0"/>
      </w:pPr>
      <w:r w:rsidRPr="00535E40">
        <w:t>38.</w:t>
      </w:r>
      <w:r w:rsidRPr="00535E40">
        <w:tab/>
        <w:t>Majic T, Pluta JP, Mell T, Aichberger MC, Treusch Y, Gutzmann H</w:t>
      </w:r>
      <w:r w:rsidRPr="00535E40">
        <w:rPr>
          <w:i/>
        </w:rPr>
        <w:t>, et al.</w:t>
      </w:r>
      <w:r w:rsidRPr="00535E40">
        <w:t xml:space="preserve"> The pharmacotherapy of neuropsychiatric symptoms of dementia. A cross-sectional study in 18 homes for the elderly in Berlin. </w:t>
      </w:r>
      <w:r w:rsidRPr="00535E40">
        <w:rPr>
          <w:i/>
        </w:rPr>
        <w:t>Deutsches Arzteblatt International</w:t>
      </w:r>
      <w:r w:rsidRPr="00535E40">
        <w:t xml:space="preserve"> 2010;</w:t>
      </w:r>
      <w:r w:rsidRPr="00535E40">
        <w:rPr>
          <w:b/>
        </w:rPr>
        <w:t>107</w:t>
      </w:r>
      <w:r w:rsidRPr="00535E40">
        <w:t>:320-7.</w:t>
      </w:r>
    </w:p>
    <w:p w14:paraId="2D123732" w14:textId="77777777" w:rsidR="00535E40" w:rsidRPr="00535E40" w:rsidRDefault="00535E40" w:rsidP="00535E40">
      <w:pPr>
        <w:pStyle w:val="EndNoteBibliography"/>
        <w:spacing w:after="0"/>
      </w:pPr>
      <w:r w:rsidRPr="00535E40">
        <w:t>39.</w:t>
      </w:r>
      <w:r w:rsidRPr="00535E40">
        <w:tab/>
        <w:t xml:space="preserve">Tunis SL, Edell WS, Adams BE, Kennedy JS. Characterizing behavioural and psychological symptoms of dementia (BPSD) among geropsychiatric inpatients. </w:t>
      </w:r>
      <w:r w:rsidRPr="00535E40">
        <w:rPr>
          <w:i/>
        </w:rPr>
        <w:t>Journal of the American Medical Directos Association</w:t>
      </w:r>
      <w:r w:rsidRPr="00535E40">
        <w:t xml:space="preserve"> 2002;</w:t>
      </w:r>
      <w:r w:rsidRPr="00535E40">
        <w:rPr>
          <w:b/>
        </w:rPr>
        <w:t>3</w:t>
      </w:r>
      <w:r w:rsidRPr="00535E40">
        <w:t>:146-51.</w:t>
      </w:r>
    </w:p>
    <w:p w14:paraId="5A58BB79" w14:textId="77777777" w:rsidR="00535E40" w:rsidRPr="00535E40" w:rsidRDefault="00535E40" w:rsidP="00535E40">
      <w:pPr>
        <w:pStyle w:val="EndNoteBibliography"/>
        <w:spacing w:after="0"/>
      </w:pPr>
      <w:r w:rsidRPr="00535E40">
        <w:t>40.</w:t>
      </w:r>
      <w:r w:rsidRPr="00535E40">
        <w:tab/>
        <w:t>Ballard C, Margallo-Lana M, Fossey J, Reichelt K, Myint P, Potkins D</w:t>
      </w:r>
      <w:r w:rsidRPr="00535E40">
        <w:rPr>
          <w:i/>
        </w:rPr>
        <w:t>, et al.</w:t>
      </w:r>
      <w:r w:rsidRPr="00535E40">
        <w:t xml:space="preserve"> A 1-year follow-up study of Behavioral and psychological symptoms in dementia among people in care environments. </w:t>
      </w:r>
      <w:r w:rsidRPr="00535E40">
        <w:rPr>
          <w:i/>
        </w:rPr>
        <w:t>J Clin Psychiatry</w:t>
      </w:r>
      <w:r w:rsidRPr="00535E40">
        <w:t xml:space="preserve"> 2001;</w:t>
      </w:r>
      <w:r w:rsidRPr="00535E40">
        <w:rPr>
          <w:b/>
        </w:rPr>
        <w:t>62</w:t>
      </w:r>
      <w:r w:rsidRPr="00535E40">
        <w:t>:631-6.</w:t>
      </w:r>
    </w:p>
    <w:p w14:paraId="5FF4C30F" w14:textId="77777777" w:rsidR="00535E40" w:rsidRPr="00535E40" w:rsidRDefault="00535E40" w:rsidP="00535E40">
      <w:pPr>
        <w:pStyle w:val="EndNoteBibliography"/>
        <w:spacing w:after="0"/>
      </w:pPr>
      <w:r w:rsidRPr="00535E40">
        <w:t>41.</w:t>
      </w:r>
      <w:r w:rsidRPr="00535E40">
        <w:tab/>
        <w:t xml:space="preserve">Husebo BS, Ballard C, Sandvik R, Nilsen OB, Aarsland D. Efficacy of treating pain to reduce behavioural disturbances in residents of nursing homes with dementia: cluster randomised clinical trial. </w:t>
      </w:r>
      <w:r w:rsidRPr="00535E40">
        <w:rPr>
          <w:i/>
        </w:rPr>
        <w:t>BMJ</w:t>
      </w:r>
      <w:r w:rsidRPr="00535E40">
        <w:t xml:space="preserve"> 2011;</w:t>
      </w:r>
      <w:r w:rsidRPr="00535E40">
        <w:rPr>
          <w:b/>
        </w:rPr>
        <w:t>343</w:t>
      </w:r>
      <w:r w:rsidRPr="00535E40">
        <w:t>:193.</w:t>
      </w:r>
    </w:p>
    <w:p w14:paraId="2E3EC403" w14:textId="77777777" w:rsidR="00535E40" w:rsidRPr="00535E40" w:rsidRDefault="00535E40" w:rsidP="00535E40">
      <w:pPr>
        <w:pStyle w:val="EndNoteBibliography"/>
        <w:spacing w:after="0"/>
      </w:pPr>
      <w:r w:rsidRPr="00535E40">
        <w:t>42.</w:t>
      </w:r>
      <w:r w:rsidRPr="00535E40">
        <w:tab/>
        <w:t xml:space="preserve">Cohen-Mansfield J, Marx MS, Rosenthal AS. A description of agitation in a nursing home. </w:t>
      </w:r>
      <w:r w:rsidRPr="00535E40">
        <w:rPr>
          <w:i/>
        </w:rPr>
        <w:t>The Journal of Gerontology</w:t>
      </w:r>
      <w:r w:rsidRPr="00535E40">
        <w:t xml:space="preserve"> 1989;</w:t>
      </w:r>
      <w:r w:rsidRPr="00535E40">
        <w:rPr>
          <w:b/>
        </w:rPr>
        <w:t>44</w:t>
      </w:r>
      <w:r w:rsidRPr="00535E40">
        <w:t>:M77-M84.</w:t>
      </w:r>
    </w:p>
    <w:p w14:paraId="47663D5F" w14:textId="77777777" w:rsidR="00535E40" w:rsidRPr="00535E40" w:rsidRDefault="00535E40" w:rsidP="00535E40">
      <w:pPr>
        <w:pStyle w:val="EndNoteBibliography"/>
        <w:spacing w:after="0"/>
      </w:pPr>
      <w:r w:rsidRPr="00535E40">
        <w:t>43.</w:t>
      </w:r>
      <w:r w:rsidRPr="00535E40">
        <w:tab/>
        <w:t xml:space="preserve">Cohen-Mansfield J. </w:t>
      </w:r>
      <w:r w:rsidRPr="00535E40">
        <w:rPr>
          <w:i/>
        </w:rPr>
        <w:t>Instruction manual for the Cohen-Mansfield agitation inventory (CMAI)</w:t>
      </w:r>
      <w:r w:rsidRPr="00535E40">
        <w:t>. Maryland: The Research Institute of the Hebrew Home of Greater Washington; 1991.</w:t>
      </w:r>
    </w:p>
    <w:p w14:paraId="6D771D2B" w14:textId="77777777" w:rsidR="00535E40" w:rsidRPr="00535E40" w:rsidRDefault="00535E40" w:rsidP="00535E40">
      <w:pPr>
        <w:pStyle w:val="EndNoteBibliography"/>
        <w:spacing w:after="0"/>
      </w:pPr>
      <w:r w:rsidRPr="00535E40">
        <w:t>44.</w:t>
      </w:r>
      <w:r w:rsidRPr="00535E40">
        <w:tab/>
        <w:t xml:space="preserve">Hindley N, Gordon H. The elderly, dementia, aggression and risk assessment. </w:t>
      </w:r>
      <w:r w:rsidRPr="00535E40">
        <w:rPr>
          <w:i/>
        </w:rPr>
        <w:t>Int J Geriatr Psychiatry</w:t>
      </w:r>
      <w:r w:rsidRPr="00535E40">
        <w:t xml:space="preserve"> 2000;</w:t>
      </w:r>
      <w:r w:rsidRPr="00535E40">
        <w:rPr>
          <w:b/>
        </w:rPr>
        <w:t>15</w:t>
      </w:r>
      <w:r w:rsidRPr="00535E40">
        <w:t>:254-59.</w:t>
      </w:r>
    </w:p>
    <w:p w14:paraId="581417DE" w14:textId="77777777" w:rsidR="00535E40" w:rsidRPr="00535E40" w:rsidRDefault="00535E40" w:rsidP="00535E40">
      <w:pPr>
        <w:pStyle w:val="EndNoteBibliography"/>
        <w:spacing w:after="0"/>
      </w:pPr>
      <w:r w:rsidRPr="00535E40">
        <w:t>45.</w:t>
      </w:r>
      <w:r w:rsidRPr="00535E40">
        <w:tab/>
        <w:t xml:space="preserve">Burgio LD, Butller FR, Roth DL, Hardin JM, Hsu C-C, Ung K. Agitation in nursing home residents: the role of gender and social context. </w:t>
      </w:r>
      <w:r w:rsidRPr="00535E40">
        <w:rPr>
          <w:i/>
        </w:rPr>
        <w:t>Int Psychogeriatr</w:t>
      </w:r>
      <w:r w:rsidRPr="00535E40">
        <w:t xml:space="preserve"> 2000;</w:t>
      </w:r>
      <w:r w:rsidRPr="00535E40">
        <w:rPr>
          <w:b/>
        </w:rPr>
        <w:t>12</w:t>
      </w:r>
      <w:r w:rsidRPr="00535E40">
        <w:t>:495-511.</w:t>
      </w:r>
    </w:p>
    <w:p w14:paraId="3772A2E9" w14:textId="77777777" w:rsidR="00535E40" w:rsidRPr="00535E40" w:rsidRDefault="00535E40" w:rsidP="00535E40">
      <w:pPr>
        <w:pStyle w:val="EndNoteBibliography"/>
        <w:spacing w:after="0"/>
      </w:pPr>
      <w:r w:rsidRPr="00535E40">
        <w:t>46.</w:t>
      </w:r>
      <w:r w:rsidRPr="00535E40">
        <w:tab/>
        <w:t xml:space="preserve">Zuidema S, Koopmans RTCM, Verhey F. Prevalence and predictors of neuropsychiatric symptoms in cognitively impaired nursign home patients. </w:t>
      </w:r>
      <w:r w:rsidRPr="00535E40">
        <w:rPr>
          <w:i/>
        </w:rPr>
        <w:t>J Geriatr Psychiatry Neurol</w:t>
      </w:r>
      <w:r w:rsidRPr="00535E40">
        <w:t xml:space="preserve"> 2007;</w:t>
      </w:r>
      <w:r w:rsidRPr="00535E40">
        <w:rPr>
          <w:b/>
        </w:rPr>
        <w:t>20</w:t>
      </w:r>
      <w:r w:rsidRPr="00535E40">
        <w:t>:41-9.</w:t>
      </w:r>
    </w:p>
    <w:p w14:paraId="6001506A" w14:textId="77777777" w:rsidR="00535E40" w:rsidRPr="00535E40" w:rsidRDefault="00535E40" w:rsidP="00535E40">
      <w:pPr>
        <w:pStyle w:val="EndNoteBibliography"/>
        <w:spacing w:after="0"/>
      </w:pPr>
      <w:r w:rsidRPr="00535E40">
        <w:t>47.</w:t>
      </w:r>
      <w:r w:rsidRPr="00535E40">
        <w:tab/>
        <w:t xml:space="preserve">Miyamoto Y, Hisatenr T, Hiroto I. Formal caregiver burden in dementia: Impact of behavioral and psychological symptoms of dementia and activities of daily living. </w:t>
      </w:r>
      <w:r w:rsidRPr="00535E40">
        <w:rPr>
          <w:i/>
        </w:rPr>
        <w:t>Geriatric Nursing</w:t>
      </w:r>
      <w:r w:rsidRPr="00535E40">
        <w:t xml:space="preserve"> 2010;</w:t>
      </w:r>
      <w:r w:rsidRPr="00535E40">
        <w:rPr>
          <w:b/>
        </w:rPr>
        <w:t>31</w:t>
      </w:r>
      <w:r w:rsidRPr="00535E40">
        <w:t>:246-53.</w:t>
      </w:r>
    </w:p>
    <w:p w14:paraId="01DB0FA7" w14:textId="77777777" w:rsidR="00535E40" w:rsidRPr="00535E40" w:rsidRDefault="00535E40" w:rsidP="00535E40">
      <w:pPr>
        <w:pStyle w:val="EndNoteBibliography"/>
        <w:spacing w:after="0"/>
      </w:pPr>
      <w:r w:rsidRPr="00535E40">
        <w:t>48.</w:t>
      </w:r>
      <w:r w:rsidRPr="00535E40">
        <w:tab/>
        <w:t xml:space="preserve">Cohen-Mansfield J. Agitated behavior in persons with dementia: The relationship between type of behavior, its frequency, and its disruptiveness. </w:t>
      </w:r>
      <w:r w:rsidRPr="00535E40">
        <w:rPr>
          <w:i/>
        </w:rPr>
        <w:t>J Psychiatr Res</w:t>
      </w:r>
      <w:r w:rsidRPr="00535E40">
        <w:t xml:space="preserve"> 2008;</w:t>
      </w:r>
      <w:r w:rsidRPr="00535E40">
        <w:rPr>
          <w:b/>
        </w:rPr>
        <w:t>43</w:t>
      </w:r>
      <w:r w:rsidRPr="00535E40">
        <w:t>:64-9.</w:t>
      </w:r>
    </w:p>
    <w:p w14:paraId="713578F5" w14:textId="77777777" w:rsidR="00535E40" w:rsidRPr="00535E40" w:rsidRDefault="00535E40" w:rsidP="00535E40">
      <w:pPr>
        <w:pStyle w:val="EndNoteBibliography"/>
        <w:spacing w:after="0"/>
      </w:pPr>
      <w:r w:rsidRPr="00535E40">
        <w:t>49.</w:t>
      </w:r>
      <w:r w:rsidRPr="00535E40">
        <w:tab/>
        <w:t xml:space="preserve">Hughes J, Bagley H, Reilly S, Burns A, Challis D. Care staff working with people with dementia. Training, knowledge and confidence. </w:t>
      </w:r>
      <w:r w:rsidRPr="00535E40">
        <w:rPr>
          <w:i/>
        </w:rPr>
        <w:t>Dementia</w:t>
      </w:r>
      <w:r w:rsidRPr="00535E40">
        <w:t xml:space="preserve"> 2008;</w:t>
      </w:r>
      <w:r w:rsidRPr="00535E40">
        <w:rPr>
          <w:b/>
        </w:rPr>
        <w:t>7</w:t>
      </w:r>
      <w:r w:rsidRPr="00535E40">
        <w:t>:227-38.</w:t>
      </w:r>
    </w:p>
    <w:p w14:paraId="3C9B46F6" w14:textId="77777777" w:rsidR="00535E40" w:rsidRPr="00535E40" w:rsidRDefault="00535E40" w:rsidP="00535E40">
      <w:pPr>
        <w:pStyle w:val="EndNoteBibliography"/>
        <w:spacing w:after="0"/>
      </w:pPr>
      <w:r w:rsidRPr="00535E40">
        <w:t>50.</w:t>
      </w:r>
      <w:r w:rsidRPr="00535E40">
        <w:tab/>
        <w:t xml:space="preserve">Banerjee S. </w:t>
      </w:r>
      <w:r w:rsidRPr="00535E40">
        <w:rPr>
          <w:i/>
        </w:rPr>
        <w:t>The use of antipsychotic medication for people with dementia: Time for action</w:t>
      </w:r>
      <w:r w:rsidRPr="00535E40">
        <w:t>. London: Department of Health; 2009.</w:t>
      </w:r>
    </w:p>
    <w:p w14:paraId="5AF15B26" w14:textId="77777777" w:rsidR="00535E40" w:rsidRPr="00535E40" w:rsidRDefault="00535E40" w:rsidP="00535E40">
      <w:pPr>
        <w:pStyle w:val="EndNoteBibliography"/>
        <w:spacing w:after="0"/>
      </w:pPr>
      <w:r w:rsidRPr="00535E40">
        <w:t>51.</w:t>
      </w:r>
      <w:r w:rsidRPr="00535E40">
        <w:tab/>
        <w:t xml:space="preserve">Bishara D, Taylor D, Howard RJ, Abdel-Tawab R. Expert opinion on the management of behavioural and psychological symptoms of dementia (BPSD) and investigation into prescribing practices in the UK. </w:t>
      </w:r>
      <w:r w:rsidRPr="00535E40">
        <w:rPr>
          <w:i/>
        </w:rPr>
        <w:t>Int J Geriatr Psychiatry</w:t>
      </w:r>
      <w:r w:rsidRPr="00535E40">
        <w:t xml:space="preserve"> 2009;</w:t>
      </w:r>
      <w:r w:rsidRPr="00535E40">
        <w:rPr>
          <w:b/>
        </w:rPr>
        <w:t>24</w:t>
      </w:r>
      <w:r w:rsidRPr="00535E40">
        <w:t>:944-54.</w:t>
      </w:r>
    </w:p>
    <w:p w14:paraId="7AB935BA" w14:textId="77777777" w:rsidR="00535E40" w:rsidRPr="00535E40" w:rsidRDefault="00535E40" w:rsidP="00535E40">
      <w:pPr>
        <w:pStyle w:val="EndNoteBibliography"/>
        <w:spacing w:after="0"/>
      </w:pPr>
      <w:r w:rsidRPr="00535E40">
        <w:t>52.</w:t>
      </w:r>
      <w:r w:rsidRPr="00535E40">
        <w:tab/>
        <w:t xml:space="preserve">Raju J, Sikdar S, Krishna T. What happened to patients with behavioural and psychological symptoms of dementia (BPSD) after the committee on safety of medicines (CSM) guidelines? </w:t>
      </w:r>
      <w:r w:rsidRPr="00535E40">
        <w:rPr>
          <w:i/>
        </w:rPr>
        <w:t>Int J Geriatr Psychiatry</w:t>
      </w:r>
      <w:r w:rsidRPr="00535E40">
        <w:t xml:space="preserve"> 2005;</w:t>
      </w:r>
      <w:r w:rsidRPr="00535E40">
        <w:rPr>
          <w:b/>
        </w:rPr>
        <w:t>20</w:t>
      </w:r>
      <w:r w:rsidRPr="00535E40">
        <w:t>:898-99.</w:t>
      </w:r>
    </w:p>
    <w:p w14:paraId="2E836844" w14:textId="77777777" w:rsidR="00535E40" w:rsidRPr="00535E40" w:rsidRDefault="00535E40" w:rsidP="00535E40">
      <w:pPr>
        <w:pStyle w:val="EndNoteBibliography"/>
        <w:spacing w:after="0"/>
      </w:pPr>
      <w:r w:rsidRPr="00535E40">
        <w:t>53.</w:t>
      </w:r>
      <w:r w:rsidRPr="00535E40">
        <w:tab/>
        <w:t xml:space="preserve">Cohen-Mansfield J, Werner P, Marx MS. The social environment of the agitated nursing home resident. </w:t>
      </w:r>
      <w:r w:rsidRPr="00535E40">
        <w:rPr>
          <w:i/>
        </w:rPr>
        <w:t>Int J Geriatr Psychiatry</w:t>
      </w:r>
      <w:r w:rsidRPr="00535E40">
        <w:t xml:space="preserve"> 1992;</w:t>
      </w:r>
      <w:r w:rsidRPr="00535E40">
        <w:rPr>
          <w:b/>
        </w:rPr>
        <w:t>7</w:t>
      </w:r>
      <w:r w:rsidRPr="00535E40">
        <w:t>:789-98.</w:t>
      </w:r>
    </w:p>
    <w:p w14:paraId="16888A3C" w14:textId="77777777" w:rsidR="00535E40" w:rsidRPr="00535E40" w:rsidRDefault="00535E40" w:rsidP="00535E40">
      <w:pPr>
        <w:pStyle w:val="EndNoteBibliography"/>
        <w:spacing w:after="0"/>
      </w:pPr>
      <w:r w:rsidRPr="00535E40">
        <w:t>54.</w:t>
      </w:r>
      <w:r w:rsidRPr="00535E40">
        <w:tab/>
        <w:t>Testad I, Auer S, Mittelman M, Ballard C, Fossey J, Donabauer Y</w:t>
      </w:r>
      <w:r w:rsidRPr="00535E40">
        <w:rPr>
          <w:i/>
        </w:rPr>
        <w:t>, et al.</w:t>
      </w:r>
      <w:r w:rsidRPr="00535E40">
        <w:t xml:space="preserve"> Nursing home structure and association with agitation and use of psychotropic drugs in nursing home residents in three countries: Norway, Austria and England. </w:t>
      </w:r>
      <w:r w:rsidRPr="00535E40">
        <w:rPr>
          <w:i/>
        </w:rPr>
        <w:t>Int J Geriatr Psychiatry</w:t>
      </w:r>
      <w:r w:rsidRPr="00535E40">
        <w:t xml:space="preserve"> 2010;</w:t>
      </w:r>
      <w:r w:rsidRPr="00535E40">
        <w:rPr>
          <w:b/>
        </w:rPr>
        <w:t>25</w:t>
      </w:r>
      <w:r w:rsidRPr="00535E40">
        <w:t>:725-31.</w:t>
      </w:r>
    </w:p>
    <w:p w14:paraId="385CD249" w14:textId="77777777" w:rsidR="00535E40" w:rsidRPr="00535E40" w:rsidRDefault="00535E40" w:rsidP="00535E40">
      <w:pPr>
        <w:pStyle w:val="EndNoteBibliography"/>
        <w:spacing w:after="0"/>
      </w:pPr>
      <w:r w:rsidRPr="00535E40">
        <w:t>55.</w:t>
      </w:r>
      <w:r w:rsidRPr="00535E40">
        <w:tab/>
        <w:t xml:space="preserve">Stokes G. Challenging behaviour: a psychological approach. In: Woods RT, editor. </w:t>
      </w:r>
      <w:r w:rsidRPr="00535E40">
        <w:rPr>
          <w:i/>
        </w:rPr>
        <w:t>Handbook of the clinical psychology of ageing</w:t>
      </w:r>
      <w:r w:rsidRPr="00535E40">
        <w:t>Chichester: Wiley; 1996:601-28.</w:t>
      </w:r>
    </w:p>
    <w:p w14:paraId="55E48B3E" w14:textId="77777777" w:rsidR="00535E40" w:rsidRPr="00535E40" w:rsidRDefault="00535E40" w:rsidP="00535E40">
      <w:pPr>
        <w:pStyle w:val="EndNoteBibliography"/>
        <w:spacing w:after="0"/>
      </w:pPr>
      <w:r w:rsidRPr="00535E40">
        <w:t>56.</w:t>
      </w:r>
      <w:r w:rsidRPr="00535E40">
        <w:tab/>
        <w:t xml:space="preserve">Cohen-Mansfield J, Marx MS, Dakheel-Ali M, Regier NG, Thein K, Freedman L. Can agitated behavior of nursing home residents be prevented with the use of standardized stimuli? </w:t>
      </w:r>
      <w:r w:rsidRPr="00535E40">
        <w:rPr>
          <w:i/>
        </w:rPr>
        <w:t>J Am Geriatr Soc</w:t>
      </w:r>
      <w:r w:rsidRPr="00535E40">
        <w:t xml:space="preserve"> 2010;</w:t>
      </w:r>
      <w:r w:rsidRPr="00535E40">
        <w:rPr>
          <w:b/>
        </w:rPr>
        <w:t>58</w:t>
      </w:r>
      <w:r w:rsidRPr="00535E40">
        <w:t>:1459-64.</w:t>
      </w:r>
    </w:p>
    <w:p w14:paraId="4F6C2F58" w14:textId="77777777" w:rsidR="00535E40" w:rsidRPr="00535E40" w:rsidRDefault="00535E40" w:rsidP="00535E40">
      <w:pPr>
        <w:pStyle w:val="EndNoteBibliography"/>
        <w:spacing w:after="0"/>
      </w:pPr>
      <w:r w:rsidRPr="00535E40">
        <w:t>57.</w:t>
      </w:r>
      <w:r w:rsidRPr="00535E40">
        <w:tab/>
        <w:t>Brodaty H, Draper B, Saab D, Low LF, Richards V, Paton H</w:t>
      </w:r>
      <w:r w:rsidRPr="00535E40">
        <w:rPr>
          <w:i/>
        </w:rPr>
        <w:t>, et al.</w:t>
      </w:r>
      <w:r w:rsidRPr="00535E40">
        <w:t xml:space="preserve"> Psychosis, depression and behavioural disturbances in Sydney nursing home residents: prevalence and predictors. </w:t>
      </w:r>
      <w:r w:rsidRPr="00535E40">
        <w:rPr>
          <w:i/>
        </w:rPr>
        <w:t>Int J Geriatr Psychiatry</w:t>
      </w:r>
      <w:r w:rsidRPr="00535E40">
        <w:t xml:space="preserve"> 2001;</w:t>
      </w:r>
      <w:r w:rsidRPr="00535E40">
        <w:rPr>
          <w:b/>
        </w:rPr>
        <w:t>16</w:t>
      </w:r>
      <w:r w:rsidRPr="00535E40">
        <w:t>:504-12.</w:t>
      </w:r>
    </w:p>
    <w:p w14:paraId="3142148A" w14:textId="77777777" w:rsidR="00535E40" w:rsidRPr="00535E40" w:rsidRDefault="00535E40" w:rsidP="00535E40">
      <w:pPr>
        <w:pStyle w:val="EndNoteBibliography"/>
        <w:spacing w:after="0"/>
      </w:pPr>
      <w:r w:rsidRPr="00535E40">
        <w:t>58.</w:t>
      </w:r>
      <w:r w:rsidRPr="00535E40">
        <w:tab/>
        <w:t xml:space="preserve">Weber K, Meiler-Mititelu C, Herrmann FR, Dalaloye C, Giannakopoulos P, Canuto A. Longitudinal assessment of psychotherapeutic day hospital treatment for neuropsychiatric symptoms in dementia. </w:t>
      </w:r>
      <w:r w:rsidRPr="00535E40">
        <w:rPr>
          <w:i/>
        </w:rPr>
        <w:t>Aging and Mental Health</w:t>
      </w:r>
      <w:r w:rsidRPr="00535E40">
        <w:t xml:space="preserve"> 2009;</w:t>
      </w:r>
      <w:r w:rsidRPr="00535E40">
        <w:rPr>
          <w:b/>
        </w:rPr>
        <w:t>13</w:t>
      </w:r>
      <w:r w:rsidRPr="00535E40">
        <w:t>:92-8.</w:t>
      </w:r>
    </w:p>
    <w:p w14:paraId="4FD6BABC" w14:textId="77777777" w:rsidR="00535E40" w:rsidRPr="00535E40" w:rsidRDefault="00535E40" w:rsidP="00535E40">
      <w:pPr>
        <w:pStyle w:val="EndNoteBibliography"/>
        <w:spacing w:after="0"/>
      </w:pPr>
      <w:r w:rsidRPr="00535E40">
        <w:t>59.</w:t>
      </w:r>
      <w:r w:rsidRPr="00535E40">
        <w:tab/>
        <w:t xml:space="preserve">NICE/SCIE. </w:t>
      </w:r>
      <w:r w:rsidRPr="00535E40">
        <w:rPr>
          <w:i/>
        </w:rPr>
        <w:t>Dementia. Supporting people with dementia and their carers in health and social care. NICE clinical guideline 42</w:t>
      </w:r>
      <w:r w:rsidRPr="00535E40">
        <w:t>. London: British Psychological Society and Royal College of Psychiatrists; 2006.</w:t>
      </w:r>
    </w:p>
    <w:p w14:paraId="2421A6CB" w14:textId="77777777" w:rsidR="00535E40" w:rsidRPr="00535E40" w:rsidRDefault="00535E40" w:rsidP="00535E40">
      <w:pPr>
        <w:pStyle w:val="EndNoteBibliography"/>
        <w:spacing w:after="0"/>
      </w:pPr>
      <w:r w:rsidRPr="00535E40">
        <w:t>60.</w:t>
      </w:r>
      <w:r w:rsidRPr="00535E40">
        <w:tab/>
        <w:t>Salzman C, Jeste D, Meyer RE, Cohen-Mansfield J, Cummings JL, Grossberg G</w:t>
      </w:r>
      <w:r w:rsidRPr="00535E40">
        <w:rPr>
          <w:i/>
        </w:rPr>
        <w:t>, et al.</w:t>
      </w:r>
      <w:r w:rsidRPr="00535E40">
        <w:t xml:space="preserve"> Elderly patients with dementia-related symptoms of severe agitation and aggression: consensus statement on treatment options, clinical trials methodology, and policy. </w:t>
      </w:r>
      <w:r w:rsidRPr="00535E40">
        <w:rPr>
          <w:i/>
        </w:rPr>
        <w:t>J Clin Psychiatry</w:t>
      </w:r>
      <w:r w:rsidRPr="00535E40">
        <w:t xml:space="preserve"> 2008;</w:t>
      </w:r>
      <w:r w:rsidRPr="00535E40">
        <w:rPr>
          <w:b/>
        </w:rPr>
        <w:t>69</w:t>
      </w:r>
      <w:r w:rsidRPr="00535E40">
        <w:t>:889-98.</w:t>
      </w:r>
    </w:p>
    <w:p w14:paraId="720DA176" w14:textId="77777777" w:rsidR="00535E40" w:rsidRPr="00535E40" w:rsidRDefault="00535E40" w:rsidP="00535E40">
      <w:pPr>
        <w:pStyle w:val="EndNoteBibliography"/>
        <w:spacing w:after="0"/>
      </w:pPr>
      <w:r w:rsidRPr="00535E40">
        <w:t>61.</w:t>
      </w:r>
      <w:r w:rsidRPr="00535E40">
        <w:tab/>
        <w:t xml:space="preserve">Moniz-Cook E, Stokes G, Agar S. Difficult behaviour and dementia in nursing homes: five cases of psychosocial intervention. </w:t>
      </w:r>
      <w:r w:rsidRPr="00535E40">
        <w:rPr>
          <w:i/>
        </w:rPr>
        <w:t>Clinical Psychology and Psychotherapy</w:t>
      </w:r>
      <w:r w:rsidRPr="00535E40">
        <w:t xml:space="preserve"> 2003;</w:t>
      </w:r>
      <w:r w:rsidRPr="00535E40">
        <w:rPr>
          <w:b/>
        </w:rPr>
        <w:t>10</w:t>
      </w:r>
      <w:r w:rsidRPr="00535E40">
        <w:t>:197-208.</w:t>
      </w:r>
    </w:p>
    <w:p w14:paraId="7D8BD7ED" w14:textId="77777777" w:rsidR="00535E40" w:rsidRPr="00535E40" w:rsidRDefault="00535E40" w:rsidP="00535E40">
      <w:pPr>
        <w:pStyle w:val="EndNoteBibliography"/>
        <w:spacing w:after="0"/>
      </w:pPr>
      <w:r w:rsidRPr="00535E40">
        <w:t>62.</w:t>
      </w:r>
      <w:r w:rsidRPr="00535E40">
        <w:tab/>
        <w:t>Livingston G, Kelly L, Lewis-Holmes E, Baio G, Morris S, Patel N</w:t>
      </w:r>
      <w:r w:rsidRPr="00535E40">
        <w:rPr>
          <w:i/>
        </w:rPr>
        <w:t>, et al.</w:t>
      </w:r>
      <w:r w:rsidRPr="00535E40">
        <w:t xml:space="preserve"> Non-pharmacological interventions for agitation in dementia: systematic review of randomised controlled trials. </w:t>
      </w:r>
      <w:r w:rsidRPr="00535E40">
        <w:rPr>
          <w:i/>
        </w:rPr>
        <w:t>Br J Psychiatry</w:t>
      </w:r>
      <w:r w:rsidRPr="00535E40">
        <w:t xml:space="preserve"> 2014;</w:t>
      </w:r>
      <w:r w:rsidRPr="00535E40">
        <w:rPr>
          <w:b/>
        </w:rPr>
        <w:t>205</w:t>
      </w:r>
      <w:r w:rsidRPr="00535E40">
        <w:t>:436-42.</w:t>
      </w:r>
    </w:p>
    <w:p w14:paraId="21E7778E" w14:textId="77777777" w:rsidR="00535E40" w:rsidRPr="00535E40" w:rsidRDefault="00535E40" w:rsidP="00535E40">
      <w:pPr>
        <w:pStyle w:val="EndNoteBibliography"/>
        <w:spacing w:after="0"/>
      </w:pPr>
      <w:r w:rsidRPr="00535E40">
        <w:t>63.</w:t>
      </w:r>
      <w:r w:rsidRPr="00535E40">
        <w:tab/>
        <w:t>Chenoweth L, King MT, Jeon YH, Brodaty H, Stein-Parbury J, Haas M</w:t>
      </w:r>
      <w:r w:rsidRPr="00535E40">
        <w:rPr>
          <w:i/>
        </w:rPr>
        <w:t>, et al.</w:t>
      </w:r>
      <w:r w:rsidRPr="00535E40">
        <w:t xml:space="preserve"> Caring for Aged Dementia Care Resident Study (CADRES) of person-centred dementia care, dementia-care mapping, and usual care in dementia: a cluster-randomised trial. </w:t>
      </w:r>
      <w:r w:rsidRPr="00535E40">
        <w:rPr>
          <w:i/>
        </w:rPr>
        <w:t>The Lancet - Neurology</w:t>
      </w:r>
      <w:r w:rsidRPr="00535E40">
        <w:t xml:space="preserve"> 2009;</w:t>
      </w:r>
      <w:r w:rsidRPr="00535E40">
        <w:rPr>
          <w:b/>
        </w:rPr>
        <w:t>8</w:t>
      </w:r>
      <w:r w:rsidRPr="00535E40">
        <w:t>:317-25.</w:t>
      </w:r>
    </w:p>
    <w:p w14:paraId="2C7D91A8" w14:textId="77777777" w:rsidR="00535E40" w:rsidRPr="00535E40" w:rsidRDefault="00535E40" w:rsidP="00535E40">
      <w:pPr>
        <w:pStyle w:val="EndNoteBibliography"/>
        <w:spacing w:after="0"/>
      </w:pPr>
      <w:r w:rsidRPr="00535E40">
        <w:t>64.</w:t>
      </w:r>
      <w:r w:rsidRPr="00535E40">
        <w:tab/>
        <w:t xml:space="preserve">Brooker D. What is Person Centred Care for people with Dementia? </w:t>
      </w:r>
      <w:r w:rsidRPr="00535E40">
        <w:rPr>
          <w:i/>
        </w:rPr>
        <w:t>Rev Clin Gerontol</w:t>
      </w:r>
      <w:r w:rsidRPr="00535E40">
        <w:t xml:space="preserve"> 2004;</w:t>
      </w:r>
      <w:r w:rsidRPr="00535E40">
        <w:rPr>
          <w:b/>
        </w:rPr>
        <w:t>13</w:t>
      </w:r>
      <w:r w:rsidRPr="00535E40">
        <w:t>:215-22.</w:t>
      </w:r>
    </w:p>
    <w:p w14:paraId="6E528602" w14:textId="77777777" w:rsidR="00535E40" w:rsidRPr="00535E40" w:rsidRDefault="00535E40" w:rsidP="00535E40">
      <w:pPr>
        <w:pStyle w:val="EndNoteBibliography"/>
        <w:spacing w:after="0"/>
      </w:pPr>
      <w:r w:rsidRPr="00535E40">
        <w:t>65.</w:t>
      </w:r>
      <w:r w:rsidRPr="00535E40">
        <w:tab/>
        <w:t xml:space="preserve">Chrzescijanski C, Moyle W, Creedy D. Reducing dementia-related aggression through a staff education intervention. </w:t>
      </w:r>
      <w:r w:rsidRPr="00535E40">
        <w:rPr>
          <w:i/>
        </w:rPr>
        <w:t>Dementia</w:t>
      </w:r>
      <w:r w:rsidRPr="00535E40">
        <w:t xml:space="preserve"> 2007;</w:t>
      </w:r>
      <w:r w:rsidRPr="00535E40">
        <w:rPr>
          <w:b/>
        </w:rPr>
        <w:t>6</w:t>
      </w:r>
      <w:r w:rsidRPr="00535E40">
        <w:t>:271-86.</w:t>
      </w:r>
    </w:p>
    <w:p w14:paraId="47F29C0F" w14:textId="77777777" w:rsidR="00535E40" w:rsidRPr="00535E40" w:rsidRDefault="00535E40" w:rsidP="00535E40">
      <w:pPr>
        <w:pStyle w:val="EndNoteBibliography"/>
        <w:spacing w:after="0"/>
      </w:pPr>
      <w:r w:rsidRPr="00535E40">
        <w:t>66.</w:t>
      </w:r>
      <w:r w:rsidRPr="00535E40">
        <w:tab/>
        <w:t>Fossey J, Ballard C, Juszczak E, James I, Alder N, Jacoby R</w:t>
      </w:r>
      <w:r w:rsidRPr="00535E40">
        <w:rPr>
          <w:i/>
        </w:rPr>
        <w:t>, et al.</w:t>
      </w:r>
      <w:r w:rsidRPr="00535E40">
        <w:t xml:space="preserve"> Effect of enhanced psychosocial care on antipsychotic use in nursing home residents with dementia: cluster randomised controlled trial. </w:t>
      </w:r>
      <w:r w:rsidRPr="00535E40">
        <w:rPr>
          <w:i/>
        </w:rPr>
        <w:t>BMJ</w:t>
      </w:r>
      <w:r w:rsidRPr="00535E40">
        <w:t xml:space="preserve"> 2006;</w:t>
      </w:r>
      <w:r w:rsidRPr="00535E40">
        <w:rPr>
          <w:b/>
        </w:rPr>
        <w:t>332</w:t>
      </w:r>
      <w:r w:rsidRPr="00535E40">
        <w:t>:756-8.</w:t>
      </w:r>
    </w:p>
    <w:p w14:paraId="7E17288B" w14:textId="77777777" w:rsidR="00535E40" w:rsidRPr="00535E40" w:rsidRDefault="00535E40" w:rsidP="00535E40">
      <w:pPr>
        <w:pStyle w:val="EndNoteBibliography"/>
        <w:spacing w:after="0"/>
      </w:pPr>
      <w:r w:rsidRPr="00535E40">
        <w:t>67.</w:t>
      </w:r>
      <w:r w:rsidRPr="00535E40">
        <w:tab/>
        <w:t>Moniz-Cook E, Agar S, Silver M, Woods RT, Wang M, Elston C</w:t>
      </w:r>
      <w:r w:rsidRPr="00535E40">
        <w:rPr>
          <w:i/>
        </w:rPr>
        <w:t>, et al.</w:t>
      </w:r>
      <w:r w:rsidRPr="00535E40">
        <w:t xml:space="preserve"> Can staff training reduce behavioural problems in residential care for the elderly mentally ill? </w:t>
      </w:r>
      <w:r w:rsidRPr="00535E40">
        <w:rPr>
          <w:i/>
        </w:rPr>
        <w:t>Int J Geriatr Psychiatry</w:t>
      </w:r>
      <w:r w:rsidRPr="00535E40">
        <w:t xml:space="preserve"> 1998;</w:t>
      </w:r>
      <w:r w:rsidRPr="00535E40">
        <w:rPr>
          <w:b/>
        </w:rPr>
        <w:t>13</w:t>
      </w:r>
      <w:r w:rsidRPr="00535E40">
        <w:t>:149-58.</w:t>
      </w:r>
    </w:p>
    <w:p w14:paraId="1AF12C2D" w14:textId="77777777" w:rsidR="00535E40" w:rsidRPr="00535E40" w:rsidRDefault="00535E40" w:rsidP="00535E40">
      <w:pPr>
        <w:pStyle w:val="EndNoteBibliography"/>
        <w:spacing w:after="0"/>
      </w:pPr>
      <w:r w:rsidRPr="00535E40">
        <w:t>68.</w:t>
      </w:r>
      <w:r w:rsidRPr="00535E40">
        <w:tab/>
        <w:t xml:space="preserve">Bird M, Llewellyn-Jones RH, Korten A. An evaluation of the effectiveness of a case-specific approach to challenging behaviour associated with dementia. </w:t>
      </w:r>
      <w:r w:rsidRPr="00535E40">
        <w:rPr>
          <w:i/>
        </w:rPr>
        <w:t>Aging and Mental Health</w:t>
      </w:r>
      <w:r w:rsidRPr="00535E40">
        <w:t xml:space="preserve"> 2009;</w:t>
      </w:r>
      <w:r w:rsidRPr="00535E40">
        <w:rPr>
          <w:b/>
        </w:rPr>
        <w:t>13</w:t>
      </w:r>
      <w:r w:rsidRPr="00535E40">
        <w:t>:73-83.</w:t>
      </w:r>
    </w:p>
    <w:p w14:paraId="612F9767" w14:textId="77777777" w:rsidR="00535E40" w:rsidRPr="00535E40" w:rsidRDefault="00535E40" w:rsidP="00535E40">
      <w:pPr>
        <w:pStyle w:val="EndNoteBibliography"/>
        <w:spacing w:after="0"/>
      </w:pPr>
      <w:r w:rsidRPr="00535E40">
        <w:t>69.</w:t>
      </w:r>
      <w:r w:rsidRPr="00535E40">
        <w:tab/>
        <w:t xml:space="preserve">Turner J, Snowdon J. An Innovative Approach to Behavioral Assessment and Intervention in Residential Care: A Service Evaluation. </w:t>
      </w:r>
      <w:r w:rsidRPr="00535E40">
        <w:rPr>
          <w:i/>
        </w:rPr>
        <w:t>Clin Gerontol</w:t>
      </w:r>
      <w:r w:rsidRPr="00535E40">
        <w:t xml:space="preserve"> 2009;</w:t>
      </w:r>
      <w:r w:rsidRPr="00535E40">
        <w:rPr>
          <w:b/>
        </w:rPr>
        <w:t>32</w:t>
      </w:r>
      <w:r w:rsidRPr="00535E40">
        <w:t>:260-75.</w:t>
      </w:r>
    </w:p>
    <w:p w14:paraId="6DFA998A" w14:textId="77777777" w:rsidR="00535E40" w:rsidRPr="00535E40" w:rsidRDefault="00535E40" w:rsidP="00535E40">
      <w:pPr>
        <w:pStyle w:val="EndNoteBibliography"/>
        <w:spacing w:after="0"/>
      </w:pPr>
      <w:r w:rsidRPr="00535E40">
        <w:t>70.</w:t>
      </w:r>
      <w:r w:rsidRPr="00535E40">
        <w:tab/>
        <w:t xml:space="preserve">Bird M, Jones RHL, Kortent A, Smithers H. A controlled trial of a predominantly psychosocial approach to BPSD: treating causality. </w:t>
      </w:r>
      <w:r w:rsidRPr="00535E40">
        <w:rPr>
          <w:i/>
        </w:rPr>
        <w:t>Int Psychogeriatr</w:t>
      </w:r>
      <w:r w:rsidRPr="00535E40">
        <w:t xml:space="preserve"> 2007;</w:t>
      </w:r>
      <w:r w:rsidRPr="00535E40">
        <w:rPr>
          <w:b/>
        </w:rPr>
        <w:t>19</w:t>
      </w:r>
      <w:r w:rsidRPr="00535E40">
        <w:t>:874-91.</w:t>
      </w:r>
    </w:p>
    <w:p w14:paraId="7806C166" w14:textId="77777777" w:rsidR="00535E40" w:rsidRPr="00535E40" w:rsidRDefault="00535E40" w:rsidP="00535E40">
      <w:pPr>
        <w:pStyle w:val="EndNoteBibliography"/>
        <w:spacing w:after="0"/>
      </w:pPr>
      <w:r w:rsidRPr="00535E40">
        <w:t>71.</w:t>
      </w:r>
      <w:r w:rsidRPr="00535E40">
        <w:tab/>
        <w:t>Skills for Care. Common induction standards (2010 'refreshed' edition). In. Leeds: Skills for Care; 2010.</w:t>
      </w:r>
    </w:p>
    <w:p w14:paraId="7207722B" w14:textId="77777777" w:rsidR="00535E40" w:rsidRPr="00535E40" w:rsidRDefault="00535E40" w:rsidP="00535E40">
      <w:pPr>
        <w:pStyle w:val="EndNoteBibliography"/>
        <w:spacing w:after="0"/>
      </w:pPr>
      <w:r w:rsidRPr="00535E40">
        <w:t>72.</w:t>
      </w:r>
      <w:r w:rsidRPr="00535E40">
        <w:tab/>
        <w:t xml:space="preserve">Care Quality Commission. </w:t>
      </w:r>
      <w:r w:rsidRPr="00535E40">
        <w:rPr>
          <w:i/>
        </w:rPr>
        <w:t>Guidance about compliance. Essential standards of quality and safety</w:t>
      </w:r>
      <w:r w:rsidRPr="00535E40">
        <w:t>. London: Care Quality Commission; 2010.</w:t>
      </w:r>
    </w:p>
    <w:p w14:paraId="683BC873" w14:textId="77777777" w:rsidR="00535E40" w:rsidRPr="00535E40" w:rsidRDefault="00535E40" w:rsidP="00535E40">
      <w:pPr>
        <w:pStyle w:val="EndNoteBibliography"/>
        <w:spacing w:after="0"/>
      </w:pPr>
      <w:r w:rsidRPr="00535E40">
        <w:t>73.</w:t>
      </w:r>
      <w:r w:rsidRPr="00535E40">
        <w:tab/>
        <w:t xml:space="preserve">CSCI. </w:t>
      </w:r>
      <w:r w:rsidRPr="00535E40">
        <w:rPr>
          <w:i/>
        </w:rPr>
        <w:t>See me not just the dementia. Understanding people's experiences of living in a care home</w:t>
      </w:r>
      <w:r w:rsidRPr="00535E40">
        <w:t>. London: CSCI; 2008.</w:t>
      </w:r>
    </w:p>
    <w:p w14:paraId="31CE1755" w14:textId="77777777" w:rsidR="00535E40" w:rsidRPr="00535E40" w:rsidRDefault="00535E40" w:rsidP="00535E40">
      <w:pPr>
        <w:pStyle w:val="EndNoteBibliography"/>
        <w:spacing w:after="0"/>
      </w:pPr>
      <w:r w:rsidRPr="00535E40">
        <w:t>74.</w:t>
      </w:r>
      <w:r w:rsidRPr="00535E40">
        <w:tab/>
        <w:t xml:space="preserve">Furaker C, Nilsson A. The competence of certified nurse assistants caring for persons with dementia diseases in residential facilities. </w:t>
      </w:r>
      <w:r w:rsidRPr="00535E40">
        <w:rPr>
          <w:i/>
        </w:rPr>
        <w:t>J Psychiatr Ment Health Nurs</w:t>
      </w:r>
      <w:r w:rsidRPr="00535E40">
        <w:t xml:space="preserve"> 2009;</w:t>
      </w:r>
      <w:r w:rsidRPr="00535E40">
        <w:rPr>
          <w:b/>
        </w:rPr>
        <w:t>16</w:t>
      </w:r>
      <w:r w:rsidRPr="00535E40">
        <w:t>:146-52.</w:t>
      </w:r>
    </w:p>
    <w:p w14:paraId="5CD2CA40" w14:textId="77777777" w:rsidR="00535E40" w:rsidRPr="00535E40" w:rsidRDefault="00535E40" w:rsidP="00535E40">
      <w:pPr>
        <w:pStyle w:val="EndNoteBibliography"/>
        <w:spacing w:after="0"/>
      </w:pPr>
      <w:r w:rsidRPr="00535E40">
        <w:t>75.</w:t>
      </w:r>
      <w:r w:rsidRPr="00535E40">
        <w:tab/>
        <w:t xml:space="preserve">Lintern T, Woods RT, Phair L. Training is not enough to change care practice. </w:t>
      </w:r>
      <w:r w:rsidRPr="00535E40">
        <w:rPr>
          <w:i/>
        </w:rPr>
        <w:t>Journal of Dementia Care</w:t>
      </w:r>
      <w:r w:rsidRPr="00535E40">
        <w:t xml:space="preserve"> 2000:15-7.</w:t>
      </w:r>
    </w:p>
    <w:p w14:paraId="182B336E" w14:textId="77777777" w:rsidR="00535E40" w:rsidRPr="00535E40" w:rsidRDefault="00535E40" w:rsidP="00535E40">
      <w:pPr>
        <w:pStyle w:val="EndNoteBibliography"/>
        <w:spacing w:after="0"/>
      </w:pPr>
      <w:r w:rsidRPr="00535E40">
        <w:t>76.</w:t>
      </w:r>
      <w:r w:rsidRPr="00535E40">
        <w:tab/>
        <w:t>Ballard C, Corbett A, Orrell M, Williams G, Moniz-Cook E, Romeo R</w:t>
      </w:r>
      <w:r w:rsidRPr="00535E40">
        <w:rPr>
          <w:i/>
        </w:rPr>
        <w:t>, et al.</w:t>
      </w:r>
      <w:r w:rsidRPr="00535E40">
        <w:t xml:space="preserve"> Impact of person-centred care training and person-centred activities on quality of life, agitation, and antipsychotic use in people with dementia living in nursing homes: A cluster-randomised controlled trial. </w:t>
      </w:r>
      <w:r w:rsidRPr="00535E40">
        <w:rPr>
          <w:i/>
        </w:rPr>
        <w:t>PLoS Med</w:t>
      </w:r>
      <w:r w:rsidRPr="00535E40">
        <w:t xml:space="preserve"> 2018;</w:t>
      </w:r>
      <w:r w:rsidRPr="00535E40">
        <w:rPr>
          <w:b/>
        </w:rPr>
        <w:t>15</w:t>
      </w:r>
      <w:r w:rsidRPr="00535E40">
        <w:t>:e1002500.</w:t>
      </w:r>
    </w:p>
    <w:p w14:paraId="37755698" w14:textId="77777777" w:rsidR="00535E40" w:rsidRPr="00535E40" w:rsidRDefault="00535E40" w:rsidP="00535E40">
      <w:pPr>
        <w:pStyle w:val="EndNoteBibliography"/>
        <w:spacing w:after="0"/>
      </w:pPr>
      <w:r w:rsidRPr="00535E40">
        <w:t>77.</w:t>
      </w:r>
      <w:r w:rsidRPr="00535E40">
        <w:tab/>
        <w:t xml:space="preserve">Visser SM, McCabe MP, Hudgson C, Buchanan G, Davison TE, George K. Managing behavioural symptoms of dementia: effectiveness of staff education and peer support. </w:t>
      </w:r>
      <w:r w:rsidRPr="00535E40">
        <w:rPr>
          <w:i/>
        </w:rPr>
        <w:t>Aging and Mental Health</w:t>
      </w:r>
      <w:r w:rsidRPr="00535E40">
        <w:t xml:space="preserve"> 2008;</w:t>
      </w:r>
      <w:r w:rsidRPr="00535E40">
        <w:rPr>
          <w:b/>
        </w:rPr>
        <w:t>12</w:t>
      </w:r>
      <w:r w:rsidRPr="00535E40">
        <w:t>:47-55.</w:t>
      </w:r>
    </w:p>
    <w:p w14:paraId="76A22B5E" w14:textId="77777777" w:rsidR="00535E40" w:rsidRPr="00535E40" w:rsidRDefault="00535E40" w:rsidP="00535E40">
      <w:pPr>
        <w:pStyle w:val="EndNoteBibliography"/>
        <w:spacing w:after="0"/>
      </w:pPr>
      <w:r w:rsidRPr="00535E40">
        <w:t>78.</w:t>
      </w:r>
      <w:r w:rsidRPr="00535E40">
        <w:tab/>
        <w:t>Ballard C, Powell I, James I, Reichelt K, Myint P, Potkins D</w:t>
      </w:r>
      <w:r w:rsidRPr="00535E40">
        <w:rPr>
          <w:i/>
        </w:rPr>
        <w:t>, et al.</w:t>
      </w:r>
      <w:r w:rsidRPr="00535E40">
        <w:t xml:space="preserve"> Can psychiatric liaison reduce neuroleptic use and reduce health service utilization for dementia patients residing in care facilities. </w:t>
      </w:r>
      <w:r w:rsidRPr="00535E40">
        <w:rPr>
          <w:i/>
        </w:rPr>
        <w:t>Int J Geriatr Psychiatry</w:t>
      </w:r>
      <w:r w:rsidRPr="00535E40">
        <w:t xml:space="preserve"> 2002;</w:t>
      </w:r>
      <w:r w:rsidRPr="00535E40">
        <w:rPr>
          <w:b/>
        </w:rPr>
        <w:t>17</w:t>
      </w:r>
      <w:r w:rsidRPr="00535E40">
        <w:t>:140-5.</w:t>
      </w:r>
    </w:p>
    <w:p w14:paraId="6D39B029" w14:textId="77777777" w:rsidR="00535E40" w:rsidRPr="00535E40" w:rsidRDefault="00535E40" w:rsidP="00535E40">
      <w:pPr>
        <w:pStyle w:val="EndNoteBibliography"/>
        <w:spacing w:after="0"/>
      </w:pPr>
      <w:r w:rsidRPr="00535E40">
        <w:t>79.</w:t>
      </w:r>
      <w:r w:rsidRPr="00535E40">
        <w:tab/>
        <w:t xml:space="preserve">Andrews S, McInerney F, Robinson A. Realizing a palliative approach in dementia care: strategies to facilitate aged care staff engagement in evidence-based practice. </w:t>
      </w:r>
      <w:r w:rsidRPr="00535E40">
        <w:rPr>
          <w:i/>
        </w:rPr>
        <w:t>Int Psychogeriatr</w:t>
      </w:r>
      <w:r w:rsidRPr="00535E40">
        <w:t xml:space="preserve"> 2009;</w:t>
      </w:r>
      <w:r w:rsidRPr="00535E40">
        <w:rPr>
          <w:b/>
        </w:rPr>
        <w:t>21</w:t>
      </w:r>
      <w:r w:rsidRPr="00535E40">
        <w:t>:S64-S8.</w:t>
      </w:r>
    </w:p>
    <w:p w14:paraId="1ADFBE7B" w14:textId="77777777" w:rsidR="00535E40" w:rsidRPr="00535E40" w:rsidRDefault="00535E40" w:rsidP="00535E40">
      <w:pPr>
        <w:pStyle w:val="EndNoteBibliography"/>
        <w:spacing w:after="0"/>
      </w:pPr>
      <w:r w:rsidRPr="00535E40">
        <w:t>80.</w:t>
      </w:r>
      <w:r w:rsidRPr="00535E40">
        <w:tab/>
        <w:t xml:space="preserve">Brodribb W. Barriers to translating evidence-based breastfeeding information into practice. </w:t>
      </w:r>
      <w:r w:rsidRPr="00535E40">
        <w:rPr>
          <w:i/>
        </w:rPr>
        <w:t>Acta Paediatr</w:t>
      </w:r>
      <w:r w:rsidRPr="00535E40">
        <w:t xml:space="preserve"> 2011;</w:t>
      </w:r>
      <w:r w:rsidRPr="00535E40">
        <w:rPr>
          <w:b/>
        </w:rPr>
        <w:t>100</w:t>
      </w:r>
      <w:r w:rsidRPr="00535E40">
        <w:t>:486-90.</w:t>
      </w:r>
    </w:p>
    <w:p w14:paraId="51FD7600" w14:textId="77777777" w:rsidR="00535E40" w:rsidRPr="00535E40" w:rsidRDefault="00535E40" w:rsidP="00535E40">
      <w:pPr>
        <w:pStyle w:val="EndNoteBibliography"/>
        <w:spacing w:after="0"/>
      </w:pPr>
      <w:r w:rsidRPr="00535E40">
        <w:t>81.</w:t>
      </w:r>
      <w:r w:rsidRPr="00535E40">
        <w:tab/>
        <w:t xml:space="preserve">Godley S, Garner B, Smith J, Meyers R, Godley M. A Large-Scale Dissemination and Implementation Model for Evidence-Based Treatment and Continuing Care. </w:t>
      </w:r>
      <w:r w:rsidRPr="00535E40">
        <w:rPr>
          <w:i/>
        </w:rPr>
        <w:t>Clinical Psychology - Science and Practice</w:t>
      </w:r>
      <w:r w:rsidRPr="00535E40">
        <w:t xml:space="preserve"> 2011;</w:t>
      </w:r>
      <w:r w:rsidRPr="00535E40">
        <w:rPr>
          <w:b/>
        </w:rPr>
        <w:t>18</w:t>
      </w:r>
      <w:r w:rsidRPr="00535E40">
        <w:t>:67-83.</w:t>
      </w:r>
    </w:p>
    <w:p w14:paraId="68FAD654" w14:textId="77777777" w:rsidR="00535E40" w:rsidRPr="00535E40" w:rsidRDefault="00535E40" w:rsidP="00535E40">
      <w:pPr>
        <w:pStyle w:val="EndNoteBibliography"/>
        <w:spacing w:after="0"/>
      </w:pPr>
      <w:r w:rsidRPr="00535E40">
        <w:t>82.</w:t>
      </w:r>
      <w:r w:rsidRPr="00535E40">
        <w:tab/>
        <w:t>Brooker DJ, Latham I, Evands SC, Jacobson N, Perry W, Bray J</w:t>
      </w:r>
      <w:r w:rsidRPr="00535E40">
        <w:rPr>
          <w:i/>
        </w:rPr>
        <w:t>, et al.</w:t>
      </w:r>
      <w:r w:rsidRPr="00535E40">
        <w:t xml:space="preserve"> FITS into practice: translating research into practice in reducing the use of anti-psychotic medication for people with dementia living in care homes. </w:t>
      </w:r>
      <w:r w:rsidRPr="00535E40">
        <w:rPr>
          <w:i/>
        </w:rPr>
        <w:t>Aging &amp; Mental Health</w:t>
      </w:r>
      <w:r w:rsidRPr="00535E40">
        <w:t xml:space="preserve"> 2016;</w:t>
      </w:r>
      <w:r w:rsidRPr="00535E40">
        <w:rPr>
          <w:b/>
        </w:rPr>
        <w:t>20</w:t>
      </w:r>
      <w:r w:rsidRPr="00535E40">
        <w:t>:709-18.</w:t>
      </w:r>
    </w:p>
    <w:p w14:paraId="035ACE8B" w14:textId="77777777" w:rsidR="00535E40" w:rsidRPr="00535E40" w:rsidRDefault="00535E40" w:rsidP="00535E40">
      <w:pPr>
        <w:pStyle w:val="EndNoteBibliography"/>
        <w:spacing w:after="0"/>
      </w:pPr>
      <w:r w:rsidRPr="00535E40">
        <w:t>83.</w:t>
      </w:r>
      <w:r w:rsidRPr="00535E40">
        <w:tab/>
        <w:t>BSI. PAS 800:2010. Use of Dementia Care Mapping for improved person-centred care in a care provider organization. Guide. In. London: BSI; 2010.</w:t>
      </w:r>
    </w:p>
    <w:p w14:paraId="3B852A6F" w14:textId="77777777" w:rsidR="00535E40" w:rsidRPr="00535E40" w:rsidRDefault="00535E40" w:rsidP="00535E40">
      <w:pPr>
        <w:pStyle w:val="EndNoteBibliography"/>
        <w:spacing w:after="0"/>
      </w:pPr>
      <w:r w:rsidRPr="00535E40">
        <w:t>84.</w:t>
      </w:r>
      <w:r w:rsidRPr="00535E40">
        <w:tab/>
        <w:t xml:space="preserve">Innes A. </w:t>
      </w:r>
      <w:r w:rsidRPr="00535E40">
        <w:rPr>
          <w:i/>
        </w:rPr>
        <w:t>Changing the culture of dementia care. A systematic exploration of the process of culture change in three care settings</w:t>
      </w:r>
      <w:r w:rsidRPr="00535E40">
        <w:t>. Bradford: University of Bradford; 2000.</w:t>
      </w:r>
    </w:p>
    <w:p w14:paraId="28DC512F" w14:textId="77777777" w:rsidR="00535E40" w:rsidRPr="00535E40" w:rsidRDefault="00535E40" w:rsidP="00535E40">
      <w:pPr>
        <w:pStyle w:val="EndNoteBibliography"/>
        <w:spacing w:after="0"/>
      </w:pPr>
      <w:r w:rsidRPr="00535E40">
        <w:t>85.</w:t>
      </w:r>
      <w:r w:rsidRPr="00535E40">
        <w:tab/>
        <w:t xml:space="preserve">Innes A, Surr C. Measuring the well-being of people with dementia living in formal care settings: the use of Dementia Care Mapping. </w:t>
      </w:r>
      <w:r w:rsidRPr="00535E40">
        <w:rPr>
          <w:i/>
        </w:rPr>
        <w:t>Aging and Mental Health</w:t>
      </w:r>
      <w:r w:rsidRPr="00535E40">
        <w:t xml:space="preserve"> 2001;</w:t>
      </w:r>
      <w:r w:rsidRPr="00535E40">
        <w:rPr>
          <w:b/>
        </w:rPr>
        <w:t>5</w:t>
      </w:r>
      <w:r w:rsidRPr="00535E40">
        <w:t>:258-68.</w:t>
      </w:r>
    </w:p>
    <w:p w14:paraId="0EDF88A5" w14:textId="77777777" w:rsidR="00535E40" w:rsidRPr="00535E40" w:rsidRDefault="00535E40" w:rsidP="00535E40">
      <w:pPr>
        <w:pStyle w:val="EndNoteBibliography"/>
        <w:spacing w:after="0"/>
      </w:pPr>
      <w:r w:rsidRPr="00535E40">
        <w:t>86.</w:t>
      </w:r>
      <w:r w:rsidRPr="00535E40">
        <w:tab/>
        <w:t xml:space="preserve">Wylie K, Madjar I, Walton JA. Dementia Care Mapping. A person-centred, evidence-based approach to improving the quality of care in residential care settings. </w:t>
      </w:r>
      <w:r w:rsidRPr="00535E40">
        <w:rPr>
          <w:i/>
        </w:rPr>
        <w:t>Geriaction</w:t>
      </w:r>
      <w:r w:rsidRPr="00535E40">
        <w:t xml:space="preserve"> 2002;</w:t>
      </w:r>
      <w:r w:rsidRPr="00535E40">
        <w:rPr>
          <w:b/>
        </w:rPr>
        <w:t>20</w:t>
      </w:r>
      <w:r w:rsidRPr="00535E40">
        <w:t>:5-9.</w:t>
      </w:r>
    </w:p>
    <w:p w14:paraId="6D1CF685" w14:textId="77777777" w:rsidR="00535E40" w:rsidRPr="00535E40" w:rsidRDefault="00535E40" w:rsidP="00535E40">
      <w:pPr>
        <w:pStyle w:val="EndNoteBibliography"/>
        <w:spacing w:after="0"/>
      </w:pPr>
      <w:r w:rsidRPr="00535E40">
        <w:t>87.</w:t>
      </w:r>
      <w:r w:rsidRPr="00535E40">
        <w:tab/>
        <w:t xml:space="preserve">Mansah M, Coulon L, Brown P. A mapper's reflection on Dementia Care Mapping with older residents living in a nursing home. </w:t>
      </w:r>
      <w:r w:rsidRPr="00535E40">
        <w:rPr>
          <w:i/>
        </w:rPr>
        <w:t>Int J Older People Nurs</w:t>
      </w:r>
      <w:r w:rsidRPr="00535E40">
        <w:t xml:space="preserve"> 2008;</w:t>
      </w:r>
      <w:r w:rsidRPr="00535E40">
        <w:rPr>
          <w:b/>
        </w:rPr>
        <w:t>3</w:t>
      </w:r>
      <w:r w:rsidRPr="00535E40">
        <w:t>:113-20.</w:t>
      </w:r>
    </w:p>
    <w:p w14:paraId="4E4E9D50" w14:textId="77777777" w:rsidR="00535E40" w:rsidRPr="00535E40" w:rsidRDefault="00535E40" w:rsidP="00535E40">
      <w:pPr>
        <w:pStyle w:val="EndNoteBibliography"/>
        <w:spacing w:after="0"/>
      </w:pPr>
      <w:r w:rsidRPr="00535E40">
        <w:t>88.</w:t>
      </w:r>
      <w:r w:rsidRPr="00535E40">
        <w:tab/>
        <w:t xml:space="preserve">Beavis D, Simpson S, Graham I. A literature review of Dementia Care Mapping: methodological considerations and efficacy. </w:t>
      </w:r>
      <w:r w:rsidRPr="00535E40">
        <w:rPr>
          <w:i/>
        </w:rPr>
        <w:t>J Psychiatr Ment Health Nurs</w:t>
      </w:r>
      <w:r w:rsidRPr="00535E40">
        <w:t xml:space="preserve"> 2002;</w:t>
      </w:r>
      <w:r w:rsidRPr="00535E40">
        <w:rPr>
          <w:b/>
        </w:rPr>
        <w:t>9</w:t>
      </w:r>
      <w:r w:rsidRPr="00535E40">
        <w:t>:725-36.</w:t>
      </w:r>
    </w:p>
    <w:p w14:paraId="4C256C62" w14:textId="77777777" w:rsidR="00535E40" w:rsidRPr="00535E40" w:rsidRDefault="00535E40" w:rsidP="00535E40">
      <w:pPr>
        <w:pStyle w:val="EndNoteBibliography"/>
        <w:spacing w:after="0"/>
      </w:pPr>
      <w:r w:rsidRPr="00535E40">
        <w:t>89.</w:t>
      </w:r>
      <w:r w:rsidRPr="00535E40">
        <w:tab/>
        <w:t xml:space="preserve">Brooker D. Dementia Care Mapping: A Review of the Research Literature. </w:t>
      </w:r>
      <w:r w:rsidRPr="00535E40">
        <w:rPr>
          <w:i/>
        </w:rPr>
        <w:t>Gerontologist</w:t>
      </w:r>
      <w:r w:rsidRPr="00535E40">
        <w:t xml:space="preserve"> 2005;</w:t>
      </w:r>
      <w:r w:rsidRPr="00535E40">
        <w:rPr>
          <w:b/>
        </w:rPr>
        <w:t>45</w:t>
      </w:r>
      <w:r w:rsidRPr="00535E40">
        <w:t>:11-8.</w:t>
      </w:r>
    </w:p>
    <w:p w14:paraId="64AE6CFF" w14:textId="77777777" w:rsidR="00535E40" w:rsidRPr="00535E40" w:rsidRDefault="00535E40" w:rsidP="00535E40">
      <w:pPr>
        <w:pStyle w:val="EndNoteBibliography"/>
        <w:spacing w:after="0"/>
      </w:pPr>
      <w:r w:rsidRPr="00535E40">
        <w:t>90.</w:t>
      </w:r>
      <w:r w:rsidRPr="00535E40">
        <w:tab/>
        <w:t xml:space="preserve">Chenoweth L, Jeon YH. Determining the efficacy of dementia Care Mapping as an outcome measure and process for change: A pilot study. </w:t>
      </w:r>
      <w:r w:rsidRPr="00535E40">
        <w:rPr>
          <w:i/>
        </w:rPr>
        <w:t>Aging and Mental Health</w:t>
      </w:r>
      <w:r w:rsidRPr="00535E40">
        <w:t xml:space="preserve"> 2007;</w:t>
      </w:r>
      <w:r w:rsidRPr="00535E40">
        <w:rPr>
          <w:b/>
        </w:rPr>
        <w:t>11</w:t>
      </w:r>
      <w:r w:rsidRPr="00535E40">
        <w:t>:237-45.</w:t>
      </w:r>
    </w:p>
    <w:p w14:paraId="6BA440A9" w14:textId="77777777" w:rsidR="00535E40" w:rsidRPr="00535E40" w:rsidRDefault="00535E40" w:rsidP="00535E40">
      <w:pPr>
        <w:pStyle w:val="EndNoteBibliography"/>
        <w:spacing w:after="0"/>
      </w:pPr>
      <w:r w:rsidRPr="00535E40">
        <w:t>91.</w:t>
      </w:r>
      <w:r w:rsidRPr="00535E40">
        <w:tab/>
        <w:t xml:space="preserve">Kuiper D, Dijkstra GJ, Tuinstra J, Groothoff JW. The influence of Dementia Care Mapping (DCM) on behavioural problems of persons with dementia and the job satisfaction of caregivers: a pilot study. </w:t>
      </w:r>
      <w:r w:rsidRPr="00535E40">
        <w:rPr>
          <w:i/>
        </w:rPr>
        <w:t>Tijdschr Gerontol Geriatr</w:t>
      </w:r>
      <w:r w:rsidRPr="00535E40">
        <w:t xml:space="preserve"> 2009;</w:t>
      </w:r>
      <w:r w:rsidRPr="00535E40">
        <w:rPr>
          <w:b/>
        </w:rPr>
        <w:t>40</w:t>
      </w:r>
      <w:r w:rsidRPr="00535E40">
        <w:t>:102-12.</w:t>
      </w:r>
    </w:p>
    <w:p w14:paraId="08CFF5C0" w14:textId="77777777" w:rsidR="00535E40" w:rsidRPr="00535E40" w:rsidRDefault="00535E40" w:rsidP="00535E40">
      <w:pPr>
        <w:pStyle w:val="EndNoteBibliography"/>
        <w:spacing w:after="0"/>
      </w:pPr>
      <w:r w:rsidRPr="00535E40">
        <w:t>92.</w:t>
      </w:r>
      <w:r w:rsidRPr="00535E40">
        <w:tab/>
        <w:t>Dichter MN, Quasdorf T, Schwab CGG, Trutschel D, Haastert B, Riesner C</w:t>
      </w:r>
      <w:r w:rsidRPr="00535E40">
        <w:rPr>
          <w:i/>
        </w:rPr>
        <w:t>, et al.</w:t>
      </w:r>
      <w:r w:rsidRPr="00535E40">
        <w:t xml:space="preserve"> Dementia care mapping: effects on residents’ quality of life and challenging behavior in German nursing homes. A quasi-experimental trial. </w:t>
      </w:r>
      <w:r w:rsidRPr="00535E40">
        <w:rPr>
          <w:i/>
        </w:rPr>
        <w:t>Int Psychogeriatr</w:t>
      </w:r>
      <w:r w:rsidRPr="00535E40">
        <w:t xml:space="preserve"> 2015;</w:t>
      </w:r>
      <w:r w:rsidRPr="00535E40">
        <w:rPr>
          <w:b/>
        </w:rPr>
        <w:t>27</w:t>
      </w:r>
      <w:r w:rsidRPr="00535E40">
        <w:t>:1875-92.</w:t>
      </w:r>
    </w:p>
    <w:p w14:paraId="4AB2B5C4" w14:textId="77777777" w:rsidR="00535E40" w:rsidRPr="00535E40" w:rsidRDefault="00535E40" w:rsidP="00535E40">
      <w:pPr>
        <w:pStyle w:val="EndNoteBibliography"/>
        <w:spacing w:after="0"/>
      </w:pPr>
      <w:r w:rsidRPr="00535E40">
        <w:t>93.</w:t>
      </w:r>
      <w:r w:rsidRPr="00535E40">
        <w:tab/>
        <w:t xml:space="preserve">Rokstad AM, Røsvik J, Kirkevold Ø, Selbæk G, Saltyte Benth J, Engedal K. The Effect of Person-Centred Dementia Care to Prevent Agitation and Other Neuropsychiatric Symptoms and Enhance Quality of Life in Nursing Home Patients: A 10-Month Randomized Controlled Trial. </w:t>
      </w:r>
      <w:r w:rsidRPr="00535E40">
        <w:rPr>
          <w:i/>
        </w:rPr>
        <w:t>Dement Geriatr Cogn Disord</w:t>
      </w:r>
      <w:r w:rsidRPr="00535E40">
        <w:t xml:space="preserve"> 2013;</w:t>
      </w:r>
      <w:r w:rsidRPr="00535E40">
        <w:rPr>
          <w:b/>
        </w:rPr>
        <w:t>36</w:t>
      </w:r>
      <w:r w:rsidRPr="00535E40">
        <w:t>:340-53.</w:t>
      </w:r>
    </w:p>
    <w:p w14:paraId="4C3B2E30" w14:textId="77777777" w:rsidR="00535E40" w:rsidRPr="00535E40" w:rsidRDefault="00535E40" w:rsidP="00535E40">
      <w:pPr>
        <w:pStyle w:val="EndNoteBibliography"/>
        <w:spacing w:after="0"/>
      </w:pPr>
      <w:r w:rsidRPr="00535E40">
        <w:t>94.</w:t>
      </w:r>
      <w:r w:rsidRPr="00535E40">
        <w:tab/>
        <w:t>van de Ven G, Drasovic I, Adang EMM, Donders R, Zuidema S, Koopmans RTCM</w:t>
      </w:r>
      <w:r w:rsidRPr="00535E40">
        <w:rPr>
          <w:i/>
        </w:rPr>
        <w:t>, et al.</w:t>
      </w:r>
      <w:r w:rsidRPr="00535E40">
        <w:t xml:space="preserve"> Effects of Dementia-Care Mapping on Residents and Staff of Care Homes: A Pragmatic Cluster-Randomised Controlled Trial. </w:t>
      </w:r>
      <w:r w:rsidRPr="00535E40">
        <w:rPr>
          <w:i/>
        </w:rPr>
        <w:t>PLoS One</w:t>
      </w:r>
      <w:r w:rsidRPr="00535E40">
        <w:t xml:space="preserve"> 2013;</w:t>
      </w:r>
      <w:r w:rsidRPr="00535E40">
        <w:rPr>
          <w:b/>
        </w:rPr>
        <w:t>8</w:t>
      </w:r>
      <w:r w:rsidRPr="00535E40">
        <w:t>:e67325.</w:t>
      </w:r>
    </w:p>
    <w:p w14:paraId="29A8C1EF" w14:textId="77777777" w:rsidR="00535E40" w:rsidRPr="00535E40" w:rsidRDefault="00535E40" w:rsidP="00535E40">
      <w:pPr>
        <w:pStyle w:val="EndNoteBibliography"/>
        <w:spacing w:after="0"/>
      </w:pPr>
      <w:r w:rsidRPr="00535E40">
        <w:t>95.</w:t>
      </w:r>
      <w:r w:rsidRPr="00535E40">
        <w:tab/>
        <w:t>Jeon YH, Luscombe G, Chenoweth L, Stein-Parbury J, Brodaty H, King M</w:t>
      </w:r>
      <w:r w:rsidRPr="00535E40">
        <w:rPr>
          <w:i/>
        </w:rPr>
        <w:t>, et al.</w:t>
      </w:r>
      <w:r w:rsidRPr="00535E40">
        <w:t xml:space="preserve"> Staff outcomes from the Caring for Aged Dementia Care REsident Study CADRES): A cluster randomised trial. </w:t>
      </w:r>
      <w:r w:rsidRPr="00535E40">
        <w:rPr>
          <w:i/>
        </w:rPr>
        <w:t>International Journal Nursing Studies</w:t>
      </w:r>
      <w:r w:rsidRPr="00535E40">
        <w:t xml:space="preserve"> 2012;</w:t>
      </w:r>
      <w:r w:rsidRPr="00535E40">
        <w:rPr>
          <w:b/>
        </w:rPr>
        <w:t>49</w:t>
      </w:r>
      <w:r w:rsidRPr="00535E40">
        <w:t>:508-18.</w:t>
      </w:r>
    </w:p>
    <w:p w14:paraId="60D0E4DB" w14:textId="77777777" w:rsidR="00535E40" w:rsidRPr="00535E40" w:rsidRDefault="00535E40" w:rsidP="00535E40">
      <w:pPr>
        <w:pStyle w:val="EndNoteBibliography"/>
        <w:spacing w:after="0"/>
      </w:pPr>
      <w:r w:rsidRPr="00535E40">
        <w:t>96.</w:t>
      </w:r>
      <w:r w:rsidRPr="00535E40">
        <w:tab/>
        <w:t xml:space="preserve">Surr C, Griffiths AW, Kelley R. Implementing Dementia Care Mapping as a practice development tool in dementia care services: a systematic review. </w:t>
      </w:r>
      <w:r w:rsidRPr="00535E40">
        <w:rPr>
          <w:i/>
        </w:rPr>
        <w:t>Clin Interv Aging</w:t>
      </w:r>
      <w:r w:rsidRPr="00535E40">
        <w:t xml:space="preserve"> 2018;</w:t>
      </w:r>
      <w:r w:rsidRPr="00535E40">
        <w:rPr>
          <w:b/>
        </w:rPr>
        <w:t>13</w:t>
      </w:r>
      <w:r w:rsidRPr="00535E40">
        <w:t>:165-77.</w:t>
      </w:r>
    </w:p>
    <w:p w14:paraId="1DE195E6" w14:textId="77777777" w:rsidR="00535E40" w:rsidRPr="00535E40" w:rsidRDefault="00535E40" w:rsidP="00535E40">
      <w:pPr>
        <w:pStyle w:val="EndNoteBibliography"/>
        <w:spacing w:after="0"/>
      </w:pPr>
      <w:r w:rsidRPr="00535E40">
        <w:t>97.</w:t>
      </w:r>
      <w:r w:rsidRPr="00535E40">
        <w:tab/>
        <w:t xml:space="preserve">Skills for Care. </w:t>
      </w:r>
      <w:r w:rsidRPr="00535E40">
        <w:rPr>
          <w:i/>
        </w:rPr>
        <w:t>The state of the adult social care sector and workforce in England</w:t>
      </w:r>
      <w:r w:rsidRPr="00535E40">
        <w:t>. Leeds: Skills for Care; 2017.</w:t>
      </w:r>
    </w:p>
    <w:p w14:paraId="5AA9789F" w14:textId="77777777" w:rsidR="00535E40" w:rsidRPr="00535E40" w:rsidRDefault="00535E40" w:rsidP="00535E40">
      <w:pPr>
        <w:pStyle w:val="EndNoteBibliography"/>
        <w:spacing w:after="0"/>
      </w:pPr>
      <w:r w:rsidRPr="00535E40">
        <w:t>98.</w:t>
      </w:r>
      <w:r w:rsidRPr="00535E40">
        <w:tab/>
        <w:t>Surr CA, Walwyn R, Lilley-Kelly A, Cicero R, Meads D, Ballard C</w:t>
      </w:r>
      <w:r w:rsidRPr="00535E40">
        <w:rPr>
          <w:i/>
        </w:rPr>
        <w:t>, et al.</w:t>
      </w:r>
      <w:r w:rsidRPr="00535E40">
        <w:t xml:space="preserve"> Evaluating the effectiveness and cost effectiveness of Dementia Care Mapping™ to enable person-centred care for people with dementia and their carers (DCM-EPIC) in care homes: Study protocol for a randomised controlled trial. . </w:t>
      </w:r>
      <w:r w:rsidRPr="00535E40">
        <w:rPr>
          <w:i/>
        </w:rPr>
        <w:t>Trials</w:t>
      </w:r>
      <w:r w:rsidRPr="00535E40">
        <w:t xml:space="preserve"> 2016;</w:t>
      </w:r>
      <w:r w:rsidRPr="00535E40">
        <w:rPr>
          <w:b/>
        </w:rPr>
        <w:t>17</w:t>
      </w:r>
      <w:r w:rsidRPr="00535E40">
        <w:t>:300.</w:t>
      </w:r>
    </w:p>
    <w:p w14:paraId="67FB6D4D" w14:textId="5A25DD6A" w:rsidR="00535E40" w:rsidRPr="00535E40" w:rsidRDefault="00535E40" w:rsidP="00535E40">
      <w:pPr>
        <w:pStyle w:val="EndNoteBibliography"/>
        <w:spacing w:after="0"/>
      </w:pPr>
      <w:r w:rsidRPr="00535E40">
        <w:t>99.</w:t>
      </w:r>
      <w:r w:rsidRPr="00535E40">
        <w:tab/>
        <w:t xml:space="preserve">Griffiths AW, Creese B, Garrod L, Chenoweth L, Surr C. The development and use of the Assessment of Dementia Awareness and Person-centred Care Training (ADAPT) tool in long-term care </w:t>
      </w:r>
      <w:r w:rsidRPr="00535E40">
        <w:rPr>
          <w:i/>
        </w:rPr>
        <w:t>Dementia: The international journal of social research and practice</w:t>
      </w:r>
      <w:r w:rsidRPr="00535E40">
        <w:t xml:space="preserve"> 2018; 10.1177/1471301218768165. </w:t>
      </w:r>
      <w:hyperlink r:id="rId19" w:history="1">
        <w:r w:rsidRPr="00535E40">
          <w:rPr>
            <w:rStyle w:val="Hyperlink"/>
          </w:rPr>
          <w:t>https://doi.org/10.1177/1471301218768165</w:t>
        </w:r>
      </w:hyperlink>
    </w:p>
    <w:p w14:paraId="2D475370" w14:textId="77777777" w:rsidR="00535E40" w:rsidRPr="00535E40" w:rsidRDefault="00535E40" w:rsidP="00535E40">
      <w:pPr>
        <w:pStyle w:val="EndNoteBibliography"/>
        <w:spacing w:after="0"/>
      </w:pPr>
      <w:r w:rsidRPr="00535E40">
        <w:t>100.</w:t>
      </w:r>
      <w:r w:rsidRPr="00535E40">
        <w:tab/>
        <w:t>Bupa. Person First ... dementia second The Essentials Workbooks. In. Leeds: Bupa; 2010.</w:t>
      </w:r>
    </w:p>
    <w:p w14:paraId="34945E03" w14:textId="77777777" w:rsidR="00535E40" w:rsidRPr="00535E40" w:rsidRDefault="00535E40" w:rsidP="00535E40">
      <w:pPr>
        <w:pStyle w:val="EndNoteBibliography"/>
        <w:spacing w:after="0"/>
      </w:pPr>
      <w:r w:rsidRPr="00535E40">
        <w:t>101.</w:t>
      </w:r>
      <w:r w:rsidRPr="00535E40">
        <w:tab/>
        <w:t xml:space="preserve">Care Quality Commission. </w:t>
      </w:r>
      <w:r w:rsidRPr="00535E40">
        <w:rPr>
          <w:i/>
        </w:rPr>
        <w:t xml:space="preserve">The state of health care and adult social care in England. An overview of key themes in care 2009/10. </w:t>
      </w:r>
      <w:r w:rsidRPr="00535E40">
        <w:t xml:space="preserve">. London The Stationary Office; 2010 </w:t>
      </w:r>
    </w:p>
    <w:p w14:paraId="5D5BD8AE" w14:textId="77777777" w:rsidR="00535E40" w:rsidRPr="00535E40" w:rsidRDefault="00535E40" w:rsidP="00535E40">
      <w:pPr>
        <w:pStyle w:val="EndNoteBibliography"/>
        <w:spacing w:after="0"/>
      </w:pPr>
      <w:r w:rsidRPr="00535E40">
        <w:t>102.</w:t>
      </w:r>
      <w:r w:rsidRPr="00535E40">
        <w:tab/>
        <w:t xml:space="preserve">Reisberg B. Functional assessment staging (FAST). </w:t>
      </w:r>
      <w:r w:rsidRPr="00535E40">
        <w:rPr>
          <w:i/>
        </w:rPr>
        <w:t>Psychopharmacol Bull</w:t>
      </w:r>
      <w:r w:rsidRPr="00535E40">
        <w:t xml:space="preserve"> 1988;</w:t>
      </w:r>
      <w:r w:rsidRPr="00535E40">
        <w:rPr>
          <w:b/>
        </w:rPr>
        <w:t>24</w:t>
      </w:r>
      <w:r w:rsidRPr="00535E40">
        <w:t>:653-59.</w:t>
      </w:r>
    </w:p>
    <w:p w14:paraId="07A6FF57" w14:textId="77777777" w:rsidR="00535E40" w:rsidRPr="00535E40" w:rsidRDefault="00535E40" w:rsidP="00535E40">
      <w:pPr>
        <w:pStyle w:val="EndNoteBibliography"/>
        <w:spacing w:after="0"/>
      </w:pPr>
      <w:r w:rsidRPr="00535E40">
        <w:t>103.</w:t>
      </w:r>
      <w:r w:rsidRPr="00535E40">
        <w:tab/>
        <w:t>Mental Capacity Act. Place Published; 2005.</w:t>
      </w:r>
    </w:p>
    <w:p w14:paraId="57E2B18D" w14:textId="77777777" w:rsidR="00535E40" w:rsidRPr="00535E40" w:rsidRDefault="00535E40" w:rsidP="00535E40">
      <w:pPr>
        <w:pStyle w:val="EndNoteBibliography"/>
        <w:spacing w:after="0"/>
      </w:pPr>
      <w:r w:rsidRPr="00535E40">
        <w:t>104.</w:t>
      </w:r>
      <w:r w:rsidRPr="00535E40">
        <w:tab/>
        <w:t xml:space="preserve">Medical Research Council. </w:t>
      </w:r>
      <w:r w:rsidRPr="00535E40">
        <w:rPr>
          <w:i/>
        </w:rPr>
        <w:t>MRC guidelines for good clinical practice in clinical trials</w:t>
      </w:r>
      <w:r w:rsidRPr="00535E40">
        <w:t>. London: Medical Research Council; 1998.</w:t>
      </w:r>
    </w:p>
    <w:p w14:paraId="6F0E3713" w14:textId="77777777" w:rsidR="00535E40" w:rsidRPr="00535E40" w:rsidRDefault="00535E40" w:rsidP="00535E40">
      <w:pPr>
        <w:pStyle w:val="EndNoteBibliography"/>
        <w:spacing w:after="0"/>
      </w:pPr>
      <w:r w:rsidRPr="00535E40">
        <w:t>105.</w:t>
      </w:r>
      <w:r w:rsidRPr="00535E40">
        <w:tab/>
        <w:t xml:space="preserve">Department of Health, Welsh Assembly Government. </w:t>
      </w:r>
      <w:r w:rsidRPr="00535E40">
        <w:rPr>
          <w:i/>
        </w:rPr>
        <w:t>Guidance on nominating a consultee for research involving adults who lack capacity to consent</w:t>
      </w:r>
      <w:r w:rsidRPr="00535E40">
        <w:t>. London:: Department of Health; 2008.</w:t>
      </w:r>
    </w:p>
    <w:p w14:paraId="30CC027D" w14:textId="77777777" w:rsidR="00535E40" w:rsidRPr="00535E40" w:rsidRDefault="00535E40" w:rsidP="00535E40">
      <w:pPr>
        <w:pStyle w:val="EndNoteBibliography"/>
        <w:spacing w:after="0"/>
      </w:pPr>
      <w:r w:rsidRPr="00535E40">
        <w:t>106.</w:t>
      </w:r>
      <w:r w:rsidRPr="00535E40">
        <w:tab/>
        <w:t xml:space="preserve">Medical Research Council. </w:t>
      </w:r>
      <w:r w:rsidRPr="00535E40">
        <w:rPr>
          <w:i/>
        </w:rPr>
        <w:t>Medical research involving adults who cannot consent</w:t>
      </w:r>
      <w:r w:rsidRPr="00535E40">
        <w:t>. London: Medical Research Council; 2007.</w:t>
      </w:r>
    </w:p>
    <w:p w14:paraId="58599D75" w14:textId="77777777" w:rsidR="00535E40" w:rsidRPr="00535E40" w:rsidRDefault="00535E40" w:rsidP="00535E40">
      <w:pPr>
        <w:pStyle w:val="EndNoteBibliography"/>
        <w:spacing w:after="0"/>
      </w:pPr>
      <w:r w:rsidRPr="00535E40">
        <w:t>107.</w:t>
      </w:r>
      <w:r w:rsidRPr="00535E40">
        <w:tab/>
        <w:t>Kuznetsova OM TY. Preserving the allocation ratio at every allocation with biased coin randomisation and minimisation in studies with unequal allocation.</w:t>
      </w:r>
      <w:r w:rsidRPr="00535E40">
        <w:rPr>
          <w:i/>
        </w:rPr>
        <w:t xml:space="preserve"> Statistics in Medicine</w:t>
      </w:r>
      <w:r w:rsidRPr="00535E40">
        <w:t xml:space="preserve"> (2012) 702-23.</w:t>
      </w:r>
    </w:p>
    <w:p w14:paraId="236D6FB3" w14:textId="77777777" w:rsidR="00535E40" w:rsidRPr="00535E40" w:rsidRDefault="00535E40" w:rsidP="00535E40">
      <w:pPr>
        <w:pStyle w:val="EndNoteBibliography"/>
        <w:spacing w:after="0"/>
      </w:pPr>
      <w:r w:rsidRPr="00535E40">
        <w:t>108.</w:t>
      </w:r>
      <w:r w:rsidRPr="00535E40">
        <w:tab/>
        <w:t xml:space="preserve">Brooker D, Surr C. </w:t>
      </w:r>
      <w:r w:rsidRPr="00535E40">
        <w:rPr>
          <w:i/>
        </w:rPr>
        <w:t>Dementia Care Mapping: Principles and Practice</w:t>
      </w:r>
      <w:r w:rsidRPr="00535E40">
        <w:t>. Bradford: University of Bradford; 2005.</w:t>
      </w:r>
    </w:p>
    <w:p w14:paraId="6AFDCB10" w14:textId="77777777" w:rsidR="00535E40" w:rsidRPr="00535E40" w:rsidRDefault="00535E40" w:rsidP="00535E40">
      <w:pPr>
        <w:pStyle w:val="EndNoteBibliography"/>
        <w:spacing w:after="0"/>
      </w:pPr>
      <w:r w:rsidRPr="00535E40">
        <w:t>109.</w:t>
      </w:r>
      <w:r w:rsidRPr="00535E40">
        <w:tab/>
        <w:t xml:space="preserve">Brooker D, Surr C. Dementia Care Mapping (DCM): initial validation of DCM 8 in UK field trials. </w:t>
      </w:r>
      <w:r w:rsidRPr="00535E40">
        <w:rPr>
          <w:i/>
        </w:rPr>
        <w:t>Int J Geriatr Psychiatry</w:t>
      </w:r>
      <w:r w:rsidRPr="00535E40">
        <w:t xml:space="preserve"> 2006;</w:t>
      </w:r>
      <w:r w:rsidRPr="00535E40">
        <w:rPr>
          <w:b/>
        </w:rPr>
        <w:t>21</w:t>
      </w:r>
      <w:r w:rsidRPr="00535E40">
        <w:t>:1018-25.</w:t>
      </w:r>
    </w:p>
    <w:p w14:paraId="0D3AA439" w14:textId="77777777" w:rsidR="00535E40" w:rsidRPr="00535E40" w:rsidRDefault="00535E40" w:rsidP="00535E40">
      <w:pPr>
        <w:pStyle w:val="EndNoteBibliography"/>
        <w:spacing w:after="0"/>
      </w:pPr>
      <w:r w:rsidRPr="00535E40">
        <w:t>110.</w:t>
      </w:r>
      <w:r w:rsidRPr="00535E40">
        <w:tab/>
        <w:t xml:space="preserve">Cohen-Mansfield J, Billig N. Agitated behaviours in the elderly. I. A conceptual review. </w:t>
      </w:r>
      <w:r w:rsidRPr="00535E40">
        <w:rPr>
          <w:i/>
        </w:rPr>
        <w:t>J Am Geriatr Soc</w:t>
      </w:r>
      <w:r w:rsidRPr="00535E40">
        <w:t xml:space="preserve"> 1986;</w:t>
      </w:r>
      <w:r w:rsidRPr="00535E40">
        <w:rPr>
          <w:b/>
        </w:rPr>
        <w:t>34</w:t>
      </w:r>
      <w:r w:rsidRPr="00535E40">
        <w:t>:711-21.</w:t>
      </w:r>
    </w:p>
    <w:p w14:paraId="5CD34A49" w14:textId="77777777" w:rsidR="00535E40" w:rsidRPr="00535E40" w:rsidRDefault="00535E40" w:rsidP="00535E40">
      <w:pPr>
        <w:pStyle w:val="EndNoteBibliography"/>
        <w:spacing w:after="0"/>
      </w:pPr>
      <w:r w:rsidRPr="00535E40">
        <w:t>111.</w:t>
      </w:r>
      <w:r w:rsidRPr="00535E40">
        <w:tab/>
        <w:t xml:space="preserve">Shah A, Evans H, Parkash N. Evaluation of three aggression/agitation behaviour rating scales for use on an acute admission and assessment psychogeriatric ward. </w:t>
      </w:r>
      <w:r w:rsidRPr="00535E40">
        <w:rPr>
          <w:i/>
        </w:rPr>
        <w:t>Int J Geriatr Psychiatry</w:t>
      </w:r>
      <w:r w:rsidRPr="00535E40">
        <w:t xml:space="preserve"> 1998;</w:t>
      </w:r>
      <w:r w:rsidRPr="00535E40">
        <w:rPr>
          <w:b/>
        </w:rPr>
        <w:t>13</w:t>
      </w:r>
      <w:r w:rsidRPr="00535E40">
        <w:t>:415-20.</w:t>
      </w:r>
    </w:p>
    <w:p w14:paraId="45DC51A8" w14:textId="77777777" w:rsidR="00535E40" w:rsidRPr="00535E40" w:rsidRDefault="00535E40" w:rsidP="00535E40">
      <w:pPr>
        <w:pStyle w:val="EndNoteBibliography"/>
        <w:spacing w:after="0"/>
      </w:pPr>
      <w:r w:rsidRPr="00535E40">
        <w:t>112.</w:t>
      </w:r>
      <w:r w:rsidRPr="00535E40">
        <w:tab/>
        <w:t xml:space="preserve">Cohen-Mansfield J, Libin A. Assessment of agitation in elderly patients with dementia: correlations between informant rating and direct observation. </w:t>
      </w:r>
      <w:r w:rsidRPr="00535E40">
        <w:rPr>
          <w:i/>
        </w:rPr>
        <w:t>Int J Geriatr Psychiatry</w:t>
      </w:r>
      <w:r w:rsidRPr="00535E40">
        <w:t xml:space="preserve"> 2004;</w:t>
      </w:r>
      <w:r w:rsidRPr="00535E40">
        <w:rPr>
          <w:b/>
        </w:rPr>
        <w:t>19</w:t>
      </w:r>
      <w:r w:rsidRPr="00535E40">
        <w:t>:881-91.</w:t>
      </w:r>
    </w:p>
    <w:p w14:paraId="3DA58392" w14:textId="77777777" w:rsidR="00535E40" w:rsidRPr="00535E40" w:rsidRDefault="00535E40" w:rsidP="00535E40">
      <w:pPr>
        <w:pStyle w:val="EndNoteBibliography"/>
        <w:spacing w:after="0"/>
      </w:pPr>
      <w:r w:rsidRPr="00535E40">
        <w:t>113.</w:t>
      </w:r>
      <w:r w:rsidRPr="00535E40">
        <w:tab/>
        <w:t>Griffiths AW, Albertyn CP, Burnley NL, Creese B, Walwyn R, Holloway I</w:t>
      </w:r>
      <w:r w:rsidRPr="00535E40">
        <w:rPr>
          <w:i/>
        </w:rPr>
        <w:t>, et al.</w:t>
      </w:r>
      <w:r w:rsidRPr="00535E40">
        <w:t xml:space="preserve"> Development and validation of an observational version of the Cohen-Mansfield Agitation Inventory. </w:t>
      </w:r>
      <w:r w:rsidRPr="00535E40">
        <w:rPr>
          <w:i/>
        </w:rPr>
        <w:t>Int Psychogeriatr</w:t>
      </w:r>
      <w:r w:rsidRPr="00535E40">
        <w:t xml:space="preserve"> in press.</w:t>
      </w:r>
    </w:p>
    <w:p w14:paraId="763ADD94" w14:textId="77777777" w:rsidR="00535E40" w:rsidRPr="00535E40" w:rsidRDefault="00535E40" w:rsidP="00535E40">
      <w:pPr>
        <w:pStyle w:val="EndNoteBibliography"/>
        <w:spacing w:after="0"/>
      </w:pPr>
      <w:r w:rsidRPr="00535E40">
        <w:t>114.</w:t>
      </w:r>
      <w:r w:rsidRPr="00535E40">
        <w:tab/>
        <w:t>Rosen J, Burgio LD, Kollar M, Cain M, Allison M, Fogleman M</w:t>
      </w:r>
      <w:r w:rsidRPr="00535E40">
        <w:rPr>
          <w:i/>
        </w:rPr>
        <w:t>, et al.</w:t>
      </w:r>
      <w:r w:rsidRPr="00535E40">
        <w:t xml:space="preserve"> The Pittsburgh Agitation Scale: A user-friendly instrument for rating agitation in dementia patients. </w:t>
      </w:r>
      <w:r w:rsidRPr="00535E40">
        <w:rPr>
          <w:i/>
        </w:rPr>
        <w:t>Am J Geriatr Psychiatry</w:t>
      </w:r>
      <w:r w:rsidRPr="00535E40">
        <w:t xml:space="preserve"> 1994;</w:t>
      </w:r>
      <w:r w:rsidRPr="00535E40">
        <w:rPr>
          <w:b/>
        </w:rPr>
        <w:t>2</w:t>
      </w:r>
      <w:r w:rsidRPr="00535E40">
        <w:t>:52-9.</w:t>
      </w:r>
    </w:p>
    <w:p w14:paraId="4692151B" w14:textId="77777777" w:rsidR="00535E40" w:rsidRPr="00535E40" w:rsidRDefault="00535E40" w:rsidP="00535E40">
      <w:pPr>
        <w:pStyle w:val="EndNoteBibliography"/>
        <w:spacing w:after="0"/>
      </w:pPr>
      <w:r w:rsidRPr="00535E40">
        <w:t>115.</w:t>
      </w:r>
      <w:r w:rsidRPr="00535E40">
        <w:tab/>
        <w:t xml:space="preserve">Cummings JL, Mega M, Gray K, Rosenberg-Thompson S, Carusi DA, Gombein J. The Neuropsychiatric Inventory. Comprehensive assessment of psychopathology in dementia. </w:t>
      </w:r>
      <w:r w:rsidRPr="00535E40">
        <w:rPr>
          <w:i/>
        </w:rPr>
        <w:t>Neurology</w:t>
      </w:r>
      <w:r w:rsidRPr="00535E40">
        <w:t xml:space="preserve"> 1994;</w:t>
      </w:r>
      <w:r w:rsidRPr="00535E40">
        <w:rPr>
          <w:b/>
        </w:rPr>
        <w:t>44</w:t>
      </w:r>
      <w:r w:rsidRPr="00535E40">
        <w:t>:2308.</w:t>
      </w:r>
    </w:p>
    <w:p w14:paraId="0DF6DC9F" w14:textId="77777777" w:rsidR="00535E40" w:rsidRPr="00535E40" w:rsidRDefault="00535E40" w:rsidP="00535E40">
      <w:pPr>
        <w:pStyle w:val="EndNoteBibliography"/>
        <w:spacing w:after="0"/>
      </w:pPr>
      <w:r w:rsidRPr="00535E40">
        <w:t>116.</w:t>
      </w:r>
      <w:r w:rsidRPr="00535E40">
        <w:tab/>
        <w:t>Smith SC, Lamping DL, Banerjee S, Harwood RH, Foley B, Smith P</w:t>
      </w:r>
      <w:r w:rsidRPr="00535E40">
        <w:rPr>
          <w:i/>
        </w:rPr>
        <w:t>, et al.</w:t>
      </w:r>
      <w:r w:rsidRPr="00535E40">
        <w:t xml:space="preserve"> Development of a new measure of health-related quality of life for people with dementia: DEMQOL. </w:t>
      </w:r>
      <w:r w:rsidRPr="00535E40">
        <w:rPr>
          <w:i/>
        </w:rPr>
        <w:t>Psychol Med</w:t>
      </w:r>
      <w:r w:rsidRPr="00535E40">
        <w:t xml:space="preserve"> 2007;</w:t>
      </w:r>
      <w:r w:rsidRPr="00535E40">
        <w:rPr>
          <w:b/>
        </w:rPr>
        <w:t>37</w:t>
      </w:r>
      <w:r w:rsidRPr="00535E40">
        <w:t>:737-46.</w:t>
      </w:r>
    </w:p>
    <w:p w14:paraId="697D81A1" w14:textId="77777777" w:rsidR="00535E40" w:rsidRPr="00535E40" w:rsidRDefault="00535E40" w:rsidP="00535E40">
      <w:pPr>
        <w:pStyle w:val="EndNoteBibliography"/>
        <w:spacing w:after="0"/>
      </w:pPr>
      <w:r w:rsidRPr="00535E40">
        <w:t>117.</w:t>
      </w:r>
      <w:r w:rsidRPr="00535E40">
        <w:tab/>
        <w:t>Smith SC, Lamping DL, Banerjee S, Harwood RH, Foley B, Smith P</w:t>
      </w:r>
      <w:r w:rsidRPr="00535E40">
        <w:rPr>
          <w:i/>
        </w:rPr>
        <w:t>, et al.</w:t>
      </w:r>
      <w:r w:rsidRPr="00535E40">
        <w:t xml:space="preserve"> Measurement of health-related quality of life for people with dementia: development of a new instrument (DEMQOL) and an evaluation of current methodology. </w:t>
      </w:r>
      <w:r w:rsidRPr="00535E40">
        <w:rPr>
          <w:i/>
        </w:rPr>
        <w:t>Health Technol Assess</w:t>
      </w:r>
      <w:r w:rsidRPr="00535E40">
        <w:t xml:space="preserve"> 2005;</w:t>
      </w:r>
      <w:r w:rsidRPr="00535E40">
        <w:rPr>
          <w:b/>
        </w:rPr>
        <w:t>9</w:t>
      </w:r>
      <w:r w:rsidRPr="00535E40">
        <w:t>:1-93.</w:t>
      </w:r>
    </w:p>
    <w:p w14:paraId="4095B915" w14:textId="77777777" w:rsidR="00535E40" w:rsidRPr="00535E40" w:rsidRDefault="00535E40" w:rsidP="00535E40">
      <w:pPr>
        <w:pStyle w:val="EndNoteBibliography"/>
        <w:spacing w:after="0"/>
      </w:pPr>
      <w:r w:rsidRPr="00535E40">
        <w:t>118.</w:t>
      </w:r>
      <w:r w:rsidRPr="00535E40">
        <w:tab/>
        <w:t>Rowen D, Mulhern B, Banerjee S, Van Hout B, Young TA, Knapp M</w:t>
      </w:r>
      <w:r w:rsidRPr="00535E40">
        <w:rPr>
          <w:i/>
        </w:rPr>
        <w:t>, et al.</w:t>
      </w:r>
      <w:r w:rsidRPr="00535E40">
        <w:t xml:space="preserve"> Estimating Preference-Based Single Index Measures for Dementia Using DEMQOL and DEMQOL-Proxy. </w:t>
      </w:r>
      <w:r w:rsidRPr="00535E40">
        <w:rPr>
          <w:i/>
        </w:rPr>
        <w:t>Value Health</w:t>
      </w:r>
      <w:r w:rsidRPr="00535E40">
        <w:t xml:space="preserve"> 2012;</w:t>
      </w:r>
      <w:r w:rsidRPr="00535E40">
        <w:rPr>
          <w:b/>
        </w:rPr>
        <w:t>15</w:t>
      </w:r>
      <w:r w:rsidRPr="00535E40">
        <w:t>:346-56.</w:t>
      </w:r>
    </w:p>
    <w:p w14:paraId="12EC33CC" w14:textId="77777777" w:rsidR="00535E40" w:rsidRPr="00535E40" w:rsidRDefault="00535E40" w:rsidP="00535E40">
      <w:pPr>
        <w:pStyle w:val="EndNoteBibliography"/>
        <w:spacing w:after="0"/>
      </w:pPr>
      <w:r w:rsidRPr="00535E40">
        <w:t>119.</w:t>
      </w:r>
      <w:r w:rsidRPr="00535E40">
        <w:tab/>
        <w:t xml:space="preserve">EuroQol Group. EuroQol - a new facility for the measurement of health-related quality of life. </w:t>
      </w:r>
      <w:r w:rsidRPr="00535E40">
        <w:rPr>
          <w:i/>
        </w:rPr>
        <w:t>Health Policy</w:t>
      </w:r>
      <w:r w:rsidRPr="00535E40">
        <w:t xml:space="preserve"> 1990;</w:t>
      </w:r>
      <w:r w:rsidRPr="00535E40">
        <w:rPr>
          <w:b/>
        </w:rPr>
        <w:t>16</w:t>
      </w:r>
      <w:r w:rsidRPr="00535E40">
        <w:t>:199-208.</w:t>
      </w:r>
    </w:p>
    <w:p w14:paraId="25E4CD26" w14:textId="77777777" w:rsidR="00535E40" w:rsidRPr="00535E40" w:rsidRDefault="00535E40" w:rsidP="00535E40">
      <w:pPr>
        <w:pStyle w:val="EndNoteBibliography"/>
        <w:spacing w:after="0"/>
      </w:pPr>
      <w:r w:rsidRPr="00535E40">
        <w:t>120.</w:t>
      </w:r>
      <w:r w:rsidRPr="00535E40">
        <w:tab/>
        <w:t>Herdman MGC, Lloyd A, Janssen M, Kind P, Parkin D, Bonsel G</w:t>
      </w:r>
      <w:r w:rsidRPr="00535E40">
        <w:rPr>
          <w:i/>
        </w:rPr>
        <w:t>, et al.</w:t>
      </w:r>
      <w:r w:rsidRPr="00535E40">
        <w:t xml:space="preserve"> Development and preliminary testing of the new five-level version of EQ-5D (EQ-5D-5L). </w:t>
      </w:r>
      <w:r w:rsidRPr="00535E40">
        <w:rPr>
          <w:i/>
        </w:rPr>
        <w:t>Qual Life Res</w:t>
      </w:r>
      <w:r w:rsidRPr="00535E40">
        <w:t xml:space="preserve"> 2011;</w:t>
      </w:r>
      <w:r w:rsidRPr="00535E40">
        <w:rPr>
          <w:b/>
        </w:rPr>
        <w:t>10</w:t>
      </w:r>
      <w:r w:rsidRPr="00535E40">
        <w:t>:1727-36.</w:t>
      </w:r>
    </w:p>
    <w:p w14:paraId="6FFE28C7" w14:textId="77777777" w:rsidR="00535E40" w:rsidRPr="00535E40" w:rsidRDefault="00535E40" w:rsidP="00535E40">
      <w:pPr>
        <w:pStyle w:val="EndNoteBibliography"/>
        <w:spacing w:after="0"/>
      </w:pPr>
      <w:r w:rsidRPr="00535E40">
        <w:t>121.</w:t>
      </w:r>
      <w:r w:rsidRPr="00535E40">
        <w:tab/>
        <w:t xml:space="preserve">Weiner MF, Martin-Cook K, Svetlik DA, Saine K, Foster BF, C.S. The Quality of Life in Late-Stage Dementia (QUALID) Scale. </w:t>
      </w:r>
      <w:r w:rsidRPr="00535E40">
        <w:rPr>
          <w:i/>
        </w:rPr>
        <w:t>J Am Med Dir Assoc</w:t>
      </w:r>
      <w:r w:rsidRPr="00535E40">
        <w:t xml:space="preserve"> 2000;</w:t>
      </w:r>
      <w:r w:rsidRPr="00535E40">
        <w:rPr>
          <w:b/>
        </w:rPr>
        <w:t>1</w:t>
      </w:r>
      <w:r w:rsidRPr="00535E40">
        <w:t>:114-6.</w:t>
      </w:r>
    </w:p>
    <w:p w14:paraId="3E8AF056" w14:textId="77777777" w:rsidR="00535E40" w:rsidRPr="00535E40" w:rsidRDefault="00535E40" w:rsidP="00535E40">
      <w:pPr>
        <w:pStyle w:val="EndNoteBibliography"/>
        <w:spacing w:after="0"/>
      </w:pPr>
      <w:r w:rsidRPr="00535E40">
        <w:t>122.</w:t>
      </w:r>
      <w:r w:rsidRPr="00535E40">
        <w:tab/>
        <w:t xml:space="preserve">Logsdon RG, Albert SM. Assessing Quality of Life in Alzheimer's Disease: Conceptual and Methodological Issues. </w:t>
      </w:r>
      <w:r w:rsidRPr="00535E40">
        <w:rPr>
          <w:i/>
        </w:rPr>
        <w:t>Journal of Mental Health and Aging</w:t>
      </w:r>
      <w:r w:rsidRPr="00535E40">
        <w:t xml:space="preserve"> 1999;</w:t>
      </w:r>
      <w:r w:rsidRPr="00535E40">
        <w:rPr>
          <w:b/>
        </w:rPr>
        <w:t>5</w:t>
      </w:r>
      <w:r w:rsidRPr="00535E40">
        <w:t>:3-6.</w:t>
      </w:r>
    </w:p>
    <w:p w14:paraId="1C08D78B" w14:textId="77777777" w:rsidR="00535E40" w:rsidRPr="00535E40" w:rsidRDefault="00535E40" w:rsidP="00535E40">
      <w:pPr>
        <w:pStyle w:val="EndNoteBibliography"/>
        <w:spacing w:after="0"/>
      </w:pPr>
      <w:r w:rsidRPr="00535E40">
        <w:t>123.</w:t>
      </w:r>
      <w:r w:rsidRPr="00535E40">
        <w:tab/>
        <w:t xml:space="preserve">Hoe J, Katona C, Roch B, Livingston G. Use of the QOL-AD for measuring quality of life in people with severe dementia—the LASER-AD study. </w:t>
      </w:r>
      <w:r w:rsidRPr="00535E40">
        <w:rPr>
          <w:i/>
        </w:rPr>
        <w:t>Age Ageing</w:t>
      </w:r>
      <w:r w:rsidRPr="00535E40">
        <w:t xml:space="preserve"> 2005;</w:t>
      </w:r>
      <w:r w:rsidRPr="00535E40">
        <w:rPr>
          <w:b/>
        </w:rPr>
        <w:t>34</w:t>
      </w:r>
      <w:r w:rsidRPr="00535E40">
        <w:t>:130-35.</w:t>
      </w:r>
    </w:p>
    <w:p w14:paraId="6E19EF03" w14:textId="77777777" w:rsidR="00535E40" w:rsidRPr="00535E40" w:rsidRDefault="00535E40" w:rsidP="00535E40">
      <w:pPr>
        <w:pStyle w:val="EndNoteBibliography"/>
        <w:spacing w:after="0"/>
      </w:pPr>
      <w:r w:rsidRPr="00535E40">
        <w:t>124.</w:t>
      </w:r>
      <w:r w:rsidRPr="00535E40">
        <w:tab/>
        <w:t>Thorgrimsen L, Selwood A, Spector A, Royan L, de Madariaga Lopez M, Woods RT</w:t>
      </w:r>
      <w:r w:rsidRPr="00535E40">
        <w:rPr>
          <w:i/>
        </w:rPr>
        <w:t>, et al.</w:t>
      </w:r>
      <w:r w:rsidRPr="00535E40">
        <w:t xml:space="preserve"> Whose quality of life is it anyway? The validity and reliability of the Quality of Life - Alzheimer’s Disease (QOL-AD) Scale. . </w:t>
      </w:r>
      <w:r w:rsidRPr="00535E40">
        <w:rPr>
          <w:i/>
        </w:rPr>
        <w:t>Alzheimer Dis Assoc Disord</w:t>
      </w:r>
      <w:r w:rsidRPr="00535E40">
        <w:t xml:space="preserve"> 2003;</w:t>
      </w:r>
      <w:r w:rsidRPr="00535E40">
        <w:rPr>
          <w:b/>
        </w:rPr>
        <w:t>17</w:t>
      </w:r>
      <w:r w:rsidRPr="00535E40">
        <w:t>:201-8.</w:t>
      </w:r>
    </w:p>
    <w:p w14:paraId="778FD138" w14:textId="77777777" w:rsidR="00535E40" w:rsidRPr="00535E40" w:rsidRDefault="00535E40" w:rsidP="00535E40">
      <w:pPr>
        <w:pStyle w:val="EndNoteBibliography"/>
        <w:spacing w:after="0"/>
      </w:pPr>
      <w:r w:rsidRPr="00535E40">
        <w:t>125.</w:t>
      </w:r>
      <w:r w:rsidRPr="00535E40">
        <w:tab/>
        <w:t xml:space="preserve">Logsdon RG, Gibbbons L, McCurry SM, Teri L. Assessing quality of life in older adults with cognitive impairment. </w:t>
      </w:r>
      <w:r w:rsidRPr="00535E40">
        <w:rPr>
          <w:i/>
        </w:rPr>
        <w:t>Psychosom Med</w:t>
      </w:r>
      <w:r w:rsidRPr="00535E40">
        <w:t xml:space="preserve"> 2002;</w:t>
      </w:r>
      <w:r w:rsidRPr="00535E40">
        <w:rPr>
          <w:b/>
        </w:rPr>
        <w:t>64</w:t>
      </w:r>
      <w:r w:rsidRPr="00535E40">
        <w:t>:510-9.</w:t>
      </w:r>
    </w:p>
    <w:p w14:paraId="1AAF5CEB" w14:textId="77777777" w:rsidR="00535E40" w:rsidRPr="00535E40" w:rsidRDefault="00535E40" w:rsidP="00535E40">
      <w:pPr>
        <w:pStyle w:val="EndNoteBibliography"/>
        <w:spacing w:after="0"/>
      </w:pPr>
      <w:r w:rsidRPr="00535E40">
        <w:t>126.</w:t>
      </w:r>
      <w:r w:rsidRPr="00535E40">
        <w:tab/>
        <w:t xml:space="preserve">Edelman P, Fulton BR, Kuhn D, Chang C-H. A comparison of three methods of measuring dementia-specific quality of life: perspectives of residents, staff and observers. </w:t>
      </w:r>
      <w:r w:rsidRPr="00535E40">
        <w:rPr>
          <w:i/>
        </w:rPr>
        <w:t>The Gerontologist</w:t>
      </w:r>
      <w:r w:rsidRPr="00535E40">
        <w:t xml:space="preserve"> 2005;</w:t>
      </w:r>
      <w:r w:rsidRPr="00535E40">
        <w:rPr>
          <w:b/>
        </w:rPr>
        <w:t>45</w:t>
      </w:r>
      <w:r w:rsidRPr="00535E40">
        <w:t>:27-36.</w:t>
      </w:r>
    </w:p>
    <w:p w14:paraId="0C43CE2E" w14:textId="77777777" w:rsidR="00535E40" w:rsidRPr="00535E40" w:rsidRDefault="00535E40" w:rsidP="00535E40">
      <w:pPr>
        <w:pStyle w:val="EndNoteBibliography"/>
        <w:spacing w:after="0"/>
      </w:pPr>
      <w:r w:rsidRPr="00535E40">
        <w:t>127.</w:t>
      </w:r>
      <w:r w:rsidRPr="00535E40">
        <w:tab/>
        <w:t>Siddiqi N, Cheater F, Collinson M, Farrin A, Forster A, George D</w:t>
      </w:r>
      <w:r w:rsidRPr="00535E40">
        <w:rPr>
          <w:i/>
        </w:rPr>
        <w:t>, et al.</w:t>
      </w:r>
      <w:r w:rsidRPr="00535E40">
        <w:t xml:space="preserve"> The PiTSTOP study: a feasibility cluster randomized trial of delirium prevention in care homes for older people. </w:t>
      </w:r>
      <w:r w:rsidRPr="00535E40">
        <w:rPr>
          <w:i/>
        </w:rPr>
        <w:t>Age Ageing</w:t>
      </w:r>
      <w:r w:rsidRPr="00535E40">
        <w:t xml:space="preserve"> 2016;</w:t>
      </w:r>
      <w:r w:rsidRPr="00535E40">
        <w:rPr>
          <w:b/>
        </w:rPr>
        <w:t>45</w:t>
      </w:r>
      <w:r w:rsidRPr="00535E40">
        <w:t>:652-61.</w:t>
      </w:r>
    </w:p>
    <w:p w14:paraId="3324AF1F" w14:textId="77777777" w:rsidR="00535E40" w:rsidRPr="00535E40" w:rsidRDefault="00535E40" w:rsidP="00535E40">
      <w:pPr>
        <w:pStyle w:val="EndNoteBibliography"/>
        <w:spacing w:after="0"/>
      </w:pPr>
      <w:r w:rsidRPr="00535E40">
        <w:t>128.</w:t>
      </w:r>
      <w:r w:rsidRPr="00535E40">
        <w:tab/>
        <w:t xml:space="preserve">Hughes CP, Berg L, Danziger WL, Coben LA, Martin RL. A new clinical scale for the staging of dementia. </w:t>
      </w:r>
      <w:r w:rsidRPr="00535E40">
        <w:rPr>
          <w:i/>
        </w:rPr>
        <w:t>The British Journal of Psychiatry</w:t>
      </w:r>
      <w:r w:rsidRPr="00535E40">
        <w:t xml:space="preserve"> 1982;</w:t>
      </w:r>
      <w:r w:rsidRPr="00535E40">
        <w:rPr>
          <w:b/>
        </w:rPr>
        <w:t>140</w:t>
      </w:r>
      <w:r w:rsidRPr="00535E40">
        <w:t>:566-72.</w:t>
      </w:r>
    </w:p>
    <w:p w14:paraId="57EA19BF" w14:textId="77777777" w:rsidR="00535E40" w:rsidRPr="00535E40" w:rsidRDefault="00535E40" w:rsidP="00535E40">
      <w:pPr>
        <w:pStyle w:val="EndNoteBibliography"/>
        <w:spacing w:after="0"/>
      </w:pPr>
      <w:r w:rsidRPr="00535E40">
        <w:t>129.</w:t>
      </w:r>
      <w:r w:rsidRPr="00535E40">
        <w:tab/>
        <w:t xml:space="preserve">Morris JC. The Clinical Dementia Rating (CDR): Current version and scoring rules. </w:t>
      </w:r>
      <w:r w:rsidRPr="00535E40">
        <w:rPr>
          <w:i/>
        </w:rPr>
        <w:t>Neurology</w:t>
      </w:r>
      <w:r w:rsidRPr="00535E40">
        <w:t xml:space="preserve"> 1993;</w:t>
      </w:r>
      <w:r w:rsidRPr="00535E40">
        <w:rPr>
          <w:b/>
        </w:rPr>
        <w:t>43</w:t>
      </w:r>
      <w:r w:rsidRPr="00535E40">
        <w:t>:2412-4.</w:t>
      </w:r>
    </w:p>
    <w:p w14:paraId="594A7FF5" w14:textId="77777777" w:rsidR="00535E40" w:rsidRPr="00535E40" w:rsidRDefault="00535E40" w:rsidP="00535E40">
      <w:pPr>
        <w:pStyle w:val="EndNoteBibliography"/>
        <w:spacing w:after="0"/>
      </w:pPr>
      <w:r w:rsidRPr="00535E40">
        <w:t>130.</w:t>
      </w:r>
      <w:r w:rsidRPr="00535E40">
        <w:tab/>
        <w:t xml:space="preserve">Goldberg DP, Williams PA. </w:t>
      </w:r>
      <w:r w:rsidRPr="00535E40">
        <w:rPr>
          <w:i/>
        </w:rPr>
        <w:t>User's guide to the General Health Questionnaire</w:t>
      </w:r>
      <w:r w:rsidRPr="00535E40">
        <w:t>. Windsor: NFER-Nelson; 1988.</w:t>
      </w:r>
    </w:p>
    <w:p w14:paraId="5AD03027" w14:textId="77777777" w:rsidR="00535E40" w:rsidRPr="00535E40" w:rsidRDefault="00535E40" w:rsidP="00535E40">
      <w:pPr>
        <w:pStyle w:val="EndNoteBibliography"/>
        <w:spacing w:after="0"/>
      </w:pPr>
      <w:r w:rsidRPr="00535E40">
        <w:t>131.</w:t>
      </w:r>
      <w:r w:rsidRPr="00535E40">
        <w:tab/>
        <w:t xml:space="preserve">Penninkilampi-Kerola V, Meiettunen J, Ebeling H. A comparative assessment of the factor structures and psychometric properties of the GHQ-12 and the GHQ-20 based on data from a Finnish population-based sample. </w:t>
      </w:r>
      <w:r w:rsidRPr="00535E40">
        <w:rPr>
          <w:i/>
        </w:rPr>
        <w:t>Scand J Psychol</w:t>
      </w:r>
      <w:r w:rsidRPr="00535E40">
        <w:t xml:space="preserve"> 2006;</w:t>
      </w:r>
      <w:r w:rsidRPr="00535E40">
        <w:rPr>
          <w:b/>
        </w:rPr>
        <w:t>47</w:t>
      </w:r>
      <w:r w:rsidRPr="00535E40">
        <w:t>:431-40.</w:t>
      </w:r>
    </w:p>
    <w:p w14:paraId="0CD82279" w14:textId="77777777" w:rsidR="00535E40" w:rsidRPr="00535E40" w:rsidRDefault="00535E40" w:rsidP="00535E40">
      <w:pPr>
        <w:pStyle w:val="EndNoteBibliography"/>
        <w:spacing w:after="0"/>
      </w:pPr>
      <w:r w:rsidRPr="00535E40">
        <w:t>132.</w:t>
      </w:r>
      <w:r w:rsidRPr="00535E40">
        <w:tab/>
        <w:t xml:space="preserve">Schepers AK, Orrell M, Shanahan N, Spector A. Sense of competence in Dementia Care Staff (SCIDS) scale: development, reliability and validity. </w:t>
      </w:r>
      <w:r w:rsidRPr="00535E40">
        <w:rPr>
          <w:i/>
        </w:rPr>
        <w:t>Int Psychogeriatr</w:t>
      </w:r>
      <w:r w:rsidRPr="00535E40">
        <w:t xml:space="preserve"> 2012;</w:t>
      </w:r>
      <w:r w:rsidRPr="00535E40">
        <w:rPr>
          <w:b/>
        </w:rPr>
        <w:t>24</w:t>
      </w:r>
      <w:r w:rsidRPr="00535E40">
        <w:t>:1153-62.</w:t>
      </w:r>
    </w:p>
    <w:p w14:paraId="01B81B19" w14:textId="77777777" w:rsidR="00535E40" w:rsidRPr="00535E40" w:rsidRDefault="00535E40" w:rsidP="00535E40">
      <w:pPr>
        <w:pStyle w:val="EndNoteBibliography"/>
        <w:spacing w:after="0"/>
      </w:pPr>
      <w:r w:rsidRPr="00535E40">
        <w:t>133.</w:t>
      </w:r>
      <w:r w:rsidRPr="00535E40">
        <w:tab/>
        <w:t xml:space="preserve">Dean R, Proudfoot R, Lindesay J. The Quality of Interactions Schedule (QUIS): development, reliability and use in the evaluation of two domus units. </w:t>
      </w:r>
      <w:r w:rsidRPr="00535E40">
        <w:rPr>
          <w:i/>
        </w:rPr>
        <w:t>Int J Geriatr Psychiatry</w:t>
      </w:r>
      <w:r w:rsidRPr="00535E40">
        <w:t xml:space="preserve"> 1993;</w:t>
      </w:r>
      <w:r w:rsidRPr="00535E40">
        <w:rPr>
          <w:b/>
        </w:rPr>
        <w:t>8</w:t>
      </w:r>
      <w:r w:rsidRPr="00535E40">
        <w:t>:819-26.</w:t>
      </w:r>
    </w:p>
    <w:p w14:paraId="2CC49C6A" w14:textId="77777777" w:rsidR="00535E40" w:rsidRPr="00535E40" w:rsidRDefault="00535E40" w:rsidP="00535E40">
      <w:pPr>
        <w:pStyle w:val="EndNoteBibliography"/>
        <w:spacing w:after="0"/>
      </w:pPr>
      <w:r w:rsidRPr="00535E40">
        <w:t>134.</w:t>
      </w:r>
      <w:r w:rsidRPr="00535E40">
        <w:tab/>
        <w:t xml:space="preserve">Coates CJ. The Caring Efficacy Scale: nurses' self-reports of caring in practice settings. </w:t>
      </w:r>
      <w:r w:rsidRPr="00535E40">
        <w:rPr>
          <w:i/>
        </w:rPr>
        <w:t>Adv Pract Nurs Q</w:t>
      </w:r>
      <w:r w:rsidRPr="00535E40">
        <w:t xml:space="preserve"> 1997;</w:t>
      </w:r>
      <w:r w:rsidRPr="00535E40">
        <w:rPr>
          <w:b/>
        </w:rPr>
        <w:t>3</w:t>
      </w:r>
      <w:r w:rsidRPr="00535E40">
        <w:t>:53-9.</w:t>
      </w:r>
    </w:p>
    <w:p w14:paraId="6902DB41" w14:textId="77777777" w:rsidR="00535E40" w:rsidRPr="00535E40" w:rsidRDefault="00535E40" w:rsidP="00535E40">
      <w:pPr>
        <w:pStyle w:val="EndNoteBibliography"/>
        <w:spacing w:after="0"/>
      </w:pPr>
      <w:r w:rsidRPr="00535E40">
        <w:t>135.</w:t>
      </w:r>
      <w:r w:rsidRPr="00535E40">
        <w:tab/>
        <w:t xml:space="preserve">Lindesay J, Skea D. Gender and interactions between care staff and elderly nursing home residents with dementia. </w:t>
      </w:r>
      <w:r w:rsidRPr="00535E40">
        <w:rPr>
          <w:i/>
        </w:rPr>
        <w:t>Int J Geriatr Psychiatry</w:t>
      </w:r>
      <w:r w:rsidRPr="00535E40">
        <w:t xml:space="preserve"> 1997;</w:t>
      </w:r>
      <w:r w:rsidRPr="00535E40">
        <w:rPr>
          <w:b/>
        </w:rPr>
        <w:t>12</w:t>
      </w:r>
      <w:r w:rsidRPr="00535E40">
        <w:t>:344-48.</w:t>
      </w:r>
    </w:p>
    <w:p w14:paraId="7E1D1D40" w14:textId="77777777" w:rsidR="00535E40" w:rsidRPr="00535E40" w:rsidRDefault="00535E40" w:rsidP="00535E40">
      <w:pPr>
        <w:pStyle w:val="EndNoteBibliography"/>
        <w:spacing w:after="0"/>
      </w:pPr>
      <w:r w:rsidRPr="00535E40">
        <w:t>136.</w:t>
      </w:r>
      <w:r w:rsidRPr="00535E40">
        <w:tab/>
        <w:t xml:space="preserve">Smith R, Fleming R, Chenoweth L, Jeon YH, Stein-Parbury J, Brodaty H. Validation of the Environmental Audit Tool in both purpose-built and non-purpose-built dementia care settings. </w:t>
      </w:r>
      <w:r w:rsidRPr="00535E40">
        <w:rPr>
          <w:i/>
        </w:rPr>
        <w:t>Australas J Ageing</w:t>
      </w:r>
      <w:r w:rsidRPr="00535E40">
        <w:t xml:space="preserve"> 2012;</w:t>
      </w:r>
      <w:r w:rsidRPr="00535E40">
        <w:rPr>
          <w:b/>
        </w:rPr>
        <w:t>31</w:t>
      </w:r>
      <w:r w:rsidRPr="00535E40">
        <w:t>:159-63.</w:t>
      </w:r>
    </w:p>
    <w:p w14:paraId="23E04F45" w14:textId="77777777" w:rsidR="00535E40" w:rsidRPr="00535E40" w:rsidRDefault="00535E40" w:rsidP="00535E40">
      <w:pPr>
        <w:pStyle w:val="EndNoteBibliography"/>
        <w:spacing w:after="0"/>
      </w:pPr>
      <w:r w:rsidRPr="00535E40">
        <w:t>137.</w:t>
      </w:r>
      <w:r w:rsidRPr="00535E40">
        <w:tab/>
        <w:t xml:space="preserve">Te Boekhorst S, Depla MFIA, Pot AM, De Lange J, Eefsting JA. The ideals of group living homes for people with dementia: do they practice what they preach? </w:t>
      </w:r>
      <w:r w:rsidRPr="00535E40">
        <w:rPr>
          <w:i/>
        </w:rPr>
        <w:t>International Psychogeriatrics</w:t>
      </w:r>
      <w:r w:rsidRPr="00535E40">
        <w:t xml:space="preserve"> 2011;</w:t>
      </w:r>
      <w:r w:rsidRPr="00535E40">
        <w:rPr>
          <w:b/>
        </w:rPr>
        <w:t>23</w:t>
      </w:r>
      <w:r w:rsidRPr="00535E40">
        <w:t>:1526-7.</w:t>
      </w:r>
    </w:p>
    <w:p w14:paraId="0505FE1C" w14:textId="77777777" w:rsidR="00535E40" w:rsidRPr="00535E40" w:rsidRDefault="00535E40" w:rsidP="00535E40">
      <w:pPr>
        <w:pStyle w:val="EndNoteBibliography"/>
        <w:spacing w:after="0"/>
      </w:pPr>
      <w:r w:rsidRPr="00535E40">
        <w:t>138.</w:t>
      </w:r>
      <w:r w:rsidRPr="00535E40">
        <w:tab/>
        <w:t>Zuidema S, Buursema AL, Gerritsen MGJM, Oosterwal KC, Smits MMM, Koopmans RTCM</w:t>
      </w:r>
      <w:r w:rsidRPr="00535E40">
        <w:rPr>
          <w:i/>
        </w:rPr>
        <w:t>, et al.</w:t>
      </w:r>
      <w:r w:rsidRPr="00535E40">
        <w:t xml:space="preserve"> Assessing neuropsychiatric symptoms in nursing home patients with dementia: reliability and Reliable Change Index of the Neurpsychiatric Inventory and the Cohen-Mansfield Agitation Inventory. </w:t>
      </w:r>
      <w:r w:rsidRPr="00535E40">
        <w:rPr>
          <w:i/>
        </w:rPr>
        <w:t>Int J Geriatr Psychiatry</w:t>
      </w:r>
      <w:r w:rsidRPr="00535E40">
        <w:t xml:space="preserve"> 2011;</w:t>
      </w:r>
      <w:r w:rsidRPr="00535E40">
        <w:rPr>
          <w:b/>
        </w:rPr>
        <w:t>26</w:t>
      </w:r>
      <w:r w:rsidRPr="00535E40">
        <w:t>:127-34.</w:t>
      </w:r>
    </w:p>
    <w:p w14:paraId="5D7AA282" w14:textId="77777777" w:rsidR="00535E40" w:rsidRPr="00535E40" w:rsidRDefault="00535E40" w:rsidP="00535E40">
      <w:pPr>
        <w:pStyle w:val="EndNoteBibliography"/>
        <w:spacing w:after="0"/>
      </w:pPr>
      <w:r w:rsidRPr="00535E40">
        <w:t>139.</w:t>
      </w:r>
      <w:r w:rsidRPr="00535E40">
        <w:tab/>
        <w:t xml:space="preserve">Staquet MJ, Hays RD, Fayers PM. </w:t>
      </w:r>
      <w:r w:rsidRPr="00535E40">
        <w:rPr>
          <w:i/>
        </w:rPr>
        <w:t xml:space="preserve">Quality of life assessment in clinical trials: Methods and practice. </w:t>
      </w:r>
      <w:r w:rsidRPr="00535E40">
        <w:t>. Oxford: Oxford University Press; 1998.</w:t>
      </w:r>
    </w:p>
    <w:p w14:paraId="1393BFB5" w14:textId="77777777" w:rsidR="00535E40" w:rsidRPr="00535E40" w:rsidRDefault="00535E40" w:rsidP="00535E40">
      <w:pPr>
        <w:pStyle w:val="EndNoteBibliography"/>
        <w:spacing w:after="0"/>
      </w:pPr>
      <w:r w:rsidRPr="00535E40">
        <w:t>140.</w:t>
      </w:r>
      <w:r w:rsidRPr="00535E40">
        <w:tab/>
        <w:t xml:space="preserve">Yan X, Lee S, Li N. Missing Data Handling Methods in Medical Device Clinical Trials. </w:t>
      </w:r>
      <w:r w:rsidRPr="00535E40">
        <w:rPr>
          <w:i/>
        </w:rPr>
        <w:t>J Biopharm Stat</w:t>
      </w:r>
      <w:r w:rsidRPr="00535E40">
        <w:t xml:space="preserve"> 2009;</w:t>
      </w:r>
      <w:r w:rsidRPr="00535E40">
        <w:rPr>
          <w:b/>
        </w:rPr>
        <w:t>19</w:t>
      </w:r>
      <w:r w:rsidRPr="00535E40">
        <w:t>:1085-98.</w:t>
      </w:r>
    </w:p>
    <w:p w14:paraId="16D342CC" w14:textId="77777777" w:rsidR="00535E40" w:rsidRPr="00535E40" w:rsidRDefault="00535E40" w:rsidP="00535E40">
      <w:pPr>
        <w:pStyle w:val="EndNoteBibliography"/>
        <w:spacing w:after="0"/>
      </w:pPr>
      <w:r w:rsidRPr="00535E40">
        <w:t>141.</w:t>
      </w:r>
      <w:r w:rsidRPr="00535E40">
        <w:tab/>
        <w:t>Hoffmann TC, Glasziou PP, Boutron I, Milne R, Perera R, Moher D</w:t>
      </w:r>
      <w:r w:rsidRPr="00535E40">
        <w:rPr>
          <w:i/>
        </w:rPr>
        <w:t>, et al.</w:t>
      </w:r>
      <w:r w:rsidRPr="00535E40">
        <w:t xml:space="preserve"> Better reporting of interventions: template for intervention description and replication (TIDieR) checklist and guide. </w:t>
      </w:r>
      <w:r w:rsidRPr="00535E40">
        <w:rPr>
          <w:i/>
        </w:rPr>
        <w:t>BMJ</w:t>
      </w:r>
      <w:r w:rsidRPr="00535E40">
        <w:t xml:space="preserve"> 2014;</w:t>
      </w:r>
      <w:r w:rsidRPr="00535E40">
        <w:rPr>
          <w:b/>
        </w:rPr>
        <w:t>348</w:t>
      </w:r>
      <w:r w:rsidRPr="00535E40">
        <w:t>:g1687.</w:t>
      </w:r>
    </w:p>
    <w:p w14:paraId="4F6BF794" w14:textId="77777777" w:rsidR="00535E40" w:rsidRPr="00535E40" w:rsidRDefault="00535E40" w:rsidP="00535E40">
      <w:pPr>
        <w:pStyle w:val="EndNoteBibliography"/>
        <w:spacing w:after="0"/>
      </w:pPr>
      <w:r w:rsidRPr="00535E40">
        <w:t>142.</w:t>
      </w:r>
      <w:r w:rsidRPr="00535E40">
        <w:tab/>
        <w:t xml:space="preserve">Baron RM, Kenny DA. The moderator–mediator variable distinction in social psychological research: Conceptual, strategic, and statistical considerations. </w:t>
      </w:r>
      <w:r w:rsidRPr="00535E40">
        <w:rPr>
          <w:i/>
        </w:rPr>
        <w:t>J Pers Soc Psychol</w:t>
      </w:r>
      <w:r w:rsidRPr="00535E40">
        <w:t xml:space="preserve"> 1986;</w:t>
      </w:r>
      <w:r w:rsidRPr="00535E40">
        <w:rPr>
          <w:b/>
        </w:rPr>
        <w:t>51</w:t>
      </w:r>
      <w:r w:rsidRPr="00535E40">
        <w:t>:1173.</w:t>
      </w:r>
    </w:p>
    <w:p w14:paraId="1D94DA4C" w14:textId="3F55BE63" w:rsidR="00535E40" w:rsidRPr="00535E40" w:rsidRDefault="00535E40" w:rsidP="00535E40">
      <w:pPr>
        <w:pStyle w:val="EndNoteBibliography"/>
        <w:spacing w:after="0"/>
      </w:pPr>
      <w:r w:rsidRPr="00535E40">
        <w:t>143.</w:t>
      </w:r>
      <w:r w:rsidRPr="00535E40">
        <w:tab/>
        <w:t xml:space="preserve">NICE NIfHaCE. </w:t>
      </w:r>
      <w:r w:rsidRPr="00535E40">
        <w:rPr>
          <w:i/>
        </w:rPr>
        <w:t>Guide to the methods of technology appraisal 2013</w:t>
      </w:r>
      <w:r w:rsidRPr="00535E40">
        <w:t xml:space="preserve">. 2013. URL: </w:t>
      </w:r>
      <w:hyperlink r:id="rId20" w:history="1">
        <w:r w:rsidRPr="00535E40">
          <w:rPr>
            <w:rStyle w:val="Hyperlink"/>
          </w:rPr>
          <w:t>https://www.nice.org.uk/process/pmg9/chapter/the-appraisal-of-the-evidence-and-structured-decision-making#</w:t>
        </w:r>
      </w:hyperlink>
      <w:r w:rsidRPr="00535E40">
        <w:t xml:space="preserve"> (accessed 2nd June 2017, 2017).</w:t>
      </w:r>
    </w:p>
    <w:p w14:paraId="4AE64458" w14:textId="77777777" w:rsidR="00535E40" w:rsidRPr="00535E40" w:rsidRDefault="00535E40" w:rsidP="00535E40">
      <w:pPr>
        <w:pStyle w:val="EndNoteBibliography"/>
        <w:spacing w:after="0"/>
      </w:pPr>
      <w:r w:rsidRPr="00535E40">
        <w:t>144.</w:t>
      </w:r>
      <w:r w:rsidRPr="00535E40">
        <w:tab/>
        <w:t xml:space="preserve">Curtis L, Burns A. </w:t>
      </w:r>
      <w:r w:rsidRPr="00535E40">
        <w:rPr>
          <w:i/>
        </w:rPr>
        <w:t>Units Costs of Health and Social Care 2016</w:t>
      </w:r>
      <w:r w:rsidRPr="00535E40">
        <w:t>. Canterbury: PSSRU; 2016.</w:t>
      </w:r>
    </w:p>
    <w:p w14:paraId="650A4DC0" w14:textId="77777777" w:rsidR="00535E40" w:rsidRPr="00535E40" w:rsidRDefault="00535E40" w:rsidP="00535E40">
      <w:pPr>
        <w:pStyle w:val="EndNoteBibliography"/>
        <w:spacing w:after="0"/>
      </w:pPr>
      <w:r w:rsidRPr="00535E40">
        <w:t>145.</w:t>
      </w:r>
      <w:r w:rsidRPr="00535E40">
        <w:tab/>
        <w:t>Department of Health. Drugs and pharmaceutical electronic market information tool (eMIT). In; 2017.</w:t>
      </w:r>
    </w:p>
    <w:p w14:paraId="0D6C20C2" w14:textId="77777777" w:rsidR="00535E40" w:rsidRPr="00535E40" w:rsidRDefault="00535E40" w:rsidP="00535E40">
      <w:pPr>
        <w:pStyle w:val="EndNoteBibliography"/>
        <w:spacing w:after="0"/>
      </w:pPr>
      <w:r w:rsidRPr="00535E40">
        <w:t>146.</w:t>
      </w:r>
      <w:r w:rsidRPr="00535E40">
        <w:tab/>
        <w:t>Department of Health. National Scedule of Reference Costs 2015-16. In; 2017.</w:t>
      </w:r>
    </w:p>
    <w:p w14:paraId="40EA5F29" w14:textId="77777777" w:rsidR="00535E40" w:rsidRPr="00535E40" w:rsidRDefault="00535E40" w:rsidP="00535E40">
      <w:pPr>
        <w:pStyle w:val="EndNoteBibliography"/>
        <w:spacing w:after="0"/>
      </w:pPr>
      <w:r w:rsidRPr="00535E40">
        <w:t>147.</w:t>
      </w:r>
      <w:r w:rsidRPr="00535E40">
        <w:tab/>
        <w:t xml:space="preserve">Devlin N, Shah K, Feng Y, Mulhern B, van Hout B. </w:t>
      </w:r>
      <w:r w:rsidRPr="00535E40">
        <w:rPr>
          <w:i/>
        </w:rPr>
        <w:t>Valuing Health-Related Quality of Life: An EQ-5D-5L Value Set for England. OHE Research Paper 16/01</w:t>
      </w:r>
      <w:r w:rsidRPr="00535E40">
        <w:t>. London: Office of Health Economics; 2016.</w:t>
      </w:r>
    </w:p>
    <w:p w14:paraId="24D0D0A0" w14:textId="77777777" w:rsidR="00535E40" w:rsidRPr="00535E40" w:rsidRDefault="00535E40" w:rsidP="00535E40">
      <w:pPr>
        <w:pStyle w:val="EndNoteBibliography"/>
        <w:spacing w:after="0"/>
      </w:pPr>
      <w:r w:rsidRPr="00535E40">
        <w:t>148.</w:t>
      </w:r>
      <w:r w:rsidRPr="00535E40">
        <w:tab/>
        <w:t>EuroQol Group. EQ-5D-5L Index Value Calculator Version 1.0. In; n/d.</w:t>
      </w:r>
    </w:p>
    <w:p w14:paraId="6C61FEA1" w14:textId="77777777" w:rsidR="00535E40" w:rsidRPr="00535E40" w:rsidRDefault="00535E40" w:rsidP="00535E40">
      <w:pPr>
        <w:pStyle w:val="EndNoteBibliography"/>
        <w:spacing w:after="0"/>
      </w:pPr>
      <w:r w:rsidRPr="00535E40">
        <w:t>149.</w:t>
      </w:r>
      <w:r w:rsidRPr="00535E40">
        <w:tab/>
        <w:t xml:space="preserve">Faria R, Gomes M, Epstein D, White IR. A guide to handling missing data in cost-effectiveness analysis conducted within randomised controlled trials. </w:t>
      </w:r>
      <w:r w:rsidRPr="00535E40">
        <w:rPr>
          <w:i/>
        </w:rPr>
        <w:t>Pharmacoeconomics</w:t>
      </w:r>
      <w:r w:rsidRPr="00535E40">
        <w:t xml:space="preserve"> 2014;</w:t>
      </w:r>
      <w:r w:rsidRPr="00535E40">
        <w:rPr>
          <w:b/>
        </w:rPr>
        <w:t>32</w:t>
      </w:r>
      <w:r w:rsidRPr="00535E40">
        <w:t>:1157-70.</w:t>
      </w:r>
    </w:p>
    <w:p w14:paraId="6E2802A1" w14:textId="77777777" w:rsidR="00535E40" w:rsidRPr="00535E40" w:rsidRDefault="00535E40" w:rsidP="00535E40">
      <w:pPr>
        <w:pStyle w:val="EndNoteBibliography"/>
        <w:spacing w:after="0"/>
      </w:pPr>
      <w:r w:rsidRPr="00535E40">
        <w:t>150.</w:t>
      </w:r>
      <w:r w:rsidRPr="00535E40">
        <w:tab/>
        <w:t xml:space="preserve">Rubin DB. </w:t>
      </w:r>
      <w:r w:rsidRPr="00535E40">
        <w:rPr>
          <w:i/>
        </w:rPr>
        <w:t>Multiple imputation for nonresponse in surveys</w:t>
      </w:r>
      <w:r w:rsidRPr="00535E40">
        <w:t>. New York: Wiley; 1987.</w:t>
      </w:r>
    </w:p>
    <w:p w14:paraId="6B40734F" w14:textId="77777777" w:rsidR="00535E40" w:rsidRPr="00535E40" w:rsidRDefault="00535E40" w:rsidP="00535E40">
      <w:pPr>
        <w:pStyle w:val="EndNoteBibliography"/>
        <w:spacing w:after="0"/>
      </w:pPr>
      <w:r w:rsidRPr="00535E40">
        <w:t>151.</w:t>
      </w:r>
      <w:r w:rsidRPr="00535E40">
        <w:tab/>
        <w:t xml:space="preserve">Fenwick E, Claxton K, Sculpher M. Representing uncertainty: the role of cost-effectiveness acceptability curves. </w:t>
      </w:r>
      <w:r w:rsidRPr="00535E40">
        <w:rPr>
          <w:i/>
        </w:rPr>
        <w:t>Health economics</w:t>
      </w:r>
      <w:r w:rsidRPr="00535E40">
        <w:t xml:space="preserve"> 2001;</w:t>
      </w:r>
      <w:r w:rsidRPr="00535E40">
        <w:rPr>
          <w:b/>
        </w:rPr>
        <w:t>10</w:t>
      </w:r>
      <w:r w:rsidRPr="00535E40">
        <w:t>:779-87.</w:t>
      </w:r>
    </w:p>
    <w:p w14:paraId="38FF09BD" w14:textId="77777777" w:rsidR="00535E40" w:rsidRPr="00535E40" w:rsidRDefault="00535E40" w:rsidP="00535E40">
      <w:pPr>
        <w:pStyle w:val="EndNoteBibliography"/>
        <w:spacing w:after="0"/>
      </w:pPr>
      <w:r w:rsidRPr="00535E40">
        <w:t>152.</w:t>
      </w:r>
      <w:r w:rsidRPr="00535E40">
        <w:tab/>
        <w:t>Moore G, Audrey S, Barker M, Bond L, Bonell C, Hardeman W</w:t>
      </w:r>
      <w:r w:rsidRPr="00535E40">
        <w:rPr>
          <w:i/>
        </w:rPr>
        <w:t>, et al.</w:t>
      </w:r>
      <w:r w:rsidRPr="00535E40">
        <w:t xml:space="preserve"> </w:t>
      </w:r>
      <w:r w:rsidRPr="00535E40">
        <w:rPr>
          <w:i/>
        </w:rPr>
        <w:t>Process evaluation of complex interventions: UK Medical Research Council (MRC) guidance</w:t>
      </w:r>
      <w:r w:rsidRPr="00535E40">
        <w:t>: Medical Research Council; 2014.</w:t>
      </w:r>
    </w:p>
    <w:p w14:paraId="17EE6CC9" w14:textId="77777777" w:rsidR="00535E40" w:rsidRPr="00535E40" w:rsidRDefault="00535E40" w:rsidP="00535E40">
      <w:pPr>
        <w:pStyle w:val="EndNoteBibliography"/>
        <w:spacing w:after="0"/>
      </w:pPr>
      <w:r w:rsidRPr="00535E40">
        <w:t>153.</w:t>
      </w:r>
      <w:r w:rsidRPr="00535E40">
        <w:tab/>
        <w:t xml:space="preserve">Linnan L, Steckler A. </w:t>
      </w:r>
      <w:r w:rsidRPr="00535E40">
        <w:rPr>
          <w:i/>
        </w:rPr>
        <w:t>Process evaluation for public health interventions and research</w:t>
      </w:r>
      <w:r w:rsidRPr="00535E40">
        <w:t>. San Francisco: Jossey-Bass; 2002.</w:t>
      </w:r>
    </w:p>
    <w:p w14:paraId="3B585253" w14:textId="77777777" w:rsidR="00535E40" w:rsidRPr="00535E40" w:rsidRDefault="00535E40" w:rsidP="00535E40">
      <w:pPr>
        <w:pStyle w:val="EndNoteBibliography"/>
        <w:spacing w:after="0"/>
      </w:pPr>
      <w:r w:rsidRPr="00535E40">
        <w:t>154.</w:t>
      </w:r>
      <w:r w:rsidRPr="00535E40">
        <w:tab/>
        <w:t xml:space="preserve">Smith J, Firth J. Qualitative data analysis: the framework approach. </w:t>
      </w:r>
      <w:r w:rsidRPr="00535E40">
        <w:rPr>
          <w:i/>
        </w:rPr>
        <w:t>Nurse Res</w:t>
      </w:r>
      <w:r w:rsidRPr="00535E40">
        <w:t xml:space="preserve"> 2011;</w:t>
      </w:r>
      <w:r w:rsidRPr="00535E40">
        <w:rPr>
          <w:b/>
        </w:rPr>
        <w:t>18</w:t>
      </w:r>
      <w:r w:rsidRPr="00535E40">
        <w:t>:52-62.</w:t>
      </w:r>
    </w:p>
    <w:p w14:paraId="0EA50D84" w14:textId="77777777" w:rsidR="00535E40" w:rsidRPr="00535E40" w:rsidRDefault="00535E40" w:rsidP="00535E40">
      <w:pPr>
        <w:pStyle w:val="EndNoteBibliography"/>
        <w:spacing w:after="0"/>
      </w:pPr>
      <w:r w:rsidRPr="00535E40">
        <w:t>155.</w:t>
      </w:r>
      <w:r w:rsidRPr="00535E40">
        <w:tab/>
        <w:t>Walwyn R, Copas A, Farrin A, Surr C. Open cohort designs for cluster randomised trials in institutional settings: A methodology bolt on to DCM-EPIC. In: Medical Research Council; 2019-21.</w:t>
      </w:r>
    </w:p>
    <w:p w14:paraId="7FF0915D" w14:textId="77777777" w:rsidR="00535E40" w:rsidRPr="00535E40" w:rsidRDefault="00535E40" w:rsidP="00535E40">
      <w:pPr>
        <w:pStyle w:val="EndNoteBibliography"/>
        <w:spacing w:after="0"/>
      </w:pPr>
      <w:r w:rsidRPr="00535E40">
        <w:t>156.</w:t>
      </w:r>
      <w:r w:rsidRPr="00535E40">
        <w:tab/>
        <w:t xml:space="preserve">Department of Health. </w:t>
      </w:r>
      <w:r w:rsidRPr="00535E40">
        <w:rPr>
          <w:i/>
        </w:rPr>
        <w:t>No secrets: Guidance on developing and implementing multi-agency policies and procedures to protect vulnerable adults from abuse</w:t>
      </w:r>
      <w:r w:rsidRPr="00535E40">
        <w:t>. London: Department of Health; 2000.</w:t>
      </w:r>
    </w:p>
    <w:p w14:paraId="312B5F88" w14:textId="5CBD1A22" w:rsidR="00535E40" w:rsidRPr="00535E40" w:rsidRDefault="00535E40" w:rsidP="00535E40">
      <w:pPr>
        <w:pStyle w:val="EndNoteBibliography"/>
        <w:spacing w:after="0"/>
      </w:pPr>
      <w:r w:rsidRPr="00535E40">
        <w:t>157.</w:t>
      </w:r>
      <w:r w:rsidRPr="00535E40">
        <w:tab/>
        <w:t xml:space="preserve">University of Bradford. </w:t>
      </w:r>
      <w:r w:rsidRPr="00535E40">
        <w:rPr>
          <w:i/>
        </w:rPr>
        <w:t>DCM™ for Realising Person Centred Care Booking Form 2017-18</w:t>
      </w:r>
      <w:r w:rsidRPr="00535E40">
        <w:t xml:space="preserve">. Bradford: University of Bradford; 2017. URL: </w:t>
      </w:r>
      <w:hyperlink r:id="rId21" w:history="1">
        <w:r w:rsidRPr="00535E40">
          <w:rPr>
            <w:rStyle w:val="Hyperlink"/>
          </w:rPr>
          <w:t>http://www.bradford.ac.uk/health/dementia/training/training-courses/dementia-care-mapping-for-realising-person-centred-care/</w:t>
        </w:r>
      </w:hyperlink>
      <w:r w:rsidRPr="00535E40">
        <w:t xml:space="preserve"> (accessed Sept 2017).</w:t>
      </w:r>
    </w:p>
    <w:p w14:paraId="3A44FD5D" w14:textId="6347C129" w:rsidR="00535E40" w:rsidRPr="00535E40" w:rsidRDefault="00535E40" w:rsidP="00535E40">
      <w:pPr>
        <w:pStyle w:val="EndNoteBibliography"/>
        <w:spacing w:after="0"/>
      </w:pPr>
      <w:r w:rsidRPr="00535E40">
        <w:t>158.</w:t>
      </w:r>
      <w:r w:rsidRPr="00535E40">
        <w:tab/>
        <w:t>Griffiths AW, Kelley R, Garrod L, Perfect D, Robinson O, Shoesmith E</w:t>
      </w:r>
      <w:r w:rsidRPr="00535E40">
        <w:rPr>
          <w:i/>
        </w:rPr>
        <w:t>, et al.</w:t>
      </w:r>
      <w:r w:rsidRPr="00535E40">
        <w:t xml:space="preserve"> Barriers and facilitators to implementing Dementia Care Mapping in Care Homes: Results from the EPIC Trial process evaluation. </w:t>
      </w:r>
      <w:r w:rsidRPr="00535E40">
        <w:rPr>
          <w:i/>
        </w:rPr>
        <w:t>BMC Geriatr</w:t>
      </w:r>
      <w:r w:rsidRPr="00535E40">
        <w:t xml:space="preserve"> 2019;</w:t>
      </w:r>
      <w:r w:rsidRPr="00535E40">
        <w:rPr>
          <w:b/>
        </w:rPr>
        <w:t>19</w:t>
      </w:r>
      <w:r w:rsidRPr="00535E40">
        <w:t xml:space="preserve">:37. </w:t>
      </w:r>
      <w:hyperlink r:id="rId22" w:history="1">
        <w:r w:rsidRPr="00535E40">
          <w:rPr>
            <w:rStyle w:val="Hyperlink"/>
          </w:rPr>
          <w:t>https://doi.org/10.1186/s12877-019-1045-y</w:t>
        </w:r>
      </w:hyperlink>
    </w:p>
    <w:p w14:paraId="3CCE2599" w14:textId="77777777" w:rsidR="00535E40" w:rsidRPr="00535E40" w:rsidRDefault="00535E40" w:rsidP="00535E40">
      <w:pPr>
        <w:pStyle w:val="EndNoteBibliography"/>
        <w:spacing w:after="0"/>
      </w:pPr>
      <w:r w:rsidRPr="00535E40">
        <w:t>159.</w:t>
      </w:r>
      <w:r w:rsidRPr="00535E40">
        <w:tab/>
        <w:t>Livingston G, Kelly L, Lewis-Holmes E, Baio G, Morris S, Patel N</w:t>
      </w:r>
      <w:r w:rsidRPr="00535E40">
        <w:rPr>
          <w:i/>
        </w:rPr>
        <w:t>, et al.</w:t>
      </w:r>
      <w:r w:rsidRPr="00535E40">
        <w:t xml:space="preserve"> A systematic review of the clinical effectiveness and cost-effectiveness of sensory, psychological and behavioural interventions for managing agitation in older adults with dementia. </w:t>
      </w:r>
      <w:r w:rsidRPr="00535E40">
        <w:rPr>
          <w:i/>
        </w:rPr>
        <w:t>Health Technol Assess</w:t>
      </w:r>
      <w:r w:rsidRPr="00535E40">
        <w:t xml:space="preserve"> 2014;</w:t>
      </w:r>
      <w:r w:rsidRPr="00535E40">
        <w:rPr>
          <w:b/>
        </w:rPr>
        <w:t>18</w:t>
      </w:r>
      <w:r w:rsidRPr="00535E40">
        <w:t>:1-226.</w:t>
      </w:r>
    </w:p>
    <w:p w14:paraId="330CEE2A" w14:textId="77777777" w:rsidR="00535E40" w:rsidRPr="00535E40" w:rsidRDefault="00535E40" w:rsidP="00535E40">
      <w:pPr>
        <w:pStyle w:val="EndNoteBibliography"/>
        <w:spacing w:after="0"/>
      </w:pPr>
      <w:r w:rsidRPr="00535E40">
        <w:t>160.</w:t>
      </w:r>
      <w:r w:rsidRPr="00535E40">
        <w:tab/>
        <w:t xml:space="preserve">Zwijsen SA, Bosmans JE, Gerritsen DL, Pot AM, Hertogh CM, Smalbrugge M. The cost-effectiveness of grip on challenging behaviour: an economic evaluation of a care programme for managing challenging behaviour. </w:t>
      </w:r>
      <w:r w:rsidRPr="00535E40">
        <w:rPr>
          <w:i/>
        </w:rPr>
        <w:t>Int J Geriatr Psychiatry</w:t>
      </w:r>
      <w:r w:rsidRPr="00535E40">
        <w:t xml:space="preserve"> 2016;</w:t>
      </w:r>
      <w:r w:rsidRPr="00535E40">
        <w:rPr>
          <w:b/>
        </w:rPr>
        <w:t>31</w:t>
      </w:r>
      <w:r w:rsidRPr="00535E40">
        <w:t>:567-74.</w:t>
      </w:r>
    </w:p>
    <w:p w14:paraId="090DF5F3" w14:textId="77777777" w:rsidR="00535E40" w:rsidRPr="00535E40" w:rsidRDefault="00535E40" w:rsidP="00535E40">
      <w:pPr>
        <w:pStyle w:val="EndNoteBibliography"/>
        <w:spacing w:after="0"/>
      </w:pPr>
      <w:r w:rsidRPr="00535E40">
        <w:t>161.</w:t>
      </w:r>
      <w:r w:rsidRPr="00535E40">
        <w:tab/>
        <w:t>van de Ven G, Drasovic I, van Herpen E, Koopmans RTCM, Donders R, Zuidema S</w:t>
      </w:r>
      <w:r w:rsidRPr="00535E40">
        <w:rPr>
          <w:i/>
        </w:rPr>
        <w:t>, et al.</w:t>
      </w:r>
      <w:r w:rsidRPr="00535E40">
        <w:t xml:space="preserve"> The Economics of Dementia-Care Mapping in Nursing Homes: A Cluster-Randomised Controlled Trial. </w:t>
      </w:r>
      <w:r w:rsidRPr="00535E40">
        <w:rPr>
          <w:i/>
        </w:rPr>
        <w:t>PLoS One</w:t>
      </w:r>
      <w:r w:rsidRPr="00535E40">
        <w:t xml:space="preserve"> 2014;</w:t>
      </w:r>
      <w:r w:rsidRPr="00535E40">
        <w:rPr>
          <w:b/>
        </w:rPr>
        <w:t>19</w:t>
      </w:r>
      <w:r w:rsidRPr="00535E40">
        <w:t>:e86662.</w:t>
      </w:r>
    </w:p>
    <w:p w14:paraId="113E2191" w14:textId="77777777" w:rsidR="00535E40" w:rsidRPr="00535E40" w:rsidRDefault="00535E40" w:rsidP="00535E40">
      <w:pPr>
        <w:pStyle w:val="EndNoteBibliography"/>
        <w:spacing w:after="0"/>
      </w:pPr>
      <w:r w:rsidRPr="00535E40">
        <w:t>162.</w:t>
      </w:r>
      <w:r w:rsidRPr="00535E40">
        <w:tab/>
        <w:t xml:space="preserve">Moyle W, Murfield JE, Griffiths SG, Venturato L. Assessing quality of life of older people with dementia: a comparison of quantitative self-report and proxy accounts. </w:t>
      </w:r>
      <w:r w:rsidRPr="00535E40">
        <w:rPr>
          <w:i/>
        </w:rPr>
        <w:t>J Adv Nurs</w:t>
      </w:r>
      <w:r w:rsidRPr="00535E40">
        <w:t xml:space="preserve"> 2012;</w:t>
      </w:r>
      <w:r w:rsidRPr="00535E40">
        <w:rPr>
          <w:b/>
        </w:rPr>
        <w:t>68</w:t>
      </w:r>
      <w:r w:rsidRPr="00535E40">
        <w:t>:2237-46.</w:t>
      </w:r>
    </w:p>
    <w:p w14:paraId="1BD97426" w14:textId="77777777" w:rsidR="00535E40" w:rsidRPr="00535E40" w:rsidRDefault="00535E40" w:rsidP="00535E40">
      <w:pPr>
        <w:pStyle w:val="EndNoteBibliography"/>
        <w:spacing w:after="0"/>
      </w:pPr>
      <w:r w:rsidRPr="00535E40">
        <w:t>163.</w:t>
      </w:r>
      <w:r w:rsidRPr="00535E40">
        <w:tab/>
        <w:t xml:space="preserve">Wen YW, Tsai YW, Wu DB, Chen PF. The Impact of Outliers on Net-Benefit Regression Model in Cost-Effectiveness Analysis. </w:t>
      </w:r>
      <w:r w:rsidRPr="00535E40">
        <w:rPr>
          <w:i/>
        </w:rPr>
        <w:t>PLoS One</w:t>
      </w:r>
      <w:r w:rsidRPr="00535E40">
        <w:t xml:space="preserve"> 2013;</w:t>
      </w:r>
      <w:r w:rsidRPr="00535E40">
        <w:rPr>
          <w:b/>
        </w:rPr>
        <w:t>19</w:t>
      </w:r>
      <w:r w:rsidRPr="00535E40">
        <w:t>:e65930.</w:t>
      </w:r>
    </w:p>
    <w:p w14:paraId="4B691594" w14:textId="77777777" w:rsidR="00535E40" w:rsidRPr="00535E40" w:rsidRDefault="00535E40" w:rsidP="00535E40">
      <w:pPr>
        <w:pStyle w:val="EndNoteBibliography"/>
        <w:spacing w:after="0"/>
      </w:pPr>
      <w:r w:rsidRPr="00535E40">
        <w:t>164.</w:t>
      </w:r>
      <w:r w:rsidRPr="00535E40">
        <w:tab/>
        <w:t xml:space="preserve">Care Quality Commission. </w:t>
      </w:r>
      <w:r w:rsidRPr="00535E40">
        <w:rPr>
          <w:i/>
        </w:rPr>
        <w:t>The state of health care and adult social care in England 2016/17</w:t>
      </w:r>
      <w:r w:rsidRPr="00535E40">
        <w:t>. London: Care Quality Commission; 2017.</w:t>
      </w:r>
    </w:p>
    <w:p w14:paraId="61C77F4F" w14:textId="77777777" w:rsidR="00535E40" w:rsidRPr="00535E40" w:rsidRDefault="00535E40" w:rsidP="00535E40">
      <w:pPr>
        <w:pStyle w:val="EndNoteBibliography"/>
      </w:pPr>
      <w:r w:rsidRPr="00535E40">
        <w:t>165.</w:t>
      </w:r>
      <w:r w:rsidRPr="00535E40">
        <w:tab/>
        <w:t xml:space="preserve">Barbosa A, Lord K, Blighe A, Mountain G. Dementia Care Mapping in long-term care settings: a systematic review of the evidence. </w:t>
      </w:r>
      <w:r w:rsidRPr="00535E40">
        <w:rPr>
          <w:i/>
        </w:rPr>
        <w:t>Int Psychogeriatr</w:t>
      </w:r>
      <w:r w:rsidRPr="00535E40">
        <w:t xml:space="preserve"> 2017;</w:t>
      </w:r>
      <w:r w:rsidRPr="00535E40">
        <w:rPr>
          <w:b/>
        </w:rPr>
        <w:t>29</w:t>
      </w:r>
      <w:r w:rsidRPr="00535E40">
        <w:t>:1609-18.</w:t>
      </w:r>
    </w:p>
    <w:p w14:paraId="409F091F" w14:textId="1F5A2EF0" w:rsidR="001927C1" w:rsidRPr="00563AD3" w:rsidRDefault="000B4E72" w:rsidP="008052F0">
      <w:r w:rsidRPr="00B03437">
        <w:fldChar w:fldCharType="end"/>
      </w:r>
    </w:p>
    <w:p w14:paraId="513B0333" w14:textId="77777777" w:rsidR="00C80341" w:rsidRPr="00563AD3" w:rsidRDefault="00C80341" w:rsidP="009B13F3"/>
    <w:p w14:paraId="5FF69571" w14:textId="77777777" w:rsidR="00C80341" w:rsidRPr="00563AD3" w:rsidRDefault="00C80341" w:rsidP="009B13F3"/>
    <w:p w14:paraId="35AD89F1" w14:textId="77777777" w:rsidR="00A126E7" w:rsidRDefault="00A126E7">
      <w:pPr>
        <w:autoSpaceDE/>
        <w:autoSpaceDN/>
        <w:adjustRightInd/>
        <w:spacing w:line="259" w:lineRule="auto"/>
        <w:rPr>
          <w:rFonts w:eastAsia="Times New Roman"/>
          <w:b/>
          <w:color w:val="333333"/>
          <w:sz w:val="28"/>
          <w:szCs w:val="28"/>
        </w:rPr>
      </w:pPr>
      <w:bookmarkStart w:id="241" w:name="_Toc525544062"/>
      <w:r>
        <w:br w:type="page"/>
      </w:r>
    </w:p>
    <w:p w14:paraId="76A267CD" w14:textId="3905FC51" w:rsidR="00C80341" w:rsidRPr="00563AD3" w:rsidRDefault="00AF3EE1" w:rsidP="009B13F3">
      <w:pPr>
        <w:pStyle w:val="Heading1"/>
        <w:spacing w:line="360" w:lineRule="auto"/>
      </w:pPr>
      <w:r w:rsidRPr="00563AD3">
        <w:t xml:space="preserve">10. </w:t>
      </w:r>
      <w:r w:rsidR="00C80341" w:rsidRPr="00563AD3">
        <w:t>Appendices</w:t>
      </w:r>
      <w:bookmarkEnd w:id="241"/>
    </w:p>
    <w:p w14:paraId="6F0C7056" w14:textId="04542331" w:rsidR="00E07CDE" w:rsidRPr="00563AD3" w:rsidRDefault="00E07CDE" w:rsidP="009B13F3">
      <w:pPr>
        <w:pStyle w:val="Heading2"/>
        <w:rPr>
          <w:rFonts w:eastAsia="Times New Roman"/>
          <w:lang w:eastAsia="en-US"/>
        </w:rPr>
      </w:pPr>
      <w:bookmarkStart w:id="242" w:name="_Toc500934948"/>
      <w:bookmarkStart w:id="243" w:name="_Toc525544063"/>
      <w:r w:rsidRPr="00563AD3">
        <w:rPr>
          <w:rFonts w:eastAsia="Times New Roman"/>
          <w:lang w:eastAsia="en-US"/>
        </w:rPr>
        <w:t>Appendix</w:t>
      </w:r>
      <w:bookmarkEnd w:id="242"/>
      <w:r w:rsidR="006352CA">
        <w:rPr>
          <w:rFonts w:eastAsia="Times New Roman"/>
          <w:lang w:eastAsia="en-US"/>
        </w:rPr>
        <w:t xml:space="preserve"> 1</w:t>
      </w:r>
      <w:r w:rsidRPr="00563AD3">
        <w:rPr>
          <w:rFonts w:eastAsia="Times New Roman"/>
          <w:lang w:eastAsia="en-US"/>
        </w:rPr>
        <w:t>: Supporting tables</w:t>
      </w:r>
      <w:bookmarkEnd w:id="243"/>
    </w:p>
    <w:p w14:paraId="4B3E7E64" w14:textId="77777777" w:rsidR="00E07CDE" w:rsidRPr="00563AD3" w:rsidRDefault="00E07CDE" w:rsidP="009B13F3">
      <w:pPr>
        <w:pStyle w:val="Heading3"/>
        <w:rPr>
          <w:rFonts w:eastAsia="Times New Roman"/>
          <w:lang w:eastAsia="en-US"/>
        </w:rPr>
      </w:pPr>
      <w:bookmarkStart w:id="244" w:name="_Toc500934949"/>
      <w:bookmarkStart w:id="245" w:name="_Toc525544064"/>
      <w:r w:rsidRPr="00563AD3">
        <w:rPr>
          <w:rFonts w:eastAsia="Times New Roman"/>
          <w:lang w:eastAsia="en-US"/>
        </w:rPr>
        <w:t>Screening</w:t>
      </w:r>
      <w:bookmarkEnd w:id="244"/>
      <w:bookmarkEnd w:id="245"/>
      <w:r w:rsidRPr="00563AD3">
        <w:rPr>
          <w:rFonts w:eastAsia="Times New Roman"/>
          <w:lang w:eastAsia="en-US"/>
        </w:rPr>
        <w:t xml:space="preserve"> </w:t>
      </w:r>
    </w:p>
    <w:p w14:paraId="37839294" w14:textId="71903240" w:rsidR="00E07CDE" w:rsidRPr="00563AD3" w:rsidRDefault="00E07CDE" w:rsidP="002D1FFB">
      <w:pPr>
        <w:pStyle w:val="Tableheading"/>
        <w:rPr>
          <w:rFonts w:eastAsia="Calibri"/>
          <w:lang w:eastAsia="en-US"/>
        </w:rPr>
      </w:pPr>
      <w:bookmarkStart w:id="246" w:name="_Ref497481225"/>
      <w:bookmarkStart w:id="247" w:name="_Toc500934988"/>
      <w:bookmarkStart w:id="248" w:name="_Toc948223"/>
      <w:r w:rsidRPr="00563AD3">
        <w:rPr>
          <w:rFonts w:eastAsia="Calibri"/>
          <w:lang w:eastAsia="en-US"/>
        </w:rPr>
        <w:t xml:space="preserve">Table </w:t>
      </w:r>
      <w:bookmarkEnd w:id="246"/>
      <w:r w:rsidR="00E44D89">
        <w:rPr>
          <w:rFonts w:eastAsia="Calibri"/>
          <w:lang w:eastAsia="en-US"/>
        </w:rPr>
        <w:t>26</w:t>
      </w:r>
      <w:r w:rsidR="00E44D89" w:rsidRPr="00563AD3">
        <w:rPr>
          <w:rFonts w:eastAsia="Calibri"/>
          <w:lang w:eastAsia="en-US"/>
        </w:rPr>
        <w:t xml:space="preserve"> </w:t>
      </w:r>
      <w:r w:rsidRPr="00563AD3">
        <w:rPr>
          <w:rFonts w:eastAsia="Calibri"/>
          <w:lang w:eastAsia="en-US"/>
        </w:rPr>
        <w:t>Resident original cohort CONSORT by hub</w:t>
      </w:r>
      <w:bookmarkEnd w:id="247"/>
      <w:bookmarkEnd w:id="248"/>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43"/>
        <w:gridCol w:w="1345"/>
        <w:gridCol w:w="1346"/>
        <w:gridCol w:w="1494"/>
      </w:tblGrid>
      <w:tr w:rsidR="00E07CDE" w:rsidRPr="00921620" w14:paraId="45FBA8CA" w14:textId="77777777" w:rsidTr="00C163F3">
        <w:trPr>
          <w:jc w:val="center"/>
        </w:trPr>
        <w:tc>
          <w:tcPr>
            <w:tcW w:w="1999" w:type="pct"/>
            <w:vMerge w:val="restart"/>
            <w:shd w:val="clear" w:color="auto" w:fill="auto"/>
            <w:vAlign w:val="bottom"/>
          </w:tcPr>
          <w:p w14:paraId="4D9AFFD9"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b/>
                <w:sz w:val="18"/>
                <w:szCs w:val="18"/>
                <w:lang w:eastAsia="en-US"/>
              </w:rPr>
              <w:t>Residents</w:t>
            </w:r>
          </w:p>
        </w:tc>
        <w:tc>
          <w:tcPr>
            <w:tcW w:w="2190" w:type="pct"/>
            <w:gridSpan w:val="3"/>
            <w:shd w:val="clear" w:color="auto" w:fill="auto"/>
            <w:vAlign w:val="center"/>
          </w:tcPr>
          <w:p w14:paraId="4E55F7A1" w14:textId="77777777" w:rsidR="00E07CDE" w:rsidRPr="00921620" w:rsidRDefault="00E07CDE" w:rsidP="002D1FFB">
            <w:pPr>
              <w:autoSpaceDE/>
              <w:autoSpaceDN/>
              <w:adjustRightInd/>
              <w:spacing w:before="60" w:after="0" w:line="240" w:lineRule="auto"/>
              <w:jc w:val="center"/>
              <w:rPr>
                <w:rFonts w:eastAsia="Calibri"/>
                <w:b/>
                <w:sz w:val="18"/>
                <w:szCs w:val="18"/>
                <w:lang w:eastAsia="en-US"/>
              </w:rPr>
            </w:pPr>
            <w:r w:rsidRPr="00921620">
              <w:rPr>
                <w:rFonts w:eastAsia="Calibri"/>
                <w:b/>
                <w:sz w:val="18"/>
                <w:szCs w:val="18"/>
                <w:lang w:eastAsia="en-US"/>
              </w:rPr>
              <w:t>Hub</w:t>
            </w:r>
          </w:p>
        </w:tc>
        <w:tc>
          <w:tcPr>
            <w:tcW w:w="811" w:type="pct"/>
            <w:vMerge w:val="restart"/>
            <w:shd w:val="clear" w:color="auto" w:fill="auto"/>
            <w:vAlign w:val="bottom"/>
          </w:tcPr>
          <w:p w14:paraId="5309C67C" w14:textId="77777777" w:rsidR="00E07CDE" w:rsidRPr="00921620" w:rsidRDefault="00E07CDE" w:rsidP="002D1FFB">
            <w:pPr>
              <w:keepNext/>
              <w:autoSpaceDE/>
              <w:autoSpaceDN/>
              <w:spacing w:before="60" w:after="0" w:line="240" w:lineRule="auto"/>
              <w:jc w:val="center"/>
              <w:rPr>
                <w:rFonts w:eastAsia="Calibri"/>
                <w:b/>
                <w:bCs/>
                <w:color w:val="000000"/>
                <w:sz w:val="18"/>
                <w:szCs w:val="18"/>
                <w:lang w:eastAsia="en-US"/>
              </w:rPr>
            </w:pPr>
            <w:r w:rsidRPr="00921620">
              <w:rPr>
                <w:rFonts w:eastAsia="Calibri"/>
                <w:b/>
                <w:bCs/>
                <w:color w:val="000000"/>
                <w:sz w:val="18"/>
                <w:szCs w:val="18"/>
                <w:lang w:eastAsia="en-US"/>
              </w:rPr>
              <w:t>Total</w:t>
            </w:r>
          </w:p>
          <w:p w14:paraId="39106B93" w14:textId="77777777" w:rsidR="00E07CDE" w:rsidRPr="00921620" w:rsidRDefault="00E07CDE" w:rsidP="002D1FFB">
            <w:pPr>
              <w:keepNext/>
              <w:autoSpaceDE/>
              <w:autoSpaceDN/>
              <w:spacing w:before="60" w:after="0" w:line="240" w:lineRule="auto"/>
              <w:jc w:val="center"/>
              <w:rPr>
                <w:rFonts w:eastAsia="Calibri"/>
                <w:sz w:val="18"/>
                <w:szCs w:val="18"/>
                <w:lang w:eastAsia="en-US"/>
              </w:rPr>
            </w:pPr>
            <w:r w:rsidRPr="00921620">
              <w:rPr>
                <w:rFonts w:eastAsia="Calibri"/>
                <w:b/>
                <w:bCs/>
                <w:color w:val="000000"/>
                <w:sz w:val="18"/>
                <w:szCs w:val="18"/>
                <w:lang w:eastAsia="en-US"/>
              </w:rPr>
              <w:t>50 CHs</w:t>
            </w:r>
          </w:p>
        </w:tc>
      </w:tr>
      <w:tr w:rsidR="00E07CDE" w:rsidRPr="00921620" w14:paraId="7249AEF1" w14:textId="77777777" w:rsidTr="00C163F3">
        <w:trPr>
          <w:trHeight w:val="650"/>
          <w:jc w:val="center"/>
        </w:trPr>
        <w:tc>
          <w:tcPr>
            <w:tcW w:w="1999" w:type="pct"/>
            <w:vMerge/>
            <w:tcBorders>
              <w:bottom w:val="single" w:sz="4" w:space="0" w:color="auto"/>
            </w:tcBorders>
            <w:shd w:val="clear" w:color="auto" w:fill="auto"/>
            <w:vAlign w:val="center"/>
          </w:tcPr>
          <w:p w14:paraId="628724AC" w14:textId="77777777" w:rsidR="00E07CDE" w:rsidRPr="00921620" w:rsidRDefault="00E07CDE" w:rsidP="002D1FFB">
            <w:pPr>
              <w:autoSpaceDE/>
              <w:autoSpaceDN/>
              <w:adjustRightInd/>
              <w:spacing w:before="60" w:after="0" w:line="240" w:lineRule="auto"/>
              <w:rPr>
                <w:rFonts w:eastAsia="Calibri"/>
                <w:b/>
                <w:sz w:val="18"/>
                <w:szCs w:val="18"/>
                <w:lang w:eastAsia="en-US"/>
              </w:rPr>
            </w:pPr>
          </w:p>
        </w:tc>
        <w:tc>
          <w:tcPr>
            <w:tcW w:w="729" w:type="pct"/>
            <w:tcBorders>
              <w:bottom w:val="single" w:sz="4" w:space="0" w:color="auto"/>
            </w:tcBorders>
            <w:shd w:val="clear" w:color="auto" w:fill="auto"/>
            <w:vAlign w:val="center"/>
          </w:tcPr>
          <w:p w14:paraId="7596CBC6"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Yorkshire</w:t>
            </w:r>
          </w:p>
          <w:p w14:paraId="35145D59"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21 CHs</w:t>
            </w:r>
          </w:p>
        </w:tc>
        <w:tc>
          <w:tcPr>
            <w:tcW w:w="730" w:type="pct"/>
            <w:tcBorders>
              <w:bottom w:val="single" w:sz="4" w:space="0" w:color="auto"/>
            </w:tcBorders>
            <w:shd w:val="clear" w:color="auto" w:fill="auto"/>
            <w:vAlign w:val="center"/>
          </w:tcPr>
          <w:p w14:paraId="694DE0E4"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London</w:t>
            </w:r>
          </w:p>
          <w:p w14:paraId="6BB9888E"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15 CHs</w:t>
            </w:r>
          </w:p>
        </w:tc>
        <w:tc>
          <w:tcPr>
            <w:tcW w:w="731" w:type="pct"/>
            <w:tcBorders>
              <w:bottom w:val="single" w:sz="4" w:space="0" w:color="auto"/>
            </w:tcBorders>
            <w:shd w:val="clear" w:color="auto" w:fill="auto"/>
            <w:vAlign w:val="center"/>
          </w:tcPr>
          <w:p w14:paraId="47B8A7D9"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Oxford</w:t>
            </w:r>
          </w:p>
          <w:p w14:paraId="120BF7D7"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14 CHs</w:t>
            </w:r>
          </w:p>
        </w:tc>
        <w:tc>
          <w:tcPr>
            <w:tcW w:w="811" w:type="pct"/>
            <w:vMerge/>
            <w:tcBorders>
              <w:bottom w:val="single" w:sz="4" w:space="0" w:color="auto"/>
            </w:tcBorders>
            <w:shd w:val="clear" w:color="auto" w:fill="auto"/>
            <w:vAlign w:val="center"/>
          </w:tcPr>
          <w:p w14:paraId="702FBBEF"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p>
        </w:tc>
      </w:tr>
      <w:tr w:rsidR="00E07CDE" w:rsidRPr="00921620" w14:paraId="493B6FFD" w14:textId="77777777" w:rsidTr="00C163F3">
        <w:trPr>
          <w:jc w:val="center"/>
        </w:trPr>
        <w:tc>
          <w:tcPr>
            <w:tcW w:w="1999" w:type="pct"/>
            <w:shd w:val="clear" w:color="auto" w:fill="auto"/>
            <w:vAlign w:val="center"/>
          </w:tcPr>
          <w:p w14:paraId="0FC93BC8" w14:textId="77777777" w:rsidR="00E07CDE" w:rsidRPr="00921620" w:rsidRDefault="00E07CDE" w:rsidP="002D1FFB">
            <w:pPr>
              <w:autoSpaceDE/>
              <w:autoSpaceDN/>
              <w:adjustRightInd/>
              <w:spacing w:before="60" w:after="0" w:line="240" w:lineRule="auto"/>
              <w:rPr>
                <w:rFonts w:eastAsia="Calibri"/>
                <w:b/>
                <w:sz w:val="18"/>
                <w:szCs w:val="18"/>
                <w:lang w:eastAsia="en-US"/>
              </w:rPr>
            </w:pPr>
            <w:r w:rsidRPr="00921620">
              <w:rPr>
                <w:rFonts w:eastAsia="Calibri"/>
                <w:b/>
                <w:sz w:val="18"/>
                <w:szCs w:val="18"/>
                <w:lang w:eastAsia="en-US"/>
              </w:rPr>
              <w:t>Screened</w:t>
            </w:r>
          </w:p>
        </w:tc>
        <w:tc>
          <w:tcPr>
            <w:tcW w:w="729" w:type="pct"/>
            <w:shd w:val="clear" w:color="auto" w:fill="auto"/>
            <w:vAlign w:val="center"/>
          </w:tcPr>
          <w:p w14:paraId="36070E3F"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656</w:t>
            </w:r>
          </w:p>
        </w:tc>
        <w:tc>
          <w:tcPr>
            <w:tcW w:w="730" w:type="pct"/>
            <w:shd w:val="clear" w:color="auto" w:fill="auto"/>
            <w:vAlign w:val="center"/>
          </w:tcPr>
          <w:p w14:paraId="47BA4F44"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419</w:t>
            </w:r>
          </w:p>
        </w:tc>
        <w:tc>
          <w:tcPr>
            <w:tcW w:w="731" w:type="pct"/>
            <w:shd w:val="clear" w:color="auto" w:fill="auto"/>
            <w:vAlign w:val="center"/>
          </w:tcPr>
          <w:p w14:paraId="517FCF60"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489</w:t>
            </w:r>
          </w:p>
        </w:tc>
        <w:tc>
          <w:tcPr>
            <w:tcW w:w="811" w:type="pct"/>
            <w:shd w:val="clear" w:color="auto" w:fill="auto"/>
            <w:vAlign w:val="center"/>
          </w:tcPr>
          <w:p w14:paraId="2F437064"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1564</w:t>
            </w:r>
          </w:p>
        </w:tc>
      </w:tr>
      <w:tr w:rsidR="00E07CDE" w:rsidRPr="00921620" w14:paraId="57FEE4B9" w14:textId="77777777" w:rsidTr="00C163F3">
        <w:trPr>
          <w:jc w:val="center"/>
        </w:trPr>
        <w:tc>
          <w:tcPr>
            <w:tcW w:w="1999" w:type="pct"/>
            <w:shd w:val="clear" w:color="auto" w:fill="auto"/>
            <w:vAlign w:val="center"/>
          </w:tcPr>
          <w:p w14:paraId="08441794" w14:textId="77777777" w:rsidR="00E07CDE" w:rsidRPr="00921620" w:rsidRDefault="00E07CDE" w:rsidP="002D1FFB">
            <w:pPr>
              <w:autoSpaceDE/>
              <w:autoSpaceDN/>
              <w:adjustRightInd/>
              <w:spacing w:before="60" w:after="0" w:line="240" w:lineRule="auto"/>
              <w:rPr>
                <w:rFonts w:eastAsia="Calibri"/>
                <w:b/>
                <w:sz w:val="18"/>
                <w:szCs w:val="18"/>
                <w:lang w:eastAsia="en-US"/>
              </w:rPr>
            </w:pPr>
            <w:r w:rsidRPr="00921620">
              <w:rPr>
                <w:rFonts w:eastAsia="Calibri"/>
                <w:b/>
                <w:sz w:val="18"/>
                <w:szCs w:val="18"/>
                <w:lang w:eastAsia="en-US"/>
              </w:rPr>
              <w:t>Eligible</w:t>
            </w:r>
          </w:p>
        </w:tc>
        <w:tc>
          <w:tcPr>
            <w:tcW w:w="729" w:type="pct"/>
            <w:shd w:val="clear" w:color="auto" w:fill="auto"/>
            <w:vAlign w:val="center"/>
          </w:tcPr>
          <w:p w14:paraId="37493400"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451 (68.8%)</w:t>
            </w:r>
          </w:p>
        </w:tc>
        <w:tc>
          <w:tcPr>
            <w:tcW w:w="730" w:type="pct"/>
            <w:shd w:val="clear" w:color="auto" w:fill="auto"/>
            <w:vAlign w:val="center"/>
          </w:tcPr>
          <w:p w14:paraId="0E5CB66D"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297 (70.9%)</w:t>
            </w:r>
          </w:p>
        </w:tc>
        <w:tc>
          <w:tcPr>
            <w:tcW w:w="731" w:type="pct"/>
            <w:shd w:val="clear" w:color="auto" w:fill="auto"/>
            <w:vAlign w:val="center"/>
          </w:tcPr>
          <w:p w14:paraId="15CF1F95"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321 (65.6%)</w:t>
            </w:r>
          </w:p>
        </w:tc>
        <w:tc>
          <w:tcPr>
            <w:tcW w:w="811" w:type="pct"/>
            <w:shd w:val="clear" w:color="auto" w:fill="auto"/>
            <w:vAlign w:val="center"/>
          </w:tcPr>
          <w:p w14:paraId="45FB6282"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1069 (68.4%)</w:t>
            </w:r>
          </w:p>
        </w:tc>
      </w:tr>
      <w:tr w:rsidR="00E07CDE" w:rsidRPr="00921620" w14:paraId="4C9B9B97" w14:textId="77777777" w:rsidTr="00C163F3">
        <w:trPr>
          <w:jc w:val="center"/>
        </w:trPr>
        <w:tc>
          <w:tcPr>
            <w:tcW w:w="1999" w:type="pct"/>
            <w:tcBorders>
              <w:bottom w:val="single" w:sz="4" w:space="0" w:color="auto"/>
            </w:tcBorders>
            <w:shd w:val="clear" w:color="auto" w:fill="auto"/>
            <w:vAlign w:val="center"/>
          </w:tcPr>
          <w:p w14:paraId="689982B1" w14:textId="77777777" w:rsidR="00E07CDE" w:rsidRPr="00921620" w:rsidRDefault="00E07CDE" w:rsidP="002D1FFB">
            <w:pPr>
              <w:autoSpaceDE/>
              <w:autoSpaceDN/>
              <w:adjustRightInd/>
              <w:spacing w:before="60" w:after="0" w:line="240" w:lineRule="auto"/>
              <w:rPr>
                <w:rFonts w:eastAsia="Calibri"/>
                <w:bCs/>
                <w:color w:val="000000"/>
                <w:sz w:val="18"/>
                <w:szCs w:val="18"/>
                <w:lang w:eastAsia="en-US"/>
              </w:rPr>
            </w:pPr>
            <w:r w:rsidRPr="00921620">
              <w:rPr>
                <w:rFonts w:eastAsia="Calibri"/>
                <w:bCs/>
                <w:color w:val="000000"/>
                <w:sz w:val="18"/>
                <w:szCs w:val="18"/>
                <w:lang w:eastAsia="en-US"/>
              </w:rPr>
              <w:t>Not eligible</w:t>
            </w:r>
          </w:p>
        </w:tc>
        <w:tc>
          <w:tcPr>
            <w:tcW w:w="729" w:type="pct"/>
            <w:tcBorders>
              <w:bottom w:val="single" w:sz="4" w:space="0" w:color="auto"/>
            </w:tcBorders>
            <w:shd w:val="clear" w:color="auto" w:fill="auto"/>
            <w:vAlign w:val="center"/>
          </w:tcPr>
          <w:p w14:paraId="6437B94F"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205 (31.2%)</w:t>
            </w:r>
          </w:p>
        </w:tc>
        <w:tc>
          <w:tcPr>
            <w:tcW w:w="730" w:type="pct"/>
            <w:tcBorders>
              <w:bottom w:val="single" w:sz="4" w:space="0" w:color="auto"/>
            </w:tcBorders>
            <w:shd w:val="clear" w:color="auto" w:fill="auto"/>
            <w:vAlign w:val="center"/>
          </w:tcPr>
          <w:p w14:paraId="48CCF2F3"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122 (29.0%)</w:t>
            </w:r>
          </w:p>
        </w:tc>
        <w:tc>
          <w:tcPr>
            <w:tcW w:w="731" w:type="pct"/>
            <w:tcBorders>
              <w:bottom w:val="single" w:sz="4" w:space="0" w:color="auto"/>
            </w:tcBorders>
            <w:shd w:val="clear" w:color="auto" w:fill="auto"/>
            <w:vAlign w:val="center"/>
          </w:tcPr>
          <w:p w14:paraId="799139A7"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168 (34.4%)</w:t>
            </w:r>
          </w:p>
        </w:tc>
        <w:tc>
          <w:tcPr>
            <w:tcW w:w="811" w:type="pct"/>
            <w:tcBorders>
              <w:bottom w:val="single" w:sz="4" w:space="0" w:color="auto"/>
            </w:tcBorders>
            <w:shd w:val="clear" w:color="auto" w:fill="auto"/>
            <w:vAlign w:val="center"/>
          </w:tcPr>
          <w:p w14:paraId="535DB2A7"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495 (31.6%)</w:t>
            </w:r>
          </w:p>
        </w:tc>
      </w:tr>
      <w:tr w:rsidR="00E07CDE" w:rsidRPr="00921620" w14:paraId="33925228" w14:textId="77777777" w:rsidTr="00C163F3">
        <w:trPr>
          <w:jc w:val="center"/>
        </w:trPr>
        <w:tc>
          <w:tcPr>
            <w:tcW w:w="1999" w:type="pct"/>
            <w:tcBorders>
              <w:top w:val="single" w:sz="4" w:space="0" w:color="auto"/>
              <w:bottom w:val="single" w:sz="4" w:space="0" w:color="auto"/>
              <w:right w:val="single" w:sz="4" w:space="0" w:color="auto"/>
            </w:tcBorders>
            <w:shd w:val="clear" w:color="auto" w:fill="auto"/>
            <w:vAlign w:val="center"/>
          </w:tcPr>
          <w:p w14:paraId="08ACD16A"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bCs/>
                <w:color w:val="000000"/>
                <w:sz w:val="18"/>
                <w:szCs w:val="18"/>
                <w:lang w:eastAsia="en-US"/>
              </w:rPr>
              <w:t xml:space="preserve">           Does not have formal diagnosis of dementia</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center"/>
          </w:tcPr>
          <w:p w14:paraId="68EA9603"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133 (64.9%)</w:t>
            </w:r>
          </w:p>
        </w:tc>
        <w:tc>
          <w:tcPr>
            <w:tcW w:w="730" w:type="pct"/>
            <w:tcBorders>
              <w:top w:val="single" w:sz="4" w:space="0" w:color="auto"/>
              <w:left w:val="single" w:sz="4" w:space="0" w:color="auto"/>
              <w:bottom w:val="single" w:sz="4" w:space="0" w:color="auto"/>
              <w:right w:val="single" w:sz="4" w:space="0" w:color="auto"/>
            </w:tcBorders>
            <w:shd w:val="clear" w:color="000000" w:fill="FFFFFF"/>
            <w:vAlign w:val="center"/>
          </w:tcPr>
          <w:p w14:paraId="0A89EE60"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67 (54.9%)</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tcPr>
          <w:p w14:paraId="688A80F6"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98 (58.3%)</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14:paraId="24823E07"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298 (60.2%)</w:t>
            </w:r>
          </w:p>
        </w:tc>
      </w:tr>
      <w:tr w:rsidR="00E07CDE" w:rsidRPr="00921620" w14:paraId="2A475B8B" w14:textId="77777777" w:rsidTr="00C163F3">
        <w:trPr>
          <w:jc w:val="center"/>
        </w:trPr>
        <w:tc>
          <w:tcPr>
            <w:tcW w:w="1999" w:type="pct"/>
            <w:tcBorders>
              <w:top w:val="single" w:sz="4" w:space="0" w:color="auto"/>
              <w:bottom w:val="single" w:sz="4" w:space="0" w:color="auto"/>
              <w:right w:val="single" w:sz="4" w:space="0" w:color="auto"/>
            </w:tcBorders>
            <w:shd w:val="clear" w:color="auto" w:fill="auto"/>
            <w:vAlign w:val="center"/>
          </w:tcPr>
          <w:p w14:paraId="0F66AA8A"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bCs/>
                <w:color w:val="000000"/>
                <w:sz w:val="18"/>
                <w:szCs w:val="18"/>
                <w:lang w:eastAsia="en-US"/>
              </w:rPr>
              <w:t xml:space="preserve">           Permanently bed-bound</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center"/>
          </w:tcPr>
          <w:p w14:paraId="70A93A16"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27 (13.2%)</w:t>
            </w:r>
          </w:p>
        </w:tc>
        <w:tc>
          <w:tcPr>
            <w:tcW w:w="730" w:type="pct"/>
            <w:tcBorders>
              <w:top w:val="single" w:sz="4" w:space="0" w:color="auto"/>
              <w:left w:val="single" w:sz="4" w:space="0" w:color="auto"/>
              <w:bottom w:val="single" w:sz="4" w:space="0" w:color="auto"/>
              <w:right w:val="single" w:sz="4" w:space="0" w:color="auto"/>
            </w:tcBorders>
            <w:shd w:val="clear" w:color="000000" w:fill="FFFFFF"/>
            <w:vAlign w:val="center"/>
          </w:tcPr>
          <w:p w14:paraId="2726428C"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32 (26.2%)</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tcPr>
          <w:p w14:paraId="01D3C5B6"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30 (17.9%)</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14:paraId="34548A38"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89 (18.0%)</w:t>
            </w:r>
          </w:p>
        </w:tc>
      </w:tr>
      <w:tr w:rsidR="00E07CDE" w:rsidRPr="00921620" w14:paraId="3AF84F89" w14:textId="77777777" w:rsidTr="00C163F3">
        <w:trPr>
          <w:jc w:val="center"/>
        </w:trPr>
        <w:tc>
          <w:tcPr>
            <w:tcW w:w="1999" w:type="pct"/>
            <w:tcBorders>
              <w:top w:val="single" w:sz="4" w:space="0" w:color="auto"/>
              <w:bottom w:val="single" w:sz="4" w:space="0" w:color="auto"/>
              <w:right w:val="single" w:sz="4" w:space="0" w:color="auto"/>
            </w:tcBorders>
            <w:shd w:val="clear" w:color="auto" w:fill="auto"/>
            <w:vAlign w:val="center"/>
          </w:tcPr>
          <w:p w14:paraId="0E8F9BC5"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bCs/>
                <w:color w:val="000000"/>
                <w:sz w:val="18"/>
                <w:szCs w:val="18"/>
                <w:lang w:eastAsia="en-US"/>
              </w:rPr>
              <w:t xml:space="preserve">           Terminally ill</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center"/>
          </w:tcPr>
          <w:p w14:paraId="365797DA"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22 (10.7%)</w:t>
            </w:r>
          </w:p>
        </w:tc>
        <w:tc>
          <w:tcPr>
            <w:tcW w:w="730" w:type="pct"/>
            <w:tcBorders>
              <w:top w:val="single" w:sz="4" w:space="0" w:color="auto"/>
              <w:left w:val="single" w:sz="4" w:space="0" w:color="auto"/>
              <w:bottom w:val="single" w:sz="4" w:space="0" w:color="auto"/>
              <w:right w:val="single" w:sz="4" w:space="0" w:color="auto"/>
            </w:tcBorders>
            <w:shd w:val="clear" w:color="000000" w:fill="FFFFFF"/>
            <w:vAlign w:val="center"/>
          </w:tcPr>
          <w:p w14:paraId="59696461"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18 (14.8%)</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tcPr>
          <w:p w14:paraId="3B3CC371"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18 (10.7%)</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14:paraId="2522969A"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58 (11.7%)</w:t>
            </w:r>
          </w:p>
        </w:tc>
      </w:tr>
      <w:tr w:rsidR="00E07CDE" w:rsidRPr="00921620" w14:paraId="1DD02E68" w14:textId="77777777" w:rsidTr="00C163F3">
        <w:trPr>
          <w:jc w:val="center"/>
        </w:trPr>
        <w:tc>
          <w:tcPr>
            <w:tcW w:w="1999" w:type="pct"/>
            <w:tcBorders>
              <w:top w:val="single" w:sz="4" w:space="0" w:color="auto"/>
              <w:bottom w:val="single" w:sz="4" w:space="0" w:color="auto"/>
              <w:right w:val="single" w:sz="4" w:space="0" w:color="auto"/>
            </w:tcBorders>
            <w:shd w:val="clear" w:color="auto" w:fill="auto"/>
            <w:vAlign w:val="center"/>
          </w:tcPr>
          <w:p w14:paraId="63102072"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bCs/>
                <w:color w:val="000000"/>
                <w:sz w:val="18"/>
                <w:szCs w:val="18"/>
                <w:lang w:eastAsia="en-US"/>
              </w:rPr>
              <w:t xml:space="preserve">           Not a permanent resident</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center"/>
          </w:tcPr>
          <w:p w14:paraId="7CB9A1E8"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38 (18.5%)</w:t>
            </w:r>
          </w:p>
        </w:tc>
        <w:tc>
          <w:tcPr>
            <w:tcW w:w="730" w:type="pct"/>
            <w:tcBorders>
              <w:top w:val="single" w:sz="4" w:space="0" w:color="auto"/>
              <w:left w:val="single" w:sz="4" w:space="0" w:color="auto"/>
              <w:bottom w:val="single" w:sz="4" w:space="0" w:color="auto"/>
              <w:right w:val="single" w:sz="4" w:space="0" w:color="auto"/>
            </w:tcBorders>
            <w:shd w:val="clear" w:color="000000" w:fill="FFFFFF"/>
            <w:vAlign w:val="center"/>
          </w:tcPr>
          <w:p w14:paraId="78854214"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2 (1.6%)</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tcPr>
          <w:p w14:paraId="2B4502C3"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21 (12.5%)</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14:paraId="1187B24F"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61 (12.3%)</w:t>
            </w:r>
          </w:p>
        </w:tc>
      </w:tr>
      <w:tr w:rsidR="00E07CDE" w:rsidRPr="00921620" w14:paraId="31AFE4C0" w14:textId="77777777" w:rsidTr="00C163F3">
        <w:trPr>
          <w:jc w:val="center"/>
        </w:trPr>
        <w:tc>
          <w:tcPr>
            <w:tcW w:w="1999" w:type="pct"/>
            <w:tcBorders>
              <w:top w:val="single" w:sz="4" w:space="0" w:color="auto"/>
              <w:bottom w:val="single" w:sz="4" w:space="0" w:color="auto"/>
              <w:right w:val="single" w:sz="4" w:space="0" w:color="auto"/>
            </w:tcBorders>
            <w:shd w:val="clear" w:color="auto" w:fill="auto"/>
            <w:vAlign w:val="center"/>
          </w:tcPr>
          <w:p w14:paraId="56911DFA"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bCs/>
                <w:color w:val="000000"/>
                <w:sz w:val="18"/>
                <w:szCs w:val="18"/>
                <w:lang w:eastAsia="en-US"/>
              </w:rPr>
              <w:t xml:space="preserve">           Insufficient proficiency in English</w:t>
            </w:r>
          </w:p>
        </w:tc>
        <w:tc>
          <w:tcPr>
            <w:tcW w:w="729" w:type="pct"/>
            <w:tcBorders>
              <w:top w:val="single" w:sz="4" w:space="0" w:color="auto"/>
              <w:left w:val="single" w:sz="4" w:space="0" w:color="auto"/>
              <w:bottom w:val="single" w:sz="4" w:space="0" w:color="auto"/>
              <w:right w:val="single" w:sz="4" w:space="0" w:color="auto"/>
            </w:tcBorders>
            <w:shd w:val="clear" w:color="000000" w:fill="FFFFFF"/>
            <w:vAlign w:val="center"/>
          </w:tcPr>
          <w:p w14:paraId="1837E3A1"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2 (1.0%)</w:t>
            </w:r>
          </w:p>
        </w:tc>
        <w:tc>
          <w:tcPr>
            <w:tcW w:w="730" w:type="pct"/>
            <w:tcBorders>
              <w:top w:val="single" w:sz="4" w:space="0" w:color="auto"/>
              <w:left w:val="single" w:sz="4" w:space="0" w:color="auto"/>
              <w:bottom w:val="single" w:sz="4" w:space="0" w:color="auto"/>
              <w:right w:val="single" w:sz="4" w:space="0" w:color="auto"/>
            </w:tcBorders>
            <w:shd w:val="clear" w:color="000000" w:fill="FFFFFF"/>
            <w:vAlign w:val="center"/>
          </w:tcPr>
          <w:p w14:paraId="332448DE"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6 (4.9%)</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tcPr>
          <w:p w14:paraId="120C3B07"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4 (2.4%)</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14:paraId="7A412EDE"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12 (2.4%)</w:t>
            </w:r>
          </w:p>
        </w:tc>
      </w:tr>
      <w:tr w:rsidR="00E07CDE" w:rsidRPr="00921620" w14:paraId="382C39F8" w14:textId="77777777" w:rsidTr="00C163F3">
        <w:trPr>
          <w:jc w:val="center"/>
        </w:trPr>
        <w:tc>
          <w:tcPr>
            <w:tcW w:w="1999" w:type="pct"/>
            <w:tcBorders>
              <w:top w:val="single" w:sz="4" w:space="0" w:color="auto"/>
            </w:tcBorders>
            <w:shd w:val="clear" w:color="auto" w:fill="auto"/>
            <w:vAlign w:val="center"/>
          </w:tcPr>
          <w:p w14:paraId="43E75505" w14:textId="77777777" w:rsidR="00E07CDE" w:rsidRPr="00921620" w:rsidRDefault="00E07CDE" w:rsidP="002D1FFB">
            <w:pPr>
              <w:autoSpaceDE/>
              <w:autoSpaceDN/>
              <w:adjustRightInd/>
              <w:spacing w:before="60" w:after="0" w:line="240" w:lineRule="auto"/>
              <w:rPr>
                <w:rFonts w:eastAsia="Calibri"/>
                <w:b/>
                <w:sz w:val="18"/>
                <w:szCs w:val="18"/>
                <w:lang w:eastAsia="en-US"/>
              </w:rPr>
            </w:pPr>
            <w:r w:rsidRPr="00921620">
              <w:rPr>
                <w:rFonts w:eastAsia="Calibri"/>
                <w:b/>
                <w:sz w:val="18"/>
                <w:szCs w:val="18"/>
                <w:lang w:eastAsia="en-US"/>
              </w:rPr>
              <w:t>Consented (out of eligible)</w:t>
            </w:r>
          </w:p>
        </w:tc>
        <w:tc>
          <w:tcPr>
            <w:tcW w:w="729" w:type="pct"/>
            <w:tcBorders>
              <w:top w:val="single" w:sz="4" w:space="0" w:color="auto"/>
            </w:tcBorders>
            <w:shd w:val="clear" w:color="auto" w:fill="auto"/>
            <w:vAlign w:val="center"/>
          </w:tcPr>
          <w:p w14:paraId="1CB56E4B"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366 (81.2%)</w:t>
            </w:r>
          </w:p>
        </w:tc>
        <w:tc>
          <w:tcPr>
            <w:tcW w:w="730" w:type="pct"/>
            <w:tcBorders>
              <w:top w:val="single" w:sz="4" w:space="0" w:color="auto"/>
            </w:tcBorders>
            <w:shd w:val="clear" w:color="auto" w:fill="auto"/>
            <w:vAlign w:val="center"/>
          </w:tcPr>
          <w:p w14:paraId="7755060A"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199 (67.0%)</w:t>
            </w:r>
          </w:p>
        </w:tc>
        <w:tc>
          <w:tcPr>
            <w:tcW w:w="731" w:type="pct"/>
            <w:tcBorders>
              <w:top w:val="single" w:sz="4" w:space="0" w:color="auto"/>
            </w:tcBorders>
            <w:shd w:val="clear" w:color="auto" w:fill="auto"/>
            <w:vAlign w:val="center"/>
          </w:tcPr>
          <w:p w14:paraId="13D5A2D3"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216 (67.3%)</w:t>
            </w:r>
          </w:p>
        </w:tc>
        <w:tc>
          <w:tcPr>
            <w:tcW w:w="811" w:type="pct"/>
            <w:tcBorders>
              <w:top w:val="single" w:sz="4" w:space="0" w:color="auto"/>
            </w:tcBorders>
            <w:shd w:val="clear" w:color="auto" w:fill="auto"/>
            <w:vAlign w:val="center"/>
          </w:tcPr>
          <w:p w14:paraId="05D42F6E"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781 (73.1%)</w:t>
            </w:r>
          </w:p>
        </w:tc>
      </w:tr>
      <w:tr w:rsidR="00E07CDE" w:rsidRPr="00921620" w14:paraId="0E27B3BC" w14:textId="77777777" w:rsidTr="00C163F3">
        <w:trPr>
          <w:jc w:val="center"/>
        </w:trPr>
        <w:tc>
          <w:tcPr>
            <w:tcW w:w="1999" w:type="pct"/>
            <w:shd w:val="clear" w:color="auto" w:fill="auto"/>
            <w:vAlign w:val="center"/>
          </w:tcPr>
          <w:p w14:paraId="13B8C2FA"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Not consented (out of eligible)</w:t>
            </w:r>
          </w:p>
        </w:tc>
        <w:tc>
          <w:tcPr>
            <w:tcW w:w="729" w:type="pct"/>
            <w:shd w:val="clear" w:color="auto" w:fill="auto"/>
            <w:vAlign w:val="center"/>
          </w:tcPr>
          <w:p w14:paraId="321CA92B"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85 (18.8%)</w:t>
            </w:r>
          </w:p>
        </w:tc>
        <w:tc>
          <w:tcPr>
            <w:tcW w:w="730" w:type="pct"/>
            <w:shd w:val="clear" w:color="auto" w:fill="auto"/>
            <w:vAlign w:val="center"/>
          </w:tcPr>
          <w:p w14:paraId="1092A0E1"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98 (33.0%)</w:t>
            </w:r>
          </w:p>
        </w:tc>
        <w:tc>
          <w:tcPr>
            <w:tcW w:w="731" w:type="pct"/>
            <w:shd w:val="clear" w:color="auto" w:fill="auto"/>
            <w:vAlign w:val="center"/>
          </w:tcPr>
          <w:p w14:paraId="64328B70"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105 (32.7%)</w:t>
            </w:r>
          </w:p>
        </w:tc>
        <w:tc>
          <w:tcPr>
            <w:tcW w:w="811" w:type="pct"/>
            <w:shd w:val="clear" w:color="auto" w:fill="auto"/>
            <w:vAlign w:val="center"/>
          </w:tcPr>
          <w:p w14:paraId="021C2E45"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288 (26.9%)</w:t>
            </w:r>
          </w:p>
        </w:tc>
      </w:tr>
      <w:tr w:rsidR="00E07CDE" w:rsidRPr="00921620" w14:paraId="65D529FC" w14:textId="77777777" w:rsidTr="00C163F3">
        <w:trPr>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2426DC49"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Consent refused</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01DDB4B7"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69 (81.2%)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316A7BF1"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87 (88.8%)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5D218D84"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82 (78.1%)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B3EDDF0"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238 (82.6%)</w:t>
            </w:r>
          </w:p>
        </w:tc>
      </w:tr>
      <w:tr w:rsidR="00E07CDE" w:rsidRPr="00921620" w14:paraId="32F58DB8" w14:textId="77777777" w:rsidTr="00C163F3">
        <w:trPr>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3DB894AB"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By: Resident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6D2C4214"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24 (66.7%)</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55EFF0ED"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4 (11.1%)</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0FA9115"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8 (22.2%)</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579CBC6D"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36 (15.1%)</w:t>
            </w:r>
          </w:p>
        </w:tc>
      </w:tr>
      <w:tr w:rsidR="00E07CDE" w:rsidRPr="00921620" w14:paraId="4B0E3C05" w14:textId="77777777" w:rsidTr="00C163F3">
        <w:trPr>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114AA9CF"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Personal consultee</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78611521"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33 (24.8%)</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3F749643"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37 (27.8%)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6B56B2B"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63 (47.4%)</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28DD40DE"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133 (55.9%)</w:t>
            </w:r>
          </w:p>
        </w:tc>
      </w:tr>
      <w:tr w:rsidR="00E07CDE" w:rsidRPr="00921620" w14:paraId="39F3DB9B" w14:textId="77777777" w:rsidTr="00C163F3">
        <w:trPr>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7C216E92"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Nominated consultee</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299BC051"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12 (17.4%)</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572D9ED8"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46 (66.7%)</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C339FE2"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11 (15.9%)</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33896BA8"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69 (29.0%)</w:t>
            </w:r>
          </w:p>
        </w:tc>
      </w:tr>
      <w:tr w:rsidR="00E07CDE" w:rsidRPr="00921620" w14:paraId="4229D5DD" w14:textId="77777777" w:rsidTr="00C163F3">
        <w:trPr>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5B3C9F66"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Resident died</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3FBC00F1"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5 (5.9%)</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2A7D052E"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5 (5.1%)</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193C7135"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8 (7.6%)</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ECFBA46"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18 (6.3%)</w:t>
            </w:r>
          </w:p>
        </w:tc>
      </w:tr>
      <w:tr w:rsidR="00E07CDE" w:rsidRPr="00921620" w14:paraId="564D77FA" w14:textId="77777777" w:rsidTr="00C163F3">
        <w:trPr>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59FE4F3B"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Unwilling to engage with researcher</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0C32835F"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4 (4.7%)</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08E68D6F"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 (2.0%)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FCC9E77"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5 (4.8%)</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7E7E51E"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11 (3.8%)</w:t>
            </w:r>
          </w:p>
        </w:tc>
      </w:tr>
      <w:tr w:rsidR="00E07CDE" w:rsidRPr="00921620" w14:paraId="524FE6E9" w14:textId="77777777" w:rsidTr="00C163F3">
        <w:trPr>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7500A7FB"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Resident transferred elsewhere</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3539332F"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7 (8.2%)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6E6D543C"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 (2.0%)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3456A8B"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7 (6.7%)</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915544D"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16 (5.6%)</w:t>
            </w:r>
          </w:p>
        </w:tc>
      </w:tr>
      <w:tr w:rsidR="00E07CDE" w:rsidRPr="00921620" w14:paraId="0C10A9B5" w14:textId="77777777" w:rsidTr="00C163F3">
        <w:trPr>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5E5A69C9"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No consultee available to consent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4D99287F"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07B3803C"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C4B2716"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 (1.9%)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A272DB1"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 (0.7%)</w:t>
            </w:r>
          </w:p>
        </w:tc>
      </w:tr>
      <w:tr w:rsidR="00E07CDE" w:rsidRPr="00921620" w14:paraId="48300D38" w14:textId="77777777" w:rsidTr="00C163F3">
        <w:trPr>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764B4663"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Other</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40D848AA"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(1.2%)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44686F9C"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 (2.0%)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58E82F1"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 (1.9%)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7425E7E"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5 (1.7%)</w:t>
            </w:r>
          </w:p>
        </w:tc>
      </w:tr>
      <w:tr w:rsidR="00E07CDE" w:rsidRPr="00921620" w14:paraId="7A3A2744" w14:textId="77777777" w:rsidTr="00C163F3">
        <w:trPr>
          <w:jc w:val="center"/>
        </w:trPr>
        <w:tc>
          <w:tcPr>
            <w:tcW w:w="1999" w:type="pct"/>
            <w:shd w:val="clear" w:color="auto" w:fill="auto"/>
            <w:vAlign w:val="center"/>
          </w:tcPr>
          <w:p w14:paraId="76780A83" w14:textId="77777777" w:rsidR="00E07CDE" w:rsidRPr="00921620" w:rsidRDefault="00E07CDE" w:rsidP="002D1FFB">
            <w:pPr>
              <w:autoSpaceDE/>
              <w:autoSpaceDN/>
              <w:adjustRightInd/>
              <w:spacing w:before="60" w:after="0" w:line="240" w:lineRule="auto"/>
              <w:rPr>
                <w:rFonts w:eastAsia="Calibri"/>
                <w:b/>
                <w:sz w:val="18"/>
                <w:szCs w:val="18"/>
                <w:lang w:eastAsia="en-US"/>
              </w:rPr>
            </w:pPr>
            <w:r w:rsidRPr="00921620">
              <w:rPr>
                <w:rFonts w:eastAsia="Calibri"/>
                <w:b/>
                <w:sz w:val="18"/>
                <w:szCs w:val="18"/>
                <w:lang w:eastAsia="en-US"/>
              </w:rPr>
              <w:t>Registered (out of consented)</w:t>
            </w:r>
          </w:p>
        </w:tc>
        <w:tc>
          <w:tcPr>
            <w:tcW w:w="729" w:type="pct"/>
            <w:shd w:val="clear" w:color="auto" w:fill="auto"/>
            <w:vAlign w:val="center"/>
          </w:tcPr>
          <w:p w14:paraId="76383661"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339 (92.6%)</w:t>
            </w:r>
          </w:p>
        </w:tc>
        <w:tc>
          <w:tcPr>
            <w:tcW w:w="730" w:type="pct"/>
            <w:shd w:val="clear" w:color="auto" w:fill="auto"/>
            <w:vAlign w:val="center"/>
          </w:tcPr>
          <w:p w14:paraId="658B0B91"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191 (96.0%)</w:t>
            </w:r>
          </w:p>
        </w:tc>
        <w:tc>
          <w:tcPr>
            <w:tcW w:w="731" w:type="pct"/>
            <w:shd w:val="clear" w:color="auto" w:fill="auto"/>
            <w:vAlign w:val="center"/>
          </w:tcPr>
          <w:p w14:paraId="22479BE9"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213 (98.6%)</w:t>
            </w:r>
          </w:p>
        </w:tc>
        <w:tc>
          <w:tcPr>
            <w:tcW w:w="811" w:type="pct"/>
            <w:shd w:val="clear" w:color="auto" w:fill="auto"/>
            <w:vAlign w:val="center"/>
          </w:tcPr>
          <w:p w14:paraId="3034F224"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743 (95.1%)</w:t>
            </w:r>
          </w:p>
        </w:tc>
      </w:tr>
      <w:tr w:rsidR="00E07CDE" w:rsidRPr="00921620" w14:paraId="4F0E73CC" w14:textId="77777777" w:rsidTr="00C163F3">
        <w:trPr>
          <w:jc w:val="center"/>
        </w:trPr>
        <w:tc>
          <w:tcPr>
            <w:tcW w:w="1999" w:type="pct"/>
            <w:shd w:val="clear" w:color="auto" w:fill="auto"/>
            <w:vAlign w:val="center"/>
          </w:tcPr>
          <w:p w14:paraId="240153E4"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Not registered (out of consented)</w:t>
            </w:r>
          </w:p>
        </w:tc>
        <w:tc>
          <w:tcPr>
            <w:tcW w:w="729" w:type="pct"/>
            <w:tcBorders>
              <w:bottom w:val="single" w:sz="4" w:space="0" w:color="auto"/>
            </w:tcBorders>
            <w:shd w:val="clear" w:color="auto" w:fill="auto"/>
            <w:vAlign w:val="center"/>
          </w:tcPr>
          <w:p w14:paraId="61FC12CA"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27 (7.4%)</w:t>
            </w:r>
          </w:p>
        </w:tc>
        <w:tc>
          <w:tcPr>
            <w:tcW w:w="730" w:type="pct"/>
            <w:tcBorders>
              <w:bottom w:val="single" w:sz="4" w:space="0" w:color="auto"/>
            </w:tcBorders>
            <w:shd w:val="clear" w:color="auto" w:fill="auto"/>
            <w:vAlign w:val="center"/>
          </w:tcPr>
          <w:p w14:paraId="1E69BBBB"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8 (4.0%)</w:t>
            </w:r>
          </w:p>
        </w:tc>
        <w:tc>
          <w:tcPr>
            <w:tcW w:w="731" w:type="pct"/>
            <w:tcBorders>
              <w:bottom w:val="single" w:sz="4" w:space="0" w:color="auto"/>
            </w:tcBorders>
            <w:shd w:val="clear" w:color="auto" w:fill="auto"/>
            <w:vAlign w:val="center"/>
          </w:tcPr>
          <w:p w14:paraId="5953C16F"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3 (1.4%)</w:t>
            </w:r>
          </w:p>
        </w:tc>
        <w:tc>
          <w:tcPr>
            <w:tcW w:w="811" w:type="pct"/>
            <w:tcBorders>
              <w:bottom w:val="single" w:sz="4" w:space="0" w:color="auto"/>
            </w:tcBorders>
            <w:shd w:val="clear" w:color="auto" w:fill="auto"/>
            <w:vAlign w:val="center"/>
          </w:tcPr>
          <w:p w14:paraId="7D30AA9E"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38 (4.9%)</w:t>
            </w:r>
          </w:p>
        </w:tc>
      </w:tr>
      <w:tr w:rsidR="00E07CDE" w:rsidRPr="00921620" w14:paraId="7BBA6422" w14:textId="77777777" w:rsidTr="00C163F3">
        <w:trPr>
          <w:jc w:val="center"/>
        </w:trPr>
        <w:tc>
          <w:tcPr>
            <w:tcW w:w="1999" w:type="pct"/>
            <w:shd w:val="clear" w:color="auto" w:fill="auto"/>
            <w:vAlign w:val="center"/>
          </w:tcPr>
          <w:p w14:paraId="787D3172"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Died</w:t>
            </w:r>
          </w:p>
        </w:tc>
        <w:tc>
          <w:tcPr>
            <w:tcW w:w="729" w:type="pct"/>
            <w:tcBorders>
              <w:top w:val="single" w:sz="4" w:space="0" w:color="auto"/>
              <w:left w:val="nil"/>
              <w:bottom w:val="single" w:sz="4" w:space="0" w:color="auto"/>
              <w:right w:val="single" w:sz="4" w:space="0" w:color="auto"/>
            </w:tcBorders>
            <w:shd w:val="clear" w:color="000000" w:fill="FFFFFF"/>
            <w:vAlign w:val="center"/>
          </w:tcPr>
          <w:p w14:paraId="75DEE888"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16 (59.3%)</w:t>
            </w:r>
          </w:p>
        </w:tc>
        <w:tc>
          <w:tcPr>
            <w:tcW w:w="730" w:type="pct"/>
            <w:tcBorders>
              <w:top w:val="single" w:sz="4" w:space="0" w:color="auto"/>
              <w:left w:val="single" w:sz="4" w:space="0" w:color="auto"/>
              <w:bottom w:val="single" w:sz="4" w:space="0" w:color="auto"/>
              <w:right w:val="single" w:sz="4" w:space="0" w:color="auto"/>
            </w:tcBorders>
            <w:shd w:val="clear" w:color="000000" w:fill="FFFFFF"/>
            <w:vAlign w:val="center"/>
          </w:tcPr>
          <w:p w14:paraId="038BAF02"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7 (87.5%)</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tcPr>
          <w:p w14:paraId="20C58E1C"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3 (100.0%)</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14:paraId="55E98C5B"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26 (68.4%)</w:t>
            </w:r>
          </w:p>
        </w:tc>
      </w:tr>
      <w:tr w:rsidR="00E07CDE" w:rsidRPr="00921620" w14:paraId="1B7401A9" w14:textId="77777777" w:rsidTr="00C163F3">
        <w:trPr>
          <w:jc w:val="center"/>
        </w:trPr>
        <w:tc>
          <w:tcPr>
            <w:tcW w:w="1999" w:type="pct"/>
            <w:shd w:val="clear" w:color="auto" w:fill="auto"/>
            <w:vAlign w:val="center"/>
          </w:tcPr>
          <w:p w14:paraId="38A06DD4"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Withdrawn</w:t>
            </w:r>
          </w:p>
        </w:tc>
        <w:tc>
          <w:tcPr>
            <w:tcW w:w="729" w:type="pct"/>
            <w:tcBorders>
              <w:top w:val="single" w:sz="4" w:space="0" w:color="auto"/>
              <w:left w:val="nil"/>
              <w:bottom w:val="single" w:sz="4" w:space="0" w:color="auto"/>
              <w:right w:val="single" w:sz="4" w:space="0" w:color="auto"/>
            </w:tcBorders>
            <w:shd w:val="clear" w:color="000000" w:fill="FFFFFF"/>
            <w:vAlign w:val="center"/>
          </w:tcPr>
          <w:p w14:paraId="7DA2330E"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(3.7%)</w:t>
            </w:r>
          </w:p>
        </w:tc>
        <w:tc>
          <w:tcPr>
            <w:tcW w:w="730" w:type="pct"/>
            <w:tcBorders>
              <w:top w:val="single" w:sz="4" w:space="0" w:color="auto"/>
              <w:left w:val="single" w:sz="4" w:space="0" w:color="auto"/>
              <w:bottom w:val="single" w:sz="4" w:space="0" w:color="auto"/>
              <w:right w:val="single" w:sz="4" w:space="0" w:color="auto"/>
            </w:tcBorders>
            <w:shd w:val="clear" w:color="000000" w:fill="FFFFFF"/>
            <w:vAlign w:val="center"/>
          </w:tcPr>
          <w:p w14:paraId="528DA682"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tcPr>
          <w:p w14:paraId="1F399DF9"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14:paraId="006E1DA5"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(2.6%)</w:t>
            </w:r>
          </w:p>
        </w:tc>
      </w:tr>
      <w:tr w:rsidR="00E07CDE" w:rsidRPr="00921620" w14:paraId="3533EB1B" w14:textId="77777777" w:rsidTr="00C163F3">
        <w:trPr>
          <w:jc w:val="center"/>
        </w:trPr>
        <w:tc>
          <w:tcPr>
            <w:tcW w:w="1999" w:type="pct"/>
            <w:shd w:val="clear" w:color="auto" w:fill="auto"/>
            <w:vAlign w:val="center"/>
          </w:tcPr>
          <w:p w14:paraId="4C706525"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No longer eligible</w:t>
            </w:r>
          </w:p>
        </w:tc>
        <w:tc>
          <w:tcPr>
            <w:tcW w:w="729" w:type="pct"/>
            <w:tcBorders>
              <w:top w:val="single" w:sz="4" w:space="0" w:color="auto"/>
              <w:left w:val="nil"/>
              <w:bottom w:val="single" w:sz="4" w:space="0" w:color="auto"/>
              <w:right w:val="single" w:sz="4" w:space="0" w:color="auto"/>
            </w:tcBorders>
            <w:shd w:val="clear" w:color="000000" w:fill="FFFFFF"/>
            <w:vAlign w:val="center"/>
          </w:tcPr>
          <w:p w14:paraId="0EE51CFD"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3 (11.1%)</w:t>
            </w:r>
          </w:p>
        </w:tc>
        <w:tc>
          <w:tcPr>
            <w:tcW w:w="730" w:type="pct"/>
            <w:tcBorders>
              <w:top w:val="single" w:sz="4" w:space="0" w:color="auto"/>
              <w:left w:val="single" w:sz="4" w:space="0" w:color="auto"/>
              <w:bottom w:val="single" w:sz="4" w:space="0" w:color="auto"/>
              <w:right w:val="single" w:sz="4" w:space="0" w:color="auto"/>
            </w:tcBorders>
            <w:shd w:val="clear" w:color="000000" w:fill="FFFFFF"/>
            <w:vAlign w:val="center"/>
          </w:tcPr>
          <w:p w14:paraId="0695DE4B"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tcPr>
          <w:p w14:paraId="3E7DA88E"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14:paraId="75B82A19"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3 (7.9%)</w:t>
            </w:r>
          </w:p>
        </w:tc>
      </w:tr>
      <w:tr w:rsidR="00E07CDE" w:rsidRPr="00921620" w14:paraId="6E478DA2" w14:textId="77777777" w:rsidTr="00C163F3">
        <w:trPr>
          <w:jc w:val="center"/>
        </w:trPr>
        <w:tc>
          <w:tcPr>
            <w:tcW w:w="1999" w:type="pct"/>
            <w:shd w:val="clear" w:color="auto" w:fill="auto"/>
            <w:vAlign w:val="center"/>
          </w:tcPr>
          <w:p w14:paraId="23CF458C"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Moved out of care home</w:t>
            </w:r>
          </w:p>
        </w:tc>
        <w:tc>
          <w:tcPr>
            <w:tcW w:w="729" w:type="pct"/>
            <w:tcBorders>
              <w:top w:val="single" w:sz="4" w:space="0" w:color="auto"/>
              <w:left w:val="nil"/>
              <w:bottom w:val="single" w:sz="4" w:space="0" w:color="auto"/>
              <w:right w:val="single" w:sz="4" w:space="0" w:color="auto"/>
            </w:tcBorders>
            <w:shd w:val="clear" w:color="000000" w:fill="FFFFFF"/>
            <w:vAlign w:val="center"/>
          </w:tcPr>
          <w:p w14:paraId="61ABE46C"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7 (25.9%)</w:t>
            </w:r>
          </w:p>
        </w:tc>
        <w:tc>
          <w:tcPr>
            <w:tcW w:w="730" w:type="pct"/>
            <w:tcBorders>
              <w:top w:val="single" w:sz="4" w:space="0" w:color="auto"/>
              <w:left w:val="single" w:sz="4" w:space="0" w:color="auto"/>
              <w:bottom w:val="single" w:sz="4" w:space="0" w:color="auto"/>
              <w:right w:val="single" w:sz="4" w:space="0" w:color="auto"/>
            </w:tcBorders>
            <w:shd w:val="clear" w:color="000000" w:fill="FFFFFF"/>
            <w:vAlign w:val="center"/>
          </w:tcPr>
          <w:p w14:paraId="1A66F7E6"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tcPr>
          <w:p w14:paraId="7B410546"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14:paraId="08743CA7"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7 (18.4%)</w:t>
            </w:r>
          </w:p>
        </w:tc>
      </w:tr>
      <w:tr w:rsidR="00E07CDE" w:rsidRPr="00921620" w14:paraId="5C65CFE9" w14:textId="77777777" w:rsidTr="00C163F3">
        <w:trPr>
          <w:jc w:val="center"/>
        </w:trPr>
        <w:tc>
          <w:tcPr>
            <w:tcW w:w="1999" w:type="pct"/>
            <w:shd w:val="clear" w:color="auto" w:fill="auto"/>
            <w:vAlign w:val="center"/>
          </w:tcPr>
          <w:p w14:paraId="4A117E2E"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Other </w:t>
            </w:r>
          </w:p>
        </w:tc>
        <w:tc>
          <w:tcPr>
            <w:tcW w:w="729" w:type="pct"/>
            <w:tcBorders>
              <w:top w:val="single" w:sz="4" w:space="0" w:color="auto"/>
              <w:left w:val="nil"/>
              <w:bottom w:val="single" w:sz="4" w:space="0" w:color="auto"/>
              <w:right w:val="single" w:sz="4" w:space="0" w:color="auto"/>
            </w:tcBorders>
            <w:shd w:val="clear" w:color="000000" w:fill="FFFFFF"/>
            <w:vAlign w:val="center"/>
          </w:tcPr>
          <w:p w14:paraId="1C228E25"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(3.7%)</w:t>
            </w:r>
          </w:p>
        </w:tc>
        <w:tc>
          <w:tcPr>
            <w:tcW w:w="730" w:type="pct"/>
            <w:tcBorders>
              <w:top w:val="single" w:sz="4" w:space="0" w:color="auto"/>
              <w:left w:val="single" w:sz="4" w:space="0" w:color="auto"/>
              <w:bottom w:val="single" w:sz="4" w:space="0" w:color="auto"/>
              <w:right w:val="single" w:sz="4" w:space="0" w:color="auto"/>
            </w:tcBorders>
            <w:shd w:val="clear" w:color="000000" w:fill="FFFFFF"/>
            <w:vAlign w:val="center"/>
          </w:tcPr>
          <w:p w14:paraId="74B3D657"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(12.5%)</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tcPr>
          <w:p w14:paraId="3232AA96"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14:paraId="5CC71462"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2 (5.3%)</w:t>
            </w:r>
          </w:p>
        </w:tc>
      </w:tr>
      <w:tr w:rsidR="00E07CDE" w:rsidRPr="00921620" w14:paraId="0E11AD62" w14:textId="77777777" w:rsidTr="00C163F3">
        <w:trPr>
          <w:jc w:val="center"/>
        </w:trPr>
        <w:tc>
          <w:tcPr>
            <w:tcW w:w="1999" w:type="pct"/>
            <w:shd w:val="clear" w:color="auto" w:fill="auto"/>
            <w:vAlign w:val="center"/>
          </w:tcPr>
          <w:p w14:paraId="48E61574" w14:textId="77777777" w:rsidR="00E07CDE" w:rsidRPr="00921620" w:rsidRDefault="00E07CDE" w:rsidP="002D1FFB">
            <w:pPr>
              <w:autoSpaceDE/>
              <w:autoSpaceDN/>
              <w:adjustRightInd/>
              <w:spacing w:before="60" w:after="0" w:line="240" w:lineRule="auto"/>
              <w:rPr>
                <w:rFonts w:eastAsia="Calibri"/>
                <w:b/>
                <w:sz w:val="18"/>
                <w:szCs w:val="18"/>
                <w:lang w:eastAsia="en-US"/>
              </w:rPr>
            </w:pPr>
            <w:r w:rsidRPr="00921620">
              <w:rPr>
                <w:rFonts w:eastAsia="Calibri"/>
                <w:b/>
                <w:sz w:val="18"/>
                <w:szCs w:val="18"/>
                <w:lang w:eastAsia="en-US"/>
              </w:rPr>
              <w:t>Registered at randomisation (out of registered)</w:t>
            </w:r>
          </w:p>
        </w:tc>
        <w:tc>
          <w:tcPr>
            <w:tcW w:w="729" w:type="pct"/>
            <w:tcBorders>
              <w:top w:val="single" w:sz="4" w:space="0" w:color="auto"/>
              <w:bottom w:val="single" w:sz="4" w:space="0" w:color="auto"/>
            </w:tcBorders>
            <w:shd w:val="clear" w:color="auto" w:fill="auto"/>
            <w:vAlign w:val="center"/>
          </w:tcPr>
          <w:p w14:paraId="3DD1EDFD" w14:textId="77777777" w:rsidR="00E07CDE" w:rsidRPr="00921620" w:rsidRDefault="00E07CDE" w:rsidP="002D1FFB">
            <w:pPr>
              <w:autoSpaceDE/>
              <w:autoSpaceDN/>
              <w:adjustRightInd/>
              <w:spacing w:before="60" w:after="0" w:line="240" w:lineRule="auto"/>
              <w:jc w:val="right"/>
              <w:rPr>
                <w:rFonts w:eastAsia="Calibri"/>
                <w:b/>
                <w:sz w:val="18"/>
                <w:szCs w:val="18"/>
                <w:lang w:eastAsia="en-US"/>
              </w:rPr>
            </w:pPr>
            <w:r w:rsidRPr="00921620">
              <w:rPr>
                <w:rFonts w:eastAsia="Calibri"/>
                <w:b/>
                <w:sz w:val="18"/>
                <w:szCs w:val="18"/>
                <w:lang w:eastAsia="en-US"/>
              </w:rPr>
              <w:t>330 (97.3%)</w:t>
            </w:r>
          </w:p>
        </w:tc>
        <w:tc>
          <w:tcPr>
            <w:tcW w:w="730" w:type="pct"/>
            <w:tcBorders>
              <w:top w:val="single" w:sz="4" w:space="0" w:color="auto"/>
              <w:bottom w:val="single" w:sz="4" w:space="0" w:color="auto"/>
            </w:tcBorders>
            <w:shd w:val="clear" w:color="auto" w:fill="auto"/>
            <w:vAlign w:val="center"/>
          </w:tcPr>
          <w:p w14:paraId="39A3DD80" w14:textId="77777777" w:rsidR="00E07CDE" w:rsidRPr="00921620" w:rsidRDefault="00E07CDE" w:rsidP="002D1FFB">
            <w:pPr>
              <w:autoSpaceDE/>
              <w:autoSpaceDN/>
              <w:adjustRightInd/>
              <w:spacing w:before="60" w:after="0" w:line="240" w:lineRule="auto"/>
              <w:jc w:val="right"/>
              <w:rPr>
                <w:rFonts w:eastAsia="Calibri"/>
                <w:b/>
                <w:sz w:val="18"/>
                <w:szCs w:val="18"/>
                <w:lang w:eastAsia="en-US"/>
              </w:rPr>
            </w:pPr>
            <w:r w:rsidRPr="00921620">
              <w:rPr>
                <w:rFonts w:eastAsia="Calibri"/>
                <w:b/>
                <w:sz w:val="18"/>
                <w:szCs w:val="18"/>
                <w:lang w:eastAsia="en-US"/>
              </w:rPr>
              <w:t>185 (96.9%)</w:t>
            </w:r>
          </w:p>
        </w:tc>
        <w:tc>
          <w:tcPr>
            <w:tcW w:w="731" w:type="pct"/>
            <w:tcBorders>
              <w:top w:val="single" w:sz="4" w:space="0" w:color="auto"/>
              <w:bottom w:val="single" w:sz="4" w:space="0" w:color="auto"/>
            </w:tcBorders>
            <w:shd w:val="clear" w:color="auto" w:fill="auto"/>
            <w:vAlign w:val="center"/>
          </w:tcPr>
          <w:p w14:paraId="5E754221" w14:textId="77777777" w:rsidR="00E07CDE" w:rsidRPr="00921620" w:rsidRDefault="00E07CDE" w:rsidP="002D1FFB">
            <w:pPr>
              <w:autoSpaceDE/>
              <w:autoSpaceDN/>
              <w:adjustRightInd/>
              <w:spacing w:before="60" w:after="0" w:line="240" w:lineRule="auto"/>
              <w:jc w:val="right"/>
              <w:rPr>
                <w:rFonts w:eastAsia="Calibri"/>
                <w:b/>
                <w:sz w:val="18"/>
                <w:szCs w:val="18"/>
                <w:lang w:eastAsia="en-US"/>
              </w:rPr>
            </w:pPr>
            <w:r w:rsidRPr="00921620">
              <w:rPr>
                <w:rFonts w:eastAsia="Calibri"/>
                <w:b/>
                <w:sz w:val="18"/>
                <w:szCs w:val="18"/>
                <w:lang w:eastAsia="en-US"/>
              </w:rPr>
              <w:t>211 (99.1%)</w:t>
            </w:r>
          </w:p>
        </w:tc>
        <w:tc>
          <w:tcPr>
            <w:tcW w:w="811" w:type="pct"/>
            <w:tcBorders>
              <w:top w:val="single" w:sz="4" w:space="0" w:color="auto"/>
              <w:bottom w:val="single" w:sz="4" w:space="0" w:color="auto"/>
            </w:tcBorders>
            <w:shd w:val="clear" w:color="auto" w:fill="auto"/>
            <w:vAlign w:val="center"/>
          </w:tcPr>
          <w:p w14:paraId="5376C288" w14:textId="77777777" w:rsidR="00E07CDE" w:rsidRPr="00921620" w:rsidRDefault="00E07CDE" w:rsidP="002D1FFB">
            <w:pPr>
              <w:autoSpaceDE/>
              <w:autoSpaceDN/>
              <w:adjustRightInd/>
              <w:spacing w:before="60" w:after="0" w:line="240" w:lineRule="auto"/>
              <w:jc w:val="right"/>
              <w:rPr>
                <w:rFonts w:eastAsia="Calibri"/>
                <w:b/>
                <w:sz w:val="18"/>
                <w:szCs w:val="18"/>
                <w:lang w:eastAsia="en-US"/>
              </w:rPr>
            </w:pPr>
            <w:r w:rsidRPr="00921620">
              <w:rPr>
                <w:rFonts w:eastAsia="Calibri"/>
                <w:b/>
                <w:sz w:val="18"/>
                <w:szCs w:val="18"/>
                <w:lang w:eastAsia="en-US"/>
              </w:rPr>
              <w:t>726 (97.7%)</w:t>
            </w:r>
          </w:p>
        </w:tc>
      </w:tr>
      <w:tr w:rsidR="00E07CDE" w:rsidRPr="00921620" w14:paraId="510EDAEC" w14:textId="77777777" w:rsidTr="00C163F3">
        <w:trPr>
          <w:jc w:val="center"/>
        </w:trPr>
        <w:tc>
          <w:tcPr>
            <w:tcW w:w="1999" w:type="pct"/>
            <w:shd w:val="clear" w:color="auto" w:fill="auto"/>
            <w:vAlign w:val="center"/>
          </w:tcPr>
          <w:p w14:paraId="57353123" w14:textId="77777777" w:rsidR="00E07CDE" w:rsidRPr="00921620" w:rsidRDefault="00E07CDE" w:rsidP="002D1FFB">
            <w:pPr>
              <w:autoSpaceDE/>
              <w:autoSpaceDN/>
              <w:adjustRightInd/>
              <w:spacing w:before="60" w:after="0" w:line="240" w:lineRule="auto"/>
              <w:rPr>
                <w:rFonts w:eastAsia="Calibri"/>
                <w:sz w:val="18"/>
                <w:szCs w:val="18"/>
                <w:highlight w:val="yellow"/>
                <w:lang w:eastAsia="en-US"/>
              </w:rPr>
            </w:pPr>
            <w:r w:rsidRPr="00921620">
              <w:rPr>
                <w:rFonts w:eastAsia="Calibri"/>
                <w:sz w:val="18"/>
                <w:szCs w:val="18"/>
                <w:lang w:eastAsia="en-US"/>
              </w:rPr>
              <w:t xml:space="preserve">         Died between registration and CH    randomisation (out of   registered)</w:t>
            </w:r>
          </w:p>
        </w:tc>
        <w:tc>
          <w:tcPr>
            <w:tcW w:w="729" w:type="pct"/>
            <w:tcBorders>
              <w:top w:val="single" w:sz="4" w:space="0" w:color="auto"/>
            </w:tcBorders>
            <w:shd w:val="clear" w:color="auto" w:fill="auto"/>
            <w:vAlign w:val="center"/>
          </w:tcPr>
          <w:p w14:paraId="2EAAEFD2"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sz w:val="18"/>
                <w:szCs w:val="18"/>
                <w:lang w:eastAsia="en-US"/>
              </w:rPr>
              <w:t xml:space="preserve">9 (2.7%)   </w:t>
            </w:r>
          </w:p>
        </w:tc>
        <w:tc>
          <w:tcPr>
            <w:tcW w:w="730" w:type="pct"/>
            <w:tcBorders>
              <w:top w:val="single" w:sz="4" w:space="0" w:color="auto"/>
            </w:tcBorders>
            <w:shd w:val="clear" w:color="auto" w:fill="auto"/>
            <w:vAlign w:val="center"/>
          </w:tcPr>
          <w:p w14:paraId="6EBF188A"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sz w:val="18"/>
                <w:szCs w:val="18"/>
                <w:lang w:eastAsia="en-US"/>
              </w:rPr>
              <w:t>6 (3.1%)</w:t>
            </w:r>
          </w:p>
        </w:tc>
        <w:tc>
          <w:tcPr>
            <w:tcW w:w="731" w:type="pct"/>
            <w:tcBorders>
              <w:top w:val="single" w:sz="4" w:space="0" w:color="auto"/>
            </w:tcBorders>
            <w:shd w:val="clear" w:color="auto" w:fill="auto"/>
            <w:vAlign w:val="center"/>
          </w:tcPr>
          <w:p w14:paraId="341D4A63"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sz w:val="18"/>
                <w:szCs w:val="18"/>
                <w:lang w:eastAsia="en-US"/>
              </w:rPr>
              <w:t>2 (0.9%)</w:t>
            </w:r>
          </w:p>
        </w:tc>
        <w:tc>
          <w:tcPr>
            <w:tcW w:w="811" w:type="pct"/>
            <w:tcBorders>
              <w:top w:val="single" w:sz="4" w:space="0" w:color="auto"/>
            </w:tcBorders>
            <w:shd w:val="clear" w:color="auto" w:fill="auto"/>
            <w:vAlign w:val="center"/>
          </w:tcPr>
          <w:p w14:paraId="62BB934D"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sz w:val="18"/>
                <w:szCs w:val="18"/>
                <w:lang w:eastAsia="en-US"/>
              </w:rPr>
              <w:t>17 (2.3%)</w:t>
            </w:r>
          </w:p>
        </w:tc>
      </w:tr>
    </w:tbl>
    <w:p w14:paraId="14E7F3D7" w14:textId="77777777" w:rsidR="002D1FFB" w:rsidRDefault="00E07CDE" w:rsidP="002D1FFB">
      <w:pPr>
        <w:autoSpaceDE/>
        <w:autoSpaceDN/>
        <w:adjustRightInd/>
        <w:spacing w:before="120" w:after="0" w:line="240" w:lineRule="auto"/>
        <w:rPr>
          <w:rFonts w:eastAsia="Calibri"/>
          <w:sz w:val="20"/>
          <w:szCs w:val="20"/>
          <w:lang w:eastAsia="en-US"/>
        </w:rPr>
      </w:pPr>
      <w:r w:rsidRPr="00921620">
        <w:rPr>
          <w:rFonts w:eastAsia="Calibri"/>
          <w:sz w:val="20"/>
          <w:szCs w:val="20"/>
          <w:lang w:eastAsia="en-US"/>
        </w:rPr>
        <w:t xml:space="preserve">Percentages of reasons “Not eligible”, “Not consented” and “Not registered” are calculated out of number of “Not eligible”, “Not consented” and “Not registered” respectively. </w:t>
      </w:r>
    </w:p>
    <w:p w14:paraId="41F1636E" w14:textId="2C82118C" w:rsidR="00E07CDE" w:rsidRPr="00921620" w:rsidRDefault="00E07CDE" w:rsidP="002D1FFB">
      <w:pPr>
        <w:autoSpaceDE/>
        <w:autoSpaceDN/>
        <w:adjustRightInd/>
        <w:spacing w:before="120" w:after="0" w:line="240" w:lineRule="auto"/>
        <w:rPr>
          <w:rFonts w:eastAsia="Calibri"/>
          <w:sz w:val="20"/>
          <w:szCs w:val="20"/>
          <w:lang w:eastAsia="en-US"/>
        </w:rPr>
      </w:pPr>
      <w:r w:rsidRPr="00921620">
        <w:rPr>
          <w:rFonts w:eastAsia="Calibri"/>
          <w:sz w:val="20"/>
          <w:szCs w:val="20"/>
          <w:lang w:eastAsia="en-US"/>
        </w:rPr>
        <w:t>Reasons “Not eligible”, “Not consented” and “Not registered” are not mutually exclusive.</w:t>
      </w:r>
    </w:p>
    <w:p w14:paraId="648048AD" w14:textId="77777777" w:rsidR="00E07CDE" w:rsidRPr="00563AD3" w:rsidRDefault="00E07CDE" w:rsidP="009B13F3">
      <w:pPr>
        <w:keepNext/>
        <w:autoSpaceDE/>
        <w:autoSpaceDN/>
        <w:adjustRightInd/>
        <w:spacing w:before="120" w:after="0"/>
        <w:rPr>
          <w:rFonts w:eastAsia="Calibri"/>
          <w:b/>
          <w:bCs/>
          <w:sz w:val="24"/>
          <w:szCs w:val="18"/>
          <w:lang w:eastAsia="en-US"/>
        </w:rPr>
      </w:pPr>
    </w:p>
    <w:p w14:paraId="6BB10626" w14:textId="77777777" w:rsidR="00E07CDE" w:rsidRPr="00563AD3" w:rsidRDefault="00E07CDE" w:rsidP="009B13F3">
      <w:pPr>
        <w:autoSpaceDE/>
        <w:autoSpaceDN/>
        <w:adjustRightInd/>
        <w:rPr>
          <w:rFonts w:eastAsia="Calibri"/>
          <w:b/>
          <w:bCs/>
          <w:sz w:val="24"/>
          <w:szCs w:val="18"/>
          <w:lang w:eastAsia="en-US"/>
        </w:rPr>
      </w:pPr>
      <w:bookmarkStart w:id="249" w:name="_Ref497481357"/>
      <w:bookmarkStart w:id="250" w:name="_Toc500934989"/>
      <w:r w:rsidRPr="00563AD3">
        <w:rPr>
          <w:rFonts w:eastAsia="Calibri"/>
          <w:b/>
          <w:bCs/>
          <w:sz w:val="24"/>
          <w:szCs w:val="18"/>
          <w:lang w:eastAsia="en-US"/>
        </w:rPr>
        <w:br w:type="page"/>
      </w:r>
    </w:p>
    <w:p w14:paraId="28710D42" w14:textId="2D9E7103" w:rsidR="00E07CDE" w:rsidRPr="00563AD3" w:rsidRDefault="00E07CDE" w:rsidP="002D1FFB">
      <w:pPr>
        <w:pStyle w:val="Tableheading"/>
        <w:rPr>
          <w:rFonts w:eastAsia="Calibri"/>
          <w:lang w:eastAsia="en-US"/>
        </w:rPr>
      </w:pPr>
      <w:bookmarkStart w:id="251" w:name="_Toc948224"/>
      <w:r w:rsidRPr="00563AD3">
        <w:rPr>
          <w:rFonts w:eastAsia="Calibri"/>
          <w:lang w:eastAsia="en-US"/>
        </w:rPr>
        <w:t xml:space="preserve">Table </w:t>
      </w:r>
      <w:bookmarkEnd w:id="249"/>
      <w:r w:rsidR="000904BB">
        <w:rPr>
          <w:rFonts w:eastAsia="Calibri"/>
          <w:lang w:eastAsia="en-US"/>
        </w:rPr>
        <w:t>2</w:t>
      </w:r>
      <w:r w:rsidR="00E44D89">
        <w:rPr>
          <w:rFonts w:eastAsia="Calibri"/>
          <w:noProof/>
          <w:lang w:eastAsia="en-US"/>
        </w:rPr>
        <w:t>7</w:t>
      </w:r>
      <w:r w:rsidRPr="00563AD3">
        <w:rPr>
          <w:rFonts w:eastAsia="Calibri"/>
          <w:lang w:eastAsia="en-US"/>
        </w:rPr>
        <w:t xml:space="preserve"> Additional resident cohort screening by hub</w:t>
      </w:r>
      <w:bookmarkEnd w:id="250"/>
      <w:bookmarkEnd w:id="2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250"/>
        <w:gridCol w:w="1394"/>
        <w:gridCol w:w="1394"/>
        <w:gridCol w:w="1297"/>
      </w:tblGrid>
      <w:tr w:rsidR="00E07CDE" w:rsidRPr="00921620" w14:paraId="0BCCCFC6" w14:textId="77777777" w:rsidTr="00C163F3">
        <w:trPr>
          <w:jc w:val="center"/>
        </w:trPr>
        <w:tc>
          <w:tcPr>
            <w:tcW w:w="2041" w:type="pct"/>
            <w:vMerge w:val="restart"/>
            <w:tcBorders>
              <w:top w:val="single" w:sz="4" w:space="0" w:color="auto"/>
              <w:left w:val="single" w:sz="4" w:space="0" w:color="auto"/>
              <w:bottom w:val="single" w:sz="4" w:space="0" w:color="auto"/>
              <w:right w:val="single" w:sz="4" w:space="0" w:color="auto"/>
            </w:tcBorders>
            <w:vAlign w:val="bottom"/>
            <w:hideMark/>
          </w:tcPr>
          <w:p w14:paraId="141672D9"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b/>
                <w:sz w:val="18"/>
                <w:szCs w:val="18"/>
                <w:lang w:eastAsia="en-US"/>
              </w:rPr>
              <w:t>Residents</w:t>
            </w:r>
          </w:p>
        </w:tc>
        <w:tc>
          <w:tcPr>
            <w:tcW w:w="2239" w:type="pct"/>
            <w:gridSpan w:val="3"/>
            <w:tcBorders>
              <w:top w:val="single" w:sz="4" w:space="0" w:color="auto"/>
              <w:left w:val="single" w:sz="4" w:space="0" w:color="auto"/>
              <w:bottom w:val="single" w:sz="4" w:space="0" w:color="auto"/>
              <w:right w:val="single" w:sz="4" w:space="0" w:color="auto"/>
            </w:tcBorders>
            <w:vAlign w:val="center"/>
            <w:hideMark/>
          </w:tcPr>
          <w:p w14:paraId="3C40A874" w14:textId="77777777" w:rsidR="00E07CDE" w:rsidRPr="00921620" w:rsidRDefault="00E07CDE" w:rsidP="002D1FFB">
            <w:pPr>
              <w:autoSpaceDE/>
              <w:autoSpaceDN/>
              <w:adjustRightInd/>
              <w:spacing w:before="60" w:after="0" w:line="240" w:lineRule="auto"/>
              <w:jc w:val="center"/>
              <w:rPr>
                <w:rFonts w:eastAsia="Calibri"/>
                <w:b/>
                <w:sz w:val="18"/>
                <w:szCs w:val="18"/>
                <w:lang w:eastAsia="en-US"/>
              </w:rPr>
            </w:pPr>
            <w:r w:rsidRPr="00921620">
              <w:rPr>
                <w:rFonts w:eastAsia="Calibri"/>
                <w:b/>
                <w:sz w:val="18"/>
                <w:szCs w:val="18"/>
                <w:lang w:eastAsia="en-US"/>
              </w:rPr>
              <w:t>Hub</w:t>
            </w:r>
          </w:p>
        </w:tc>
        <w:tc>
          <w:tcPr>
            <w:tcW w:w="719" w:type="pct"/>
            <w:vMerge w:val="restart"/>
            <w:tcBorders>
              <w:top w:val="single" w:sz="4" w:space="0" w:color="auto"/>
              <w:left w:val="single" w:sz="4" w:space="0" w:color="auto"/>
              <w:bottom w:val="single" w:sz="4" w:space="0" w:color="auto"/>
              <w:right w:val="single" w:sz="4" w:space="0" w:color="auto"/>
            </w:tcBorders>
            <w:vAlign w:val="bottom"/>
            <w:hideMark/>
          </w:tcPr>
          <w:p w14:paraId="178B37C5" w14:textId="77777777" w:rsidR="00E07CDE" w:rsidRPr="00921620" w:rsidRDefault="00E07CDE" w:rsidP="002D1FFB">
            <w:pPr>
              <w:keepNext/>
              <w:autoSpaceDE/>
              <w:autoSpaceDN/>
              <w:spacing w:before="60" w:after="0" w:line="240" w:lineRule="auto"/>
              <w:jc w:val="center"/>
              <w:rPr>
                <w:rFonts w:eastAsia="Calibri"/>
                <w:b/>
                <w:bCs/>
                <w:color w:val="000000"/>
                <w:sz w:val="18"/>
                <w:szCs w:val="18"/>
                <w:lang w:eastAsia="en-US"/>
              </w:rPr>
            </w:pPr>
            <w:r w:rsidRPr="00921620">
              <w:rPr>
                <w:rFonts w:eastAsia="Calibri"/>
                <w:b/>
                <w:bCs/>
                <w:color w:val="000000"/>
                <w:sz w:val="18"/>
                <w:szCs w:val="18"/>
                <w:lang w:eastAsia="en-US"/>
              </w:rPr>
              <w:t>Total</w:t>
            </w:r>
          </w:p>
          <w:p w14:paraId="52E73AEF" w14:textId="77777777" w:rsidR="00E07CDE" w:rsidRPr="00921620" w:rsidRDefault="00E07CDE" w:rsidP="002D1FFB">
            <w:pPr>
              <w:keepNext/>
              <w:autoSpaceDE/>
              <w:autoSpaceDN/>
              <w:spacing w:before="60" w:after="0" w:line="240" w:lineRule="auto"/>
              <w:jc w:val="center"/>
              <w:rPr>
                <w:rFonts w:eastAsia="Calibri"/>
                <w:sz w:val="18"/>
                <w:szCs w:val="18"/>
                <w:lang w:eastAsia="en-US"/>
              </w:rPr>
            </w:pPr>
            <w:r w:rsidRPr="00921620">
              <w:rPr>
                <w:rFonts w:eastAsia="Calibri"/>
                <w:b/>
                <w:bCs/>
                <w:color w:val="000000"/>
                <w:sz w:val="18"/>
                <w:szCs w:val="18"/>
                <w:lang w:eastAsia="en-US"/>
              </w:rPr>
              <w:t>CHs</w:t>
            </w:r>
          </w:p>
        </w:tc>
      </w:tr>
      <w:tr w:rsidR="00E07CDE" w:rsidRPr="00921620" w14:paraId="2DDA10EA" w14:textId="77777777" w:rsidTr="00C163F3">
        <w:trPr>
          <w:trHeight w:val="650"/>
          <w:jc w:val="center"/>
        </w:trPr>
        <w:tc>
          <w:tcPr>
            <w:tcW w:w="2041" w:type="pct"/>
            <w:vMerge/>
            <w:tcBorders>
              <w:top w:val="single" w:sz="4" w:space="0" w:color="auto"/>
              <w:left w:val="single" w:sz="4" w:space="0" w:color="auto"/>
              <w:bottom w:val="single" w:sz="4" w:space="0" w:color="auto"/>
              <w:right w:val="single" w:sz="4" w:space="0" w:color="auto"/>
            </w:tcBorders>
            <w:vAlign w:val="center"/>
            <w:hideMark/>
          </w:tcPr>
          <w:p w14:paraId="4B4B9674" w14:textId="77777777" w:rsidR="00E07CDE" w:rsidRPr="00921620" w:rsidRDefault="00E07CDE" w:rsidP="002D1FFB">
            <w:pPr>
              <w:autoSpaceDE/>
              <w:autoSpaceDN/>
              <w:adjustRightInd/>
              <w:spacing w:before="120" w:after="0" w:line="240" w:lineRule="auto"/>
              <w:rPr>
                <w:rFonts w:eastAsia="Calibri"/>
                <w:sz w:val="18"/>
                <w:szCs w:val="18"/>
                <w:lang w:eastAsia="en-US"/>
              </w:rPr>
            </w:pPr>
          </w:p>
        </w:tc>
        <w:tc>
          <w:tcPr>
            <w:tcW w:w="693" w:type="pct"/>
            <w:tcBorders>
              <w:top w:val="single" w:sz="4" w:space="0" w:color="auto"/>
              <w:left w:val="single" w:sz="4" w:space="0" w:color="auto"/>
              <w:bottom w:val="single" w:sz="4" w:space="0" w:color="auto"/>
              <w:right w:val="single" w:sz="4" w:space="0" w:color="auto"/>
            </w:tcBorders>
            <w:vAlign w:val="center"/>
            <w:hideMark/>
          </w:tcPr>
          <w:p w14:paraId="2DD7AA79"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Yorkshire</w:t>
            </w:r>
          </w:p>
          <w:p w14:paraId="45B39EA0"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CHs</w:t>
            </w:r>
          </w:p>
        </w:tc>
        <w:tc>
          <w:tcPr>
            <w:tcW w:w="773" w:type="pct"/>
            <w:tcBorders>
              <w:top w:val="single" w:sz="4" w:space="0" w:color="auto"/>
              <w:left w:val="single" w:sz="4" w:space="0" w:color="auto"/>
              <w:bottom w:val="single" w:sz="4" w:space="0" w:color="auto"/>
              <w:right w:val="single" w:sz="4" w:space="0" w:color="auto"/>
            </w:tcBorders>
            <w:vAlign w:val="center"/>
            <w:hideMark/>
          </w:tcPr>
          <w:p w14:paraId="16D94295"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London</w:t>
            </w:r>
          </w:p>
          <w:p w14:paraId="27DC1B88"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 xml:space="preserve"> CHs</w:t>
            </w:r>
          </w:p>
        </w:tc>
        <w:tc>
          <w:tcPr>
            <w:tcW w:w="773" w:type="pct"/>
            <w:tcBorders>
              <w:top w:val="single" w:sz="4" w:space="0" w:color="auto"/>
              <w:left w:val="single" w:sz="4" w:space="0" w:color="auto"/>
              <w:bottom w:val="single" w:sz="4" w:space="0" w:color="auto"/>
              <w:right w:val="single" w:sz="4" w:space="0" w:color="auto"/>
            </w:tcBorders>
            <w:vAlign w:val="center"/>
            <w:hideMark/>
          </w:tcPr>
          <w:p w14:paraId="4218FC3C"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Oxford</w:t>
            </w:r>
          </w:p>
          <w:p w14:paraId="53915CBE"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 xml:space="preserve"> CHs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FC1CA" w14:textId="77777777" w:rsidR="00E07CDE" w:rsidRPr="00921620" w:rsidRDefault="00E07CDE" w:rsidP="002D1FFB">
            <w:pPr>
              <w:autoSpaceDE/>
              <w:autoSpaceDN/>
              <w:adjustRightInd/>
              <w:spacing w:before="120" w:after="0" w:line="240" w:lineRule="auto"/>
              <w:rPr>
                <w:rFonts w:eastAsia="Calibri"/>
                <w:sz w:val="18"/>
                <w:szCs w:val="18"/>
                <w:lang w:eastAsia="en-US"/>
              </w:rPr>
            </w:pPr>
          </w:p>
        </w:tc>
      </w:tr>
      <w:tr w:rsidR="00E07CDE" w:rsidRPr="00921620" w14:paraId="47D46089"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21C7B322" w14:textId="77777777" w:rsidR="00E07CDE" w:rsidRPr="00921620" w:rsidRDefault="00E07CDE" w:rsidP="002D1FFB">
            <w:pPr>
              <w:autoSpaceDE/>
              <w:autoSpaceDN/>
              <w:adjustRightInd/>
              <w:spacing w:before="60" w:after="0" w:line="240" w:lineRule="auto"/>
              <w:rPr>
                <w:rFonts w:eastAsia="Calibri"/>
                <w:b/>
                <w:sz w:val="18"/>
                <w:szCs w:val="18"/>
                <w:lang w:eastAsia="en-US"/>
              </w:rPr>
            </w:pPr>
            <w:r w:rsidRPr="00921620">
              <w:rPr>
                <w:rFonts w:eastAsia="Calibri"/>
                <w:b/>
                <w:sz w:val="18"/>
                <w:szCs w:val="18"/>
                <w:lang w:eastAsia="en-US"/>
              </w:rPr>
              <w:t>Screened</w:t>
            </w:r>
          </w:p>
        </w:tc>
        <w:tc>
          <w:tcPr>
            <w:tcW w:w="693" w:type="pct"/>
            <w:tcBorders>
              <w:top w:val="single" w:sz="4" w:space="0" w:color="auto"/>
              <w:left w:val="single" w:sz="4" w:space="0" w:color="auto"/>
              <w:bottom w:val="single" w:sz="4" w:space="0" w:color="auto"/>
              <w:right w:val="single" w:sz="4" w:space="0" w:color="auto"/>
            </w:tcBorders>
            <w:vAlign w:val="center"/>
          </w:tcPr>
          <w:p w14:paraId="052FD5D4"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569</w:t>
            </w:r>
          </w:p>
        </w:tc>
        <w:tc>
          <w:tcPr>
            <w:tcW w:w="773" w:type="pct"/>
            <w:tcBorders>
              <w:top w:val="single" w:sz="4" w:space="0" w:color="auto"/>
              <w:left w:val="single" w:sz="4" w:space="0" w:color="auto"/>
              <w:bottom w:val="single" w:sz="4" w:space="0" w:color="auto"/>
              <w:right w:val="single" w:sz="4" w:space="0" w:color="auto"/>
            </w:tcBorders>
            <w:vAlign w:val="center"/>
          </w:tcPr>
          <w:p w14:paraId="172ADB84"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396</w:t>
            </w:r>
          </w:p>
        </w:tc>
        <w:tc>
          <w:tcPr>
            <w:tcW w:w="773" w:type="pct"/>
            <w:tcBorders>
              <w:top w:val="single" w:sz="4" w:space="0" w:color="auto"/>
              <w:left w:val="single" w:sz="4" w:space="0" w:color="auto"/>
              <w:bottom w:val="single" w:sz="4" w:space="0" w:color="auto"/>
              <w:right w:val="single" w:sz="4" w:space="0" w:color="auto"/>
            </w:tcBorders>
            <w:vAlign w:val="center"/>
          </w:tcPr>
          <w:p w14:paraId="623424F4"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479</w:t>
            </w:r>
          </w:p>
        </w:tc>
        <w:tc>
          <w:tcPr>
            <w:tcW w:w="719" w:type="pct"/>
            <w:tcBorders>
              <w:top w:val="single" w:sz="4" w:space="0" w:color="auto"/>
              <w:left w:val="single" w:sz="4" w:space="0" w:color="auto"/>
              <w:bottom w:val="single" w:sz="4" w:space="0" w:color="auto"/>
              <w:right w:val="single" w:sz="4" w:space="0" w:color="auto"/>
            </w:tcBorders>
            <w:vAlign w:val="center"/>
          </w:tcPr>
          <w:p w14:paraId="057A81DB"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1444</w:t>
            </w:r>
          </w:p>
        </w:tc>
      </w:tr>
      <w:tr w:rsidR="00E07CDE" w:rsidRPr="00921620" w14:paraId="3C45E809"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39884787"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Currently participating in EPIC (out of screened)</w:t>
            </w:r>
          </w:p>
        </w:tc>
        <w:tc>
          <w:tcPr>
            <w:tcW w:w="693" w:type="pct"/>
            <w:tcBorders>
              <w:top w:val="single" w:sz="4" w:space="0" w:color="auto"/>
              <w:left w:val="single" w:sz="4" w:space="0" w:color="auto"/>
              <w:bottom w:val="single" w:sz="4" w:space="0" w:color="auto"/>
              <w:right w:val="single" w:sz="4" w:space="0" w:color="auto"/>
            </w:tcBorders>
          </w:tcPr>
          <w:p w14:paraId="3C2CE521"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sz w:val="18"/>
                <w:szCs w:val="18"/>
                <w:lang w:eastAsia="en-US"/>
              </w:rPr>
              <w:t>185 (32.5%)</w:t>
            </w:r>
          </w:p>
        </w:tc>
        <w:tc>
          <w:tcPr>
            <w:tcW w:w="773" w:type="pct"/>
            <w:tcBorders>
              <w:top w:val="single" w:sz="4" w:space="0" w:color="auto"/>
              <w:left w:val="single" w:sz="4" w:space="0" w:color="auto"/>
              <w:bottom w:val="single" w:sz="4" w:space="0" w:color="auto"/>
              <w:right w:val="single" w:sz="4" w:space="0" w:color="auto"/>
            </w:tcBorders>
          </w:tcPr>
          <w:p w14:paraId="215EE9B9"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sz w:val="18"/>
                <w:szCs w:val="18"/>
                <w:lang w:eastAsia="en-US"/>
              </w:rPr>
              <w:t>109 (27.5%)</w:t>
            </w:r>
          </w:p>
        </w:tc>
        <w:tc>
          <w:tcPr>
            <w:tcW w:w="773" w:type="pct"/>
            <w:tcBorders>
              <w:top w:val="single" w:sz="4" w:space="0" w:color="auto"/>
              <w:left w:val="single" w:sz="4" w:space="0" w:color="auto"/>
              <w:bottom w:val="single" w:sz="4" w:space="0" w:color="auto"/>
              <w:right w:val="single" w:sz="4" w:space="0" w:color="auto"/>
            </w:tcBorders>
          </w:tcPr>
          <w:p w14:paraId="513923AA"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sz w:val="18"/>
                <w:szCs w:val="18"/>
                <w:lang w:eastAsia="en-US"/>
              </w:rPr>
              <w:t>131 (27.3%)</w:t>
            </w:r>
          </w:p>
        </w:tc>
        <w:tc>
          <w:tcPr>
            <w:tcW w:w="719" w:type="pct"/>
            <w:tcBorders>
              <w:top w:val="single" w:sz="4" w:space="0" w:color="auto"/>
              <w:left w:val="single" w:sz="4" w:space="0" w:color="auto"/>
              <w:bottom w:val="single" w:sz="4" w:space="0" w:color="auto"/>
              <w:right w:val="single" w:sz="4" w:space="0" w:color="auto"/>
            </w:tcBorders>
          </w:tcPr>
          <w:p w14:paraId="181A1936"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sz w:val="18"/>
                <w:szCs w:val="18"/>
                <w:lang w:eastAsia="en-US"/>
              </w:rPr>
              <w:t>425 (29.4%)</w:t>
            </w:r>
          </w:p>
        </w:tc>
      </w:tr>
      <w:tr w:rsidR="00E07CDE" w:rsidRPr="00921620" w14:paraId="57C8FAF6"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tcPr>
          <w:p w14:paraId="60E37CAE" w14:textId="77777777" w:rsidR="00E07CDE" w:rsidRPr="00921620" w:rsidRDefault="00E07CDE" w:rsidP="002D1FFB">
            <w:pPr>
              <w:autoSpaceDE/>
              <w:autoSpaceDN/>
              <w:adjustRightInd/>
              <w:spacing w:before="60" w:after="0" w:line="240" w:lineRule="auto"/>
              <w:rPr>
                <w:rFonts w:eastAsia="Calibri"/>
                <w:b/>
                <w:sz w:val="18"/>
                <w:szCs w:val="18"/>
                <w:lang w:eastAsia="en-US"/>
              </w:rPr>
            </w:pPr>
            <w:r w:rsidRPr="00921620">
              <w:rPr>
                <w:rFonts w:eastAsia="Calibri"/>
                <w:bCs/>
                <w:sz w:val="18"/>
                <w:szCs w:val="18"/>
                <w:lang w:eastAsia="en-US"/>
              </w:rPr>
              <w:t xml:space="preserve">    Screened and not participating in EPIC </w:t>
            </w:r>
            <w:r w:rsidRPr="00921620">
              <w:rPr>
                <w:rFonts w:eastAsia="Calibri"/>
                <w:sz w:val="18"/>
                <w:szCs w:val="18"/>
                <w:lang w:eastAsia="en-US"/>
              </w:rPr>
              <w:t>(out of screened)</w:t>
            </w:r>
          </w:p>
        </w:tc>
        <w:tc>
          <w:tcPr>
            <w:tcW w:w="693" w:type="pct"/>
            <w:tcBorders>
              <w:top w:val="single" w:sz="4" w:space="0" w:color="auto"/>
              <w:left w:val="single" w:sz="4" w:space="0" w:color="auto"/>
              <w:bottom w:val="single" w:sz="4" w:space="0" w:color="auto"/>
              <w:right w:val="single" w:sz="4" w:space="0" w:color="auto"/>
            </w:tcBorders>
          </w:tcPr>
          <w:p w14:paraId="12331022"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384 (67.5%)</w:t>
            </w:r>
          </w:p>
        </w:tc>
        <w:tc>
          <w:tcPr>
            <w:tcW w:w="773" w:type="pct"/>
            <w:tcBorders>
              <w:top w:val="single" w:sz="4" w:space="0" w:color="auto"/>
              <w:left w:val="single" w:sz="4" w:space="0" w:color="auto"/>
              <w:bottom w:val="single" w:sz="4" w:space="0" w:color="auto"/>
              <w:right w:val="single" w:sz="4" w:space="0" w:color="auto"/>
            </w:tcBorders>
          </w:tcPr>
          <w:p w14:paraId="4BFE9190"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287 (72.5%)</w:t>
            </w:r>
          </w:p>
        </w:tc>
        <w:tc>
          <w:tcPr>
            <w:tcW w:w="773" w:type="pct"/>
            <w:tcBorders>
              <w:top w:val="single" w:sz="4" w:space="0" w:color="auto"/>
              <w:left w:val="single" w:sz="4" w:space="0" w:color="auto"/>
              <w:bottom w:val="single" w:sz="4" w:space="0" w:color="auto"/>
              <w:right w:val="single" w:sz="4" w:space="0" w:color="auto"/>
            </w:tcBorders>
          </w:tcPr>
          <w:p w14:paraId="00231769"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348 (72.7%)</w:t>
            </w:r>
          </w:p>
        </w:tc>
        <w:tc>
          <w:tcPr>
            <w:tcW w:w="719" w:type="pct"/>
            <w:tcBorders>
              <w:top w:val="single" w:sz="4" w:space="0" w:color="auto"/>
              <w:left w:val="single" w:sz="4" w:space="0" w:color="auto"/>
              <w:bottom w:val="single" w:sz="4" w:space="0" w:color="auto"/>
              <w:right w:val="single" w:sz="4" w:space="0" w:color="auto"/>
            </w:tcBorders>
          </w:tcPr>
          <w:p w14:paraId="5D45BF4E"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1019 (70.6%)</w:t>
            </w:r>
          </w:p>
        </w:tc>
      </w:tr>
      <w:tr w:rsidR="00E07CDE" w:rsidRPr="00921620" w14:paraId="57240C19"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54509F9C"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Screened at baseline but consent refused (out of   screened and not participating in EPIC)</w:t>
            </w:r>
          </w:p>
        </w:tc>
        <w:tc>
          <w:tcPr>
            <w:tcW w:w="693" w:type="pct"/>
            <w:tcBorders>
              <w:top w:val="single" w:sz="4" w:space="0" w:color="auto"/>
              <w:left w:val="single" w:sz="4" w:space="0" w:color="auto"/>
              <w:bottom w:val="single" w:sz="4" w:space="0" w:color="auto"/>
              <w:right w:val="single" w:sz="4" w:space="0" w:color="auto"/>
            </w:tcBorders>
          </w:tcPr>
          <w:p w14:paraId="34080142"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43 (11.2%)</w:t>
            </w:r>
          </w:p>
        </w:tc>
        <w:tc>
          <w:tcPr>
            <w:tcW w:w="773" w:type="pct"/>
            <w:tcBorders>
              <w:top w:val="single" w:sz="4" w:space="0" w:color="auto"/>
              <w:left w:val="single" w:sz="4" w:space="0" w:color="auto"/>
              <w:bottom w:val="single" w:sz="4" w:space="0" w:color="auto"/>
              <w:right w:val="single" w:sz="4" w:space="0" w:color="auto"/>
            </w:tcBorders>
          </w:tcPr>
          <w:p w14:paraId="322515CC"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57 (19.9%)</w:t>
            </w:r>
          </w:p>
        </w:tc>
        <w:tc>
          <w:tcPr>
            <w:tcW w:w="773" w:type="pct"/>
            <w:tcBorders>
              <w:top w:val="single" w:sz="4" w:space="0" w:color="auto"/>
              <w:left w:val="single" w:sz="4" w:space="0" w:color="auto"/>
              <w:bottom w:val="single" w:sz="4" w:space="0" w:color="auto"/>
              <w:right w:val="single" w:sz="4" w:space="0" w:color="auto"/>
            </w:tcBorders>
          </w:tcPr>
          <w:p w14:paraId="53C1FE43"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42 (12.1%)</w:t>
            </w:r>
          </w:p>
        </w:tc>
        <w:tc>
          <w:tcPr>
            <w:tcW w:w="719" w:type="pct"/>
            <w:tcBorders>
              <w:top w:val="single" w:sz="4" w:space="0" w:color="auto"/>
              <w:left w:val="single" w:sz="4" w:space="0" w:color="auto"/>
              <w:bottom w:val="single" w:sz="4" w:space="0" w:color="auto"/>
              <w:right w:val="single" w:sz="4" w:space="0" w:color="auto"/>
            </w:tcBorders>
          </w:tcPr>
          <w:p w14:paraId="5444314C"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142 (13.9%)</w:t>
            </w:r>
          </w:p>
        </w:tc>
      </w:tr>
      <w:tr w:rsidR="00E07CDE" w:rsidRPr="00921620" w14:paraId="1C5FE0BF"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1CF0EC9B" w14:textId="77777777" w:rsidR="00E07CDE" w:rsidRPr="00921620" w:rsidRDefault="00E07CDE" w:rsidP="002D1FFB">
            <w:pPr>
              <w:autoSpaceDE/>
              <w:autoSpaceDN/>
              <w:adjustRightInd/>
              <w:spacing w:before="60" w:after="0" w:line="240" w:lineRule="auto"/>
              <w:rPr>
                <w:rFonts w:eastAsia="Calibri"/>
                <w:b/>
                <w:sz w:val="18"/>
                <w:szCs w:val="18"/>
                <w:lang w:eastAsia="en-US"/>
              </w:rPr>
            </w:pPr>
            <w:r w:rsidRPr="00921620">
              <w:rPr>
                <w:rFonts w:eastAsia="Calibri"/>
                <w:b/>
                <w:sz w:val="18"/>
                <w:szCs w:val="18"/>
                <w:lang w:eastAsia="en-US"/>
              </w:rPr>
              <w:t>Eligible (out of screened)</w:t>
            </w:r>
          </w:p>
        </w:tc>
        <w:tc>
          <w:tcPr>
            <w:tcW w:w="693" w:type="pct"/>
            <w:tcBorders>
              <w:top w:val="single" w:sz="4" w:space="0" w:color="auto"/>
              <w:left w:val="single" w:sz="4" w:space="0" w:color="auto"/>
              <w:bottom w:val="single" w:sz="4" w:space="0" w:color="auto"/>
              <w:right w:val="single" w:sz="4" w:space="0" w:color="auto"/>
            </w:tcBorders>
          </w:tcPr>
          <w:p w14:paraId="61B1C1C2" w14:textId="77777777" w:rsidR="00E07CDE" w:rsidRPr="00921620" w:rsidRDefault="00E07CDE" w:rsidP="002D1FFB">
            <w:pPr>
              <w:autoSpaceDE/>
              <w:autoSpaceDN/>
              <w:spacing w:before="67" w:after="67" w:line="240" w:lineRule="auto"/>
              <w:jc w:val="right"/>
              <w:rPr>
                <w:rFonts w:eastAsia="Calibri"/>
                <w:b/>
                <w:color w:val="000000"/>
                <w:sz w:val="18"/>
                <w:szCs w:val="18"/>
                <w:lang w:eastAsia="en-US"/>
              </w:rPr>
            </w:pPr>
            <w:r w:rsidRPr="00921620">
              <w:rPr>
                <w:rFonts w:eastAsia="Calibri"/>
                <w:b/>
                <w:color w:val="000000"/>
                <w:sz w:val="18"/>
                <w:szCs w:val="18"/>
                <w:lang w:eastAsia="en-US"/>
              </w:rPr>
              <w:t>189 (33.2%)</w:t>
            </w:r>
          </w:p>
        </w:tc>
        <w:tc>
          <w:tcPr>
            <w:tcW w:w="773" w:type="pct"/>
            <w:tcBorders>
              <w:top w:val="single" w:sz="4" w:space="0" w:color="auto"/>
              <w:left w:val="single" w:sz="4" w:space="0" w:color="auto"/>
              <w:bottom w:val="single" w:sz="4" w:space="0" w:color="auto"/>
              <w:right w:val="single" w:sz="4" w:space="0" w:color="auto"/>
            </w:tcBorders>
          </w:tcPr>
          <w:p w14:paraId="7B632C4E" w14:textId="77777777" w:rsidR="00E07CDE" w:rsidRPr="00921620" w:rsidRDefault="00E07CDE" w:rsidP="002D1FFB">
            <w:pPr>
              <w:autoSpaceDE/>
              <w:autoSpaceDN/>
              <w:spacing w:before="67" w:after="67" w:line="240" w:lineRule="auto"/>
              <w:jc w:val="right"/>
              <w:rPr>
                <w:rFonts w:eastAsia="Calibri"/>
                <w:b/>
                <w:color w:val="000000"/>
                <w:sz w:val="18"/>
                <w:szCs w:val="18"/>
                <w:lang w:eastAsia="en-US"/>
              </w:rPr>
            </w:pPr>
            <w:r w:rsidRPr="00921620">
              <w:rPr>
                <w:rFonts w:eastAsia="Calibri"/>
                <w:b/>
                <w:color w:val="000000"/>
                <w:sz w:val="18"/>
                <w:szCs w:val="18"/>
                <w:lang w:eastAsia="en-US"/>
              </w:rPr>
              <w:t>90 (22.7%)</w:t>
            </w:r>
          </w:p>
        </w:tc>
        <w:tc>
          <w:tcPr>
            <w:tcW w:w="773" w:type="pct"/>
            <w:tcBorders>
              <w:top w:val="single" w:sz="4" w:space="0" w:color="auto"/>
              <w:left w:val="single" w:sz="4" w:space="0" w:color="auto"/>
              <w:bottom w:val="single" w:sz="4" w:space="0" w:color="auto"/>
              <w:right w:val="single" w:sz="4" w:space="0" w:color="auto"/>
            </w:tcBorders>
          </w:tcPr>
          <w:p w14:paraId="26A79DB4" w14:textId="77777777" w:rsidR="00E07CDE" w:rsidRPr="00921620" w:rsidRDefault="00E07CDE" w:rsidP="002D1FFB">
            <w:pPr>
              <w:autoSpaceDE/>
              <w:autoSpaceDN/>
              <w:spacing w:before="67" w:after="67" w:line="240" w:lineRule="auto"/>
              <w:jc w:val="right"/>
              <w:rPr>
                <w:rFonts w:eastAsia="Calibri"/>
                <w:b/>
                <w:color w:val="000000"/>
                <w:sz w:val="18"/>
                <w:szCs w:val="18"/>
                <w:lang w:eastAsia="en-US"/>
              </w:rPr>
            </w:pPr>
            <w:r w:rsidRPr="00921620">
              <w:rPr>
                <w:rFonts w:eastAsia="Calibri"/>
                <w:b/>
                <w:color w:val="000000"/>
                <w:sz w:val="18"/>
                <w:szCs w:val="18"/>
                <w:lang w:eastAsia="en-US"/>
              </w:rPr>
              <w:t>142 (29.6%)</w:t>
            </w:r>
          </w:p>
        </w:tc>
        <w:tc>
          <w:tcPr>
            <w:tcW w:w="719" w:type="pct"/>
            <w:tcBorders>
              <w:top w:val="single" w:sz="4" w:space="0" w:color="auto"/>
              <w:left w:val="single" w:sz="4" w:space="0" w:color="auto"/>
              <w:bottom w:val="single" w:sz="4" w:space="0" w:color="auto"/>
              <w:right w:val="single" w:sz="4" w:space="0" w:color="auto"/>
            </w:tcBorders>
          </w:tcPr>
          <w:p w14:paraId="0759D57D" w14:textId="77777777" w:rsidR="00E07CDE" w:rsidRPr="00921620" w:rsidRDefault="00E07CDE" w:rsidP="002D1FFB">
            <w:pPr>
              <w:autoSpaceDE/>
              <w:autoSpaceDN/>
              <w:spacing w:before="67" w:after="67" w:line="240" w:lineRule="auto"/>
              <w:jc w:val="right"/>
              <w:rPr>
                <w:rFonts w:eastAsia="Calibri"/>
                <w:b/>
                <w:color w:val="000000"/>
                <w:sz w:val="18"/>
                <w:szCs w:val="18"/>
                <w:lang w:eastAsia="en-US"/>
              </w:rPr>
            </w:pPr>
            <w:r w:rsidRPr="00921620">
              <w:rPr>
                <w:rFonts w:eastAsia="Calibri"/>
                <w:b/>
                <w:color w:val="000000"/>
                <w:sz w:val="18"/>
                <w:szCs w:val="18"/>
                <w:lang w:eastAsia="en-US"/>
              </w:rPr>
              <w:t>421 (29.2%)</w:t>
            </w:r>
          </w:p>
        </w:tc>
      </w:tr>
      <w:tr w:rsidR="00E07CDE" w:rsidRPr="00921620" w14:paraId="5C42A82A"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253DCC0A" w14:textId="77777777" w:rsidR="00E07CDE" w:rsidRPr="00921620" w:rsidRDefault="00E07CDE" w:rsidP="002D1FFB">
            <w:pPr>
              <w:autoSpaceDE/>
              <w:autoSpaceDN/>
              <w:adjustRightInd/>
              <w:spacing w:before="60" w:after="0" w:line="240" w:lineRule="auto"/>
              <w:rPr>
                <w:rFonts w:eastAsia="Calibri"/>
                <w:bCs/>
                <w:color w:val="000000"/>
                <w:sz w:val="18"/>
                <w:szCs w:val="18"/>
                <w:lang w:eastAsia="en-US"/>
              </w:rPr>
            </w:pPr>
            <w:r w:rsidRPr="00921620">
              <w:rPr>
                <w:rFonts w:eastAsia="Calibri"/>
                <w:bCs/>
                <w:color w:val="000000"/>
                <w:sz w:val="18"/>
                <w:szCs w:val="18"/>
                <w:lang w:eastAsia="en-US"/>
              </w:rPr>
              <w:t>Not eligible (out of screened)*</w:t>
            </w:r>
          </w:p>
        </w:tc>
        <w:tc>
          <w:tcPr>
            <w:tcW w:w="693" w:type="pct"/>
            <w:tcBorders>
              <w:top w:val="single" w:sz="4" w:space="0" w:color="auto"/>
              <w:left w:val="single" w:sz="4" w:space="0" w:color="auto"/>
              <w:bottom w:val="single" w:sz="4" w:space="0" w:color="auto"/>
              <w:right w:val="single" w:sz="4" w:space="0" w:color="auto"/>
            </w:tcBorders>
          </w:tcPr>
          <w:p w14:paraId="4EC96E81"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152 (26.7%)</w:t>
            </w:r>
          </w:p>
        </w:tc>
        <w:tc>
          <w:tcPr>
            <w:tcW w:w="773" w:type="pct"/>
            <w:tcBorders>
              <w:top w:val="single" w:sz="4" w:space="0" w:color="auto"/>
              <w:left w:val="single" w:sz="4" w:space="0" w:color="auto"/>
              <w:bottom w:val="single" w:sz="4" w:space="0" w:color="auto"/>
              <w:right w:val="single" w:sz="4" w:space="0" w:color="auto"/>
            </w:tcBorders>
          </w:tcPr>
          <w:p w14:paraId="20A120A9"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140 (35.4%)</w:t>
            </w:r>
          </w:p>
        </w:tc>
        <w:tc>
          <w:tcPr>
            <w:tcW w:w="773" w:type="pct"/>
            <w:tcBorders>
              <w:top w:val="single" w:sz="4" w:space="0" w:color="auto"/>
              <w:left w:val="single" w:sz="4" w:space="0" w:color="auto"/>
              <w:bottom w:val="single" w:sz="4" w:space="0" w:color="auto"/>
              <w:right w:val="single" w:sz="4" w:space="0" w:color="auto"/>
            </w:tcBorders>
          </w:tcPr>
          <w:p w14:paraId="606EA60B"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164 (34.2%)</w:t>
            </w:r>
          </w:p>
        </w:tc>
        <w:tc>
          <w:tcPr>
            <w:tcW w:w="719" w:type="pct"/>
            <w:tcBorders>
              <w:top w:val="single" w:sz="4" w:space="0" w:color="auto"/>
              <w:left w:val="single" w:sz="4" w:space="0" w:color="auto"/>
              <w:bottom w:val="single" w:sz="4" w:space="0" w:color="auto"/>
              <w:right w:val="single" w:sz="4" w:space="0" w:color="auto"/>
            </w:tcBorders>
          </w:tcPr>
          <w:p w14:paraId="0FE4EC1C"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456 (31.6%)</w:t>
            </w:r>
          </w:p>
        </w:tc>
      </w:tr>
      <w:tr w:rsidR="00E07CDE" w:rsidRPr="00921620" w14:paraId="68F6FEE4"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hideMark/>
          </w:tcPr>
          <w:p w14:paraId="043A43BB"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Does not have formal diagnosis of dementia</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4A4502B2"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93 (61.2%)</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5485557B"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57 (40.7%)</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1A2D4254"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103 (62.8%)</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5556408B"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253 (55.5%)</w:t>
            </w:r>
          </w:p>
        </w:tc>
      </w:tr>
      <w:tr w:rsidR="00E07CDE" w:rsidRPr="00921620" w14:paraId="292E10C8"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hideMark/>
          </w:tcPr>
          <w:p w14:paraId="669D6E55"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Permanently bed-bound</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409E963C"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9 (5.9%)</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1EF65018"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38 (27.1%)</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6A6B6974"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7 (4.3%)</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35B984F2"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54 (11.8%)</w:t>
            </w:r>
          </w:p>
        </w:tc>
      </w:tr>
      <w:tr w:rsidR="00E07CDE" w:rsidRPr="00921620" w14:paraId="64F6D215"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hideMark/>
          </w:tcPr>
          <w:p w14:paraId="67468C77"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Terminally ill</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188799D5"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6 (3.9%)</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252549BC"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13 (9.3%)</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228A8478"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2 (1.2%)</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3708BAE6"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21 (4.6%)</w:t>
            </w:r>
          </w:p>
        </w:tc>
      </w:tr>
      <w:tr w:rsidR="00E07CDE" w:rsidRPr="00921620" w14:paraId="38C15633"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hideMark/>
          </w:tcPr>
          <w:p w14:paraId="6BE6693C"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Not a permanent resident</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01601B70"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19 (12.5%)</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5F0935E2"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1 (0.7%)</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7F6500A8"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8 (4.9%)</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60D7255D"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28 (6.1%)</w:t>
            </w:r>
          </w:p>
        </w:tc>
      </w:tr>
      <w:tr w:rsidR="00E07CDE" w:rsidRPr="00921620" w14:paraId="0ADD94AE"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hideMark/>
          </w:tcPr>
          <w:p w14:paraId="6C14AE34"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Insufficient proficiency in English</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706BEC43"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1 (0.7%)</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7753AB6A"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4 (2.9%)</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5FE4030F"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2 (1.2%)</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49563289"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7 (1.5%)</w:t>
            </w:r>
          </w:p>
        </w:tc>
      </w:tr>
      <w:tr w:rsidR="00E07CDE" w:rsidRPr="00921620" w14:paraId="4857DD93"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hideMark/>
          </w:tcPr>
          <w:p w14:paraId="719D81B1" w14:textId="036609DA"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Moved to the unit &lt;3</w:t>
            </w:r>
            <w:r w:rsidR="00B80810">
              <w:rPr>
                <w:rFonts w:eastAsia="Calibri"/>
                <w:sz w:val="18"/>
                <w:szCs w:val="18"/>
                <w:lang w:eastAsia="en-US"/>
              </w:rPr>
              <w:t>-months</w:t>
            </w:r>
            <w:r w:rsidRPr="00921620">
              <w:rPr>
                <w:rFonts w:eastAsia="Calibri"/>
                <w:sz w:val="18"/>
                <w:szCs w:val="18"/>
                <w:lang w:eastAsia="en-US"/>
              </w:rPr>
              <w:t xml:space="preserve"> ago</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42856321"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44 (28.9%)</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1238BE56"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42 (30.0%)</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25EA9873"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48 (29.3%)</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33E737E3"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134 (29.4%)</w:t>
            </w:r>
          </w:p>
        </w:tc>
      </w:tr>
      <w:tr w:rsidR="00E07CDE" w:rsidRPr="00921620" w14:paraId="18B40A13"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hideMark/>
          </w:tcPr>
          <w:p w14:paraId="6DDC2FA2"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Missing information</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331C54E3"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1 (0.7%)</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60F145D4"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0 (0.0%)</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2310CD27"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0 (0.0%)</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569B23AA" w14:textId="77777777" w:rsidR="00E07CDE" w:rsidRPr="00921620" w:rsidRDefault="00E07CDE" w:rsidP="002D1FFB">
            <w:pPr>
              <w:autoSpaceDE/>
              <w:autoSpaceDN/>
              <w:adjustRightInd/>
              <w:spacing w:before="60" w:after="0" w:line="240" w:lineRule="auto"/>
              <w:jc w:val="right"/>
              <w:rPr>
                <w:rFonts w:eastAsia="Calibri"/>
                <w:sz w:val="18"/>
                <w:szCs w:val="18"/>
                <w:lang w:eastAsia="en-US"/>
              </w:rPr>
            </w:pPr>
            <w:r w:rsidRPr="00921620">
              <w:rPr>
                <w:rFonts w:eastAsia="Calibri"/>
                <w:color w:val="000000"/>
                <w:sz w:val="18"/>
                <w:szCs w:val="18"/>
                <w:lang w:eastAsia="en-US"/>
              </w:rPr>
              <w:t>1 (0.2%)</w:t>
            </w:r>
          </w:p>
        </w:tc>
      </w:tr>
      <w:tr w:rsidR="00E07CDE" w:rsidRPr="00921620" w14:paraId="6DF0201A"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4DF34229" w14:textId="77777777" w:rsidR="00E07CDE" w:rsidRPr="00921620" w:rsidRDefault="00E07CDE" w:rsidP="002D1FFB">
            <w:pPr>
              <w:autoSpaceDE/>
              <w:autoSpaceDN/>
              <w:adjustRightInd/>
              <w:spacing w:before="60" w:after="0" w:line="240" w:lineRule="auto"/>
              <w:rPr>
                <w:rFonts w:eastAsia="Calibri"/>
                <w:b/>
                <w:sz w:val="18"/>
                <w:szCs w:val="18"/>
                <w:lang w:eastAsia="en-US"/>
              </w:rPr>
            </w:pPr>
            <w:r w:rsidRPr="00921620">
              <w:rPr>
                <w:rFonts w:eastAsia="Calibri"/>
                <w:b/>
                <w:sz w:val="18"/>
                <w:szCs w:val="18"/>
                <w:lang w:eastAsia="en-US"/>
              </w:rPr>
              <w:t>Consented (out of eligible)</w:t>
            </w:r>
          </w:p>
        </w:tc>
        <w:tc>
          <w:tcPr>
            <w:tcW w:w="693" w:type="pct"/>
            <w:tcBorders>
              <w:top w:val="single" w:sz="4" w:space="0" w:color="auto"/>
              <w:left w:val="single" w:sz="4" w:space="0" w:color="auto"/>
              <w:bottom w:val="single" w:sz="4" w:space="0" w:color="auto"/>
              <w:right w:val="single" w:sz="4" w:space="0" w:color="auto"/>
            </w:tcBorders>
          </w:tcPr>
          <w:p w14:paraId="083DEEC6" w14:textId="77777777" w:rsidR="00E07CDE" w:rsidRPr="00921620" w:rsidRDefault="00E07CDE" w:rsidP="002D1FFB">
            <w:pPr>
              <w:autoSpaceDE/>
              <w:autoSpaceDN/>
              <w:spacing w:before="67" w:after="67" w:line="240" w:lineRule="auto"/>
              <w:jc w:val="right"/>
              <w:rPr>
                <w:rFonts w:eastAsia="Calibri"/>
                <w:b/>
                <w:color w:val="000000"/>
                <w:sz w:val="18"/>
                <w:szCs w:val="18"/>
                <w:lang w:eastAsia="en-US"/>
              </w:rPr>
            </w:pPr>
            <w:r w:rsidRPr="00921620">
              <w:rPr>
                <w:rFonts w:eastAsia="Calibri"/>
                <w:b/>
                <w:color w:val="000000"/>
                <w:sz w:val="18"/>
                <w:szCs w:val="18"/>
                <w:lang w:eastAsia="en-US"/>
              </w:rPr>
              <w:t>120 (63.5%)</w:t>
            </w:r>
          </w:p>
        </w:tc>
        <w:tc>
          <w:tcPr>
            <w:tcW w:w="773" w:type="pct"/>
            <w:tcBorders>
              <w:top w:val="single" w:sz="4" w:space="0" w:color="auto"/>
              <w:left w:val="single" w:sz="4" w:space="0" w:color="auto"/>
              <w:bottom w:val="single" w:sz="4" w:space="0" w:color="auto"/>
              <w:right w:val="single" w:sz="4" w:space="0" w:color="auto"/>
            </w:tcBorders>
          </w:tcPr>
          <w:p w14:paraId="4AFDC72B" w14:textId="77777777" w:rsidR="00E07CDE" w:rsidRPr="00921620" w:rsidRDefault="00E07CDE" w:rsidP="002D1FFB">
            <w:pPr>
              <w:autoSpaceDE/>
              <w:autoSpaceDN/>
              <w:spacing w:before="67" w:after="67" w:line="240" w:lineRule="auto"/>
              <w:jc w:val="right"/>
              <w:rPr>
                <w:rFonts w:eastAsia="Calibri"/>
                <w:b/>
                <w:color w:val="000000"/>
                <w:sz w:val="18"/>
                <w:szCs w:val="18"/>
                <w:lang w:eastAsia="en-US"/>
              </w:rPr>
            </w:pPr>
            <w:r w:rsidRPr="00921620">
              <w:rPr>
                <w:rFonts w:eastAsia="Calibri"/>
                <w:b/>
                <w:color w:val="000000"/>
                <w:sz w:val="18"/>
                <w:szCs w:val="18"/>
                <w:lang w:eastAsia="en-US"/>
              </w:rPr>
              <w:t>47 (52.2%)</w:t>
            </w:r>
          </w:p>
        </w:tc>
        <w:tc>
          <w:tcPr>
            <w:tcW w:w="773" w:type="pct"/>
            <w:tcBorders>
              <w:top w:val="single" w:sz="4" w:space="0" w:color="auto"/>
              <w:left w:val="single" w:sz="4" w:space="0" w:color="auto"/>
              <w:bottom w:val="single" w:sz="4" w:space="0" w:color="auto"/>
              <w:right w:val="single" w:sz="4" w:space="0" w:color="auto"/>
            </w:tcBorders>
          </w:tcPr>
          <w:p w14:paraId="04CEA107" w14:textId="77777777" w:rsidR="00E07CDE" w:rsidRPr="00921620" w:rsidRDefault="00E07CDE" w:rsidP="002D1FFB">
            <w:pPr>
              <w:autoSpaceDE/>
              <w:autoSpaceDN/>
              <w:spacing w:before="67" w:after="67" w:line="240" w:lineRule="auto"/>
              <w:jc w:val="right"/>
              <w:rPr>
                <w:rFonts w:eastAsia="Calibri"/>
                <w:b/>
                <w:color w:val="000000"/>
                <w:sz w:val="18"/>
                <w:szCs w:val="18"/>
                <w:lang w:eastAsia="en-US"/>
              </w:rPr>
            </w:pPr>
            <w:r w:rsidRPr="00921620">
              <w:rPr>
                <w:rFonts w:eastAsia="Calibri"/>
                <w:b/>
                <w:color w:val="000000"/>
                <w:sz w:val="18"/>
                <w:szCs w:val="18"/>
                <w:lang w:eastAsia="en-US"/>
              </w:rPr>
              <w:t>99 (69.7%)</w:t>
            </w:r>
          </w:p>
        </w:tc>
        <w:tc>
          <w:tcPr>
            <w:tcW w:w="719" w:type="pct"/>
            <w:tcBorders>
              <w:top w:val="single" w:sz="4" w:space="0" w:color="auto"/>
              <w:left w:val="single" w:sz="4" w:space="0" w:color="auto"/>
              <w:bottom w:val="single" w:sz="4" w:space="0" w:color="auto"/>
              <w:right w:val="single" w:sz="4" w:space="0" w:color="auto"/>
            </w:tcBorders>
          </w:tcPr>
          <w:p w14:paraId="06044C4F" w14:textId="77777777" w:rsidR="00E07CDE" w:rsidRPr="00921620" w:rsidRDefault="00E07CDE" w:rsidP="002D1FFB">
            <w:pPr>
              <w:autoSpaceDE/>
              <w:autoSpaceDN/>
              <w:spacing w:before="67" w:after="67" w:line="240" w:lineRule="auto"/>
              <w:jc w:val="right"/>
              <w:rPr>
                <w:rFonts w:eastAsia="Calibri"/>
                <w:b/>
                <w:color w:val="000000"/>
                <w:sz w:val="18"/>
                <w:szCs w:val="18"/>
                <w:lang w:eastAsia="en-US"/>
              </w:rPr>
            </w:pPr>
            <w:r w:rsidRPr="00921620">
              <w:rPr>
                <w:rFonts w:eastAsia="Calibri"/>
                <w:b/>
                <w:color w:val="000000"/>
                <w:sz w:val="18"/>
                <w:szCs w:val="18"/>
                <w:lang w:eastAsia="en-US"/>
              </w:rPr>
              <w:t>266 (63.2%)</w:t>
            </w:r>
          </w:p>
        </w:tc>
      </w:tr>
      <w:tr w:rsidR="00E07CDE" w:rsidRPr="00921620" w14:paraId="4DBC5D7F"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300C887F"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Not consented (out of eligible)*, Missing</w:t>
            </w:r>
          </w:p>
        </w:tc>
        <w:tc>
          <w:tcPr>
            <w:tcW w:w="693" w:type="pct"/>
            <w:tcBorders>
              <w:top w:val="single" w:sz="4" w:space="0" w:color="auto"/>
              <w:left w:val="single" w:sz="4" w:space="0" w:color="auto"/>
              <w:bottom w:val="single" w:sz="4" w:space="0" w:color="auto"/>
              <w:right w:val="single" w:sz="4" w:space="0" w:color="auto"/>
            </w:tcBorders>
          </w:tcPr>
          <w:p w14:paraId="6BDD3E22" w14:textId="77777777" w:rsidR="00E07CDE" w:rsidRPr="00921620" w:rsidRDefault="00E07CDE" w:rsidP="002D1FFB">
            <w:pPr>
              <w:keepNext/>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68 (36.0%), 1</w:t>
            </w:r>
          </w:p>
        </w:tc>
        <w:tc>
          <w:tcPr>
            <w:tcW w:w="773" w:type="pct"/>
            <w:tcBorders>
              <w:top w:val="single" w:sz="4" w:space="0" w:color="auto"/>
              <w:left w:val="single" w:sz="4" w:space="0" w:color="auto"/>
              <w:bottom w:val="single" w:sz="4" w:space="0" w:color="auto"/>
              <w:right w:val="single" w:sz="4" w:space="0" w:color="auto"/>
            </w:tcBorders>
          </w:tcPr>
          <w:p w14:paraId="21A5A1EE" w14:textId="77777777" w:rsidR="00E07CDE" w:rsidRPr="00921620" w:rsidRDefault="00E07CDE" w:rsidP="002D1FFB">
            <w:pPr>
              <w:keepNext/>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42 (46.7%), 1</w:t>
            </w:r>
          </w:p>
        </w:tc>
        <w:tc>
          <w:tcPr>
            <w:tcW w:w="773" w:type="pct"/>
            <w:tcBorders>
              <w:top w:val="single" w:sz="4" w:space="0" w:color="auto"/>
              <w:left w:val="single" w:sz="4" w:space="0" w:color="auto"/>
              <w:bottom w:val="single" w:sz="4" w:space="0" w:color="auto"/>
              <w:right w:val="single" w:sz="4" w:space="0" w:color="auto"/>
            </w:tcBorders>
          </w:tcPr>
          <w:p w14:paraId="6A41D970" w14:textId="77777777" w:rsidR="00E07CDE" w:rsidRPr="00921620" w:rsidRDefault="00E07CDE" w:rsidP="002D1FFB">
            <w:pPr>
              <w:keepNext/>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43 (30.3%),0</w:t>
            </w:r>
          </w:p>
        </w:tc>
        <w:tc>
          <w:tcPr>
            <w:tcW w:w="719" w:type="pct"/>
            <w:tcBorders>
              <w:top w:val="single" w:sz="4" w:space="0" w:color="auto"/>
              <w:left w:val="single" w:sz="4" w:space="0" w:color="auto"/>
              <w:bottom w:val="single" w:sz="4" w:space="0" w:color="auto"/>
              <w:right w:val="single" w:sz="4" w:space="0" w:color="auto"/>
            </w:tcBorders>
          </w:tcPr>
          <w:p w14:paraId="7B3F7D71" w14:textId="77777777" w:rsidR="00E07CDE" w:rsidRPr="00921620" w:rsidRDefault="00E07CDE" w:rsidP="002D1FFB">
            <w:pPr>
              <w:keepNext/>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153 (36.3%), 2</w:t>
            </w:r>
          </w:p>
        </w:tc>
      </w:tr>
      <w:tr w:rsidR="00E07CDE" w:rsidRPr="00921620" w14:paraId="60C44463"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4E5BBE4F"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Consent refused by who</w:t>
            </w:r>
          </w:p>
        </w:tc>
        <w:tc>
          <w:tcPr>
            <w:tcW w:w="693" w:type="pct"/>
            <w:tcBorders>
              <w:top w:val="single" w:sz="4" w:space="0" w:color="auto"/>
              <w:left w:val="single" w:sz="4" w:space="0" w:color="auto"/>
              <w:bottom w:val="single" w:sz="4" w:space="0" w:color="auto"/>
              <w:right w:val="single" w:sz="4" w:space="0" w:color="auto"/>
            </w:tcBorders>
            <w:vAlign w:val="center"/>
          </w:tcPr>
          <w:p w14:paraId="30A0A921" w14:textId="77777777" w:rsidR="00E07CDE" w:rsidRPr="00921620" w:rsidRDefault="00E07CDE" w:rsidP="002D1FFB">
            <w:pPr>
              <w:autoSpaceDE/>
              <w:autoSpaceDN/>
              <w:adjustRightInd/>
              <w:spacing w:before="60" w:after="0" w:line="240" w:lineRule="auto"/>
              <w:jc w:val="right"/>
              <w:rPr>
                <w:rFonts w:eastAsia="Calibri"/>
                <w:color w:val="000000"/>
                <w:sz w:val="18"/>
                <w:szCs w:val="18"/>
                <w:highlight w:val="yellow"/>
                <w:lang w:eastAsia="en-US"/>
              </w:rPr>
            </w:pPr>
            <w:r w:rsidRPr="00921620">
              <w:rPr>
                <w:rFonts w:eastAsia="Calibri"/>
                <w:color w:val="000000"/>
                <w:sz w:val="18"/>
                <w:szCs w:val="18"/>
                <w:lang w:eastAsia="en-US"/>
              </w:rPr>
              <w:t>65 (95.6%)</w:t>
            </w:r>
          </w:p>
        </w:tc>
        <w:tc>
          <w:tcPr>
            <w:tcW w:w="773" w:type="pct"/>
            <w:tcBorders>
              <w:top w:val="single" w:sz="4" w:space="0" w:color="auto"/>
              <w:left w:val="single" w:sz="4" w:space="0" w:color="auto"/>
              <w:bottom w:val="single" w:sz="4" w:space="0" w:color="auto"/>
              <w:right w:val="single" w:sz="4" w:space="0" w:color="auto"/>
            </w:tcBorders>
            <w:vAlign w:val="center"/>
          </w:tcPr>
          <w:p w14:paraId="1E8514F5" w14:textId="77777777" w:rsidR="00E07CDE" w:rsidRPr="00921620" w:rsidRDefault="00E07CDE" w:rsidP="002D1FFB">
            <w:pPr>
              <w:autoSpaceDE/>
              <w:autoSpaceDN/>
              <w:adjustRightInd/>
              <w:spacing w:before="60" w:after="0" w:line="240" w:lineRule="auto"/>
              <w:jc w:val="right"/>
              <w:rPr>
                <w:rFonts w:eastAsia="Calibri"/>
                <w:color w:val="000000"/>
                <w:sz w:val="18"/>
                <w:szCs w:val="18"/>
                <w:highlight w:val="yellow"/>
                <w:lang w:eastAsia="en-US"/>
              </w:rPr>
            </w:pPr>
            <w:r w:rsidRPr="00921620">
              <w:rPr>
                <w:rFonts w:eastAsia="Calibri"/>
                <w:color w:val="000000"/>
                <w:sz w:val="18"/>
                <w:szCs w:val="18"/>
                <w:lang w:eastAsia="en-US"/>
              </w:rPr>
              <w:t>36 (85.7%)</w:t>
            </w:r>
          </w:p>
        </w:tc>
        <w:tc>
          <w:tcPr>
            <w:tcW w:w="773" w:type="pct"/>
            <w:tcBorders>
              <w:top w:val="single" w:sz="4" w:space="0" w:color="auto"/>
              <w:left w:val="single" w:sz="4" w:space="0" w:color="auto"/>
              <w:bottom w:val="single" w:sz="4" w:space="0" w:color="auto"/>
              <w:right w:val="single" w:sz="4" w:space="0" w:color="auto"/>
            </w:tcBorders>
            <w:vAlign w:val="center"/>
          </w:tcPr>
          <w:p w14:paraId="7281B6CB" w14:textId="77777777" w:rsidR="00E07CDE" w:rsidRPr="00921620" w:rsidRDefault="00E07CDE" w:rsidP="002D1FFB">
            <w:pPr>
              <w:autoSpaceDE/>
              <w:autoSpaceDN/>
              <w:adjustRightInd/>
              <w:spacing w:before="60" w:after="0" w:line="240" w:lineRule="auto"/>
              <w:jc w:val="right"/>
              <w:rPr>
                <w:rFonts w:eastAsia="Calibri"/>
                <w:color w:val="000000"/>
                <w:sz w:val="18"/>
                <w:szCs w:val="18"/>
                <w:highlight w:val="yellow"/>
                <w:lang w:eastAsia="en-US"/>
              </w:rPr>
            </w:pPr>
            <w:r w:rsidRPr="00921620">
              <w:rPr>
                <w:rFonts w:eastAsia="Calibri"/>
                <w:color w:val="000000"/>
                <w:sz w:val="18"/>
                <w:szCs w:val="18"/>
                <w:lang w:eastAsia="en-US"/>
              </w:rPr>
              <w:t>39 (90.7%)</w:t>
            </w:r>
          </w:p>
        </w:tc>
        <w:tc>
          <w:tcPr>
            <w:tcW w:w="719" w:type="pct"/>
            <w:tcBorders>
              <w:top w:val="single" w:sz="4" w:space="0" w:color="auto"/>
              <w:left w:val="single" w:sz="4" w:space="0" w:color="auto"/>
              <w:bottom w:val="single" w:sz="4" w:space="0" w:color="auto"/>
              <w:right w:val="single" w:sz="4" w:space="0" w:color="auto"/>
            </w:tcBorders>
            <w:vAlign w:val="center"/>
          </w:tcPr>
          <w:p w14:paraId="754E87FF" w14:textId="77777777" w:rsidR="00E07CDE" w:rsidRPr="00921620" w:rsidRDefault="00E07CDE" w:rsidP="002D1FFB">
            <w:pPr>
              <w:autoSpaceDE/>
              <w:autoSpaceDN/>
              <w:adjustRightInd/>
              <w:spacing w:before="60" w:after="0" w:line="240" w:lineRule="auto"/>
              <w:jc w:val="right"/>
              <w:rPr>
                <w:rFonts w:eastAsia="Calibri"/>
                <w:color w:val="000000"/>
                <w:sz w:val="18"/>
                <w:szCs w:val="18"/>
                <w:highlight w:val="yellow"/>
                <w:lang w:eastAsia="en-US"/>
              </w:rPr>
            </w:pPr>
            <w:r w:rsidRPr="00921620">
              <w:rPr>
                <w:rFonts w:eastAsia="Calibri"/>
                <w:color w:val="000000"/>
                <w:sz w:val="18"/>
                <w:szCs w:val="18"/>
                <w:lang w:eastAsia="en-US"/>
              </w:rPr>
              <w:t>140 (91.5%)</w:t>
            </w:r>
          </w:p>
        </w:tc>
      </w:tr>
      <w:tr w:rsidR="00E07CDE" w:rsidRPr="00921620" w14:paraId="3E56EE66"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64806274"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Resident</w:t>
            </w:r>
          </w:p>
        </w:tc>
        <w:tc>
          <w:tcPr>
            <w:tcW w:w="693" w:type="pct"/>
            <w:tcBorders>
              <w:top w:val="single" w:sz="4" w:space="0" w:color="auto"/>
              <w:left w:val="single" w:sz="4" w:space="0" w:color="auto"/>
              <w:bottom w:val="single" w:sz="4" w:space="0" w:color="auto"/>
              <w:right w:val="single" w:sz="4" w:space="0" w:color="auto"/>
            </w:tcBorders>
          </w:tcPr>
          <w:p w14:paraId="2C4DE9D6"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14 (21.5%)</w:t>
            </w:r>
          </w:p>
        </w:tc>
        <w:tc>
          <w:tcPr>
            <w:tcW w:w="773" w:type="pct"/>
            <w:tcBorders>
              <w:top w:val="single" w:sz="4" w:space="0" w:color="auto"/>
              <w:left w:val="single" w:sz="4" w:space="0" w:color="auto"/>
              <w:bottom w:val="single" w:sz="4" w:space="0" w:color="auto"/>
              <w:right w:val="single" w:sz="4" w:space="0" w:color="auto"/>
            </w:tcBorders>
          </w:tcPr>
          <w:p w14:paraId="44108D96"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(2.8%)</w:t>
            </w:r>
          </w:p>
        </w:tc>
        <w:tc>
          <w:tcPr>
            <w:tcW w:w="773" w:type="pct"/>
            <w:tcBorders>
              <w:top w:val="single" w:sz="4" w:space="0" w:color="auto"/>
              <w:left w:val="single" w:sz="4" w:space="0" w:color="auto"/>
              <w:bottom w:val="single" w:sz="4" w:space="0" w:color="auto"/>
              <w:right w:val="single" w:sz="4" w:space="0" w:color="auto"/>
            </w:tcBorders>
          </w:tcPr>
          <w:p w14:paraId="4A147AF9"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13 (33.3%)</w:t>
            </w:r>
          </w:p>
        </w:tc>
        <w:tc>
          <w:tcPr>
            <w:tcW w:w="719" w:type="pct"/>
            <w:tcBorders>
              <w:top w:val="single" w:sz="4" w:space="0" w:color="auto"/>
              <w:left w:val="single" w:sz="4" w:space="0" w:color="auto"/>
              <w:bottom w:val="single" w:sz="4" w:space="0" w:color="auto"/>
              <w:right w:val="single" w:sz="4" w:space="0" w:color="auto"/>
            </w:tcBorders>
          </w:tcPr>
          <w:p w14:paraId="0EBE873D"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28 (20.0%)</w:t>
            </w:r>
          </w:p>
        </w:tc>
      </w:tr>
      <w:tr w:rsidR="00E07CDE" w:rsidRPr="00921620" w14:paraId="78DC727C"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2804A496"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Personal consultee</w:t>
            </w:r>
          </w:p>
        </w:tc>
        <w:tc>
          <w:tcPr>
            <w:tcW w:w="693" w:type="pct"/>
            <w:tcBorders>
              <w:top w:val="single" w:sz="4" w:space="0" w:color="auto"/>
              <w:left w:val="single" w:sz="4" w:space="0" w:color="auto"/>
              <w:bottom w:val="single" w:sz="4" w:space="0" w:color="auto"/>
              <w:right w:val="single" w:sz="4" w:space="0" w:color="auto"/>
            </w:tcBorders>
          </w:tcPr>
          <w:p w14:paraId="552AC6B0"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19 (29.2%)</w:t>
            </w:r>
          </w:p>
        </w:tc>
        <w:tc>
          <w:tcPr>
            <w:tcW w:w="773" w:type="pct"/>
            <w:tcBorders>
              <w:top w:val="single" w:sz="4" w:space="0" w:color="auto"/>
              <w:left w:val="single" w:sz="4" w:space="0" w:color="auto"/>
              <w:bottom w:val="single" w:sz="4" w:space="0" w:color="auto"/>
              <w:right w:val="single" w:sz="4" w:space="0" w:color="auto"/>
            </w:tcBorders>
          </w:tcPr>
          <w:p w14:paraId="6515309E"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10 (27.8%)</w:t>
            </w:r>
          </w:p>
        </w:tc>
        <w:tc>
          <w:tcPr>
            <w:tcW w:w="773" w:type="pct"/>
            <w:tcBorders>
              <w:top w:val="single" w:sz="4" w:space="0" w:color="auto"/>
              <w:left w:val="single" w:sz="4" w:space="0" w:color="auto"/>
              <w:bottom w:val="single" w:sz="4" w:space="0" w:color="auto"/>
              <w:right w:val="single" w:sz="4" w:space="0" w:color="auto"/>
            </w:tcBorders>
          </w:tcPr>
          <w:p w14:paraId="78F6FFB4"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14 (35.9%)</w:t>
            </w:r>
          </w:p>
        </w:tc>
        <w:tc>
          <w:tcPr>
            <w:tcW w:w="719" w:type="pct"/>
            <w:tcBorders>
              <w:top w:val="single" w:sz="4" w:space="0" w:color="auto"/>
              <w:left w:val="single" w:sz="4" w:space="0" w:color="auto"/>
              <w:bottom w:val="single" w:sz="4" w:space="0" w:color="auto"/>
              <w:right w:val="single" w:sz="4" w:space="0" w:color="auto"/>
            </w:tcBorders>
          </w:tcPr>
          <w:p w14:paraId="36BC8238"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43 (30.7%)</w:t>
            </w:r>
          </w:p>
        </w:tc>
      </w:tr>
      <w:tr w:rsidR="00E07CDE" w:rsidRPr="00921620" w14:paraId="028497D7"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3C20FE93"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Nominated consultee</w:t>
            </w:r>
          </w:p>
        </w:tc>
        <w:tc>
          <w:tcPr>
            <w:tcW w:w="693" w:type="pct"/>
            <w:tcBorders>
              <w:top w:val="single" w:sz="4" w:space="0" w:color="auto"/>
              <w:left w:val="single" w:sz="4" w:space="0" w:color="auto"/>
              <w:bottom w:val="single" w:sz="4" w:space="0" w:color="auto"/>
              <w:right w:val="single" w:sz="4" w:space="0" w:color="auto"/>
            </w:tcBorders>
          </w:tcPr>
          <w:p w14:paraId="58D32D3C" w14:textId="77777777" w:rsidR="00E07CDE" w:rsidRPr="00921620" w:rsidRDefault="00E07CDE" w:rsidP="002D1FFB">
            <w:pPr>
              <w:keepNext/>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32 (49.2%)</w:t>
            </w:r>
          </w:p>
        </w:tc>
        <w:tc>
          <w:tcPr>
            <w:tcW w:w="773" w:type="pct"/>
            <w:tcBorders>
              <w:top w:val="single" w:sz="4" w:space="0" w:color="auto"/>
              <w:left w:val="single" w:sz="4" w:space="0" w:color="auto"/>
              <w:bottom w:val="single" w:sz="4" w:space="0" w:color="auto"/>
              <w:right w:val="single" w:sz="4" w:space="0" w:color="auto"/>
            </w:tcBorders>
          </w:tcPr>
          <w:p w14:paraId="387B3CDA" w14:textId="77777777" w:rsidR="00E07CDE" w:rsidRPr="00921620" w:rsidRDefault="00E07CDE" w:rsidP="002D1FFB">
            <w:pPr>
              <w:keepNext/>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25 (69.4%)</w:t>
            </w:r>
          </w:p>
        </w:tc>
        <w:tc>
          <w:tcPr>
            <w:tcW w:w="773" w:type="pct"/>
            <w:tcBorders>
              <w:top w:val="single" w:sz="4" w:space="0" w:color="auto"/>
              <w:left w:val="single" w:sz="4" w:space="0" w:color="auto"/>
              <w:bottom w:val="single" w:sz="4" w:space="0" w:color="auto"/>
              <w:right w:val="single" w:sz="4" w:space="0" w:color="auto"/>
            </w:tcBorders>
          </w:tcPr>
          <w:p w14:paraId="6ADA39CE" w14:textId="77777777" w:rsidR="00E07CDE" w:rsidRPr="00921620" w:rsidRDefault="00E07CDE" w:rsidP="002D1FFB">
            <w:pPr>
              <w:keepNext/>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12 (30.8%)</w:t>
            </w:r>
          </w:p>
        </w:tc>
        <w:tc>
          <w:tcPr>
            <w:tcW w:w="719" w:type="pct"/>
            <w:tcBorders>
              <w:top w:val="single" w:sz="4" w:space="0" w:color="auto"/>
              <w:left w:val="single" w:sz="4" w:space="0" w:color="auto"/>
              <w:bottom w:val="single" w:sz="4" w:space="0" w:color="auto"/>
              <w:right w:val="single" w:sz="4" w:space="0" w:color="auto"/>
            </w:tcBorders>
          </w:tcPr>
          <w:p w14:paraId="50E88008" w14:textId="77777777" w:rsidR="00E07CDE" w:rsidRPr="00921620" w:rsidRDefault="00E07CDE" w:rsidP="002D1FFB">
            <w:pPr>
              <w:keepNext/>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69 (49.3%)</w:t>
            </w:r>
          </w:p>
        </w:tc>
      </w:tr>
      <w:tr w:rsidR="00E07CDE" w:rsidRPr="00921620" w14:paraId="0CDE3C03"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33C1B9EB" w14:textId="77777777" w:rsidR="00E07CDE" w:rsidRPr="00921620" w:rsidRDefault="00E07CDE" w:rsidP="002D1FFB">
            <w:pPr>
              <w:autoSpaceDE/>
              <w:autoSpaceDN/>
              <w:adjustRightInd/>
              <w:spacing w:before="60" w:after="0" w:line="240" w:lineRule="auto"/>
              <w:rPr>
                <w:rFonts w:eastAsia="Calibri"/>
                <w:bCs/>
                <w:color w:val="000000"/>
                <w:sz w:val="18"/>
                <w:szCs w:val="18"/>
                <w:lang w:eastAsia="en-US"/>
              </w:rPr>
            </w:pPr>
            <w:r w:rsidRPr="00921620">
              <w:rPr>
                <w:rFonts w:eastAsia="Calibri"/>
                <w:bCs/>
                <w:color w:val="000000"/>
                <w:sz w:val="18"/>
                <w:szCs w:val="18"/>
                <w:lang w:eastAsia="en-US"/>
              </w:rPr>
              <w:t xml:space="preserve">       Resident died</w:t>
            </w:r>
          </w:p>
        </w:tc>
        <w:tc>
          <w:tcPr>
            <w:tcW w:w="693" w:type="pct"/>
            <w:tcBorders>
              <w:top w:val="single" w:sz="4" w:space="0" w:color="auto"/>
              <w:left w:val="single" w:sz="4" w:space="0" w:color="auto"/>
              <w:bottom w:val="single" w:sz="4" w:space="0" w:color="auto"/>
              <w:right w:val="single" w:sz="4" w:space="0" w:color="auto"/>
            </w:tcBorders>
            <w:vAlign w:val="center"/>
          </w:tcPr>
          <w:p w14:paraId="2A0649A9"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(1.5%)</w:t>
            </w:r>
          </w:p>
        </w:tc>
        <w:tc>
          <w:tcPr>
            <w:tcW w:w="773" w:type="pct"/>
            <w:tcBorders>
              <w:top w:val="single" w:sz="4" w:space="0" w:color="auto"/>
              <w:left w:val="single" w:sz="4" w:space="0" w:color="auto"/>
              <w:bottom w:val="single" w:sz="4" w:space="0" w:color="auto"/>
              <w:right w:val="single" w:sz="4" w:space="0" w:color="auto"/>
            </w:tcBorders>
            <w:vAlign w:val="center"/>
          </w:tcPr>
          <w:p w14:paraId="4E44A858"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 (4.8%)</w:t>
            </w:r>
          </w:p>
        </w:tc>
        <w:tc>
          <w:tcPr>
            <w:tcW w:w="773" w:type="pct"/>
            <w:tcBorders>
              <w:top w:val="single" w:sz="4" w:space="0" w:color="auto"/>
              <w:left w:val="single" w:sz="4" w:space="0" w:color="auto"/>
              <w:bottom w:val="single" w:sz="4" w:space="0" w:color="auto"/>
              <w:right w:val="single" w:sz="4" w:space="0" w:color="auto"/>
            </w:tcBorders>
            <w:vAlign w:val="center"/>
          </w:tcPr>
          <w:p w14:paraId="3AFB0A8A"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 (4.7%)</w:t>
            </w:r>
          </w:p>
        </w:tc>
        <w:tc>
          <w:tcPr>
            <w:tcW w:w="719" w:type="pct"/>
            <w:tcBorders>
              <w:top w:val="single" w:sz="4" w:space="0" w:color="auto"/>
              <w:left w:val="single" w:sz="4" w:space="0" w:color="auto"/>
              <w:bottom w:val="single" w:sz="4" w:space="0" w:color="auto"/>
              <w:right w:val="single" w:sz="4" w:space="0" w:color="auto"/>
            </w:tcBorders>
            <w:vAlign w:val="center"/>
          </w:tcPr>
          <w:p w14:paraId="4BD0306A"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5 (3.3%)</w:t>
            </w:r>
          </w:p>
        </w:tc>
      </w:tr>
      <w:tr w:rsidR="00E07CDE" w:rsidRPr="00921620" w14:paraId="63BB8D4B"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44B0E8FA" w14:textId="77777777" w:rsidR="00E07CDE" w:rsidRPr="00921620" w:rsidRDefault="00E07CDE" w:rsidP="002D1FFB">
            <w:pPr>
              <w:autoSpaceDE/>
              <w:autoSpaceDN/>
              <w:adjustRightInd/>
              <w:spacing w:before="60" w:after="0" w:line="240" w:lineRule="auto"/>
              <w:rPr>
                <w:rFonts w:eastAsia="Calibri"/>
                <w:bCs/>
                <w:color w:val="000000"/>
                <w:sz w:val="18"/>
                <w:szCs w:val="18"/>
                <w:lang w:eastAsia="en-US"/>
              </w:rPr>
            </w:pPr>
            <w:r w:rsidRPr="00921620">
              <w:rPr>
                <w:rFonts w:eastAsia="Calibri"/>
                <w:bCs/>
                <w:color w:val="000000"/>
                <w:sz w:val="18"/>
                <w:szCs w:val="18"/>
                <w:lang w:eastAsia="en-US"/>
              </w:rPr>
              <w:t xml:space="preserve">       Unwilling to engage with researcher</w:t>
            </w:r>
          </w:p>
        </w:tc>
        <w:tc>
          <w:tcPr>
            <w:tcW w:w="693" w:type="pct"/>
            <w:tcBorders>
              <w:top w:val="single" w:sz="4" w:space="0" w:color="auto"/>
              <w:left w:val="single" w:sz="4" w:space="0" w:color="auto"/>
              <w:bottom w:val="single" w:sz="4" w:space="0" w:color="auto"/>
              <w:right w:val="single" w:sz="4" w:space="0" w:color="auto"/>
            </w:tcBorders>
            <w:vAlign w:val="center"/>
          </w:tcPr>
          <w:p w14:paraId="51E686E7"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(1.5%)</w:t>
            </w:r>
          </w:p>
        </w:tc>
        <w:tc>
          <w:tcPr>
            <w:tcW w:w="773" w:type="pct"/>
            <w:tcBorders>
              <w:top w:val="single" w:sz="4" w:space="0" w:color="auto"/>
              <w:left w:val="single" w:sz="4" w:space="0" w:color="auto"/>
              <w:bottom w:val="single" w:sz="4" w:space="0" w:color="auto"/>
              <w:right w:val="single" w:sz="4" w:space="0" w:color="auto"/>
            </w:tcBorders>
            <w:vAlign w:val="center"/>
          </w:tcPr>
          <w:p w14:paraId="13D21BB8"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(2.4%)</w:t>
            </w:r>
          </w:p>
        </w:tc>
        <w:tc>
          <w:tcPr>
            <w:tcW w:w="773" w:type="pct"/>
            <w:tcBorders>
              <w:top w:val="single" w:sz="4" w:space="0" w:color="auto"/>
              <w:left w:val="single" w:sz="4" w:space="0" w:color="auto"/>
              <w:bottom w:val="single" w:sz="4" w:space="0" w:color="auto"/>
              <w:right w:val="single" w:sz="4" w:space="0" w:color="auto"/>
            </w:tcBorders>
            <w:vAlign w:val="center"/>
          </w:tcPr>
          <w:p w14:paraId="7E7E2679"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(2.3%)</w:t>
            </w:r>
          </w:p>
        </w:tc>
        <w:tc>
          <w:tcPr>
            <w:tcW w:w="719" w:type="pct"/>
            <w:tcBorders>
              <w:top w:val="single" w:sz="4" w:space="0" w:color="auto"/>
              <w:left w:val="single" w:sz="4" w:space="0" w:color="auto"/>
              <w:bottom w:val="single" w:sz="4" w:space="0" w:color="auto"/>
              <w:right w:val="single" w:sz="4" w:space="0" w:color="auto"/>
            </w:tcBorders>
            <w:vAlign w:val="center"/>
          </w:tcPr>
          <w:p w14:paraId="4896FED8"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3 (2.0%)</w:t>
            </w:r>
          </w:p>
        </w:tc>
      </w:tr>
      <w:tr w:rsidR="00E07CDE" w:rsidRPr="00921620" w14:paraId="7B03ACDA"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2D285482" w14:textId="77777777" w:rsidR="00E07CDE" w:rsidRPr="00921620" w:rsidRDefault="00E07CDE" w:rsidP="002D1FFB">
            <w:pPr>
              <w:autoSpaceDE/>
              <w:autoSpaceDN/>
              <w:adjustRightInd/>
              <w:spacing w:before="60" w:after="0" w:line="240" w:lineRule="auto"/>
              <w:rPr>
                <w:rFonts w:eastAsia="Calibri"/>
                <w:bCs/>
                <w:color w:val="000000"/>
                <w:sz w:val="18"/>
                <w:szCs w:val="18"/>
                <w:lang w:eastAsia="en-US"/>
              </w:rPr>
            </w:pPr>
            <w:r w:rsidRPr="00921620">
              <w:rPr>
                <w:rFonts w:eastAsia="Calibri"/>
                <w:bCs/>
                <w:color w:val="000000"/>
                <w:sz w:val="18"/>
                <w:szCs w:val="18"/>
                <w:lang w:eastAsia="en-US"/>
              </w:rPr>
              <w:t xml:space="preserve">       No response from personal consultee</w:t>
            </w:r>
          </w:p>
        </w:tc>
        <w:tc>
          <w:tcPr>
            <w:tcW w:w="693" w:type="pct"/>
            <w:tcBorders>
              <w:top w:val="single" w:sz="4" w:space="0" w:color="auto"/>
              <w:left w:val="single" w:sz="4" w:space="0" w:color="auto"/>
              <w:bottom w:val="single" w:sz="4" w:space="0" w:color="auto"/>
              <w:right w:val="single" w:sz="4" w:space="0" w:color="auto"/>
            </w:tcBorders>
            <w:vAlign w:val="center"/>
          </w:tcPr>
          <w:p w14:paraId="7F3EC608"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73" w:type="pct"/>
            <w:tcBorders>
              <w:top w:val="single" w:sz="4" w:space="0" w:color="auto"/>
              <w:left w:val="single" w:sz="4" w:space="0" w:color="auto"/>
              <w:bottom w:val="single" w:sz="4" w:space="0" w:color="auto"/>
              <w:right w:val="single" w:sz="4" w:space="0" w:color="auto"/>
            </w:tcBorders>
            <w:vAlign w:val="center"/>
          </w:tcPr>
          <w:p w14:paraId="264013B3"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 (4.8%)</w:t>
            </w:r>
          </w:p>
        </w:tc>
        <w:tc>
          <w:tcPr>
            <w:tcW w:w="773" w:type="pct"/>
            <w:tcBorders>
              <w:top w:val="single" w:sz="4" w:space="0" w:color="auto"/>
              <w:left w:val="single" w:sz="4" w:space="0" w:color="auto"/>
              <w:bottom w:val="single" w:sz="4" w:space="0" w:color="auto"/>
              <w:right w:val="single" w:sz="4" w:space="0" w:color="auto"/>
            </w:tcBorders>
            <w:vAlign w:val="center"/>
          </w:tcPr>
          <w:p w14:paraId="034077FF"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19" w:type="pct"/>
            <w:tcBorders>
              <w:top w:val="single" w:sz="4" w:space="0" w:color="auto"/>
              <w:left w:val="single" w:sz="4" w:space="0" w:color="auto"/>
              <w:bottom w:val="single" w:sz="4" w:space="0" w:color="auto"/>
              <w:right w:val="single" w:sz="4" w:space="0" w:color="auto"/>
            </w:tcBorders>
            <w:vAlign w:val="center"/>
          </w:tcPr>
          <w:p w14:paraId="5B482D6E"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 (1.3%)</w:t>
            </w:r>
          </w:p>
        </w:tc>
      </w:tr>
      <w:tr w:rsidR="00E07CDE" w:rsidRPr="00921620" w14:paraId="32DE39E6"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tcPr>
          <w:p w14:paraId="570B1A82" w14:textId="77777777" w:rsidR="00E07CDE" w:rsidRPr="00921620" w:rsidRDefault="00E07CDE" w:rsidP="002D1FFB">
            <w:pPr>
              <w:autoSpaceDE/>
              <w:autoSpaceDN/>
              <w:adjustRightInd/>
              <w:spacing w:before="60" w:after="0" w:line="240" w:lineRule="auto"/>
              <w:rPr>
                <w:rFonts w:eastAsia="Calibri"/>
                <w:bCs/>
                <w:color w:val="000000"/>
                <w:sz w:val="18"/>
                <w:szCs w:val="18"/>
                <w:lang w:eastAsia="en-US"/>
              </w:rPr>
            </w:pPr>
            <w:r w:rsidRPr="00921620">
              <w:rPr>
                <w:rFonts w:eastAsia="Calibri"/>
                <w:bCs/>
                <w:color w:val="000000"/>
                <w:sz w:val="18"/>
                <w:szCs w:val="18"/>
                <w:lang w:eastAsia="en-US"/>
              </w:rPr>
              <w:t xml:space="preserve">       Transferred elsewhere</w:t>
            </w:r>
          </w:p>
        </w:tc>
        <w:tc>
          <w:tcPr>
            <w:tcW w:w="693" w:type="pct"/>
            <w:tcBorders>
              <w:top w:val="single" w:sz="4" w:space="0" w:color="auto"/>
              <w:left w:val="single" w:sz="4" w:space="0" w:color="auto"/>
              <w:bottom w:val="single" w:sz="4" w:space="0" w:color="auto"/>
              <w:right w:val="single" w:sz="4" w:space="0" w:color="auto"/>
            </w:tcBorders>
            <w:vAlign w:val="center"/>
          </w:tcPr>
          <w:p w14:paraId="6004DC0B"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(1.5%)</w:t>
            </w:r>
          </w:p>
        </w:tc>
        <w:tc>
          <w:tcPr>
            <w:tcW w:w="773" w:type="pct"/>
            <w:tcBorders>
              <w:top w:val="single" w:sz="4" w:space="0" w:color="auto"/>
              <w:left w:val="single" w:sz="4" w:space="0" w:color="auto"/>
              <w:bottom w:val="single" w:sz="4" w:space="0" w:color="auto"/>
              <w:right w:val="single" w:sz="4" w:space="0" w:color="auto"/>
            </w:tcBorders>
            <w:vAlign w:val="center"/>
          </w:tcPr>
          <w:p w14:paraId="357A84A3"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73" w:type="pct"/>
            <w:tcBorders>
              <w:top w:val="single" w:sz="4" w:space="0" w:color="auto"/>
              <w:left w:val="single" w:sz="4" w:space="0" w:color="auto"/>
              <w:bottom w:val="single" w:sz="4" w:space="0" w:color="auto"/>
              <w:right w:val="single" w:sz="4" w:space="0" w:color="auto"/>
            </w:tcBorders>
            <w:vAlign w:val="center"/>
          </w:tcPr>
          <w:p w14:paraId="383F379C"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19" w:type="pct"/>
            <w:tcBorders>
              <w:top w:val="single" w:sz="4" w:space="0" w:color="auto"/>
              <w:left w:val="single" w:sz="4" w:space="0" w:color="auto"/>
              <w:bottom w:val="single" w:sz="4" w:space="0" w:color="auto"/>
              <w:right w:val="single" w:sz="4" w:space="0" w:color="auto"/>
            </w:tcBorders>
            <w:vAlign w:val="center"/>
          </w:tcPr>
          <w:p w14:paraId="6C451FB4"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(0.7%)</w:t>
            </w:r>
          </w:p>
        </w:tc>
      </w:tr>
      <w:tr w:rsidR="00E07CDE" w:rsidRPr="00921620" w14:paraId="4935B06F"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tcPr>
          <w:p w14:paraId="125FE9A0" w14:textId="77777777" w:rsidR="00E07CDE" w:rsidRPr="00921620" w:rsidRDefault="00E07CDE" w:rsidP="002D1FFB">
            <w:pPr>
              <w:autoSpaceDE/>
              <w:autoSpaceDN/>
              <w:adjustRightInd/>
              <w:spacing w:before="60" w:after="0" w:line="240" w:lineRule="auto"/>
              <w:rPr>
                <w:rFonts w:eastAsia="Calibri"/>
                <w:bCs/>
                <w:color w:val="000000"/>
                <w:sz w:val="18"/>
                <w:szCs w:val="18"/>
                <w:lang w:eastAsia="en-US"/>
              </w:rPr>
            </w:pPr>
            <w:r w:rsidRPr="00921620">
              <w:rPr>
                <w:rFonts w:eastAsia="Calibri"/>
                <w:bCs/>
                <w:color w:val="000000"/>
                <w:sz w:val="18"/>
                <w:szCs w:val="18"/>
                <w:lang w:eastAsia="en-US"/>
              </w:rPr>
              <w:t xml:space="preserve">       Other</w:t>
            </w:r>
          </w:p>
        </w:tc>
        <w:tc>
          <w:tcPr>
            <w:tcW w:w="693" w:type="pct"/>
            <w:tcBorders>
              <w:top w:val="single" w:sz="4" w:space="0" w:color="auto"/>
              <w:left w:val="single" w:sz="4" w:space="0" w:color="auto"/>
              <w:bottom w:val="single" w:sz="4" w:space="0" w:color="auto"/>
              <w:right w:val="single" w:sz="4" w:space="0" w:color="auto"/>
            </w:tcBorders>
            <w:vAlign w:val="center"/>
          </w:tcPr>
          <w:p w14:paraId="04925407"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(1.5%)</w:t>
            </w:r>
          </w:p>
        </w:tc>
        <w:tc>
          <w:tcPr>
            <w:tcW w:w="773" w:type="pct"/>
            <w:tcBorders>
              <w:top w:val="single" w:sz="4" w:space="0" w:color="auto"/>
              <w:left w:val="single" w:sz="4" w:space="0" w:color="auto"/>
              <w:bottom w:val="single" w:sz="4" w:space="0" w:color="auto"/>
              <w:right w:val="single" w:sz="4" w:space="0" w:color="auto"/>
            </w:tcBorders>
            <w:vAlign w:val="center"/>
          </w:tcPr>
          <w:p w14:paraId="7CAE4D28"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(2.4%)</w:t>
            </w:r>
          </w:p>
        </w:tc>
        <w:tc>
          <w:tcPr>
            <w:tcW w:w="773" w:type="pct"/>
            <w:tcBorders>
              <w:top w:val="single" w:sz="4" w:space="0" w:color="auto"/>
              <w:left w:val="single" w:sz="4" w:space="0" w:color="auto"/>
              <w:bottom w:val="single" w:sz="4" w:space="0" w:color="auto"/>
              <w:right w:val="single" w:sz="4" w:space="0" w:color="auto"/>
            </w:tcBorders>
            <w:vAlign w:val="center"/>
          </w:tcPr>
          <w:p w14:paraId="45D2F5B6"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(2.3%)</w:t>
            </w:r>
          </w:p>
        </w:tc>
        <w:tc>
          <w:tcPr>
            <w:tcW w:w="719" w:type="pct"/>
            <w:tcBorders>
              <w:top w:val="single" w:sz="4" w:space="0" w:color="auto"/>
              <w:left w:val="single" w:sz="4" w:space="0" w:color="auto"/>
              <w:bottom w:val="single" w:sz="4" w:space="0" w:color="auto"/>
              <w:right w:val="single" w:sz="4" w:space="0" w:color="auto"/>
            </w:tcBorders>
            <w:vAlign w:val="center"/>
          </w:tcPr>
          <w:p w14:paraId="49291C76" w14:textId="77777777" w:rsidR="00E07CDE" w:rsidRPr="00921620" w:rsidRDefault="00E07CDE" w:rsidP="002D1FFB">
            <w:pPr>
              <w:autoSpaceDE/>
              <w:autoSpaceDN/>
              <w:adjustRightInd/>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3 (2.0%)</w:t>
            </w:r>
          </w:p>
        </w:tc>
      </w:tr>
      <w:tr w:rsidR="00E07CDE" w:rsidRPr="00921620" w14:paraId="2B4EF532"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2BBE7CCD" w14:textId="77777777" w:rsidR="00E07CDE" w:rsidRPr="00921620" w:rsidRDefault="00E07CDE" w:rsidP="002D1FFB">
            <w:pPr>
              <w:autoSpaceDE/>
              <w:autoSpaceDN/>
              <w:adjustRightInd/>
              <w:spacing w:before="60" w:after="0" w:line="240" w:lineRule="auto"/>
              <w:rPr>
                <w:rFonts w:eastAsia="Calibri"/>
                <w:b/>
                <w:sz w:val="18"/>
                <w:szCs w:val="18"/>
                <w:lang w:eastAsia="en-US"/>
              </w:rPr>
            </w:pPr>
            <w:r w:rsidRPr="00921620">
              <w:rPr>
                <w:rFonts w:eastAsia="Calibri"/>
                <w:b/>
                <w:sz w:val="18"/>
                <w:szCs w:val="18"/>
                <w:lang w:eastAsia="en-US"/>
              </w:rPr>
              <w:t>Registered (out of consented)</w:t>
            </w:r>
          </w:p>
        </w:tc>
        <w:tc>
          <w:tcPr>
            <w:tcW w:w="693" w:type="pct"/>
            <w:tcBorders>
              <w:top w:val="single" w:sz="4" w:space="0" w:color="auto"/>
              <w:left w:val="single" w:sz="4" w:space="0" w:color="auto"/>
              <w:bottom w:val="single" w:sz="4" w:space="0" w:color="auto"/>
              <w:right w:val="single" w:sz="4" w:space="0" w:color="auto"/>
            </w:tcBorders>
          </w:tcPr>
          <w:p w14:paraId="45C67C38"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119 (99.2%)</w:t>
            </w:r>
          </w:p>
        </w:tc>
        <w:tc>
          <w:tcPr>
            <w:tcW w:w="773" w:type="pct"/>
            <w:tcBorders>
              <w:top w:val="single" w:sz="4" w:space="0" w:color="auto"/>
              <w:left w:val="single" w:sz="4" w:space="0" w:color="auto"/>
              <w:bottom w:val="single" w:sz="4" w:space="0" w:color="auto"/>
              <w:right w:val="single" w:sz="4" w:space="0" w:color="auto"/>
            </w:tcBorders>
          </w:tcPr>
          <w:p w14:paraId="6A984F93"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45 (95.7%)</w:t>
            </w:r>
          </w:p>
        </w:tc>
        <w:tc>
          <w:tcPr>
            <w:tcW w:w="773" w:type="pct"/>
            <w:tcBorders>
              <w:top w:val="single" w:sz="4" w:space="0" w:color="auto"/>
              <w:left w:val="single" w:sz="4" w:space="0" w:color="auto"/>
              <w:bottom w:val="single" w:sz="4" w:space="0" w:color="auto"/>
              <w:right w:val="single" w:sz="4" w:space="0" w:color="auto"/>
            </w:tcBorders>
          </w:tcPr>
          <w:p w14:paraId="7031B56F"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97 (98.0%)</w:t>
            </w:r>
          </w:p>
        </w:tc>
        <w:tc>
          <w:tcPr>
            <w:tcW w:w="719" w:type="pct"/>
            <w:tcBorders>
              <w:top w:val="single" w:sz="4" w:space="0" w:color="auto"/>
              <w:left w:val="single" w:sz="4" w:space="0" w:color="auto"/>
              <w:bottom w:val="single" w:sz="4" w:space="0" w:color="auto"/>
              <w:right w:val="single" w:sz="4" w:space="0" w:color="auto"/>
            </w:tcBorders>
          </w:tcPr>
          <w:p w14:paraId="3E0A46E8"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261 (98.1%)</w:t>
            </w:r>
          </w:p>
        </w:tc>
      </w:tr>
      <w:tr w:rsidR="00E07CDE" w:rsidRPr="00921620" w14:paraId="01B497E2"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0F213A83"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Not registered (out of consented), Missing</w:t>
            </w:r>
          </w:p>
        </w:tc>
        <w:tc>
          <w:tcPr>
            <w:tcW w:w="693" w:type="pct"/>
            <w:tcBorders>
              <w:top w:val="single" w:sz="4" w:space="0" w:color="auto"/>
              <w:left w:val="single" w:sz="4" w:space="0" w:color="auto"/>
              <w:bottom w:val="single" w:sz="4" w:space="0" w:color="auto"/>
              <w:right w:val="single" w:sz="4" w:space="0" w:color="auto"/>
            </w:tcBorders>
          </w:tcPr>
          <w:p w14:paraId="08CE61AD"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(0.8%)</w:t>
            </w:r>
          </w:p>
        </w:tc>
        <w:tc>
          <w:tcPr>
            <w:tcW w:w="773" w:type="pct"/>
            <w:tcBorders>
              <w:top w:val="single" w:sz="4" w:space="0" w:color="auto"/>
              <w:left w:val="single" w:sz="4" w:space="0" w:color="auto"/>
              <w:bottom w:val="single" w:sz="4" w:space="0" w:color="auto"/>
              <w:right w:val="single" w:sz="4" w:space="0" w:color="auto"/>
            </w:tcBorders>
          </w:tcPr>
          <w:p w14:paraId="7085D228"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2 (4.3%)</w:t>
            </w:r>
          </w:p>
        </w:tc>
        <w:tc>
          <w:tcPr>
            <w:tcW w:w="773" w:type="pct"/>
            <w:tcBorders>
              <w:top w:val="single" w:sz="4" w:space="0" w:color="auto"/>
              <w:left w:val="single" w:sz="4" w:space="0" w:color="auto"/>
              <w:bottom w:val="single" w:sz="4" w:space="0" w:color="auto"/>
              <w:right w:val="single" w:sz="4" w:space="0" w:color="auto"/>
            </w:tcBorders>
          </w:tcPr>
          <w:p w14:paraId="58DC3E18"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(1.0%), 1</w:t>
            </w:r>
          </w:p>
        </w:tc>
        <w:tc>
          <w:tcPr>
            <w:tcW w:w="719" w:type="pct"/>
            <w:tcBorders>
              <w:top w:val="single" w:sz="4" w:space="0" w:color="auto"/>
              <w:left w:val="single" w:sz="4" w:space="0" w:color="auto"/>
              <w:bottom w:val="single" w:sz="4" w:space="0" w:color="auto"/>
              <w:right w:val="single" w:sz="4" w:space="0" w:color="auto"/>
            </w:tcBorders>
          </w:tcPr>
          <w:p w14:paraId="1446F869"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4 (1.5%), 1</w:t>
            </w:r>
          </w:p>
        </w:tc>
      </w:tr>
      <w:tr w:rsidR="00E07CDE" w:rsidRPr="00921620" w14:paraId="7D9A74BF"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08337460"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Does not have formal diagnosis of dementia</w:t>
            </w:r>
          </w:p>
        </w:tc>
        <w:tc>
          <w:tcPr>
            <w:tcW w:w="693" w:type="pct"/>
            <w:tcBorders>
              <w:top w:val="single" w:sz="4" w:space="0" w:color="auto"/>
              <w:left w:val="nil"/>
              <w:bottom w:val="single" w:sz="4" w:space="0" w:color="auto"/>
              <w:right w:val="single" w:sz="4" w:space="0" w:color="auto"/>
            </w:tcBorders>
            <w:shd w:val="clear" w:color="auto" w:fill="FFFFFF"/>
            <w:vAlign w:val="center"/>
          </w:tcPr>
          <w:p w14:paraId="39042DFE"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70652CB2"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(2.1%)</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7470ABDC"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217E1939"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(0.4%)</w:t>
            </w:r>
          </w:p>
        </w:tc>
      </w:tr>
      <w:tr w:rsidR="00E07CDE" w:rsidRPr="00921620" w14:paraId="70784BC4"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hideMark/>
          </w:tcPr>
          <w:p w14:paraId="297DC9CF"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Moved out of care home</w:t>
            </w:r>
          </w:p>
        </w:tc>
        <w:tc>
          <w:tcPr>
            <w:tcW w:w="693" w:type="pct"/>
            <w:tcBorders>
              <w:top w:val="single" w:sz="4" w:space="0" w:color="auto"/>
              <w:left w:val="nil"/>
              <w:bottom w:val="single" w:sz="4" w:space="0" w:color="auto"/>
              <w:right w:val="single" w:sz="4" w:space="0" w:color="auto"/>
            </w:tcBorders>
            <w:shd w:val="clear" w:color="auto" w:fill="FFFFFF"/>
            <w:vAlign w:val="center"/>
          </w:tcPr>
          <w:p w14:paraId="59B3DEF1"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 xml:space="preserve">1 (0.8%) </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647CAE19"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1E2FDA2A"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19" w:type="pct"/>
            <w:tcBorders>
              <w:top w:val="single" w:sz="4" w:space="0" w:color="auto"/>
              <w:left w:val="single" w:sz="4" w:space="0" w:color="auto"/>
              <w:bottom w:val="single" w:sz="4" w:space="0" w:color="auto"/>
              <w:right w:val="single" w:sz="4" w:space="0" w:color="auto"/>
            </w:tcBorders>
            <w:shd w:val="clear" w:color="auto" w:fill="FFFFFF"/>
          </w:tcPr>
          <w:p w14:paraId="2CD13202"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(0.4%)</w:t>
            </w:r>
          </w:p>
        </w:tc>
      </w:tr>
      <w:tr w:rsidR="00E07CDE" w:rsidRPr="00921620" w14:paraId="186F5B43"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tcPr>
          <w:p w14:paraId="51FFA4A0"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Died</w:t>
            </w:r>
          </w:p>
        </w:tc>
        <w:tc>
          <w:tcPr>
            <w:tcW w:w="693" w:type="pct"/>
            <w:tcBorders>
              <w:top w:val="single" w:sz="4" w:space="0" w:color="auto"/>
              <w:left w:val="nil"/>
              <w:bottom w:val="single" w:sz="4" w:space="0" w:color="auto"/>
              <w:right w:val="single" w:sz="4" w:space="0" w:color="auto"/>
            </w:tcBorders>
            <w:shd w:val="clear" w:color="auto" w:fill="FFFFFF"/>
            <w:vAlign w:val="center"/>
          </w:tcPr>
          <w:p w14:paraId="575B62DE"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67ECC932"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01EF683F"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(0.8%)</w:t>
            </w:r>
          </w:p>
        </w:tc>
        <w:tc>
          <w:tcPr>
            <w:tcW w:w="719" w:type="pct"/>
            <w:tcBorders>
              <w:top w:val="single" w:sz="4" w:space="0" w:color="auto"/>
              <w:left w:val="single" w:sz="4" w:space="0" w:color="auto"/>
              <w:bottom w:val="single" w:sz="4" w:space="0" w:color="auto"/>
              <w:right w:val="single" w:sz="4" w:space="0" w:color="auto"/>
            </w:tcBorders>
            <w:shd w:val="clear" w:color="auto" w:fill="FFFFFF"/>
          </w:tcPr>
          <w:p w14:paraId="587EEDA3"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(0.4%)</w:t>
            </w:r>
          </w:p>
        </w:tc>
      </w:tr>
      <w:tr w:rsidR="00E07CDE" w:rsidRPr="00921620" w14:paraId="67E7F870" w14:textId="77777777" w:rsidTr="00C163F3">
        <w:trPr>
          <w:jc w:val="center"/>
        </w:trPr>
        <w:tc>
          <w:tcPr>
            <w:tcW w:w="2041" w:type="pct"/>
            <w:tcBorders>
              <w:top w:val="single" w:sz="4" w:space="0" w:color="auto"/>
              <w:left w:val="single" w:sz="4" w:space="0" w:color="auto"/>
              <w:bottom w:val="single" w:sz="4" w:space="0" w:color="auto"/>
              <w:right w:val="single" w:sz="4" w:space="0" w:color="auto"/>
            </w:tcBorders>
            <w:vAlign w:val="center"/>
          </w:tcPr>
          <w:p w14:paraId="030CEA0B"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 xml:space="preserve">      In hospital</w:t>
            </w:r>
          </w:p>
        </w:tc>
        <w:tc>
          <w:tcPr>
            <w:tcW w:w="693" w:type="pct"/>
            <w:tcBorders>
              <w:top w:val="single" w:sz="4" w:space="0" w:color="auto"/>
              <w:left w:val="nil"/>
              <w:bottom w:val="single" w:sz="4" w:space="0" w:color="auto"/>
              <w:right w:val="single" w:sz="4" w:space="0" w:color="auto"/>
            </w:tcBorders>
            <w:shd w:val="clear" w:color="auto" w:fill="FFFFFF"/>
            <w:vAlign w:val="center"/>
          </w:tcPr>
          <w:p w14:paraId="217B4D2A"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124BFB56"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(2.1%)</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07F5C9C5"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719" w:type="pct"/>
            <w:tcBorders>
              <w:top w:val="single" w:sz="4" w:space="0" w:color="auto"/>
              <w:left w:val="single" w:sz="4" w:space="0" w:color="auto"/>
              <w:bottom w:val="single" w:sz="4" w:space="0" w:color="auto"/>
              <w:right w:val="single" w:sz="4" w:space="0" w:color="auto"/>
            </w:tcBorders>
            <w:shd w:val="clear" w:color="auto" w:fill="FFFFFF"/>
          </w:tcPr>
          <w:p w14:paraId="7B4A2E87"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(0.4%)</w:t>
            </w:r>
          </w:p>
        </w:tc>
      </w:tr>
    </w:tbl>
    <w:p w14:paraId="4932C338" w14:textId="09F39E6E" w:rsidR="00E07CDE" w:rsidRPr="00921620" w:rsidRDefault="00E07CDE" w:rsidP="009B13F3">
      <w:pPr>
        <w:autoSpaceDE/>
        <w:autoSpaceDN/>
        <w:adjustRightInd/>
        <w:spacing w:before="120" w:after="0"/>
        <w:rPr>
          <w:rFonts w:eastAsia="Calibri"/>
          <w:sz w:val="20"/>
          <w:szCs w:val="20"/>
          <w:lang w:eastAsia="en-US"/>
        </w:rPr>
      </w:pPr>
      <w:r w:rsidRPr="00921620">
        <w:rPr>
          <w:rFonts w:eastAsia="Calibri"/>
          <w:sz w:val="20"/>
          <w:szCs w:val="20"/>
          <w:lang w:eastAsia="en-US"/>
        </w:rPr>
        <w:t>*Catego</w:t>
      </w:r>
      <w:r w:rsidR="00921620">
        <w:rPr>
          <w:rFonts w:eastAsia="Calibri"/>
          <w:sz w:val="20"/>
          <w:szCs w:val="20"/>
          <w:lang w:eastAsia="en-US"/>
        </w:rPr>
        <w:t>ries are not mutually exclusive</w:t>
      </w:r>
    </w:p>
    <w:p w14:paraId="3B780FB7" w14:textId="77777777" w:rsidR="00E07CDE" w:rsidRPr="00563AD3" w:rsidRDefault="00E07CDE" w:rsidP="009B13F3">
      <w:pPr>
        <w:keepNext/>
        <w:autoSpaceDE/>
        <w:autoSpaceDN/>
        <w:adjustRightInd/>
        <w:spacing w:before="120" w:after="0"/>
        <w:rPr>
          <w:rFonts w:eastAsia="Calibri"/>
          <w:b/>
          <w:bCs/>
          <w:sz w:val="24"/>
          <w:szCs w:val="18"/>
          <w:lang w:eastAsia="en-US"/>
        </w:rPr>
      </w:pPr>
    </w:p>
    <w:p w14:paraId="07FFA731" w14:textId="77777777" w:rsidR="00E07CDE" w:rsidRPr="00563AD3" w:rsidRDefault="00E07CDE" w:rsidP="009B13F3">
      <w:pPr>
        <w:autoSpaceDE/>
        <w:autoSpaceDN/>
        <w:adjustRightInd/>
        <w:spacing w:after="200"/>
        <w:rPr>
          <w:rFonts w:eastAsia="Calibri"/>
          <w:b/>
          <w:bCs/>
          <w:sz w:val="24"/>
          <w:szCs w:val="18"/>
          <w:lang w:eastAsia="en-US"/>
        </w:rPr>
      </w:pPr>
      <w:bookmarkStart w:id="252" w:name="_Ref500318787"/>
      <w:bookmarkStart w:id="253" w:name="_Ref500318766"/>
      <w:bookmarkStart w:id="254" w:name="_Toc500934990"/>
      <w:r w:rsidRPr="00563AD3">
        <w:rPr>
          <w:rFonts w:eastAsia="Calibri"/>
          <w:sz w:val="24"/>
          <w:szCs w:val="24"/>
          <w:lang w:eastAsia="en-US"/>
        </w:rPr>
        <w:br w:type="page"/>
      </w:r>
    </w:p>
    <w:p w14:paraId="75BDAFC1" w14:textId="08FF7255" w:rsidR="00E07CDE" w:rsidRPr="00563AD3" w:rsidRDefault="00E07CDE" w:rsidP="002D1FFB">
      <w:pPr>
        <w:pStyle w:val="Tableheading"/>
        <w:rPr>
          <w:rFonts w:eastAsia="Calibri"/>
          <w:lang w:eastAsia="en-US"/>
        </w:rPr>
      </w:pPr>
      <w:bookmarkStart w:id="255" w:name="_Toc948225"/>
      <w:r w:rsidRPr="00563AD3">
        <w:rPr>
          <w:rFonts w:eastAsia="Calibri"/>
          <w:lang w:eastAsia="en-US"/>
        </w:rPr>
        <w:t xml:space="preserve">Table </w:t>
      </w:r>
      <w:bookmarkEnd w:id="252"/>
      <w:r w:rsidR="005545ED">
        <w:rPr>
          <w:rFonts w:eastAsia="Calibri"/>
          <w:lang w:eastAsia="en-US"/>
        </w:rPr>
        <w:t>28</w:t>
      </w:r>
      <w:r w:rsidR="005545ED" w:rsidRPr="00563AD3">
        <w:rPr>
          <w:rFonts w:eastAsia="Calibri"/>
          <w:lang w:eastAsia="en-US"/>
        </w:rPr>
        <w:t xml:space="preserve"> </w:t>
      </w:r>
      <w:r w:rsidRPr="00563AD3">
        <w:rPr>
          <w:rFonts w:eastAsia="Calibri"/>
          <w:lang w:eastAsia="en-US"/>
        </w:rPr>
        <w:t>Residents screened in additional cohort by treatment arm</w:t>
      </w:r>
      <w:bookmarkEnd w:id="253"/>
      <w:bookmarkEnd w:id="254"/>
      <w:bookmarkEnd w:id="255"/>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328"/>
        <w:gridCol w:w="1701"/>
        <w:gridCol w:w="1417"/>
      </w:tblGrid>
      <w:tr w:rsidR="00E07CDE" w:rsidRPr="00921620" w14:paraId="48EA0F1C" w14:textId="77777777" w:rsidTr="00C163F3">
        <w:trPr>
          <w:trHeight w:val="6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0C7EB8" w14:textId="77777777" w:rsidR="00E07CDE" w:rsidRPr="00921620" w:rsidRDefault="00E07CDE" w:rsidP="002D1FFB">
            <w:pPr>
              <w:autoSpaceDE/>
              <w:autoSpaceDN/>
              <w:adjustRightInd/>
              <w:spacing w:after="0" w:line="240" w:lineRule="auto"/>
              <w:rPr>
                <w:rFonts w:eastAsia="Calibri"/>
                <w:sz w:val="18"/>
                <w:szCs w:val="18"/>
                <w:lang w:eastAsia="en-US"/>
              </w:rPr>
            </w:pPr>
          </w:p>
        </w:tc>
        <w:tc>
          <w:tcPr>
            <w:tcW w:w="1328" w:type="dxa"/>
            <w:tcBorders>
              <w:top w:val="single" w:sz="4" w:space="0" w:color="auto"/>
              <w:left w:val="single" w:sz="4" w:space="0" w:color="auto"/>
              <w:bottom w:val="single" w:sz="4" w:space="0" w:color="auto"/>
              <w:right w:val="single" w:sz="4" w:space="0" w:color="auto"/>
            </w:tcBorders>
            <w:vAlign w:val="center"/>
            <w:hideMark/>
          </w:tcPr>
          <w:p w14:paraId="3F661935"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Control</w:t>
            </w:r>
          </w:p>
          <w:p w14:paraId="4AE1E137"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(CHs=19)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89E873" w14:textId="77777777" w:rsidR="00E07CDE" w:rsidRPr="00921620" w:rsidRDefault="00E07CDE" w:rsidP="002D1FFB">
            <w:pPr>
              <w:keepNext/>
              <w:autoSpaceDE/>
              <w:autoSpaceDN/>
              <w:spacing w:before="60" w:after="0" w:line="240" w:lineRule="auto"/>
              <w:jc w:val="right"/>
              <w:rPr>
                <w:rFonts w:eastAsia="Calibri"/>
                <w:b/>
                <w:bCs/>
                <w:color w:val="000000"/>
                <w:sz w:val="18"/>
                <w:szCs w:val="18"/>
                <w:lang w:eastAsia="en-US"/>
              </w:rPr>
            </w:pPr>
            <w:r w:rsidRPr="00921620">
              <w:rPr>
                <w:rFonts w:eastAsia="Calibri"/>
                <w:b/>
                <w:bCs/>
                <w:color w:val="000000"/>
                <w:sz w:val="18"/>
                <w:szCs w:val="18"/>
                <w:lang w:eastAsia="en-US"/>
              </w:rPr>
              <w:t>Intervention (CHs=31)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A76C15" w14:textId="77777777" w:rsidR="00E07CDE" w:rsidRPr="00921620" w:rsidRDefault="00E07CDE" w:rsidP="002D1FFB">
            <w:pPr>
              <w:autoSpaceDE/>
              <w:autoSpaceDN/>
              <w:adjustRightInd/>
              <w:spacing w:before="120" w:after="0" w:line="240" w:lineRule="auto"/>
              <w:jc w:val="right"/>
              <w:rPr>
                <w:rFonts w:eastAsia="Calibri"/>
                <w:sz w:val="18"/>
                <w:szCs w:val="18"/>
                <w:lang w:eastAsia="en-US"/>
              </w:rPr>
            </w:pPr>
            <w:r w:rsidRPr="00921620">
              <w:rPr>
                <w:rFonts w:eastAsia="Calibri"/>
                <w:b/>
                <w:sz w:val="18"/>
                <w:szCs w:val="18"/>
                <w:lang w:eastAsia="en-US"/>
              </w:rPr>
              <w:t>Total (CHs=48)</w:t>
            </w:r>
          </w:p>
        </w:tc>
      </w:tr>
      <w:tr w:rsidR="00E07CDE" w:rsidRPr="00921620" w14:paraId="58F66A7C"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5288D3" w14:textId="77777777" w:rsidR="00E07CDE" w:rsidRPr="00921620" w:rsidRDefault="00E07CDE" w:rsidP="002D1FFB">
            <w:pPr>
              <w:autoSpaceDE/>
              <w:autoSpaceDN/>
              <w:adjustRightInd/>
              <w:spacing w:before="60" w:after="0" w:line="240" w:lineRule="auto"/>
              <w:rPr>
                <w:rFonts w:eastAsia="Calibri"/>
                <w:b/>
                <w:sz w:val="18"/>
                <w:szCs w:val="18"/>
                <w:lang w:eastAsia="en-US"/>
              </w:rPr>
            </w:pPr>
            <w:r w:rsidRPr="00921620">
              <w:rPr>
                <w:rFonts w:eastAsia="Calibri"/>
                <w:b/>
                <w:sz w:val="18"/>
                <w:szCs w:val="18"/>
                <w:lang w:eastAsia="en-US"/>
              </w:rPr>
              <w:t>Screened</w:t>
            </w:r>
          </w:p>
        </w:tc>
        <w:tc>
          <w:tcPr>
            <w:tcW w:w="1328" w:type="dxa"/>
            <w:tcBorders>
              <w:top w:val="single" w:sz="4" w:space="0" w:color="auto"/>
              <w:left w:val="single" w:sz="4" w:space="0" w:color="auto"/>
              <w:bottom w:val="single" w:sz="4" w:space="0" w:color="auto"/>
              <w:right w:val="single" w:sz="4" w:space="0" w:color="auto"/>
            </w:tcBorders>
            <w:vAlign w:val="center"/>
          </w:tcPr>
          <w:p w14:paraId="3757F6D2"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494</w:t>
            </w:r>
          </w:p>
        </w:tc>
        <w:tc>
          <w:tcPr>
            <w:tcW w:w="1701" w:type="dxa"/>
            <w:tcBorders>
              <w:top w:val="single" w:sz="4" w:space="0" w:color="auto"/>
              <w:left w:val="single" w:sz="4" w:space="0" w:color="auto"/>
              <w:bottom w:val="single" w:sz="4" w:space="0" w:color="auto"/>
              <w:right w:val="single" w:sz="4" w:space="0" w:color="auto"/>
            </w:tcBorders>
            <w:vAlign w:val="center"/>
          </w:tcPr>
          <w:p w14:paraId="44A4ACE8"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950</w:t>
            </w:r>
          </w:p>
        </w:tc>
        <w:tc>
          <w:tcPr>
            <w:tcW w:w="1417" w:type="dxa"/>
            <w:tcBorders>
              <w:top w:val="single" w:sz="4" w:space="0" w:color="auto"/>
              <w:left w:val="single" w:sz="4" w:space="0" w:color="auto"/>
              <w:bottom w:val="single" w:sz="4" w:space="0" w:color="auto"/>
              <w:right w:val="single" w:sz="4" w:space="0" w:color="auto"/>
            </w:tcBorders>
            <w:vAlign w:val="center"/>
          </w:tcPr>
          <w:p w14:paraId="7C8A1938"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1444</w:t>
            </w:r>
          </w:p>
        </w:tc>
      </w:tr>
      <w:tr w:rsidR="00E07CDE" w:rsidRPr="00921620" w14:paraId="1B173933"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5FFBAE" w14:textId="77777777" w:rsidR="00E07CDE" w:rsidRPr="00921620" w:rsidRDefault="00E07CDE" w:rsidP="002D1FFB">
            <w:pPr>
              <w:autoSpaceDE/>
              <w:autoSpaceDN/>
              <w:adjustRightInd/>
              <w:spacing w:before="60" w:after="0" w:line="240" w:lineRule="auto"/>
              <w:ind w:left="113"/>
              <w:rPr>
                <w:rFonts w:eastAsia="Calibri"/>
                <w:sz w:val="18"/>
                <w:szCs w:val="18"/>
                <w:lang w:eastAsia="en-US"/>
              </w:rPr>
            </w:pPr>
            <w:r w:rsidRPr="00921620">
              <w:rPr>
                <w:rFonts w:eastAsia="Calibri"/>
                <w:sz w:val="18"/>
                <w:szCs w:val="18"/>
                <w:lang w:eastAsia="en-US"/>
              </w:rPr>
              <w:t>Currently participating in EPIC (out of screened)</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7D46F383"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185 (37.4%)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F8D65D"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240 (25.3%)</w:t>
            </w:r>
          </w:p>
        </w:tc>
        <w:tc>
          <w:tcPr>
            <w:tcW w:w="1417" w:type="dxa"/>
            <w:tcBorders>
              <w:top w:val="single" w:sz="4" w:space="0" w:color="auto"/>
              <w:left w:val="single" w:sz="4" w:space="0" w:color="auto"/>
              <w:bottom w:val="single" w:sz="4" w:space="0" w:color="auto"/>
              <w:right w:val="single" w:sz="4" w:space="0" w:color="auto"/>
            </w:tcBorders>
          </w:tcPr>
          <w:p w14:paraId="564473B1"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425 (29.4%)</w:t>
            </w:r>
          </w:p>
        </w:tc>
      </w:tr>
      <w:tr w:rsidR="00E07CDE" w:rsidRPr="00921620" w14:paraId="59497DA8"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4FA2295"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bCs/>
                <w:sz w:val="18"/>
                <w:szCs w:val="18"/>
                <w:lang w:eastAsia="en-US"/>
              </w:rPr>
              <w:t xml:space="preserve">   Screened and not participating in EPIC </w:t>
            </w:r>
            <w:r w:rsidRPr="00921620">
              <w:rPr>
                <w:rFonts w:eastAsia="Calibri"/>
                <w:sz w:val="18"/>
                <w:szCs w:val="18"/>
                <w:lang w:eastAsia="en-US"/>
              </w:rPr>
              <w:t>(out of screened)</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6B0D8BC9"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309 (62.6%)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B8A02D"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710 (74.7%)</w:t>
            </w:r>
          </w:p>
        </w:tc>
        <w:tc>
          <w:tcPr>
            <w:tcW w:w="1417" w:type="dxa"/>
            <w:tcBorders>
              <w:top w:val="single" w:sz="4" w:space="0" w:color="auto"/>
              <w:left w:val="nil"/>
              <w:bottom w:val="single" w:sz="4" w:space="0" w:color="auto"/>
              <w:right w:val="single" w:sz="4" w:space="0" w:color="auto"/>
            </w:tcBorders>
            <w:shd w:val="clear" w:color="auto" w:fill="FFFFFF"/>
          </w:tcPr>
          <w:p w14:paraId="22E57F18"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1019 (70.6%)</w:t>
            </w:r>
          </w:p>
        </w:tc>
      </w:tr>
      <w:tr w:rsidR="00E07CDE" w:rsidRPr="00921620" w14:paraId="4BE4EE6B"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EF36BD" w14:textId="77777777" w:rsidR="002D1FFB" w:rsidRDefault="00E07CDE" w:rsidP="002D1FFB">
            <w:pPr>
              <w:autoSpaceDE/>
              <w:autoSpaceDN/>
              <w:adjustRightInd/>
              <w:spacing w:before="60" w:after="0" w:line="240" w:lineRule="auto"/>
              <w:ind w:left="113"/>
              <w:rPr>
                <w:rFonts w:eastAsia="Calibri"/>
                <w:sz w:val="18"/>
                <w:szCs w:val="18"/>
                <w:lang w:eastAsia="en-US"/>
              </w:rPr>
            </w:pPr>
            <w:r w:rsidRPr="00921620">
              <w:rPr>
                <w:rFonts w:eastAsia="Calibri"/>
                <w:sz w:val="18"/>
                <w:szCs w:val="18"/>
                <w:lang w:eastAsia="en-US"/>
              </w:rPr>
              <w:t xml:space="preserve">         Screened at baseline but consent re</w:t>
            </w:r>
            <w:r w:rsidR="002D1FFB">
              <w:rPr>
                <w:rFonts w:eastAsia="Calibri"/>
                <w:sz w:val="18"/>
                <w:szCs w:val="18"/>
                <w:lang w:eastAsia="en-US"/>
              </w:rPr>
              <w:t xml:space="preserve">fused (out   </w:t>
            </w:r>
          </w:p>
          <w:p w14:paraId="3E6B1254" w14:textId="2F1E5A76" w:rsidR="00E07CDE" w:rsidRPr="00921620" w:rsidRDefault="002D1FFB" w:rsidP="002D1FFB">
            <w:pPr>
              <w:autoSpaceDE/>
              <w:autoSpaceDN/>
              <w:adjustRightInd/>
              <w:spacing w:before="60" w:after="0" w:line="240" w:lineRule="auto"/>
              <w:ind w:left="113"/>
              <w:rPr>
                <w:rFonts w:eastAsia="Calibri"/>
                <w:sz w:val="18"/>
                <w:szCs w:val="18"/>
                <w:lang w:eastAsia="en-US"/>
              </w:rPr>
            </w:pPr>
            <w:r>
              <w:rPr>
                <w:rFonts w:eastAsia="Calibri"/>
                <w:sz w:val="18"/>
                <w:szCs w:val="18"/>
                <w:lang w:eastAsia="en-US"/>
              </w:rPr>
              <w:t xml:space="preserve">         of screened and </w:t>
            </w:r>
            <w:r w:rsidR="00E07CDE" w:rsidRPr="00921620">
              <w:rPr>
                <w:rFonts w:eastAsia="Calibri"/>
                <w:sz w:val="18"/>
                <w:szCs w:val="18"/>
                <w:lang w:eastAsia="en-US"/>
              </w:rPr>
              <w:t>not participating in EPIC)</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2CAAEB38"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34 (11.0%)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40EA0DB"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108 (15.2%)</w:t>
            </w:r>
          </w:p>
        </w:tc>
        <w:tc>
          <w:tcPr>
            <w:tcW w:w="1417" w:type="dxa"/>
            <w:tcBorders>
              <w:top w:val="single" w:sz="4" w:space="0" w:color="auto"/>
              <w:left w:val="nil"/>
              <w:bottom w:val="single" w:sz="4" w:space="0" w:color="auto"/>
              <w:right w:val="single" w:sz="4" w:space="0" w:color="auto"/>
            </w:tcBorders>
            <w:shd w:val="clear" w:color="auto" w:fill="FFFFFF"/>
          </w:tcPr>
          <w:p w14:paraId="303DBF69"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142 (13.9%)</w:t>
            </w:r>
          </w:p>
        </w:tc>
      </w:tr>
      <w:tr w:rsidR="00E07CDE" w:rsidRPr="00921620" w14:paraId="1E278C71"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9B5F75" w14:textId="77777777" w:rsidR="00E07CDE" w:rsidRPr="00921620" w:rsidRDefault="00E07CDE" w:rsidP="002D1FFB">
            <w:pPr>
              <w:autoSpaceDE/>
              <w:autoSpaceDN/>
              <w:adjustRightInd/>
              <w:spacing w:before="60" w:after="0" w:line="240" w:lineRule="auto"/>
              <w:rPr>
                <w:rFonts w:eastAsia="Calibri"/>
                <w:b/>
                <w:bCs/>
                <w:color w:val="000000"/>
                <w:sz w:val="18"/>
                <w:szCs w:val="18"/>
                <w:lang w:eastAsia="en-US"/>
              </w:rPr>
            </w:pPr>
            <w:r w:rsidRPr="00921620">
              <w:rPr>
                <w:rFonts w:eastAsia="Calibri"/>
                <w:b/>
                <w:bCs/>
                <w:color w:val="000000"/>
                <w:sz w:val="18"/>
                <w:szCs w:val="18"/>
                <w:lang w:eastAsia="en-US"/>
              </w:rPr>
              <w:t>Eligible</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6BA9C426" w14:textId="77777777" w:rsidR="00E07CDE" w:rsidRPr="00921620" w:rsidRDefault="00E07CDE" w:rsidP="002D1FFB">
            <w:pPr>
              <w:autoSpaceDE/>
              <w:autoSpaceDN/>
              <w:spacing w:before="67" w:after="67" w:line="240" w:lineRule="auto"/>
              <w:jc w:val="right"/>
              <w:rPr>
                <w:rFonts w:eastAsia="Calibri"/>
                <w:b/>
                <w:color w:val="000000"/>
                <w:sz w:val="18"/>
                <w:szCs w:val="18"/>
                <w:lang w:eastAsia="en-US"/>
              </w:rPr>
            </w:pPr>
            <w:r w:rsidRPr="00921620">
              <w:rPr>
                <w:rFonts w:eastAsia="Calibri"/>
                <w:b/>
                <w:color w:val="000000"/>
                <w:sz w:val="18"/>
                <w:szCs w:val="18"/>
                <w:lang w:eastAsia="en-US"/>
              </w:rPr>
              <w:t>147 (29.8%)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AD6CBEE" w14:textId="77777777" w:rsidR="00E07CDE" w:rsidRPr="00921620" w:rsidRDefault="00E07CDE" w:rsidP="002D1FFB">
            <w:pPr>
              <w:autoSpaceDE/>
              <w:autoSpaceDN/>
              <w:spacing w:before="67" w:after="67" w:line="240" w:lineRule="auto"/>
              <w:jc w:val="right"/>
              <w:rPr>
                <w:rFonts w:eastAsia="Calibri"/>
                <w:b/>
                <w:color w:val="000000"/>
                <w:sz w:val="18"/>
                <w:szCs w:val="18"/>
                <w:lang w:eastAsia="en-US"/>
              </w:rPr>
            </w:pPr>
            <w:r w:rsidRPr="00921620">
              <w:rPr>
                <w:rFonts w:eastAsia="Calibri"/>
                <w:b/>
                <w:color w:val="000000"/>
                <w:sz w:val="18"/>
                <w:szCs w:val="18"/>
                <w:lang w:eastAsia="en-US"/>
              </w:rPr>
              <w:t>274 (28.8%)</w:t>
            </w:r>
          </w:p>
        </w:tc>
        <w:tc>
          <w:tcPr>
            <w:tcW w:w="1417" w:type="dxa"/>
            <w:tcBorders>
              <w:top w:val="single" w:sz="4" w:space="0" w:color="auto"/>
              <w:left w:val="nil"/>
              <w:bottom w:val="single" w:sz="4" w:space="0" w:color="auto"/>
              <w:right w:val="single" w:sz="4" w:space="0" w:color="auto"/>
            </w:tcBorders>
            <w:shd w:val="clear" w:color="auto" w:fill="FFFFFF"/>
          </w:tcPr>
          <w:p w14:paraId="4D5A597A" w14:textId="77777777" w:rsidR="00E07CDE" w:rsidRPr="00921620" w:rsidRDefault="00E07CDE" w:rsidP="002D1FFB">
            <w:pPr>
              <w:autoSpaceDE/>
              <w:autoSpaceDN/>
              <w:spacing w:before="67" w:after="67" w:line="240" w:lineRule="auto"/>
              <w:jc w:val="right"/>
              <w:rPr>
                <w:rFonts w:eastAsia="Calibri"/>
                <w:b/>
                <w:color w:val="000000"/>
                <w:sz w:val="18"/>
                <w:szCs w:val="18"/>
                <w:lang w:eastAsia="en-US"/>
              </w:rPr>
            </w:pPr>
            <w:r w:rsidRPr="00921620">
              <w:rPr>
                <w:rFonts w:eastAsia="Calibri"/>
                <w:b/>
                <w:color w:val="000000"/>
                <w:sz w:val="18"/>
                <w:szCs w:val="18"/>
                <w:lang w:eastAsia="en-US"/>
              </w:rPr>
              <w:t>421 (29.2%)</w:t>
            </w:r>
          </w:p>
        </w:tc>
      </w:tr>
      <w:tr w:rsidR="00E07CDE" w:rsidRPr="00921620" w14:paraId="69FE0547"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438CD6" w14:textId="77777777" w:rsidR="00E07CDE" w:rsidRPr="00921620" w:rsidRDefault="00E07CDE" w:rsidP="002D1FFB">
            <w:pPr>
              <w:autoSpaceDE/>
              <w:autoSpaceDN/>
              <w:adjustRightInd/>
              <w:spacing w:before="60" w:after="0" w:line="240" w:lineRule="auto"/>
              <w:rPr>
                <w:rFonts w:eastAsia="Calibri"/>
                <w:bCs/>
                <w:color w:val="000000"/>
                <w:sz w:val="18"/>
                <w:szCs w:val="18"/>
                <w:lang w:eastAsia="en-US"/>
              </w:rPr>
            </w:pPr>
            <w:r w:rsidRPr="00921620">
              <w:rPr>
                <w:rFonts w:eastAsia="Calibri"/>
                <w:bCs/>
                <w:color w:val="000000"/>
                <w:sz w:val="18"/>
                <w:szCs w:val="18"/>
                <w:lang w:eastAsia="en-US"/>
              </w:rPr>
              <w:t>Not eligible*</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307EDA04"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128 (25.9%)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7E9111"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328 (34.5%)</w:t>
            </w:r>
          </w:p>
        </w:tc>
        <w:tc>
          <w:tcPr>
            <w:tcW w:w="1417" w:type="dxa"/>
            <w:tcBorders>
              <w:top w:val="single" w:sz="4" w:space="0" w:color="auto"/>
              <w:left w:val="nil"/>
              <w:bottom w:val="single" w:sz="4" w:space="0" w:color="auto"/>
              <w:right w:val="single" w:sz="4" w:space="0" w:color="auto"/>
            </w:tcBorders>
            <w:shd w:val="clear" w:color="auto" w:fill="FFFFFF"/>
          </w:tcPr>
          <w:p w14:paraId="4B8FE2D6" w14:textId="77777777" w:rsidR="00E07CDE" w:rsidRPr="00921620" w:rsidRDefault="00E07CDE" w:rsidP="002D1FFB">
            <w:pPr>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456 (31.6%)</w:t>
            </w:r>
          </w:p>
        </w:tc>
      </w:tr>
      <w:tr w:rsidR="00E07CDE" w:rsidRPr="00921620" w14:paraId="084D8053"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1D7751"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bCs/>
                <w:color w:val="000000"/>
                <w:sz w:val="18"/>
                <w:szCs w:val="18"/>
                <w:lang w:eastAsia="en-US"/>
              </w:rPr>
              <w:t>Does not have formal diagnosis of dementia</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7277484C"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61 (47.7%)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51D7EB3"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192 (58.5%)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9272DE"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253 (55.5%)</w:t>
            </w:r>
          </w:p>
        </w:tc>
      </w:tr>
      <w:tr w:rsidR="00E07CDE" w:rsidRPr="00921620" w14:paraId="2BCA9FED"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40A32E" w14:textId="435BE5FD"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bCs/>
                <w:color w:val="000000"/>
                <w:sz w:val="18"/>
                <w:szCs w:val="18"/>
                <w:lang w:eastAsia="en-US"/>
              </w:rPr>
              <w:t>Moved to the unit &lt;3</w:t>
            </w:r>
            <w:r w:rsidR="00B80810">
              <w:rPr>
                <w:rFonts w:eastAsia="Calibri"/>
                <w:bCs/>
                <w:color w:val="000000"/>
                <w:sz w:val="18"/>
                <w:szCs w:val="18"/>
                <w:lang w:eastAsia="en-US"/>
              </w:rPr>
              <w:t>-months</w:t>
            </w:r>
            <w:r w:rsidRPr="00921620">
              <w:rPr>
                <w:rFonts w:eastAsia="Calibri"/>
                <w:bCs/>
                <w:color w:val="000000"/>
                <w:sz w:val="18"/>
                <w:szCs w:val="18"/>
                <w:lang w:eastAsia="en-US"/>
              </w:rPr>
              <w:t xml:space="preserve"> ago</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6AC0E9EF"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15 (11.7%)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DB67F2"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39 (11.9%)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D2F5487"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54 (11.8%)</w:t>
            </w:r>
          </w:p>
        </w:tc>
      </w:tr>
      <w:tr w:rsidR="00E07CDE" w:rsidRPr="00921620" w14:paraId="115A0771"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661B9F"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bCs/>
                <w:color w:val="000000"/>
                <w:sz w:val="18"/>
                <w:szCs w:val="18"/>
                <w:lang w:eastAsia="en-US"/>
              </w:rPr>
              <w:t>Permanently bed-bound</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433E520B"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6 (4.7%)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DE3B13"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15 (4.6%)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8D21E5"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21 (4.6%)</w:t>
            </w:r>
          </w:p>
        </w:tc>
      </w:tr>
      <w:tr w:rsidR="00E07CDE" w:rsidRPr="00921620" w14:paraId="5AE5341C"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5DC24D6"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bCs/>
                <w:color w:val="000000"/>
                <w:sz w:val="18"/>
                <w:szCs w:val="18"/>
                <w:lang w:eastAsia="en-US"/>
              </w:rPr>
              <w:t>Terminally ill</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297DF4B8"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3 (2.3%)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021FB8D"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25 (7.6%)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BC3FB8"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28 (6.1%)</w:t>
            </w:r>
          </w:p>
        </w:tc>
      </w:tr>
      <w:tr w:rsidR="00E07CDE" w:rsidRPr="00921620" w14:paraId="6F1D1072"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0CEDD7"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bCs/>
                <w:color w:val="000000"/>
                <w:sz w:val="18"/>
                <w:szCs w:val="18"/>
                <w:lang w:eastAsia="en-US"/>
              </w:rPr>
              <w:t>Not a permanent resident</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590D1883"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3 (2.3%)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723766"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4 (1.2%)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C42DC7"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7 (1.5%)</w:t>
            </w:r>
          </w:p>
        </w:tc>
      </w:tr>
      <w:tr w:rsidR="00E07CDE" w:rsidRPr="00921620" w14:paraId="61B874A1"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0CC77F"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bCs/>
                <w:color w:val="000000"/>
                <w:sz w:val="18"/>
                <w:szCs w:val="18"/>
                <w:lang w:eastAsia="en-US"/>
              </w:rPr>
              <w:t>Insufficient proficiency in English</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0A4E2423"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51 (39.8%)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CD13C0"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83 (25.3%)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07BA011"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134 (29.4%)</w:t>
            </w:r>
          </w:p>
        </w:tc>
      </w:tr>
      <w:tr w:rsidR="00E07CDE" w:rsidRPr="00921620" w14:paraId="43EF9E2D"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5F3720"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bCs/>
                <w:color w:val="000000"/>
                <w:sz w:val="18"/>
                <w:szCs w:val="18"/>
                <w:lang w:eastAsia="en-US"/>
              </w:rPr>
              <w:t>Missing information</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6BD2C361"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 (0.8%)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F9E4AB7"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A5064D"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 (0.2%)</w:t>
            </w:r>
          </w:p>
        </w:tc>
      </w:tr>
      <w:tr w:rsidR="00E07CDE" w:rsidRPr="00921620" w14:paraId="4686B200"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93F4E5"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b/>
                <w:sz w:val="18"/>
                <w:szCs w:val="18"/>
                <w:lang w:eastAsia="en-US"/>
              </w:rPr>
              <w:t>Consented</w:t>
            </w:r>
            <w:r w:rsidRPr="00921620">
              <w:rPr>
                <w:rFonts w:eastAsia="Calibri"/>
                <w:sz w:val="18"/>
                <w:szCs w:val="18"/>
                <w:lang w:eastAsia="en-US"/>
              </w:rPr>
              <w:t xml:space="preserve"> (out of eligible)</w:t>
            </w:r>
          </w:p>
        </w:tc>
        <w:tc>
          <w:tcPr>
            <w:tcW w:w="1328" w:type="dxa"/>
            <w:tcBorders>
              <w:top w:val="single" w:sz="4" w:space="0" w:color="auto"/>
              <w:left w:val="single" w:sz="4" w:space="0" w:color="auto"/>
              <w:bottom w:val="single" w:sz="4" w:space="0" w:color="auto"/>
              <w:right w:val="single" w:sz="4" w:space="0" w:color="auto"/>
            </w:tcBorders>
          </w:tcPr>
          <w:p w14:paraId="7926D925" w14:textId="77777777" w:rsidR="00E07CDE" w:rsidRPr="00921620" w:rsidRDefault="00E07CDE" w:rsidP="002D1FFB">
            <w:pPr>
              <w:autoSpaceDE/>
              <w:autoSpaceDN/>
              <w:spacing w:before="67" w:after="67" w:line="240" w:lineRule="auto"/>
              <w:jc w:val="right"/>
              <w:rPr>
                <w:rFonts w:eastAsia="Calibri"/>
                <w:b/>
                <w:color w:val="000000"/>
                <w:sz w:val="18"/>
                <w:szCs w:val="18"/>
                <w:lang w:eastAsia="en-US"/>
              </w:rPr>
            </w:pPr>
            <w:r w:rsidRPr="00921620">
              <w:rPr>
                <w:rFonts w:eastAsia="Calibri"/>
                <w:b/>
                <w:color w:val="000000"/>
                <w:sz w:val="18"/>
                <w:szCs w:val="18"/>
                <w:lang w:eastAsia="en-US"/>
              </w:rPr>
              <w:t>100 (68.0%)</w:t>
            </w:r>
          </w:p>
        </w:tc>
        <w:tc>
          <w:tcPr>
            <w:tcW w:w="1701" w:type="dxa"/>
            <w:tcBorders>
              <w:top w:val="single" w:sz="4" w:space="0" w:color="auto"/>
              <w:left w:val="single" w:sz="4" w:space="0" w:color="auto"/>
              <w:bottom w:val="single" w:sz="4" w:space="0" w:color="auto"/>
              <w:right w:val="single" w:sz="4" w:space="0" w:color="auto"/>
            </w:tcBorders>
          </w:tcPr>
          <w:p w14:paraId="6265461E"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166 (60.6%)</w:t>
            </w:r>
          </w:p>
        </w:tc>
        <w:tc>
          <w:tcPr>
            <w:tcW w:w="1417" w:type="dxa"/>
            <w:tcBorders>
              <w:top w:val="single" w:sz="4" w:space="0" w:color="auto"/>
              <w:left w:val="single" w:sz="4" w:space="0" w:color="auto"/>
              <w:bottom w:val="single" w:sz="4" w:space="0" w:color="auto"/>
              <w:right w:val="single" w:sz="4" w:space="0" w:color="auto"/>
            </w:tcBorders>
          </w:tcPr>
          <w:p w14:paraId="623FD978"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266 (63.2%)</w:t>
            </w:r>
          </w:p>
        </w:tc>
      </w:tr>
      <w:tr w:rsidR="00E07CDE" w:rsidRPr="00921620" w14:paraId="23FE8731"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6788EF" w14:textId="77777777" w:rsidR="00E07CDE" w:rsidRPr="00921620" w:rsidRDefault="00E07CDE" w:rsidP="002D1FFB">
            <w:pPr>
              <w:autoSpaceDE/>
              <w:autoSpaceDN/>
              <w:adjustRightInd/>
              <w:spacing w:before="60" w:after="0" w:line="240" w:lineRule="auto"/>
              <w:jc w:val="both"/>
              <w:rPr>
                <w:rFonts w:eastAsia="Calibri"/>
                <w:sz w:val="18"/>
                <w:szCs w:val="18"/>
                <w:lang w:eastAsia="en-US"/>
              </w:rPr>
            </w:pPr>
            <w:r w:rsidRPr="00921620">
              <w:rPr>
                <w:rFonts w:eastAsia="Calibri"/>
                <w:sz w:val="18"/>
                <w:szCs w:val="18"/>
                <w:lang w:eastAsia="en-US"/>
              </w:rPr>
              <w:t>Not consented (out of eligible)*, Missing</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76FD17FB" w14:textId="77777777" w:rsidR="00E07CDE" w:rsidRPr="00921620" w:rsidRDefault="00E07CDE" w:rsidP="002D1FFB">
            <w:pPr>
              <w:keepNext/>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46 (31.3%),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68DEC3F" w14:textId="77777777" w:rsidR="00E07CDE" w:rsidRPr="00921620" w:rsidRDefault="00E07CDE" w:rsidP="002D1FFB">
            <w:pPr>
              <w:keepNext/>
              <w:autoSpaceDE/>
              <w:autoSpaceDN/>
              <w:spacing w:before="67" w:after="67" w:line="240" w:lineRule="auto"/>
              <w:jc w:val="right"/>
              <w:rPr>
                <w:rFonts w:eastAsia="Calibri"/>
                <w:color w:val="000000"/>
                <w:sz w:val="18"/>
                <w:szCs w:val="18"/>
                <w:lang w:eastAsia="en-US"/>
              </w:rPr>
            </w:pPr>
            <w:r w:rsidRPr="00921620">
              <w:rPr>
                <w:rFonts w:eastAsia="Calibri"/>
                <w:color w:val="000000"/>
                <w:sz w:val="18"/>
                <w:szCs w:val="18"/>
                <w:lang w:eastAsia="en-US"/>
              </w:rPr>
              <w:t>107 (39.1%), 1</w:t>
            </w:r>
          </w:p>
        </w:tc>
        <w:tc>
          <w:tcPr>
            <w:tcW w:w="1417" w:type="dxa"/>
            <w:tcBorders>
              <w:top w:val="single" w:sz="4" w:space="0" w:color="auto"/>
              <w:left w:val="single" w:sz="4" w:space="0" w:color="auto"/>
              <w:bottom w:val="single" w:sz="4" w:space="0" w:color="auto"/>
              <w:right w:val="single" w:sz="4" w:space="0" w:color="auto"/>
            </w:tcBorders>
          </w:tcPr>
          <w:p w14:paraId="6DAD14A9"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153 (36.3%), 2</w:t>
            </w:r>
          </w:p>
        </w:tc>
      </w:tr>
      <w:tr w:rsidR="00E07CDE" w:rsidRPr="00921620" w14:paraId="777240EB"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951693"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bCs/>
                <w:color w:val="000000"/>
                <w:sz w:val="18"/>
                <w:szCs w:val="18"/>
                <w:lang w:eastAsia="en-US"/>
              </w:rPr>
              <w:t>Consent refused by who:</w:t>
            </w:r>
          </w:p>
        </w:tc>
        <w:tc>
          <w:tcPr>
            <w:tcW w:w="1328" w:type="dxa"/>
            <w:tcBorders>
              <w:top w:val="single" w:sz="4" w:space="0" w:color="auto"/>
              <w:left w:val="single" w:sz="4" w:space="0" w:color="auto"/>
              <w:bottom w:val="single" w:sz="4" w:space="0" w:color="auto"/>
              <w:right w:val="single" w:sz="4" w:space="0" w:color="auto"/>
            </w:tcBorders>
            <w:vAlign w:val="center"/>
          </w:tcPr>
          <w:p w14:paraId="508FF2F2"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40 (87.0%)</w:t>
            </w:r>
          </w:p>
        </w:tc>
        <w:tc>
          <w:tcPr>
            <w:tcW w:w="1701" w:type="dxa"/>
            <w:tcBorders>
              <w:top w:val="single" w:sz="4" w:space="0" w:color="auto"/>
              <w:left w:val="single" w:sz="4" w:space="0" w:color="auto"/>
              <w:bottom w:val="single" w:sz="4" w:space="0" w:color="auto"/>
              <w:right w:val="single" w:sz="4" w:space="0" w:color="auto"/>
            </w:tcBorders>
            <w:vAlign w:val="center"/>
          </w:tcPr>
          <w:p w14:paraId="3D681D55"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100 (93.5%)</w:t>
            </w:r>
          </w:p>
        </w:tc>
        <w:tc>
          <w:tcPr>
            <w:tcW w:w="1417" w:type="dxa"/>
            <w:tcBorders>
              <w:top w:val="single" w:sz="4" w:space="0" w:color="auto"/>
              <w:left w:val="single" w:sz="4" w:space="0" w:color="auto"/>
              <w:bottom w:val="single" w:sz="4" w:space="0" w:color="auto"/>
              <w:right w:val="single" w:sz="4" w:space="0" w:color="auto"/>
            </w:tcBorders>
            <w:vAlign w:val="center"/>
          </w:tcPr>
          <w:p w14:paraId="5E3A238A"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140 (91.5%)</w:t>
            </w:r>
          </w:p>
        </w:tc>
      </w:tr>
      <w:tr w:rsidR="00E07CDE" w:rsidRPr="00921620" w14:paraId="274669FD"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53164C3"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sz w:val="18"/>
                <w:szCs w:val="18"/>
                <w:lang w:eastAsia="en-US"/>
              </w:rPr>
              <w:t xml:space="preserve">                         Resident (% out of who)</w:t>
            </w:r>
          </w:p>
        </w:tc>
        <w:tc>
          <w:tcPr>
            <w:tcW w:w="1328" w:type="dxa"/>
            <w:tcBorders>
              <w:top w:val="single" w:sz="4" w:space="0" w:color="auto"/>
              <w:left w:val="single" w:sz="4" w:space="0" w:color="auto"/>
              <w:bottom w:val="single" w:sz="4" w:space="0" w:color="auto"/>
              <w:right w:val="single" w:sz="4" w:space="0" w:color="auto"/>
            </w:tcBorders>
          </w:tcPr>
          <w:p w14:paraId="02F3948A"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9 (22.5%)</w:t>
            </w:r>
          </w:p>
        </w:tc>
        <w:tc>
          <w:tcPr>
            <w:tcW w:w="1701" w:type="dxa"/>
            <w:tcBorders>
              <w:top w:val="single" w:sz="4" w:space="0" w:color="auto"/>
              <w:left w:val="single" w:sz="4" w:space="0" w:color="auto"/>
              <w:bottom w:val="single" w:sz="4" w:space="0" w:color="auto"/>
              <w:right w:val="single" w:sz="4" w:space="0" w:color="auto"/>
            </w:tcBorders>
          </w:tcPr>
          <w:p w14:paraId="559623CF"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19 (19.0%)</w:t>
            </w:r>
          </w:p>
        </w:tc>
        <w:tc>
          <w:tcPr>
            <w:tcW w:w="1417" w:type="dxa"/>
            <w:tcBorders>
              <w:top w:val="single" w:sz="4" w:space="0" w:color="auto"/>
              <w:left w:val="single" w:sz="4" w:space="0" w:color="auto"/>
              <w:bottom w:val="single" w:sz="4" w:space="0" w:color="auto"/>
              <w:right w:val="single" w:sz="4" w:space="0" w:color="auto"/>
            </w:tcBorders>
          </w:tcPr>
          <w:p w14:paraId="7BE8A672"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28 (20.0%)</w:t>
            </w:r>
          </w:p>
        </w:tc>
      </w:tr>
      <w:tr w:rsidR="00E07CDE" w:rsidRPr="00921620" w14:paraId="48066D53"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35CCB14"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sz w:val="18"/>
                <w:szCs w:val="18"/>
                <w:lang w:eastAsia="en-US"/>
              </w:rPr>
              <w:t xml:space="preserve">                         Personal consultee</w:t>
            </w:r>
          </w:p>
        </w:tc>
        <w:tc>
          <w:tcPr>
            <w:tcW w:w="1328" w:type="dxa"/>
            <w:tcBorders>
              <w:top w:val="single" w:sz="4" w:space="0" w:color="auto"/>
              <w:left w:val="single" w:sz="4" w:space="0" w:color="auto"/>
              <w:bottom w:val="single" w:sz="4" w:space="0" w:color="auto"/>
              <w:right w:val="single" w:sz="4" w:space="0" w:color="auto"/>
            </w:tcBorders>
          </w:tcPr>
          <w:p w14:paraId="29E792A3"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10 (25.0%)</w:t>
            </w:r>
          </w:p>
        </w:tc>
        <w:tc>
          <w:tcPr>
            <w:tcW w:w="1701" w:type="dxa"/>
            <w:tcBorders>
              <w:top w:val="single" w:sz="4" w:space="0" w:color="auto"/>
              <w:left w:val="single" w:sz="4" w:space="0" w:color="auto"/>
              <w:bottom w:val="single" w:sz="4" w:space="0" w:color="auto"/>
              <w:right w:val="single" w:sz="4" w:space="0" w:color="auto"/>
            </w:tcBorders>
          </w:tcPr>
          <w:p w14:paraId="33F13EEC"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33 (33.0%)</w:t>
            </w:r>
          </w:p>
        </w:tc>
        <w:tc>
          <w:tcPr>
            <w:tcW w:w="1417" w:type="dxa"/>
            <w:tcBorders>
              <w:top w:val="single" w:sz="4" w:space="0" w:color="auto"/>
              <w:left w:val="single" w:sz="4" w:space="0" w:color="auto"/>
              <w:bottom w:val="single" w:sz="4" w:space="0" w:color="auto"/>
              <w:right w:val="single" w:sz="4" w:space="0" w:color="auto"/>
            </w:tcBorders>
          </w:tcPr>
          <w:p w14:paraId="4907B70E"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43 (30.7%)</w:t>
            </w:r>
          </w:p>
        </w:tc>
      </w:tr>
      <w:tr w:rsidR="00E07CDE" w:rsidRPr="00921620" w14:paraId="64EDAE29"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99CEFCE"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sz w:val="18"/>
                <w:szCs w:val="18"/>
                <w:lang w:eastAsia="en-US"/>
              </w:rPr>
              <w:t xml:space="preserve">                         Nominated consultee</w:t>
            </w:r>
          </w:p>
        </w:tc>
        <w:tc>
          <w:tcPr>
            <w:tcW w:w="1328" w:type="dxa"/>
            <w:tcBorders>
              <w:top w:val="single" w:sz="4" w:space="0" w:color="auto"/>
              <w:left w:val="single" w:sz="4" w:space="0" w:color="auto"/>
              <w:bottom w:val="single" w:sz="4" w:space="0" w:color="auto"/>
              <w:right w:val="single" w:sz="4" w:space="0" w:color="auto"/>
            </w:tcBorders>
          </w:tcPr>
          <w:p w14:paraId="54A885D4"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21 (52.5%)</w:t>
            </w:r>
          </w:p>
        </w:tc>
        <w:tc>
          <w:tcPr>
            <w:tcW w:w="1701" w:type="dxa"/>
            <w:tcBorders>
              <w:top w:val="single" w:sz="4" w:space="0" w:color="auto"/>
              <w:left w:val="single" w:sz="4" w:space="0" w:color="auto"/>
              <w:bottom w:val="single" w:sz="4" w:space="0" w:color="auto"/>
              <w:right w:val="single" w:sz="4" w:space="0" w:color="auto"/>
            </w:tcBorders>
          </w:tcPr>
          <w:p w14:paraId="6023079B"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48 (48.0%)</w:t>
            </w:r>
          </w:p>
        </w:tc>
        <w:tc>
          <w:tcPr>
            <w:tcW w:w="1417" w:type="dxa"/>
            <w:tcBorders>
              <w:top w:val="single" w:sz="4" w:space="0" w:color="auto"/>
              <w:left w:val="single" w:sz="4" w:space="0" w:color="auto"/>
              <w:bottom w:val="single" w:sz="4" w:space="0" w:color="auto"/>
              <w:right w:val="single" w:sz="4" w:space="0" w:color="auto"/>
            </w:tcBorders>
          </w:tcPr>
          <w:p w14:paraId="3AE7AD3C"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69 (49.3%)</w:t>
            </w:r>
          </w:p>
        </w:tc>
      </w:tr>
      <w:tr w:rsidR="00E07CDE" w:rsidRPr="00921620" w14:paraId="77BB8FFE"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3F5328"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bCs/>
                <w:color w:val="000000"/>
                <w:sz w:val="18"/>
                <w:szCs w:val="18"/>
                <w:lang w:eastAsia="en-US"/>
              </w:rPr>
              <w:t>Resident died</w:t>
            </w:r>
          </w:p>
        </w:tc>
        <w:tc>
          <w:tcPr>
            <w:tcW w:w="1328" w:type="dxa"/>
            <w:tcBorders>
              <w:top w:val="single" w:sz="4" w:space="0" w:color="auto"/>
              <w:left w:val="single" w:sz="4" w:space="0" w:color="auto"/>
              <w:bottom w:val="single" w:sz="4" w:space="0" w:color="auto"/>
              <w:right w:val="single" w:sz="4" w:space="0" w:color="auto"/>
            </w:tcBorders>
            <w:vAlign w:val="center"/>
          </w:tcPr>
          <w:p w14:paraId="5165ED76"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2 (4.3%)</w:t>
            </w:r>
          </w:p>
        </w:tc>
        <w:tc>
          <w:tcPr>
            <w:tcW w:w="1701" w:type="dxa"/>
            <w:tcBorders>
              <w:top w:val="single" w:sz="4" w:space="0" w:color="auto"/>
              <w:left w:val="single" w:sz="4" w:space="0" w:color="auto"/>
              <w:bottom w:val="single" w:sz="4" w:space="0" w:color="auto"/>
              <w:right w:val="single" w:sz="4" w:space="0" w:color="auto"/>
            </w:tcBorders>
            <w:vAlign w:val="center"/>
          </w:tcPr>
          <w:p w14:paraId="4E53B018"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3 (2.8%)</w:t>
            </w:r>
          </w:p>
        </w:tc>
        <w:tc>
          <w:tcPr>
            <w:tcW w:w="1417" w:type="dxa"/>
            <w:tcBorders>
              <w:top w:val="single" w:sz="4" w:space="0" w:color="auto"/>
              <w:left w:val="single" w:sz="4" w:space="0" w:color="auto"/>
              <w:bottom w:val="single" w:sz="4" w:space="0" w:color="auto"/>
              <w:right w:val="single" w:sz="4" w:space="0" w:color="auto"/>
            </w:tcBorders>
            <w:vAlign w:val="center"/>
          </w:tcPr>
          <w:p w14:paraId="7B975598"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5 (3.3%)</w:t>
            </w:r>
          </w:p>
        </w:tc>
      </w:tr>
      <w:tr w:rsidR="00E07CDE" w:rsidRPr="00921620" w14:paraId="31288EF4"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8FF324"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bCs/>
                <w:color w:val="000000"/>
                <w:sz w:val="18"/>
                <w:szCs w:val="18"/>
                <w:lang w:eastAsia="en-US"/>
              </w:rPr>
              <w:t>Unwilling to engage with researcher</w:t>
            </w:r>
          </w:p>
        </w:tc>
        <w:tc>
          <w:tcPr>
            <w:tcW w:w="1328" w:type="dxa"/>
            <w:tcBorders>
              <w:top w:val="single" w:sz="4" w:space="0" w:color="auto"/>
              <w:left w:val="single" w:sz="4" w:space="0" w:color="auto"/>
              <w:bottom w:val="single" w:sz="4" w:space="0" w:color="auto"/>
              <w:right w:val="single" w:sz="4" w:space="0" w:color="auto"/>
            </w:tcBorders>
            <w:vAlign w:val="center"/>
          </w:tcPr>
          <w:p w14:paraId="3A6F8D43"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 (2.2%)</w:t>
            </w:r>
          </w:p>
        </w:tc>
        <w:tc>
          <w:tcPr>
            <w:tcW w:w="1701" w:type="dxa"/>
            <w:tcBorders>
              <w:top w:val="single" w:sz="4" w:space="0" w:color="auto"/>
              <w:left w:val="single" w:sz="4" w:space="0" w:color="auto"/>
              <w:bottom w:val="single" w:sz="4" w:space="0" w:color="auto"/>
              <w:right w:val="single" w:sz="4" w:space="0" w:color="auto"/>
            </w:tcBorders>
            <w:vAlign w:val="center"/>
          </w:tcPr>
          <w:p w14:paraId="648B0D71"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2 (1.9%)</w:t>
            </w:r>
          </w:p>
        </w:tc>
        <w:tc>
          <w:tcPr>
            <w:tcW w:w="1417" w:type="dxa"/>
            <w:tcBorders>
              <w:top w:val="single" w:sz="4" w:space="0" w:color="auto"/>
              <w:left w:val="single" w:sz="4" w:space="0" w:color="auto"/>
              <w:bottom w:val="single" w:sz="4" w:space="0" w:color="auto"/>
              <w:right w:val="single" w:sz="4" w:space="0" w:color="auto"/>
            </w:tcBorders>
            <w:vAlign w:val="center"/>
          </w:tcPr>
          <w:p w14:paraId="458F9A8B"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3 (2.0%)</w:t>
            </w:r>
          </w:p>
        </w:tc>
      </w:tr>
      <w:tr w:rsidR="00E07CDE" w:rsidRPr="00921620" w14:paraId="57C55438"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00F2EA"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bCs/>
                <w:color w:val="000000"/>
                <w:sz w:val="18"/>
                <w:szCs w:val="18"/>
                <w:lang w:eastAsia="en-US"/>
              </w:rPr>
              <w:t>No response from personal consultee</w:t>
            </w:r>
          </w:p>
        </w:tc>
        <w:tc>
          <w:tcPr>
            <w:tcW w:w="1328" w:type="dxa"/>
            <w:tcBorders>
              <w:top w:val="single" w:sz="4" w:space="0" w:color="auto"/>
              <w:left w:val="single" w:sz="4" w:space="0" w:color="auto"/>
              <w:bottom w:val="single" w:sz="4" w:space="0" w:color="auto"/>
              <w:right w:val="single" w:sz="4" w:space="0" w:color="auto"/>
            </w:tcBorders>
            <w:vAlign w:val="center"/>
          </w:tcPr>
          <w:p w14:paraId="4B73F7C3"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2 (4.3%)</w:t>
            </w:r>
          </w:p>
        </w:tc>
        <w:tc>
          <w:tcPr>
            <w:tcW w:w="1701" w:type="dxa"/>
            <w:tcBorders>
              <w:top w:val="single" w:sz="4" w:space="0" w:color="auto"/>
              <w:left w:val="single" w:sz="4" w:space="0" w:color="auto"/>
              <w:bottom w:val="single" w:sz="4" w:space="0" w:color="auto"/>
              <w:right w:val="single" w:sz="4" w:space="0" w:color="auto"/>
            </w:tcBorders>
            <w:vAlign w:val="center"/>
          </w:tcPr>
          <w:p w14:paraId="3AF4DE50"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1417" w:type="dxa"/>
            <w:tcBorders>
              <w:top w:val="single" w:sz="4" w:space="0" w:color="auto"/>
              <w:left w:val="single" w:sz="4" w:space="0" w:color="auto"/>
              <w:bottom w:val="single" w:sz="4" w:space="0" w:color="auto"/>
              <w:right w:val="single" w:sz="4" w:space="0" w:color="auto"/>
            </w:tcBorders>
            <w:vAlign w:val="center"/>
          </w:tcPr>
          <w:p w14:paraId="5F01812C"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2 (1.3%)</w:t>
            </w:r>
          </w:p>
        </w:tc>
      </w:tr>
      <w:tr w:rsidR="00E07CDE" w:rsidRPr="00921620" w14:paraId="0815B3B0"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83CBD03"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bCs/>
                <w:color w:val="000000"/>
                <w:sz w:val="18"/>
                <w:szCs w:val="18"/>
                <w:lang w:eastAsia="en-US"/>
              </w:rPr>
              <w:t>Transferred elsewhere</w:t>
            </w:r>
          </w:p>
        </w:tc>
        <w:tc>
          <w:tcPr>
            <w:tcW w:w="1328" w:type="dxa"/>
            <w:tcBorders>
              <w:top w:val="single" w:sz="4" w:space="0" w:color="auto"/>
              <w:left w:val="single" w:sz="4" w:space="0" w:color="auto"/>
              <w:bottom w:val="single" w:sz="4" w:space="0" w:color="auto"/>
              <w:right w:val="single" w:sz="4" w:space="0" w:color="auto"/>
            </w:tcBorders>
            <w:vAlign w:val="center"/>
          </w:tcPr>
          <w:p w14:paraId="5D2BFFAB"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 (2.2%)</w:t>
            </w:r>
          </w:p>
        </w:tc>
        <w:tc>
          <w:tcPr>
            <w:tcW w:w="1701" w:type="dxa"/>
            <w:tcBorders>
              <w:top w:val="single" w:sz="4" w:space="0" w:color="auto"/>
              <w:left w:val="single" w:sz="4" w:space="0" w:color="auto"/>
              <w:bottom w:val="single" w:sz="4" w:space="0" w:color="auto"/>
              <w:right w:val="single" w:sz="4" w:space="0" w:color="auto"/>
            </w:tcBorders>
            <w:vAlign w:val="center"/>
          </w:tcPr>
          <w:p w14:paraId="7BFC2C51"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0 ( 0.0%)</w:t>
            </w:r>
          </w:p>
        </w:tc>
        <w:tc>
          <w:tcPr>
            <w:tcW w:w="1417" w:type="dxa"/>
            <w:tcBorders>
              <w:top w:val="single" w:sz="4" w:space="0" w:color="auto"/>
              <w:left w:val="single" w:sz="4" w:space="0" w:color="auto"/>
              <w:bottom w:val="single" w:sz="4" w:space="0" w:color="auto"/>
              <w:right w:val="single" w:sz="4" w:space="0" w:color="auto"/>
            </w:tcBorders>
            <w:vAlign w:val="center"/>
          </w:tcPr>
          <w:p w14:paraId="143D2088"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 (0.7%)</w:t>
            </w:r>
          </w:p>
        </w:tc>
      </w:tr>
      <w:tr w:rsidR="00E07CDE" w:rsidRPr="00921620" w14:paraId="178233CE"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39B15D8" w14:textId="77777777" w:rsidR="00E07CDE" w:rsidRPr="00921620" w:rsidRDefault="00E07CDE" w:rsidP="002D1FFB">
            <w:pPr>
              <w:autoSpaceDE/>
              <w:autoSpaceDN/>
              <w:adjustRightInd/>
              <w:spacing w:before="60" w:after="60" w:line="240" w:lineRule="auto"/>
              <w:ind w:left="113"/>
              <w:rPr>
                <w:rFonts w:eastAsia="Calibri"/>
                <w:bCs/>
                <w:color w:val="000000"/>
                <w:sz w:val="18"/>
                <w:szCs w:val="18"/>
                <w:lang w:eastAsia="en-US"/>
              </w:rPr>
            </w:pPr>
            <w:r w:rsidRPr="00921620">
              <w:rPr>
                <w:rFonts w:eastAsia="Calibri"/>
                <w:bCs/>
                <w:color w:val="000000"/>
                <w:sz w:val="18"/>
                <w:szCs w:val="18"/>
                <w:lang w:eastAsia="en-US"/>
              </w:rPr>
              <w:t>Other</w:t>
            </w:r>
          </w:p>
        </w:tc>
        <w:tc>
          <w:tcPr>
            <w:tcW w:w="1328" w:type="dxa"/>
            <w:tcBorders>
              <w:top w:val="single" w:sz="4" w:space="0" w:color="auto"/>
              <w:left w:val="single" w:sz="4" w:space="0" w:color="auto"/>
              <w:bottom w:val="single" w:sz="4" w:space="0" w:color="auto"/>
              <w:right w:val="single" w:sz="4" w:space="0" w:color="auto"/>
            </w:tcBorders>
            <w:vAlign w:val="center"/>
          </w:tcPr>
          <w:p w14:paraId="2FA1CE12"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1 (2.2%)</w:t>
            </w:r>
          </w:p>
        </w:tc>
        <w:tc>
          <w:tcPr>
            <w:tcW w:w="1701" w:type="dxa"/>
            <w:tcBorders>
              <w:top w:val="single" w:sz="4" w:space="0" w:color="auto"/>
              <w:left w:val="single" w:sz="4" w:space="0" w:color="auto"/>
              <w:bottom w:val="single" w:sz="4" w:space="0" w:color="auto"/>
              <w:right w:val="single" w:sz="4" w:space="0" w:color="auto"/>
            </w:tcBorders>
            <w:vAlign w:val="center"/>
          </w:tcPr>
          <w:p w14:paraId="6D6B50C4"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2 (1.9%)</w:t>
            </w:r>
          </w:p>
        </w:tc>
        <w:tc>
          <w:tcPr>
            <w:tcW w:w="1417" w:type="dxa"/>
            <w:tcBorders>
              <w:top w:val="single" w:sz="4" w:space="0" w:color="auto"/>
              <w:left w:val="single" w:sz="4" w:space="0" w:color="auto"/>
              <w:bottom w:val="single" w:sz="4" w:space="0" w:color="auto"/>
              <w:right w:val="single" w:sz="4" w:space="0" w:color="auto"/>
            </w:tcBorders>
            <w:vAlign w:val="center"/>
          </w:tcPr>
          <w:p w14:paraId="4906734D" w14:textId="77777777" w:rsidR="00E07CDE" w:rsidRPr="00921620" w:rsidRDefault="00E07CDE" w:rsidP="002D1FFB">
            <w:pPr>
              <w:autoSpaceDE/>
              <w:autoSpaceDN/>
              <w:adjustRightInd/>
              <w:spacing w:before="60" w:after="60" w:line="240" w:lineRule="auto"/>
              <w:jc w:val="right"/>
              <w:rPr>
                <w:rFonts w:eastAsia="Calibri"/>
                <w:color w:val="000000"/>
                <w:sz w:val="18"/>
                <w:szCs w:val="18"/>
                <w:lang w:eastAsia="en-US"/>
              </w:rPr>
            </w:pPr>
            <w:r w:rsidRPr="00921620">
              <w:rPr>
                <w:rFonts w:eastAsia="Calibri"/>
                <w:color w:val="000000"/>
                <w:sz w:val="18"/>
                <w:szCs w:val="18"/>
                <w:lang w:eastAsia="en-US"/>
              </w:rPr>
              <w:t>3 (2.0%)</w:t>
            </w:r>
          </w:p>
        </w:tc>
      </w:tr>
      <w:tr w:rsidR="00E07CDE" w:rsidRPr="00921620" w14:paraId="7FE41E3A"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0A2FB6"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b/>
                <w:sz w:val="18"/>
                <w:szCs w:val="18"/>
                <w:lang w:eastAsia="en-US"/>
              </w:rPr>
              <w:t>Registered</w:t>
            </w:r>
            <w:r w:rsidRPr="00921620">
              <w:rPr>
                <w:rFonts w:eastAsia="Calibri"/>
                <w:sz w:val="18"/>
                <w:szCs w:val="18"/>
                <w:lang w:eastAsia="en-US"/>
              </w:rPr>
              <w:t xml:space="preserve"> (out of consented)</w:t>
            </w:r>
          </w:p>
        </w:tc>
        <w:tc>
          <w:tcPr>
            <w:tcW w:w="1328" w:type="dxa"/>
            <w:tcBorders>
              <w:top w:val="single" w:sz="4" w:space="0" w:color="auto"/>
              <w:left w:val="single" w:sz="4" w:space="0" w:color="auto"/>
              <w:bottom w:val="single" w:sz="4" w:space="0" w:color="auto"/>
              <w:right w:val="single" w:sz="4" w:space="0" w:color="auto"/>
            </w:tcBorders>
          </w:tcPr>
          <w:p w14:paraId="16D55D12"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99 (99.0%)</w:t>
            </w:r>
          </w:p>
        </w:tc>
        <w:tc>
          <w:tcPr>
            <w:tcW w:w="1701" w:type="dxa"/>
            <w:tcBorders>
              <w:top w:val="single" w:sz="4" w:space="0" w:color="auto"/>
              <w:left w:val="single" w:sz="4" w:space="0" w:color="auto"/>
              <w:bottom w:val="single" w:sz="4" w:space="0" w:color="auto"/>
              <w:right w:val="single" w:sz="4" w:space="0" w:color="auto"/>
            </w:tcBorders>
          </w:tcPr>
          <w:p w14:paraId="12602A13"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162 (97.6%)</w:t>
            </w:r>
          </w:p>
        </w:tc>
        <w:tc>
          <w:tcPr>
            <w:tcW w:w="1417" w:type="dxa"/>
            <w:tcBorders>
              <w:top w:val="single" w:sz="4" w:space="0" w:color="auto"/>
              <w:left w:val="single" w:sz="4" w:space="0" w:color="auto"/>
              <w:bottom w:val="single" w:sz="4" w:space="0" w:color="auto"/>
              <w:right w:val="single" w:sz="4" w:space="0" w:color="auto"/>
            </w:tcBorders>
          </w:tcPr>
          <w:p w14:paraId="0E3AC6AA" w14:textId="77777777" w:rsidR="00E07CDE" w:rsidRPr="00921620" w:rsidRDefault="00E07CDE" w:rsidP="002D1FFB">
            <w:pPr>
              <w:autoSpaceDE/>
              <w:autoSpaceDN/>
              <w:spacing w:before="60" w:after="0" w:line="240" w:lineRule="auto"/>
              <w:jc w:val="right"/>
              <w:rPr>
                <w:rFonts w:eastAsia="Calibri"/>
                <w:b/>
                <w:color w:val="000000"/>
                <w:sz w:val="18"/>
                <w:szCs w:val="18"/>
                <w:lang w:eastAsia="en-US"/>
              </w:rPr>
            </w:pPr>
            <w:r w:rsidRPr="00921620">
              <w:rPr>
                <w:rFonts w:eastAsia="Calibri"/>
                <w:b/>
                <w:color w:val="000000"/>
                <w:sz w:val="18"/>
                <w:szCs w:val="18"/>
                <w:lang w:eastAsia="en-US"/>
              </w:rPr>
              <w:t>261 (98.1%)</w:t>
            </w:r>
          </w:p>
        </w:tc>
      </w:tr>
      <w:tr w:rsidR="00E07CDE" w:rsidRPr="00921620" w14:paraId="4B2ABA1B"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68994B" w14:textId="77777777" w:rsidR="00E07CDE" w:rsidRPr="00921620" w:rsidRDefault="00E07CDE" w:rsidP="002D1FFB">
            <w:pPr>
              <w:autoSpaceDE/>
              <w:autoSpaceDN/>
              <w:adjustRightInd/>
              <w:spacing w:before="60" w:after="0" w:line="240" w:lineRule="auto"/>
              <w:rPr>
                <w:rFonts w:eastAsia="Calibri"/>
                <w:sz w:val="18"/>
                <w:szCs w:val="18"/>
                <w:lang w:eastAsia="en-US"/>
              </w:rPr>
            </w:pPr>
            <w:r w:rsidRPr="00921620">
              <w:rPr>
                <w:rFonts w:eastAsia="Calibri"/>
                <w:sz w:val="18"/>
                <w:szCs w:val="18"/>
                <w:lang w:eastAsia="en-US"/>
              </w:rPr>
              <w:t>Not registered (out of consented), Missing</w:t>
            </w:r>
          </w:p>
        </w:tc>
        <w:tc>
          <w:tcPr>
            <w:tcW w:w="1328" w:type="dxa"/>
            <w:tcBorders>
              <w:top w:val="single" w:sz="4" w:space="0" w:color="auto"/>
              <w:left w:val="single" w:sz="4" w:space="0" w:color="auto"/>
              <w:bottom w:val="single" w:sz="4" w:space="0" w:color="auto"/>
              <w:right w:val="single" w:sz="4" w:space="0" w:color="auto"/>
            </w:tcBorders>
          </w:tcPr>
          <w:p w14:paraId="60CDC6C2"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1 (1.0%)</w:t>
            </w:r>
          </w:p>
        </w:tc>
        <w:tc>
          <w:tcPr>
            <w:tcW w:w="1701" w:type="dxa"/>
            <w:tcBorders>
              <w:top w:val="single" w:sz="4" w:space="0" w:color="auto"/>
              <w:left w:val="single" w:sz="4" w:space="0" w:color="auto"/>
              <w:bottom w:val="single" w:sz="4" w:space="0" w:color="auto"/>
              <w:right w:val="single" w:sz="4" w:space="0" w:color="auto"/>
            </w:tcBorders>
          </w:tcPr>
          <w:p w14:paraId="514EEBB3"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3 (1.8%), 1</w:t>
            </w:r>
          </w:p>
        </w:tc>
        <w:tc>
          <w:tcPr>
            <w:tcW w:w="1417" w:type="dxa"/>
            <w:tcBorders>
              <w:top w:val="single" w:sz="4" w:space="0" w:color="auto"/>
              <w:left w:val="single" w:sz="4" w:space="0" w:color="auto"/>
              <w:bottom w:val="single" w:sz="4" w:space="0" w:color="auto"/>
              <w:right w:val="single" w:sz="4" w:space="0" w:color="auto"/>
            </w:tcBorders>
          </w:tcPr>
          <w:p w14:paraId="5BB50918" w14:textId="77777777" w:rsidR="00E07CDE" w:rsidRPr="00921620" w:rsidRDefault="00E07CDE" w:rsidP="002D1FFB">
            <w:pPr>
              <w:autoSpaceDE/>
              <w:autoSpaceDN/>
              <w:spacing w:before="60" w:after="0" w:line="240" w:lineRule="auto"/>
              <w:jc w:val="right"/>
              <w:rPr>
                <w:rFonts w:eastAsia="Calibri"/>
                <w:color w:val="000000"/>
                <w:sz w:val="18"/>
                <w:szCs w:val="18"/>
                <w:lang w:eastAsia="en-US"/>
              </w:rPr>
            </w:pPr>
            <w:r w:rsidRPr="00921620">
              <w:rPr>
                <w:rFonts w:eastAsia="Calibri"/>
                <w:color w:val="000000"/>
                <w:sz w:val="18"/>
                <w:szCs w:val="18"/>
                <w:lang w:eastAsia="en-US"/>
              </w:rPr>
              <w:t>4 (1.5%), 1</w:t>
            </w:r>
          </w:p>
        </w:tc>
      </w:tr>
      <w:tr w:rsidR="00E07CDE" w:rsidRPr="00921620" w14:paraId="027BCB37"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327639" w14:textId="77777777" w:rsidR="00E07CDE" w:rsidRPr="00921620" w:rsidRDefault="00E07CDE" w:rsidP="002D1FFB">
            <w:pPr>
              <w:autoSpaceDE/>
              <w:autoSpaceDN/>
              <w:adjustRightInd/>
              <w:spacing w:before="60" w:after="0" w:line="240" w:lineRule="auto"/>
              <w:ind w:left="113"/>
              <w:rPr>
                <w:rFonts w:eastAsia="Calibri"/>
                <w:sz w:val="18"/>
                <w:szCs w:val="18"/>
                <w:lang w:eastAsia="en-US"/>
              </w:rPr>
            </w:pPr>
            <w:r w:rsidRPr="00921620">
              <w:rPr>
                <w:rFonts w:eastAsia="Calibri"/>
                <w:sz w:val="18"/>
                <w:szCs w:val="18"/>
                <w:lang w:eastAsia="en-US"/>
              </w:rPr>
              <w:t>Does not have formal diagnosis of dementia</w:t>
            </w:r>
          </w:p>
        </w:tc>
        <w:tc>
          <w:tcPr>
            <w:tcW w:w="1328" w:type="dxa"/>
            <w:tcBorders>
              <w:top w:val="single" w:sz="4" w:space="0" w:color="auto"/>
              <w:left w:val="nil"/>
              <w:bottom w:val="single" w:sz="4" w:space="0" w:color="auto"/>
              <w:right w:val="single" w:sz="4" w:space="0" w:color="auto"/>
            </w:tcBorders>
            <w:shd w:val="clear" w:color="auto" w:fill="FFFFFF"/>
            <w:vAlign w:val="center"/>
          </w:tcPr>
          <w:p w14:paraId="47EE4F6F"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6A304A"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0CB4DFE"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(0.4%)</w:t>
            </w:r>
          </w:p>
        </w:tc>
      </w:tr>
      <w:tr w:rsidR="00E07CDE" w:rsidRPr="00921620" w14:paraId="66902021"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22FAA76" w14:textId="77777777" w:rsidR="00E07CDE" w:rsidRPr="00921620" w:rsidRDefault="00E07CDE" w:rsidP="002D1FFB">
            <w:pPr>
              <w:autoSpaceDE/>
              <w:autoSpaceDN/>
              <w:adjustRightInd/>
              <w:spacing w:before="60" w:after="0" w:line="240" w:lineRule="auto"/>
              <w:ind w:left="113"/>
              <w:rPr>
                <w:rFonts w:eastAsia="Calibri"/>
                <w:sz w:val="18"/>
                <w:szCs w:val="18"/>
                <w:lang w:eastAsia="en-US"/>
              </w:rPr>
            </w:pPr>
            <w:r w:rsidRPr="00921620">
              <w:rPr>
                <w:rFonts w:eastAsia="Calibri"/>
                <w:sz w:val="18"/>
                <w:szCs w:val="18"/>
                <w:lang w:eastAsia="en-US"/>
              </w:rPr>
              <w:t>Moved out of care home</w:t>
            </w:r>
          </w:p>
        </w:tc>
        <w:tc>
          <w:tcPr>
            <w:tcW w:w="1328" w:type="dxa"/>
            <w:tcBorders>
              <w:top w:val="single" w:sz="4" w:space="0" w:color="auto"/>
              <w:left w:val="nil"/>
              <w:bottom w:val="single" w:sz="4" w:space="0" w:color="auto"/>
              <w:right w:val="single" w:sz="4" w:space="0" w:color="auto"/>
            </w:tcBorders>
            <w:shd w:val="clear" w:color="auto" w:fill="FFFFFF"/>
          </w:tcPr>
          <w:p w14:paraId="59AB5486"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D6797D"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(0.6%)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AFF7DF5"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(0.4%)</w:t>
            </w:r>
          </w:p>
        </w:tc>
      </w:tr>
      <w:tr w:rsidR="00E07CDE" w:rsidRPr="00921620" w14:paraId="46521DE7"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22D8335" w14:textId="77777777" w:rsidR="00E07CDE" w:rsidRPr="00921620" w:rsidRDefault="00E07CDE" w:rsidP="002D1FFB">
            <w:pPr>
              <w:autoSpaceDE/>
              <w:autoSpaceDN/>
              <w:adjustRightInd/>
              <w:spacing w:before="60" w:after="0" w:line="240" w:lineRule="auto"/>
              <w:ind w:left="113"/>
              <w:rPr>
                <w:rFonts w:eastAsia="Calibri"/>
                <w:sz w:val="18"/>
                <w:szCs w:val="18"/>
                <w:lang w:eastAsia="en-US"/>
              </w:rPr>
            </w:pPr>
            <w:r w:rsidRPr="00921620">
              <w:rPr>
                <w:rFonts w:eastAsia="Calibri"/>
                <w:sz w:val="18"/>
                <w:szCs w:val="18"/>
                <w:lang w:eastAsia="en-US"/>
              </w:rPr>
              <w:t>Died</w:t>
            </w:r>
          </w:p>
        </w:tc>
        <w:tc>
          <w:tcPr>
            <w:tcW w:w="1328" w:type="dxa"/>
            <w:tcBorders>
              <w:top w:val="single" w:sz="4" w:space="0" w:color="auto"/>
              <w:left w:val="nil"/>
              <w:bottom w:val="single" w:sz="4" w:space="0" w:color="auto"/>
              <w:right w:val="single" w:sz="4" w:space="0" w:color="auto"/>
            </w:tcBorders>
            <w:shd w:val="clear" w:color="auto" w:fill="FFFFFF"/>
          </w:tcPr>
          <w:p w14:paraId="670F4D56"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116C837"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(0.6%)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20BB600"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(0.4%)</w:t>
            </w:r>
          </w:p>
        </w:tc>
      </w:tr>
      <w:tr w:rsidR="00E07CDE" w:rsidRPr="00921620" w14:paraId="65EFF541" w14:textId="77777777" w:rsidTr="00C163F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520327" w14:textId="77777777" w:rsidR="00E07CDE" w:rsidRPr="00921620" w:rsidRDefault="00E07CDE" w:rsidP="002D1FFB">
            <w:pPr>
              <w:autoSpaceDE/>
              <w:autoSpaceDN/>
              <w:adjustRightInd/>
              <w:spacing w:before="60" w:after="0" w:line="240" w:lineRule="auto"/>
              <w:ind w:left="113"/>
              <w:rPr>
                <w:rFonts w:eastAsia="Calibri"/>
                <w:sz w:val="18"/>
                <w:szCs w:val="18"/>
                <w:lang w:eastAsia="en-US"/>
              </w:rPr>
            </w:pPr>
            <w:r w:rsidRPr="00921620">
              <w:rPr>
                <w:rFonts w:eastAsia="Calibri"/>
                <w:sz w:val="18"/>
                <w:szCs w:val="18"/>
                <w:lang w:eastAsia="en-US"/>
              </w:rPr>
              <w:t>In hospital</w:t>
            </w:r>
          </w:p>
        </w:tc>
        <w:tc>
          <w:tcPr>
            <w:tcW w:w="1328" w:type="dxa"/>
            <w:tcBorders>
              <w:top w:val="single" w:sz="4" w:space="0" w:color="auto"/>
              <w:left w:val="nil"/>
              <w:bottom w:val="single" w:sz="4" w:space="0" w:color="auto"/>
              <w:right w:val="single" w:sz="4" w:space="0" w:color="auto"/>
            </w:tcBorders>
            <w:shd w:val="clear" w:color="auto" w:fill="FFFFFF"/>
          </w:tcPr>
          <w:p w14:paraId="004FE004"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0 (0.0%)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519BB3"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(0.6%)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CCED5E1" w14:textId="77777777" w:rsidR="00E07CDE" w:rsidRPr="00921620" w:rsidRDefault="00E07CDE" w:rsidP="002D1FFB">
            <w:pPr>
              <w:autoSpaceDE/>
              <w:autoSpaceDN/>
              <w:adjustRightInd/>
              <w:spacing w:before="120" w:after="0" w:line="240" w:lineRule="auto"/>
              <w:jc w:val="right"/>
              <w:rPr>
                <w:rFonts w:eastAsia="Calibri"/>
                <w:color w:val="000000"/>
                <w:sz w:val="18"/>
                <w:szCs w:val="18"/>
                <w:lang w:eastAsia="en-US"/>
              </w:rPr>
            </w:pPr>
            <w:r w:rsidRPr="00921620">
              <w:rPr>
                <w:rFonts w:eastAsia="Calibri"/>
                <w:color w:val="000000"/>
                <w:sz w:val="18"/>
                <w:szCs w:val="18"/>
                <w:lang w:eastAsia="en-US"/>
              </w:rPr>
              <w:t>1 (0.4%)</w:t>
            </w:r>
          </w:p>
        </w:tc>
      </w:tr>
    </w:tbl>
    <w:p w14:paraId="1AD66637" w14:textId="063E5650" w:rsidR="00E07CDE" w:rsidRPr="00563AD3" w:rsidRDefault="00E07CDE" w:rsidP="009B13F3">
      <w:pPr>
        <w:autoSpaceDE/>
        <w:autoSpaceDN/>
        <w:adjustRightInd/>
        <w:spacing w:before="120" w:after="0"/>
        <w:rPr>
          <w:rFonts w:eastAsia="Calibri"/>
          <w:sz w:val="24"/>
          <w:szCs w:val="24"/>
          <w:lang w:eastAsia="en-US"/>
        </w:rPr>
      </w:pPr>
      <w:r w:rsidRPr="00921620">
        <w:rPr>
          <w:rFonts w:eastAsia="Calibri"/>
          <w:sz w:val="20"/>
          <w:szCs w:val="20"/>
          <w:lang w:eastAsia="en-US"/>
        </w:rPr>
        <w:t>*Categories are not mutually exclusive.</w:t>
      </w:r>
      <w:r w:rsidR="00921620">
        <w:rPr>
          <w:rFonts w:eastAsia="Calibri"/>
          <w:sz w:val="20"/>
          <w:szCs w:val="20"/>
          <w:lang w:eastAsia="en-US"/>
        </w:rPr>
        <w:t xml:space="preserve"> </w:t>
      </w:r>
      <w:r w:rsidRPr="00921620">
        <w:rPr>
          <w:rFonts w:eastAsia="Calibri"/>
          <w:sz w:val="20"/>
          <w:szCs w:val="20"/>
          <w:lang w:eastAsia="en-US"/>
        </w:rPr>
        <w:t>Percentages of reasons “Not eligible”, “Not consented” and “Not registered” are calculated out of number of “Not eligible”, “Not consented” and “Not registered” respectively. Percentages of who refused the consent are calculated out of “Consent refused”. Those categories are not mutually exclusive.</w:t>
      </w:r>
    </w:p>
    <w:p w14:paraId="2E1C0D05" w14:textId="77777777" w:rsidR="00E07CDE" w:rsidRPr="00563AD3" w:rsidRDefault="00E07CDE" w:rsidP="009B13F3">
      <w:pPr>
        <w:autoSpaceDE/>
        <w:autoSpaceDN/>
        <w:adjustRightInd/>
        <w:spacing w:before="120" w:after="0"/>
        <w:rPr>
          <w:rFonts w:eastAsia="Calibri"/>
          <w:sz w:val="24"/>
          <w:szCs w:val="24"/>
          <w:lang w:eastAsia="en-US"/>
        </w:rPr>
        <w:sectPr w:rsidR="00E07CDE" w:rsidRPr="00563AD3" w:rsidSect="00C163F3">
          <w:headerReference w:type="default" r:id="rId23"/>
          <w:footerReference w:type="default" r:id="rId24"/>
          <w:pgSz w:w="11906" w:h="16838"/>
          <w:pgMar w:top="1440" w:right="1440" w:bottom="1440" w:left="1440" w:header="708" w:footer="708" w:gutter="0"/>
          <w:cols w:space="708"/>
          <w:docGrid w:linePitch="360"/>
        </w:sectPr>
      </w:pPr>
    </w:p>
    <w:p w14:paraId="052C45C6" w14:textId="0E748AE8" w:rsidR="00E07CDE" w:rsidRPr="00563AD3" w:rsidRDefault="00E07CDE" w:rsidP="002D1FFB">
      <w:pPr>
        <w:pStyle w:val="Tableheading"/>
        <w:rPr>
          <w:rFonts w:eastAsia="Calibri"/>
          <w:lang w:eastAsia="en-US"/>
        </w:rPr>
      </w:pPr>
      <w:bookmarkStart w:id="256" w:name="_Toc948226"/>
      <w:r w:rsidRPr="00563AD3">
        <w:rPr>
          <w:rFonts w:eastAsia="Calibri"/>
          <w:lang w:eastAsia="en-US"/>
        </w:rPr>
        <w:t xml:space="preserve">Table </w:t>
      </w:r>
      <w:r w:rsidR="005545ED">
        <w:rPr>
          <w:rFonts w:eastAsia="Calibri"/>
          <w:lang w:eastAsia="en-US"/>
        </w:rPr>
        <w:t>29</w:t>
      </w:r>
      <w:r w:rsidR="005545ED" w:rsidRPr="00563AD3">
        <w:rPr>
          <w:rFonts w:eastAsia="Calibri"/>
          <w:lang w:eastAsia="en-US"/>
        </w:rPr>
        <w:t xml:space="preserve"> </w:t>
      </w:r>
      <w:r w:rsidRPr="00563AD3">
        <w:rPr>
          <w:rFonts w:eastAsia="Calibri"/>
          <w:lang w:eastAsia="en-US"/>
        </w:rPr>
        <w:t>Screening data – original and additional cohort by hub</w:t>
      </w:r>
      <w:bookmarkEnd w:id="256"/>
    </w:p>
    <w:tbl>
      <w:tblPr>
        <w:tblW w:w="13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405"/>
        <w:gridCol w:w="1442"/>
        <w:gridCol w:w="1443"/>
        <w:gridCol w:w="1443"/>
        <w:gridCol w:w="1443"/>
        <w:gridCol w:w="1443"/>
        <w:gridCol w:w="1443"/>
        <w:gridCol w:w="1443"/>
        <w:gridCol w:w="1442"/>
        <w:gridCol w:w="6"/>
      </w:tblGrid>
      <w:tr w:rsidR="00E07CDE" w:rsidRPr="002D1FFB" w14:paraId="7AB05595" w14:textId="77777777" w:rsidTr="00C163F3">
        <w:trPr>
          <w:cantSplit/>
          <w:tblHeader/>
          <w:jc w:val="center"/>
        </w:trPr>
        <w:tc>
          <w:tcPr>
            <w:tcW w:w="13953" w:type="dxa"/>
            <w:gridSpan w:val="10"/>
            <w:tcBorders>
              <w:top w:val="single" w:sz="4" w:space="0" w:color="auto"/>
              <w:left w:val="single" w:sz="4" w:space="0" w:color="auto"/>
              <w:bottom w:val="single" w:sz="4" w:space="0" w:color="auto"/>
              <w:right w:val="single" w:sz="4" w:space="0" w:color="auto"/>
            </w:tcBorders>
            <w:shd w:val="clear" w:color="auto" w:fill="FFFFFF"/>
          </w:tcPr>
          <w:p w14:paraId="0E7D5EF3" w14:textId="77777777" w:rsidR="00E07CDE" w:rsidRPr="002D1FFB" w:rsidRDefault="00E07CDE" w:rsidP="002D1FFB">
            <w:pPr>
              <w:keepNext/>
              <w:spacing w:before="67" w:after="67" w:line="240" w:lineRule="auto"/>
              <w:jc w:val="center"/>
              <w:rPr>
                <w:rFonts w:eastAsia="Calibri"/>
                <w:b/>
                <w:bCs/>
                <w:color w:val="000000"/>
                <w:sz w:val="18"/>
                <w:szCs w:val="18"/>
                <w:lang w:eastAsia="en-US"/>
              </w:rPr>
            </w:pPr>
            <w:r w:rsidRPr="002D1FFB">
              <w:rPr>
                <w:rFonts w:eastAsia="Calibri"/>
                <w:b/>
                <w:bCs/>
                <w:color w:val="000000"/>
                <w:sz w:val="18"/>
                <w:szCs w:val="18"/>
                <w:lang w:eastAsia="en-US"/>
              </w:rPr>
              <w:t>Screening data – recruited residents by cohorts</w:t>
            </w:r>
          </w:p>
        </w:tc>
      </w:tr>
      <w:tr w:rsidR="00E07CDE" w:rsidRPr="002D1FFB" w14:paraId="4FA68016" w14:textId="77777777" w:rsidTr="00C163F3">
        <w:trPr>
          <w:gridAfter w:val="1"/>
          <w:wAfter w:w="6" w:type="dxa"/>
          <w:cantSplit/>
          <w:tblHeader/>
          <w:jc w:val="center"/>
        </w:trPr>
        <w:tc>
          <w:tcPr>
            <w:tcW w:w="2405" w:type="dxa"/>
            <w:vMerge w:val="restart"/>
            <w:tcBorders>
              <w:top w:val="single" w:sz="4" w:space="0" w:color="auto"/>
              <w:left w:val="single" w:sz="4" w:space="0" w:color="auto"/>
              <w:right w:val="single" w:sz="4" w:space="0" w:color="auto"/>
            </w:tcBorders>
            <w:shd w:val="clear" w:color="auto" w:fill="FFFFFF"/>
            <w:tcMar>
              <w:top w:w="0" w:type="dxa"/>
              <w:left w:w="67" w:type="dxa"/>
              <w:bottom w:w="0" w:type="dxa"/>
              <w:right w:w="67" w:type="dxa"/>
            </w:tcMar>
            <w:vAlign w:val="bottom"/>
            <w:hideMark/>
          </w:tcPr>
          <w:p w14:paraId="59D03601" w14:textId="77777777" w:rsidR="00E07CDE" w:rsidRPr="002D1FFB" w:rsidRDefault="00E07CDE" w:rsidP="002D1FFB">
            <w:pPr>
              <w:keepNext/>
              <w:spacing w:before="67" w:after="67" w:line="240" w:lineRule="auto"/>
              <w:rPr>
                <w:rFonts w:eastAsia="Calibri"/>
                <w:b/>
                <w:bCs/>
                <w:color w:val="000000"/>
                <w:sz w:val="18"/>
                <w:szCs w:val="18"/>
                <w:lang w:eastAsia="en-US"/>
              </w:rPr>
            </w:pPr>
          </w:p>
        </w:tc>
        <w:tc>
          <w:tcPr>
            <w:tcW w:w="5771"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bottom"/>
            <w:hideMark/>
          </w:tcPr>
          <w:p w14:paraId="23B4AE64" w14:textId="77777777" w:rsidR="00E07CDE" w:rsidRPr="002D1FFB" w:rsidRDefault="00E07CDE" w:rsidP="002D1FFB">
            <w:pPr>
              <w:keepNext/>
              <w:autoSpaceDE/>
              <w:autoSpaceDN/>
              <w:spacing w:before="67" w:after="67" w:line="240" w:lineRule="auto"/>
              <w:jc w:val="center"/>
              <w:rPr>
                <w:rFonts w:eastAsia="Calibri"/>
                <w:b/>
                <w:bCs/>
                <w:color w:val="000000"/>
                <w:sz w:val="18"/>
                <w:szCs w:val="18"/>
                <w:lang w:eastAsia="en-US"/>
              </w:rPr>
            </w:pPr>
            <w:r w:rsidRPr="002D1FFB">
              <w:rPr>
                <w:rFonts w:eastAsia="Calibri"/>
                <w:b/>
                <w:bCs/>
                <w:color w:val="000000"/>
                <w:sz w:val="18"/>
                <w:szCs w:val="18"/>
                <w:lang w:eastAsia="en-US"/>
              </w:rPr>
              <w:t>Original           (n=1564)</w:t>
            </w:r>
          </w:p>
        </w:tc>
        <w:tc>
          <w:tcPr>
            <w:tcW w:w="5771"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6592E6A0" w14:textId="77777777" w:rsidR="00E07CDE" w:rsidRPr="002D1FFB" w:rsidRDefault="00E07CDE" w:rsidP="002D1FFB">
            <w:pPr>
              <w:keepNext/>
              <w:autoSpaceDE/>
              <w:autoSpaceDN/>
              <w:spacing w:before="67" w:after="67" w:line="240" w:lineRule="auto"/>
              <w:jc w:val="center"/>
              <w:rPr>
                <w:rFonts w:eastAsia="Calibri"/>
                <w:b/>
                <w:bCs/>
                <w:color w:val="000000"/>
                <w:sz w:val="18"/>
                <w:szCs w:val="18"/>
                <w:lang w:eastAsia="en-US"/>
              </w:rPr>
            </w:pPr>
            <w:r w:rsidRPr="002D1FFB">
              <w:rPr>
                <w:rFonts w:eastAsia="Calibri"/>
                <w:b/>
                <w:bCs/>
                <w:color w:val="000000"/>
                <w:sz w:val="18"/>
                <w:szCs w:val="18"/>
                <w:lang w:eastAsia="en-US"/>
              </w:rPr>
              <w:t>Additional (n=877)*</w:t>
            </w:r>
          </w:p>
        </w:tc>
      </w:tr>
      <w:tr w:rsidR="00E07CDE" w:rsidRPr="002D1FFB" w14:paraId="4128B29D" w14:textId="77777777" w:rsidTr="00C163F3">
        <w:trPr>
          <w:cantSplit/>
          <w:tblHeader/>
          <w:jc w:val="center"/>
        </w:trPr>
        <w:tc>
          <w:tcPr>
            <w:tcW w:w="2405" w:type="dxa"/>
            <w:vMerge/>
            <w:tcBorders>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bottom"/>
          </w:tcPr>
          <w:p w14:paraId="418C9E6A" w14:textId="77777777" w:rsidR="00E07CDE" w:rsidRPr="002D1FFB" w:rsidRDefault="00E07CDE" w:rsidP="002D1FFB">
            <w:pPr>
              <w:keepNext/>
              <w:spacing w:before="67" w:after="67" w:line="240" w:lineRule="auto"/>
              <w:rPr>
                <w:rFonts w:eastAsia="Calibri"/>
                <w:b/>
                <w:bCs/>
                <w:color w:val="000000"/>
                <w:sz w:val="18"/>
                <w:szCs w:val="18"/>
                <w:lang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vAlign w:val="bottom"/>
          </w:tcPr>
          <w:p w14:paraId="4AA61ADB" w14:textId="77777777" w:rsidR="00E07CDE" w:rsidRPr="002D1FFB" w:rsidRDefault="00E07CDE" w:rsidP="002D1FFB">
            <w:pPr>
              <w:keepNext/>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Yorkshire (n=656)</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bottom"/>
          </w:tcPr>
          <w:p w14:paraId="61610EEF"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London (n=419)</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bottom"/>
          </w:tcPr>
          <w:p w14:paraId="6386DCAF" w14:textId="77777777" w:rsidR="00E07CDE" w:rsidRPr="002D1FFB" w:rsidRDefault="00E07CDE" w:rsidP="002D1FFB">
            <w:pPr>
              <w:keepNext/>
              <w:autoSpaceDE/>
              <w:autoSpaceDN/>
              <w:spacing w:before="67" w:after="67" w:line="240" w:lineRule="auto"/>
              <w:jc w:val="right"/>
              <w:rPr>
                <w:rFonts w:eastAsia="Calibri"/>
                <w:b/>
                <w:sz w:val="18"/>
                <w:szCs w:val="18"/>
                <w:lang w:eastAsia="en-US"/>
              </w:rPr>
            </w:pPr>
            <w:r w:rsidRPr="002D1FFB">
              <w:rPr>
                <w:rFonts w:eastAsia="Calibri"/>
                <w:b/>
                <w:bCs/>
                <w:color w:val="000000"/>
                <w:sz w:val="18"/>
                <w:szCs w:val="18"/>
                <w:lang w:eastAsia="en-US"/>
              </w:rPr>
              <w:t>Oxford (n=489)</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bottom"/>
          </w:tcPr>
          <w:p w14:paraId="47CD1B10" w14:textId="77777777" w:rsidR="00E07CDE" w:rsidRPr="002D1FFB" w:rsidRDefault="00E07CDE" w:rsidP="002D1FFB">
            <w:pPr>
              <w:keepNext/>
              <w:autoSpaceDE/>
              <w:autoSpaceDN/>
              <w:spacing w:before="67" w:after="67" w:line="240" w:lineRule="auto"/>
              <w:jc w:val="right"/>
              <w:rPr>
                <w:rFonts w:eastAsia="Calibri"/>
                <w:b/>
                <w:sz w:val="18"/>
                <w:szCs w:val="18"/>
                <w:lang w:eastAsia="en-US"/>
              </w:rPr>
            </w:pPr>
            <w:r w:rsidRPr="002D1FFB">
              <w:rPr>
                <w:rFonts w:eastAsia="Calibri"/>
                <w:b/>
                <w:bCs/>
                <w:color w:val="000000"/>
                <w:sz w:val="18"/>
                <w:szCs w:val="18"/>
                <w:lang w:eastAsia="en-US"/>
              </w:rPr>
              <w:t>Total (n=1564)</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bottom"/>
          </w:tcPr>
          <w:p w14:paraId="22940776"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Yorkshire (n=341)</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bottom"/>
          </w:tcPr>
          <w:p w14:paraId="23EEFAC2"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London (n=230)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bottom"/>
          </w:tcPr>
          <w:p w14:paraId="2216A37E" w14:textId="77777777" w:rsidR="00E07CDE" w:rsidRPr="002D1FFB" w:rsidRDefault="00E07CDE" w:rsidP="002D1FFB">
            <w:pPr>
              <w:keepNext/>
              <w:autoSpaceDE/>
              <w:autoSpaceDN/>
              <w:spacing w:before="67" w:after="67" w:line="240" w:lineRule="auto"/>
              <w:jc w:val="right"/>
              <w:rPr>
                <w:rFonts w:eastAsia="Calibri"/>
                <w:b/>
                <w:sz w:val="18"/>
                <w:szCs w:val="18"/>
                <w:lang w:eastAsia="en-US"/>
              </w:rPr>
            </w:pPr>
            <w:r w:rsidRPr="002D1FFB">
              <w:rPr>
                <w:rFonts w:eastAsia="Calibri"/>
                <w:b/>
                <w:bCs/>
                <w:color w:val="000000"/>
                <w:sz w:val="18"/>
                <w:szCs w:val="18"/>
                <w:lang w:eastAsia="en-US"/>
              </w:rPr>
              <w:t>Oxford (n=306)</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98AE965" w14:textId="77777777" w:rsidR="00E07CDE" w:rsidRPr="002D1FFB" w:rsidRDefault="00E07CDE" w:rsidP="002D1FFB">
            <w:pPr>
              <w:keepNext/>
              <w:autoSpaceDE/>
              <w:autoSpaceDN/>
              <w:spacing w:before="67" w:after="67" w:line="240" w:lineRule="auto"/>
              <w:jc w:val="right"/>
              <w:rPr>
                <w:rFonts w:eastAsia="Calibri"/>
                <w:b/>
                <w:sz w:val="18"/>
                <w:szCs w:val="18"/>
                <w:lang w:eastAsia="en-US"/>
              </w:rPr>
            </w:pPr>
            <w:r w:rsidRPr="002D1FFB">
              <w:rPr>
                <w:rFonts w:eastAsia="Calibri"/>
                <w:b/>
                <w:bCs/>
                <w:color w:val="000000"/>
                <w:sz w:val="18"/>
                <w:szCs w:val="18"/>
                <w:lang w:eastAsia="en-US"/>
              </w:rPr>
              <w:t>Total (n=877)</w:t>
            </w:r>
          </w:p>
        </w:tc>
      </w:tr>
      <w:tr w:rsidR="00E07CDE" w:rsidRPr="002D1FFB" w14:paraId="321CE905" w14:textId="77777777" w:rsidTr="00C163F3">
        <w:trPr>
          <w:cantSplit/>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hideMark/>
          </w:tcPr>
          <w:p w14:paraId="51591297" w14:textId="77777777" w:rsidR="00E07CDE" w:rsidRPr="002D1FFB" w:rsidRDefault="00E07CDE" w:rsidP="002D1FFB">
            <w:pPr>
              <w:spacing w:before="67" w:after="67" w:line="240" w:lineRule="auto"/>
              <w:rPr>
                <w:rFonts w:eastAsia="Calibri"/>
                <w:color w:val="000000"/>
                <w:sz w:val="18"/>
                <w:szCs w:val="18"/>
                <w:lang w:eastAsia="en-US"/>
              </w:rPr>
            </w:pPr>
            <w:r w:rsidRPr="002D1FFB">
              <w:rPr>
                <w:rFonts w:eastAsia="Calibri"/>
                <w:b/>
                <w:bCs/>
                <w:color w:val="000000"/>
                <w:sz w:val="18"/>
                <w:szCs w:val="18"/>
                <w:lang w:eastAsia="en-US"/>
              </w:rPr>
              <w:t xml:space="preserve">Age at registration (years) </w:t>
            </w:r>
            <w:r w:rsidRPr="002D1FFB">
              <w:rPr>
                <w:rFonts w:eastAsia="Calibri"/>
                <w:color w:val="000000"/>
                <w:sz w:val="18"/>
                <w:szCs w:val="18"/>
                <w:lang w:eastAsia="en-US"/>
              </w:rPr>
              <w:t>Mean (SD)</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612B17B9" w14:textId="77777777" w:rsidR="00E07CDE" w:rsidRPr="002D1FFB" w:rsidRDefault="00E07CDE" w:rsidP="002D1FFB">
            <w:pPr>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85.3 (8.00)</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4D3A117D"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84.7 (8.43)</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47BDB6DC"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85.1 (8.20)</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541CF694"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85.1 (8.18)</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762C71BD"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85.0 (7.64)</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22146808"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84.2 (8.65)</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03E7C4DD"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86.0 (8.11)</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tcPr>
          <w:p w14:paraId="6D781079"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85.1 (8.10)</w:t>
            </w:r>
          </w:p>
        </w:tc>
      </w:tr>
      <w:tr w:rsidR="00E07CDE" w:rsidRPr="002D1FFB" w14:paraId="6C2FAA88" w14:textId="77777777" w:rsidTr="00C163F3">
        <w:trPr>
          <w:cantSplit/>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1A24306C" w14:textId="77777777" w:rsidR="00E07CDE" w:rsidRPr="002D1FFB" w:rsidRDefault="00E07CDE" w:rsidP="002D1FFB">
            <w:pPr>
              <w:keepNext/>
              <w:spacing w:before="67" w:after="67" w:line="240" w:lineRule="auto"/>
              <w:rPr>
                <w:rFonts w:eastAsia="Calibri"/>
                <w:color w:val="000000"/>
                <w:sz w:val="18"/>
                <w:szCs w:val="18"/>
                <w:lang w:eastAsia="en-US"/>
              </w:rPr>
            </w:pPr>
            <w:r w:rsidRPr="002D1FFB">
              <w:rPr>
                <w:rFonts w:eastAsia="Calibri"/>
                <w:b/>
                <w:color w:val="000000"/>
                <w:sz w:val="18"/>
                <w:szCs w:val="18"/>
                <w:lang w:eastAsia="en-US"/>
              </w:rPr>
              <w:t xml:space="preserve">Length of stay (years) </w:t>
            </w:r>
            <w:r w:rsidRPr="002D1FFB">
              <w:rPr>
                <w:rFonts w:eastAsia="Calibri"/>
                <w:color w:val="000000"/>
                <w:sz w:val="18"/>
                <w:szCs w:val="18"/>
                <w:lang w:eastAsia="en-US"/>
              </w:rPr>
              <w:t>Mean (SD)</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79625D46" w14:textId="77777777" w:rsidR="00E07CDE" w:rsidRPr="002D1FFB" w:rsidRDefault="00E07CDE" w:rsidP="002D1FFB">
            <w:pPr>
              <w:keepNext/>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2.1 (2.29)</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4DA12F8E"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2.4 (2.44)</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3BAA2E6E"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2.5 (2.70)</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0AC4159E"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2.3 (2.48)</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1F7E1835"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1.4 (1.79)</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43735982"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1.7 (2.63)</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3B3DA92B"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1.7 (2.17)</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tcPr>
          <w:p w14:paraId="478FA166"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1.6 (2.17)</w:t>
            </w:r>
          </w:p>
        </w:tc>
      </w:tr>
      <w:tr w:rsidR="00E07CDE" w:rsidRPr="002D1FFB" w14:paraId="105790D8" w14:textId="77777777" w:rsidTr="00C163F3">
        <w:trPr>
          <w:cantSplit/>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hideMark/>
          </w:tcPr>
          <w:p w14:paraId="7BAE137F" w14:textId="77777777" w:rsidR="00E07CDE" w:rsidRPr="002D1FFB" w:rsidRDefault="00E07CDE" w:rsidP="002D1FFB">
            <w:pPr>
              <w:spacing w:before="67" w:after="67" w:line="240" w:lineRule="auto"/>
              <w:rPr>
                <w:rFonts w:eastAsia="Calibri"/>
                <w:color w:val="000000"/>
                <w:sz w:val="18"/>
                <w:szCs w:val="18"/>
                <w:lang w:eastAsia="en-US"/>
              </w:rPr>
            </w:pPr>
            <w:r w:rsidRPr="002D1FFB">
              <w:rPr>
                <w:rFonts w:eastAsia="Calibri"/>
                <w:b/>
                <w:bCs/>
                <w:color w:val="000000"/>
                <w:sz w:val="18"/>
                <w:szCs w:val="18"/>
                <w:lang w:eastAsia="en-US"/>
              </w:rPr>
              <w:t>Sex</w:t>
            </w:r>
            <w:r w:rsidRPr="002D1FFB">
              <w:rPr>
                <w:rFonts w:eastAsia="Calibri"/>
                <w:color w:val="000000"/>
                <w:sz w:val="18"/>
                <w:szCs w:val="18"/>
                <w:lang w:eastAsia="en-US"/>
              </w:rPr>
              <w:t xml:space="preserve"> Female N (%) </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602EE526" w14:textId="77777777" w:rsidR="00E07CDE" w:rsidRPr="002D1FFB" w:rsidRDefault="00E07CDE" w:rsidP="002D1FFB">
            <w:pPr>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483 (73.6%)</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0219BFF2"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301 (71.8%)</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30E551ED"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356 (72.8%)</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6884AE9D"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1140 (72.9%)</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452BB2BF"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248 (72.7%)</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387530F0"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164 (71.3%)</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02E34214"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213 (69.6%)</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tcPr>
          <w:p w14:paraId="636AB967"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625 (71.3%)</w:t>
            </w:r>
          </w:p>
        </w:tc>
      </w:tr>
      <w:tr w:rsidR="00E07CDE" w:rsidRPr="002D1FFB" w14:paraId="17A475E1" w14:textId="77777777" w:rsidTr="00C163F3">
        <w:trPr>
          <w:cantSplit/>
          <w:jc w:val="center"/>
        </w:trPr>
        <w:tc>
          <w:tcPr>
            <w:tcW w:w="13953" w:type="dxa"/>
            <w:gridSpan w:val="10"/>
            <w:tcBorders>
              <w:top w:val="single" w:sz="4" w:space="0" w:color="auto"/>
              <w:left w:val="single" w:sz="4" w:space="0" w:color="auto"/>
              <w:bottom w:val="single" w:sz="4" w:space="0" w:color="auto"/>
              <w:right w:val="single" w:sz="4" w:space="0" w:color="auto"/>
            </w:tcBorders>
            <w:shd w:val="clear" w:color="auto" w:fill="FFFFFF"/>
          </w:tcPr>
          <w:p w14:paraId="0A5C7295" w14:textId="77777777" w:rsidR="00E07CDE" w:rsidRPr="002D1FFB" w:rsidRDefault="00E07CDE" w:rsidP="002D1FFB">
            <w:pPr>
              <w:autoSpaceDE/>
              <w:autoSpaceDN/>
              <w:spacing w:before="67" w:after="67" w:line="240" w:lineRule="auto"/>
              <w:rPr>
                <w:rFonts w:eastAsia="Calibri"/>
                <w:b/>
                <w:bCs/>
                <w:color w:val="000000"/>
                <w:sz w:val="18"/>
                <w:szCs w:val="18"/>
                <w:lang w:eastAsia="en-US"/>
              </w:rPr>
            </w:pPr>
            <w:r w:rsidRPr="002D1FFB">
              <w:rPr>
                <w:rFonts w:eastAsia="Calibri"/>
                <w:b/>
                <w:bCs/>
                <w:color w:val="000000"/>
                <w:sz w:val="18"/>
                <w:szCs w:val="18"/>
                <w:lang w:eastAsia="en-US"/>
              </w:rPr>
              <w:t xml:space="preserve">Ethnicity </w:t>
            </w:r>
            <w:r w:rsidRPr="002D1FFB">
              <w:rPr>
                <w:rFonts w:eastAsia="Calibri"/>
                <w:bCs/>
                <w:color w:val="000000"/>
                <w:sz w:val="18"/>
                <w:szCs w:val="18"/>
                <w:lang w:eastAsia="en-US"/>
              </w:rPr>
              <w:t>N (%)</w:t>
            </w:r>
          </w:p>
        </w:tc>
      </w:tr>
      <w:tr w:rsidR="00E07CDE" w:rsidRPr="002D1FFB" w14:paraId="2262D5C3" w14:textId="77777777" w:rsidTr="00C163F3">
        <w:trPr>
          <w:cantSplit/>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hideMark/>
          </w:tcPr>
          <w:p w14:paraId="1B4AF19D" w14:textId="77777777" w:rsidR="00E07CDE" w:rsidRPr="002D1FFB" w:rsidRDefault="00E07CDE" w:rsidP="002D1FFB">
            <w:pPr>
              <w:spacing w:before="67" w:after="67" w:line="240" w:lineRule="auto"/>
              <w:rPr>
                <w:rFonts w:eastAsia="Calibri"/>
                <w:color w:val="000000"/>
                <w:sz w:val="18"/>
                <w:szCs w:val="18"/>
                <w:lang w:eastAsia="en-US"/>
              </w:rPr>
            </w:pPr>
            <w:r w:rsidRPr="002D1FFB">
              <w:rPr>
                <w:rFonts w:eastAsia="Calibri"/>
                <w:color w:val="000000"/>
                <w:sz w:val="18"/>
                <w:szCs w:val="18"/>
                <w:lang w:eastAsia="en-US"/>
              </w:rPr>
              <w:t>White</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2523C258" w14:textId="77777777" w:rsidR="00E07CDE" w:rsidRPr="002D1FFB" w:rsidRDefault="00E07CDE" w:rsidP="002D1FFB">
            <w:pPr>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642 (97.9%)</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67E3672F"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367 (87.6%)</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19FA5F47"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474 (96.9%)</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3525DB2B"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1483 (94.8%)</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0855D931"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338 (99.1%)</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6079D4BC"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208 (90.4%)</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3CE32962"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300 (98.0%)</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tcPr>
          <w:p w14:paraId="71B75C75"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846 (96.5%)</w:t>
            </w:r>
          </w:p>
        </w:tc>
      </w:tr>
      <w:tr w:rsidR="00E07CDE" w:rsidRPr="002D1FFB" w14:paraId="1DDA797E" w14:textId="77777777" w:rsidTr="00C163F3">
        <w:trPr>
          <w:cantSplit/>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hideMark/>
          </w:tcPr>
          <w:p w14:paraId="44AF6AFD" w14:textId="77777777" w:rsidR="00E07CDE" w:rsidRPr="002D1FFB" w:rsidRDefault="00E07CDE" w:rsidP="002D1FFB">
            <w:pPr>
              <w:spacing w:before="67" w:after="67" w:line="240" w:lineRule="auto"/>
              <w:rPr>
                <w:rFonts w:eastAsia="Calibri"/>
                <w:color w:val="000000"/>
                <w:sz w:val="18"/>
                <w:szCs w:val="18"/>
                <w:lang w:eastAsia="en-US"/>
              </w:rPr>
            </w:pPr>
            <w:r w:rsidRPr="002D1FFB">
              <w:rPr>
                <w:rFonts w:eastAsia="Calibri"/>
                <w:color w:val="000000"/>
                <w:sz w:val="18"/>
                <w:szCs w:val="18"/>
                <w:lang w:eastAsia="en-US"/>
              </w:rPr>
              <w:t>Other</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18A83AE3" w14:textId="77777777" w:rsidR="00E07CDE" w:rsidRPr="002D1FFB" w:rsidRDefault="00E07CDE" w:rsidP="002D1FFB">
            <w:pPr>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7 (1.1%)</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08E7DB2E"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40 (9.5%)</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41D0167A"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8 (1.6%)</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66FB2AF2"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55 (3.5%)</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4CAB83F1"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0 (0.0%)</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6AF1A252"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20 (8.7%)</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52ED0199"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5 (1.6%)</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tcPr>
          <w:p w14:paraId="6963344E"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25 (2.9%)</w:t>
            </w:r>
          </w:p>
        </w:tc>
      </w:tr>
      <w:tr w:rsidR="00E07CDE" w:rsidRPr="002D1FFB" w14:paraId="3E35D871" w14:textId="77777777" w:rsidTr="00C163F3">
        <w:trPr>
          <w:cantSplit/>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6173927D" w14:textId="77777777" w:rsidR="00E07CDE" w:rsidRPr="002D1FFB" w:rsidRDefault="00E07CDE" w:rsidP="002D1FFB">
            <w:pPr>
              <w:spacing w:before="67" w:after="67" w:line="240" w:lineRule="auto"/>
              <w:rPr>
                <w:rFonts w:eastAsia="Calibri"/>
                <w:color w:val="000000"/>
                <w:sz w:val="18"/>
                <w:szCs w:val="18"/>
                <w:lang w:eastAsia="en-US"/>
              </w:rPr>
            </w:pPr>
            <w:r w:rsidRPr="002D1FFB">
              <w:rPr>
                <w:rFonts w:eastAsia="Calibri"/>
                <w:color w:val="000000"/>
                <w:sz w:val="18"/>
                <w:szCs w:val="18"/>
                <w:lang w:eastAsia="en-US"/>
              </w:rPr>
              <w:t>Missing</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29C7BCB3" w14:textId="77777777" w:rsidR="00E07CDE" w:rsidRPr="002D1FFB" w:rsidRDefault="00E07CDE" w:rsidP="002D1FFB">
            <w:pPr>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7 (1.1%)</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6E9ED918"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12 (2.9%)</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5EFB6527"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7 (1.4%)</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6D6477AF"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26 (1.7%)</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425071B4"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3 (0.9%)</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2326ED6B"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 (0.9%)</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276EF259"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 (0.3%)</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tcPr>
          <w:p w14:paraId="6653F6F4"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6 (0.7%)</w:t>
            </w:r>
          </w:p>
        </w:tc>
      </w:tr>
      <w:tr w:rsidR="00E07CDE" w:rsidRPr="002D1FFB" w14:paraId="1E6CDF29" w14:textId="77777777" w:rsidTr="00C163F3">
        <w:trPr>
          <w:cantSplit/>
          <w:jc w:val="center"/>
        </w:trPr>
        <w:tc>
          <w:tcPr>
            <w:tcW w:w="13953" w:type="dxa"/>
            <w:gridSpan w:val="10"/>
            <w:tcBorders>
              <w:top w:val="single" w:sz="4" w:space="0" w:color="auto"/>
              <w:left w:val="single" w:sz="4" w:space="0" w:color="auto"/>
              <w:bottom w:val="single" w:sz="4" w:space="0" w:color="auto"/>
              <w:right w:val="single" w:sz="4" w:space="0" w:color="auto"/>
            </w:tcBorders>
            <w:shd w:val="clear" w:color="auto" w:fill="FFFFFF"/>
          </w:tcPr>
          <w:p w14:paraId="32BD2CCF" w14:textId="77777777" w:rsidR="00E07CDE" w:rsidRPr="002D1FFB" w:rsidRDefault="00E07CDE" w:rsidP="002D1FFB">
            <w:pPr>
              <w:autoSpaceDE/>
              <w:autoSpaceDN/>
              <w:spacing w:before="67" w:after="67" w:line="240" w:lineRule="auto"/>
              <w:rPr>
                <w:rFonts w:eastAsia="Calibri"/>
                <w:b/>
                <w:bCs/>
                <w:color w:val="000000"/>
                <w:sz w:val="18"/>
                <w:szCs w:val="18"/>
                <w:lang w:eastAsia="en-US"/>
              </w:rPr>
            </w:pPr>
            <w:r w:rsidRPr="002D1FFB">
              <w:rPr>
                <w:rFonts w:eastAsia="Calibri"/>
                <w:b/>
                <w:bCs/>
                <w:color w:val="000000"/>
                <w:sz w:val="18"/>
                <w:szCs w:val="18"/>
                <w:lang w:eastAsia="en-US"/>
              </w:rPr>
              <w:t>Funding type</w:t>
            </w:r>
          </w:p>
        </w:tc>
      </w:tr>
      <w:tr w:rsidR="00E07CDE" w:rsidRPr="002D1FFB" w14:paraId="4B2BBF47" w14:textId="77777777" w:rsidTr="00C163F3">
        <w:trPr>
          <w:cantSplit/>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hideMark/>
          </w:tcPr>
          <w:p w14:paraId="51B9F931" w14:textId="77777777" w:rsidR="00E07CDE" w:rsidRPr="002D1FFB" w:rsidRDefault="00E07CDE" w:rsidP="002D1FFB">
            <w:pPr>
              <w:spacing w:before="67" w:after="67" w:line="240" w:lineRule="auto"/>
              <w:rPr>
                <w:rFonts w:eastAsia="Calibri"/>
                <w:color w:val="000000"/>
                <w:sz w:val="18"/>
                <w:szCs w:val="18"/>
                <w:lang w:eastAsia="en-US"/>
              </w:rPr>
            </w:pPr>
            <w:r w:rsidRPr="002D1FFB">
              <w:rPr>
                <w:rFonts w:eastAsia="Calibri"/>
                <w:color w:val="000000"/>
                <w:sz w:val="18"/>
                <w:szCs w:val="18"/>
                <w:lang w:eastAsia="en-US"/>
              </w:rPr>
              <w:t>Local Authority</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6699A9B6" w14:textId="77777777" w:rsidR="00E07CDE" w:rsidRPr="002D1FFB" w:rsidRDefault="00E07CDE" w:rsidP="002D1FFB">
            <w:pPr>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297 (45.3%)</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30108DF3"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179 (42.7%)</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06226D29"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265 (54.2%)</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71C2751D"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741 (47.4%)</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4C13D4B8"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145 (42.5%)</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2FD46200"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92 (40.0%)</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01C05499"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167 (54.6%)</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tcPr>
          <w:p w14:paraId="4A7A26B5"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404 (46.1%)</w:t>
            </w:r>
          </w:p>
        </w:tc>
      </w:tr>
      <w:tr w:rsidR="00E07CDE" w:rsidRPr="002D1FFB" w14:paraId="3A9EF1C3" w14:textId="77777777" w:rsidTr="00C163F3">
        <w:trPr>
          <w:cantSplit/>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hideMark/>
          </w:tcPr>
          <w:p w14:paraId="6855E93F" w14:textId="77777777" w:rsidR="00E07CDE" w:rsidRPr="002D1FFB" w:rsidRDefault="00E07CDE" w:rsidP="002D1FFB">
            <w:pPr>
              <w:spacing w:before="67" w:after="67" w:line="240" w:lineRule="auto"/>
              <w:rPr>
                <w:rFonts w:eastAsia="Calibri"/>
                <w:color w:val="000000"/>
                <w:sz w:val="18"/>
                <w:szCs w:val="18"/>
                <w:lang w:eastAsia="en-US"/>
              </w:rPr>
            </w:pPr>
            <w:r w:rsidRPr="002D1FFB">
              <w:rPr>
                <w:rFonts w:eastAsia="Calibri"/>
                <w:color w:val="000000"/>
                <w:sz w:val="18"/>
                <w:szCs w:val="18"/>
                <w:lang w:eastAsia="en-US"/>
              </w:rPr>
              <w:t>Continuing Healthcare</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42E209A7" w14:textId="77777777" w:rsidR="00E07CDE" w:rsidRPr="002D1FFB" w:rsidRDefault="00E07CDE" w:rsidP="002D1FFB">
            <w:pPr>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58 (8.8%)</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7499177E"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35 (8.4%)</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30273615"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22 (4.5%)</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6B52A076"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115 (7.4%)</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5BE2D117"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4 (1.2%)</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277C53DF"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16 (7.0%)</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67AA56CB"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 (0.3%)</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tcPr>
          <w:p w14:paraId="0CD0A036"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21 (2.4%)</w:t>
            </w:r>
          </w:p>
        </w:tc>
      </w:tr>
      <w:tr w:rsidR="00E07CDE" w:rsidRPr="002D1FFB" w14:paraId="3632CB13" w14:textId="77777777" w:rsidTr="00C163F3">
        <w:trPr>
          <w:cantSplit/>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hideMark/>
          </w:tcPr>
          <w:p w14:paraId="7EAD9DE1" w14:textId="77777777" w:rsidR="00E07CDE" w:rsidRPr="002D1FFB" w:rsidRDefault="00E07CDE" w:rsidP="002D1FFB">
            <w:pPr>
              <w:spacing w:before="67" w:after="67" w:line="240" w:lineRule="auto"/>
              <w:rPr>
                <w:rFonts w:eastAsia="Calibri"/>
                <w:color w:val="000000"/>
                <w:sz w:val="18"/>
                <w:szCs w:val="18"/>
                <w:lang w:eastAsia="en-US"/>
              </w:rPr>
            </w:pPr>
            <w:r w:rsidRPr="002D1FFB">
              <w:rPr>
                <w:rFonts w:eastAsia="Calibri"/>
                <w:color w:val="000000"/>
                <w:sz w:val="18"/>
                <w:szCs w:val="18"/>
                <w:lang w:eastAsia="en-US"/>
              </w:rPr>
              <w:t>Self-funded</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658EAAFC" w14:textId="77777777" w:rsidR="00E07CDE" w:rsidRPr="002D1FFB" w:rsidRDefault="00E07CDE" w:rsidP="002D1FFB">
            <w:pPr>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226 (34.5%)</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2D427544"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141 (33.7%)</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699984DF"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188 (38.4%)</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418B50AE"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555 (35.5%)</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18A2EBBF"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116 (34.0%)</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3D3AAB45"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80 (34.8%)</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0EC94857"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122 (39.9%)</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tcPr>
          <w:p w14:paraId="5AE8F604"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318 (36.3%)</w:t>
            </w:r>
          </w:p>
        </w:tc>
      </w:tr>
      <w:tr w:rsidR="00E07CDE" w:rsidRPr="002D1FFB" w14:paraId="748BA656" w14:textId="77777777" w:rsidTr="00C163F3">
        <w:trPr>
          <w:cantSplit/>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hideMark/>
          </w:tcPr>
          <w:p w14:paraId="55A566A7" w14:textId="77777777" w:rsidR="00E07CDE" w:rsidRPr="002D1FFB" w:rsidRDefault="00E07CDE" w:rsidP="002D1FFB">
            <w:pPr>
              <w:keepNext/>
              <w:spacing w:before="67" w:after="67" w:line="240" w:lineRule="auto"/>
              <w:rPr>
                <w:rFonts w:eastAsia="Calibri"/>
                <w:color w:val="000000"/>
                <w:sz w:val="18"/>
                <w:szCs w:val="18"/>
                <w:lang w:eastAsia="en-US"/>
              </w:rPr>
            </w:pPr>
            <w:r w:rsidRPr="002D1FFB">
              <w:rPr>
                <w:rFonts w:eastAsia="Calibri"/>
                <w:color w:val="000000"/>
                <w:sz w:val="18"/>
                <w:szCs w:val="18"/>
                <w:lang w:eastAsia="en-US"/>
              </w:rPr>
              <w:t>Local Authority and self-funded</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455FEAD6" w14:textId="77777777" w:rsidR="00E07CDE" w:rsidRPr="002D1FFB" w:rsidRDefault="00E07CDE" w:rsidP="002D1FFB">
            <w:pPr>
              <w:keepNext/>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59 (9.0%)</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0BC0E93D"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 (0.2%)</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02C0864E"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9 (1.8%)</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2EED1A34"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69 (4.4%)</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59131BC0"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57 (16.7%)</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4D1C83F1"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7 (3.0%)</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59FEA3AB"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4 (1.3%)</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tcPr>
          <w:p w14:paraId="18D9BF46"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68 (7.8%)</w:t>
            </w:r>
          </w:p>
        </w:tc>
      </w:tr>
      <w:tr w:rsidR="00E07CDE" w:rsidRPr="002D1FFB" w14:paraId="58EC886F" w14:textId="77777777" w:rsidTr="00C163F3">
        <w:trPr>
          <w:cantSplit/>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2C791D24" w14:textId="77777777" w:rsidR="00E07CDE" w:rsidRPr="002D1FFB" w:rsidRDefault="00E07CDE" w:rsidP="002D1FFB">
            <w:pPr>
              <w:keepNext/>
              <w:spacing w:before="67" w:after="67" w:line="240" w:lineRule="auto"/>
              <w:rPr>
                <w:rFonts w:eastAsia="Calibri"/>
                <w:color w:val="000000"/>
                <w:sz w:val="18"/>
                <w:szCs w:val="18"/>
                <w:lang w:eastAsia="en-US"/>
              </w:rPr>
            </w:pPr>
            <w:r w:rsidRPr="002D1FFB">
              <w:rPr>
                <w:rFonts w:eastAsia="Calibri"/>
                <w:color w:val="000000"/>
                <w:sz w:val="18"/>
                <w:szCs w:val="18"/>
                <w:lang w:eastAsia="en-US"/>
              </w:rPr>
              <w:t>Missing</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0" w:type="dxa"/>
              <w:left w:w="67" w:type="dxa"/>
              <w:bottom w:w="0" w:type="dxa"/>
              <w:right w:w="67" w:type="dxa"/>
            </w:tcMar>
          </w:tcPr>
          <w:p w14:paraId="3D5FB722" w14:textId="77777777" w:rsidR="00E07CDE" w:rsidRPr="002D1FFB" w:rsidRDefault="00E07CDE" w:rsidP="002D1FFB">
            <w:pPr>
              <w:keepNext/>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16 (2.4%)</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1C017104"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63 (15.0%)</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7E595BE0"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5 (1.0%)</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45268DC5"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84 (5.4%)</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73199FE5"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19 (5.6%)</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39181285"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35 (15.2%)</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14:paraId="6B8B5BBE"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12 (3.9%)</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tcPr>
          <w:p w14:paraId="5C4B89A6"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66 (7.5%)</w:t>
            </w:r>
          </w:p>
        </w:tc>
      </w:tr>
    </w:tbl>
    <w:p w14:paraId="053AF015" w14:textId="08C64763" w:rsidR="00E07CDE" w:rsidRPr="00921620" w:rsidRDefault="00E07CDE" w:rsidP="009B13F3">
      <w:pPr>
        <w:autoSpaceDE/>
        <w:autoSpaceDN/>
        <w:adjustRightInd/>
        <w:spacing w:before="120" w:after="0"/>
        <w:rPr>
          <w:rFonts w:eastAsia="Calibri"/>
          <w:sz w:val="20"/>
          <w:szCs w:val="20"/>
          <w:lang w:eastAsia="en-US"/>
        </w:rPr>
      </w:pPr>
      <w:r w:rsidRPr="00921620">
        <w:rPr>
          <w:rFonts w:eastAsia="Calibri"/>
          <w:sz w:val="20"/>
          <w:szCs w:val="20"/>
          <w:lang w:eastAsia="en-US"/>
        </w:rPr>
        <w:t xml:space="preserve">*Excluding those already participating in </w:t>
      </w:r>
      <w:r w:rsidR="00921620">
        <w:rPr>
          <w:rFonts w:eastAsia="Calibri"/>
          <w:sz w:val="20"/>
          <w:szCs w:val="20"/>
          <w:lang w:eastAsia="en-US"/>
        </w:rPr>
        <w:t>the trial</w:t>
      </w:r>
      <w:r w:rsidRPr="00921620">
        <w:rPr>
          <w:rFonts w:eastAsia="Calibri"/>
          <w:sz w:val="20"/>
          <w:szCs w:val="20"/>
          <w:lang w:eastAsia="en-US"/>
        </w:rPr>
        <w:t xml:space="preserve"> </w:t>
      </w:r>
      <w:r w:rsidR="00EC0FB7">
        <w:rPr>
          <w:rFonts w:eastAsia="Calibri"/>
          <w:sz w:val="20"/>
          <w:szCs w:val="20"/>
          <w:lang w:eastAsia="en-US"/>
        </w:rPr>
        <w:t>and</w:t>
      </w:r>
      <w:r w:rsidRPr="00921620">
        <w:rPr>
          <w:rFonts w:eastAsia="Calibri"/>
          <w:sz w:val="20"/>
          <w:szCs w:val="20"/>
          <w:lang w:eastAsia="en-US"/>
        </w:rPr>
        <w:t xml:space="preserve"> those that were screened at baseline but refused consent.</w:t>
      </w:r>
    </w:p>
    <w:p w14:paraId="4118FC5E" w14:textId="77777777" w:rsidR="00E07CDE" w:rsidRPr="00563AD3" w:rsidRDefault="00E07CDE" w:rsidP="009B13F3">
      <w:pPr>
        <w:autoSpaceDE/>
        <w:autoSpaceDN/>
        <w:adjustRightInd/>
        <w:spacing w:before="120" w:after="0"/>
        <w:rPr>
          <w:rFonts w:eastAsia="Calibri"/>
          <w:sz w:val="24"/>
          <w:szCs w:val="24"/>
          <w:lang w:eastAsia="en-US"/>
        </w:rPr>
      </w:pPr>
    </w:p>
    <w:p w14:paraId="76967876" w14:textId="77777777" w:rsidR="00E07CDE" w:rsidRPr="00563AD3" w:rsidRDefault="00E07CDE" w:rsidP="009B13F3">
      <w:pPr>
        <w:autoSpaceDE/>
        <w:autoSpaceDN/>
        <w:adjustRightInd/>
        <w:spacing w:before="120" w:after="0"/>
        <w:rPr>
          <w:rFonts w:eastAsia="Calibri"/>
          <w:sz w:val="24"/>
          <w:szCs w:val="24"/>
          <w:lang w:eastAsia="en-US"/>
        </w:rPr>
        <w:sectPr w:rsidR="00E07CDE" w:rsidRPr="00563AD3" w:rsidSect="00C163F3">
          <w:pgSz w:w="16838" w:h="11906" w:orient="landscape"/>
          <w:pgMar w:top="1440" w:right="1440" w:bottom="1440" w:left="1440" w:header="708" w:footer="708" w:gutter="0"/>
          <w:cols w:space="708"/>
          <w:docGrid w:linePitch="360"/>
        </w:sectPr>
      </w:pPr>
    </w:p>
    <w:p w14:paraId="059850AA" w14:textId="12241903" w:rsidR="00E07CDE" w:rsidRPr="00563AD3" w:rsidRDefault="00E07CDE" w:rsidP="002D1FFB">
      <w:pPr>
        <w:pStyle w:val="Tableheading"/>
        <w:rPr>
          <w:rFonts w:eastAsia="Calibri"/>
          <w:lang w:eastAsia="en-US"/>
        </w:rPr>
      </w:pPr>
      <w:bookmarkStart w:id="257" w:name="_Ref499112043"/>
      <w:bookmarkStart w:id="258" w:name="_Toc500934991"/>
      <w:bookmarkStart w:id="259" w:name="_Toc948227"/>
      <w:r w:rsidRPr="00563AD3">
        <w:rPr>
          <w:rFonts w:eastAsia="Calibri"/>
          <w:lang w:eastAsia="en-US"/>
        </w:rPr>
        <w:t xml:space="preserve">Table </w:t>
      </w:r>
      <w:bookmarkEnd w:id="257"/>
      <w:r w:rsidR="00F9110A">
        <w:rPr>
          <w:rFonts w:eastAsia="Calibri"/>
          <w:lang w:eastAsia="en-US"/>
        </w:rPr>
        <w:t>30</w:t>
      </w:r>
      <w:r w:rsidR="00F9110A" w:rsidRPr="00563AD3">
        <w:rPr>
          <w:rFonts w:eastAsia="Calibri"/>
          <w:lang w:eastAsia="en-US"/>
        </w:rPr>
        <w:t xml:space="preserve"> </w:t>
      </w:r>
      <w:r w:rsidRPr="00563AD3">
        <w:rPr>
          <w:rFonts w:eastAsia="Calibri"/>
          <w:lang w:eastAsia="en-US"/>
        </w:rPr>
        <w:t>Type of consent of registered residents</w:t>
      </w:r>
      <w:bookmarkEnd w:id="258"/>
      <w:bookmarkEnd w:id="259"/>
    </w:p>
    <w:tbl>
      <w:tblPr>
        <w:tblW w:w="0" w:type="auto"/>
        <w:jc w:val="center"/>
        <w:tblLayout w:type="fixed"/>
        <w:tblCellMar>
          <w:left w:w="0" w:type="dxa"/>
          <w:right w:w="0" w:type="dxa"/>
        </w:tblCellMar>
        <w:tblLook w:val="0000" w:firstRow="0" w:lastRow="0" w:firstColumn="0" w:lastColumn="0" w:noHBand="0" w:noVBand="0"/>
      </w:tblPr>
      <w:tblGrid>
        <w:gridCol w:w="1989"/>
        <w:gridCol w:w="1408"/>
        <w:gridCol w:w="1502"/>
        <w:gridCol w:w="1455"/>
        <w:gridCol w:w="1455"/>
      </w:tblGrid>
      <w:tr w:rsidR="00E07CDE" w:rsidRPr="00563AD3" w14:paraId="2A8275E2" w14:textId="77777777" w:rsidTr="00C163F3">
        <w:trPr>
          <w:cantSplit/>
          <w:tblHeader/>
          <w:jc w:val="center"/>
        </w:trPr>
        <w:tc>
          <w:tcPr>
            <w:tcW w:w="7809" w:type="dxa"/>
            <w:gridSpan w:val="5"/>
            <w:tcBorders>
              <w:top w:val="single" w:sz="4" w:space="0" w:color="auto"/>
              <w:left w:val="single" w:sz="4" w:space="0" w:color="auto"/>
              <w:bottom w:val="nil"/>
              <w:right w:val="single" w:sz="4" w:space="0" w:color="auto"/>
            </w:tcBorders>
            <w:shd w:val="clear" w:color="auto" w:fill="FFFFFF"/>
          </w:tcPr>
          <w:p w14:paraId="3F5B3EBC" w14:textId="77777777" w:rsidR="00E07CDE" w:rsidRPr="00563AD3" w:rsidRDefault="00E07CDE" w:rsidP="002D1FFB">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 xml:space="preserve">Type of consent of registered residents – original and additional cohort </w:t>
            </w:r>
          </w:p>
        </w:tc>
      </w:tr>
      <w:tr w:rsidR="00EC0FB7" w:rsidRPr="00563AD3" w14:paraId="73EA26D1" w14:textId="77777777" w:rsidTr="00EC0FB7">
        <w:trPr>
          <w:cantSplit/>
          <w:tblHeader/>
          <w:jc w:val="center"/>
        </w:trPr>
        <w:tc>
          <w:tcPr>
            <w:tcW w:w="3397" w:type="dxa"/>
            <w:gridSpan w:val="2"/>
            <w:tcBorders>
              <w:top w:val="single" w:sz="4" w:space="0" w:color="auto"/>
              <w:left w:val="single" w:sz="4" w:space="0" w:color="auto"/>
              <w:bottom w:val="nil"/>
              <w:right w:val="single" w:sz="4" w:space="0" w:color="auto"/>
            </w:tcBorders>
            <w:shd w:val="clear" w:color="auto" w:fill="FFFFFF"/>
          </w:tcPr>
          <w:p w14:paraId="45F24470" w14:textId="080C6919" w:rsidR="00EC0FB7" w:rsidRPr="00563AD3" w:rsidRDefault="00EC0FB7" w:rsidP="002D1FFB">
            <w:pPr>
              <w:keepNext/>
              <w:spacing w:before="67" w:after="67" w:line="240" w:lineRule="auto"/>
              <w:jc w:val="center"/>
              <w:rPr>
                <w:rFonts w:eastAsia="Times New Roman"/>
                <w:b/>
                <w:bCs/>
                <w:color w:val="000000"/>
                <w:sz w:val="20"/>
                <w:szCs w:val="20"/>
              </w:rPr>
            </w:pPr>
            <w:r>
              <w:rPr>
                <w:rFonts w:eastAsia="Times New Roman"/>
                <w:b/>
                <w:bCs/>
                <w:color w:val="000000"/>
                <w:sz w:val="20"/>
                <w:szCs w:val="20"/>
              </w:rPr>
              <w:t>Original</w:t>
            </w:r>
          </w:p>
        </w:tc>
        <w:tc>
          <w:tcPr>
            <w:tcW w:w="4412" w:type="dxa"/>
            <w:gridSpan w:val="3"/>
            <w:tcBorders>
              <w:top w:val="single" w:sz="4" w:space="0" w:color="auto"/>
              <w:left w:val="single" w:sz="4" w:space="0" w:color="auto"/>
              <w:bottom w:val="nil"/>
              <w:right w:val="single" w:sz="4" w:space="0" w:color="auto"/>
            </w:tcBorders>
            <w:shd w:val="clear" w:color="auto" w:fill="FFFFFF"/>
          </w:tcPr>
          <w:p w14:paraId="7108A68B" w14:textId="676FCEF8" w:rsidR="00EC0FB7" w:rsidRPr="00563AD3" w:rsidRDefault="00EC0FB7" w:rsidP="002D1FFB">
            <w:pPr>
              <w:keepNext/>
              <w:spacing w:before="67" w:after="67" w:line="240" w:lineRule="auto"/>
              <w:jc w:val="center"/>
              <w:rPr>
                <w:rFonts w:eastAsia="Times New Roman"/>
                <w:b/>
                <w:bCs/>
                <w:color w:val="000000"/>
                <w:sz w:val="20"/>
                <w:szCs w:val="20"/>
              </w:rPr>
            </w:pPr>
            <w:r>
              <w:rPr>
                <w:rFonts w:eastAsia="Times New Roman"/>
                <w:b/>
                <w:bCs/>
                <w:color w:val="000000"/>
                <w:sz w:val="20"/>
                <w:szCs w:val="20"/>
              </w:rPr>
              <w:t>Additional</w:t>
            </w:r>
          </w:p>
        </w:tc>
      </w:tr>
      <w:tr w:rsidR="00E07CDE" w:rsidRPr="00563AD3" w14:paraId="4B90F988" w14:textId="77777777" w:rsidTr="00921620">
        <w:trPr>
          <w:cantSplit/>
          <w:tblHeader/>
          <w:jc w:val="center"/>
        </w:trPr>
        <w:tc>
          <w:tcPr>
            <w:tcW w:w="1989" w:type="dxa"/>
            <w:tcBorders>
              <w:top w:val="nil"/>
              <w:left w:val="single" w:sz="4" w:space="0" w:color="auto"/>
              <w:bottom w:val="single" w:sz="4" w:space="0" w:color="000000"/>
              <w:right w:val="nil"/>
            </w:tcBorders>
            <w:shd w:val="clear" w:color="auto" w:fill="FFFFFF"/>
            <w:tcMar>
              <w:left w:w="67" w:type="dxa"/>
              <w:right w:w="67" w:type="dxa"/>
            </w:tcMar>
            <w:vAlign w:val="bottom"/>
          </w:tcPr>
          <w:p w14:paraId="69F132CB" w14:textId="77777777" w:rsidR="00E07CDE" w:rsidRPr="00563AD3" w:rsidRDefault="00E07CDE" w:rsidP="002D1FFB">
            <w:pPr>
              <w:keepNext/>
              <w:spacing w:before="67" w:after="67" w:line="240" w:lineRule="auto"/>
              <w:rPr>
                <w:rFonts w:eastAsia="Times New Roman"/>
                <w:b/>
                <w:bCs/>
                <w:color w:val="000000"/>
                <w:sz w:val="20"/>
                <w:szCs w:val="20"/>
              </w:rPr>
            </w:pPr>
          </w:p>
        </w:tc>
        <w:tc>
          <w:tcPr>
            <w:tcW w:w="1408" w:type="dxa"/>
            <w:tcBorders>
              <w:top w:val="nil"/>
              <w:left w:val="nil"/>
              <w:bottom w:val="single" w:sz="4" w:space="0" w:color="000000"/>
              <w:right w:val="single" w:sz="4" w:space="0" w:color="auto"/>
            </w:tcBorders>
            <w:shd w:val="clear" w:color="auto" w:fill="FFFFFF"/>
            <w:vAlign w:val="bottom"/>
          </w:tcPr>
          <w:p w14:paraId="653691D3" w14:textId="1A380795" w:rsidR="00E07CDE" w:rsidRPr="00563AD3" w:rsidRDefault="00E07CDE" w:rsidP="002D1FFB">
            <w:pPr>
              <w:keepNext/>
              <w:spacing w:before="67" w:after="67" w:line="240" w:lineRule="auto"/>
              <w:ind w:right="129"/>
              <w:jc w:val="right"/>
              <w:rPr>
                <w:rFonts w:eastAsia="Times New Roman"/>
                <w:b/>
                <w:bCs/>
                <w:color w:val="000000"/>
                <w:sz w:val="20"/>
                <w:szCs w:val="20"/>
              </w:rPr>
            </w:pPr>
            <w:r w:rsidRPr="00563AD3">
              <w:rPr>
                <w:rFonts w:eastAsia="Calibri"/>
                <w:b/>
                <w:bCs/>
                <w:color w:val="000000"/>
                <w:sz w:val="20"/>
                <w:szCs w:val="20"/>
                <w:lang w:eastAsia="en-US"/>
              </w:rPr>
              <w:t>Total (n=726)</w:t>
            </w:r>
          </w:p>
        </w:tc>
        <w:tc>
          <w:tcPr>
            <w:tcW w:w="1502" w:type="dxa"/>
            <w:tcBorders>
              <w:top w:val="nil"/>
              <w:left w:val="single" w:sz="4" w:space="0" w:color="auto"/>
              <w:bottom w:val="single" w:sz="4" w:space="0" w:color="000000"/>
              <w:right w:val="nil"/>
            </w:tcBorders>
            <w:shd w:val="clear" w:color="auto" w:fill="FFFFFF"/>
            <w:tcMar>
              <w:left w:w="67" w:type="dxa"/>
              <w:right w:w="67" w:type="dxa"/>
            </w:tcMar>
            <w:vAlign w:val="bottom"/>
          </w:tcPr>
          <w:p w14:paraId="7985440F" w14:textId="77777777" w:rsidR="00E07CDE" w:rsidRPr="00563AD3" w:rsidRDefault="00E07CDE" w:rsidP="002D1FFB">
            <w:pPr>
              <w:keepNext/>
              <w:spacing w:before="67" w:after="67" w:line="240" w:lineRule="auto"/>
              <w:jc w:val="right"/>
              <w:rPr>
                <w:rFonts w:eastAsia="Times New Roman"/>
                <w:b/>
                <w:bCs/>
                <w:color w:val="000000"/>
                <w:sz w:val="20"/>
                <w:szCs w:val="20"/>
              </w:rPr>
            </w:pPr>
            <w:r w:rsidRPr="00563AD3">
              <w:rPr>
                <w:rFonts w:eastAsia="Times New Roman"/>
                <w:b/>
                <w:bCs/>
                <w:color w:val="000000"/>
                <w:sz w:val="20"/>
                <w:szCs w:val="20"/>
              </w:rPr>
              <w:t>Control  (n=99)</w:t>
            </w:r>
          </w:p>
        </w:tc>
        <w:tc>
          <w:tcPr>
            <w:tcW w:w="1455" w:type="dxa"/>
            <w:tcBorders>
              <w:top w:val="nil"/>
              <w:left w:val="nil"/>
              <w:bottom w:val="single" w:sz="4" w:space="0" w:color="000000"/>
              <w:right w:val="nil"/>
            </w:tcBorders>
            <w:shd w:val="clear" w:color="auto" w:fill="FFFFFF"/>
            <w:tcMar>
              <w:left w:w="67" w:type="dxa"/>
              <w:right w:w="67" w:type="dxa"/>
            </w:tcMar>
            <w:vAlign w:val="bottom"/>
          </w:tcPr>
          <w:p w14:paraId="0890EFAF" w14:textId="77777777" w:rsidR="00E07CDE" w:rsidRPr="00563AD3" w:rsidRDefault="00E07CDE" w:rsidP="002D1FFB">
            <w:pPr>
              <w:keepNext/>
              <w:spacing w:before="67" w:after="67" w:line="240" w:lineRule="auto"/>
              <w:jc w:val="right"/>
              <w:rPr>
                <w:rFonts w:eastAsia="Times New Roman"/>
                <w:b/>
                <w:bCs/>
                <w:color w:val="000000"/>
                <w:sz w:val="20"/>
                <w:szCs w:val="20"/>
              </w:rPr>
            </w:pPr>
            <w:r w:rsidRPr="00563AD3">
              <w:rPr>
                <w:rFonts w:eastAsia="Times New Roman"/>
                <w:b/>
                <w:bCs/>
                <w:color w:val="000000"/>
                <w:sz w:val="20"/>
                <w:szCs w:val="20"/>
              </w:rPr>
              <w:t>Intervention (n=162)</w:t>
            </w:r>
          </w:p>
        </w:tc>
        <w:tc>
          <w:tcPr>
            <w:tcW w:w="1455" w:type="dxa"/>
            <w:tcBorders>
              <w:top w:val="nil"/>
              <w:left w:val="nil"/>
              <w:bottom w:val="single" w:sz="4" w:space="0" w:color="000000"/>
              <w:right w:val="single" w:sz="4" w:space="0" w:color="auto"/>
            </w:tcBorders>
            <w:shd w:val="clear" w:color="auto" w:fill="FFFFFF"/>
            <w:tcMar>
              <w:left w:w="67" w:type="dxa"/>
              <w:right w:w="67" w:type="dxa"/>
            </w:tcMar>
            <w:vAlign w:val="bottom"/>
          </w:tcPr>
          <w:p w14:paraId="3B47C658" w14:textId="3643CC5E" w:rsidR="00E07CDE" w:rsidRPr="00563AD3" w:rsidRDefault="00E07CDE" w:rsidP="002D1FFB">
            <w:pPr>
              <w:keepNext/>
              <w:spacing w:before="67" w:after="67" w:line="240" w:lineRule="auto"/>
              <w:jc w:val="right"/>
              <w:rPr>
                <w:rFonts w:eastAsia="Times New Roman"/>
                <w:b/>
                <w:bCs/>
                <w:color w:val="000000"/>
                <w:sz w:val="20"/>
                <w:szCs w:val="20"/>
              </w:rPr>
            </w:pPr>
            <w:r w:rsidRPr="00563AD3">
              <w:rPr>
                <w:rFonts w:eastAsia="Times New Roman"/>
                <w:b/>
                <w:bCs/>
                <w:color w:val="000000"/>
                <w:sz w:val="20"/>
                <w:szCs w:val="20"/>
              </w:rPr>
              <w:t>Total (n=261)</w:t>
            </w:r>
          </w:p>
        </w:tc>
      </w:tr>
      <w:tr w:rsidR="00E07CDE" w:rsidRPr="00563AD3" w14:paraId="17BBAF04" w14:textId="77777777" w:rsidTr="00921620">
        <w:trPr>
          <w:cantSplit/>
          <w:jc w:val="center"/>
        </w:trPr>
        <w:tc>
          <w:tcPr>
            <w:tcW w:w="1989" w:type="dxa"/>
            <w:tcBorders>
              <w:top w:val="nil"/>
              <w:left w:val="single" w:sz="4" w:space="0" w:color="auto"/>
              <w:bottom w:val="nil"/>
              <w:right w:val="nil"/>
            </w:tcBorders>
            <w:shd w:val="clear" w:color="auto" w:fill="FFFFFF"/>
            <w:tcMar>
              <w:left w:w="67" w:type="dxa"/>
              <w:right w:w="67" w:type="dxa"/>
            </w:tcMar>
          </w:tcPr>
          <w:p w14:paraId="13C1AEE6" w14:textId="77777777" w:rsidR="00E07CDE" w:rsidRPr="00563AD3" w:rsidRDefault="00E07CDE" w:rsidP="002D1FFB">
            <w:pPr>
              <w:spacing w:before="67" w:after="67" w:line="240" w:lineRule="auto"/>
              <w:rPr>
                <w:rFonts w:eastAsia="Times New Roman"/>
                <w:b/>
                <w:bCs/>
                <w:color w:val="000000"/>
                <w:sz w:val="20"/>
                <w:szCs w:val="20"/>
              </w:rPr>
            </w:pPr>
            <w:r w:rsidRPr="00563AD3">
              <w:rPr>
                <w:rFonts w:eastAsia="Times New Roman"/>
                <w:b/>
                <w:bCs/>
                <w:color w:val="000000"/>
                <w:sz w:val="20"/>
                <w:szCs w:val="20"/>
              </w:rPr>
              <w:t>Consent by:</w:t>
            </w:r>
          </w:p>
        </w:tc>
        <w:tc>
          <w:tcPr>
            <w:tcW w:w="1408" w:type="dxa"/>
            <w:tcBorders>
              <w:top w:val="nil"/>
              <w:left w:val="nil"/>
              <w:bottom w:val="nil"/>
              <w:right w:val="single" w:sz="4" w:space="0" w:color="auto"/>
            </w:tcBorders>
            <w:shd w:val="clear" w:color="auto" w:fill="FFFFFF"/>
          </w:tcPr>
          <w:p w14:paraId="085F74E4" w14:textId="77777777" w:rsidR="00E07CDE" w:rsidRPr="00563AD3" w:rsidRDefault="00E07CDE" w:rsidP="002D1FFB">
            <w:pPr>
              <w:spacing w:before="67" w:after="67" w:line="240" w:lineRule="auto"/>
              <w:ind w:right="129"/>
              <w:jc w:val="right"/>
              <w:rPr>
                <w:rFonts w:eastAsia="Times New Roman"/>
                <w:color w:val="000000"/>
                <w:sz w:val="20"/>
                <w:szCs w:val="20"/>
              </w:rPr>
            </w:pPr>
          </w:p>
        </w:tc>
        <w:tc>
          <w:tcPr>
            <w:tcW w:w="1502" w:type="dxa"/>
            <w:tcBorders>
              <w:top w:val="nil"/>
              <w:left w:val="single" w:sz="4" w:space="0" w:color="auto"/>
              <w:bottom w:val="nil"/>
              <w:right w:val="nil"/>
            </w:tcBorders>
            <w:shd w:val="clear" w:color="auto" w:fill="FFFFFF"/>
            <w:tcMar>
              <w:left w:w="67" w:type="dxa"/>
              <w:right w:w="67" w:type="dxa"/>
            </w:tcMar>
          </w:tcPr>
          <w:p w14:paraId="5113FF4E" w14:textId="77777777" w:rsidR="00E07CDE" w:rsidRPr="00563AD3" w:rsidRDefault="00E07CDE" w:rsidP="002D1FFB">
            <w:pPr>
              <w:spacing w:before="67" w:after="67" w:line="240" w:lineRule="auto"/>
              <w:jc w:val="right"/>
              <w:rPr>
                <w:rFonts w:eastAsia="Times New Roman"/>
                <w:color w:val="000000"/>
                <w:sz w:val="20"/>
                <w:szCs w:val="20"/>
              </w:rPr>
            </w:pPr>
          </w:p>
        </w:tc>
        <w:tc>
          <w:tcPr>
            <w:tcW w:w="1455" w:type="dxa"/>
            <w:tcBorders>
              <w:top w:val="nil"/>
              <w:left w:val="nil"/>
              <w:bottom w:val="nil"/>
              <w:right w:val="nil"/>
            </w:tcBorders>
            <w:shd w:val="clear" w:color="auto" w:fill="FFFFFF"/>
            <w:tcMar>
              <w:left w:w="67" w:type="dxa"/>
              <w:right w:w="67" w:type="dxa"/>
            </w:tcMar>
          </w:tcPr>
          <w:p w14:paraId="0736412F" w14:textId="77777777" w:rsidR="00E07CDE" w:rsidRPr="00563AD3" w:rsidRDefault="00E07CDE" w:rsidP="002D1FFB">
            <w:pPr>
              <w:spacing w:before="67" w:after="67" w:line="240" w:lineRule="auto"/>
              <w:jc w:val="right"/>
              <w:rPr>
                <w:rFonts w:eastAsia="Times New Roman"/>
                <w:color w:val="000000"/>
                <w:sz w:val="20"/>
                <w:szCs w:val="20"/>
              </w:rPr>
            </w:pPr>
          </w:p>
        </w:tc>
        <w:tc>
          <w:tcPr>
            <w:tcW w:w="1455" w:type="dxa"/>
            <w:tcBorders>
              <w:top w:val="nil"/>
              <w:left w:val="nil"/>
              <w:bottom w:val="nil"/>
              <w:right w:val="single" w:sz="4" w:space="0" w:color="auto"/>
            </w:tcBorders>
            <w:shd w:val="clear" w:color="auto" w:fill="FFFFFF"/>
            <w:tcMar>
              <w:left w:w="67" w:type="dxa"/>
              <w:right w:w="67" w:type="dxa"/>
            </w:tcMar>
          </w:tcPr>
          <w:p w14:paraId="476F667D" w14:textId="77777777" w:rsidR="00E07CDE" w:rsidRPr="00563AD3" w:rsidRDefault="00E07CDE" w:rsidP="002D1FFB">
            <w:pPr>
              <w:spacing w:before="67" w:after="67" w:line="240" w:lineRule="auto"/>
              <w:jc w:val="right"/>
              <w:rPr>
                <w:rFonts w:eastAsia="Times New Roman"/>
                <w:color w:val="000000"/>
                <w:sz w:val="20"/>
                <w:szCs w:val="20"/>
              </w:rPr>
            </w:pPr>
          </w:p>
        </w:tc>
      </w:tr>
      <w:tr w:rsidR="00E07CDE" w:rsidRPr="00563AD3" w14:paraId="3DC3D1BF" w14:textId="77777777" w:rsidTr="00921620">
        <w:trPr>
          <w:cantSplit/>
          <w:jc w:val="center"/>
        </w:trPr>
        <w:tc>
          <w:tcPr>
            <w:tcW w:w="1989" w:type="dxa"/>
            <w:tcBorders>
              <w:top w:val="nil"/>
              <w:left w:val="single" w:sz="4" w:space="0" w:color="auto"/>
              <w:bottom w:val="nil"/>
              <w:right w:val="nil"/>
            </w:tcBorders>
            <w:shd w:val="clear" w:color="auto" w:fill="FFFFFF"/>
            <w:tcMar>
              <w:left w:w="67" w:type="dxa"/>
              <w:right w:w="67" w:type="dxa"/>
            </w:tcMar>
          </w:tcPr>
          <w:p w14:paraId="1635EB9F" w14:textId="77777777" w:rsidR="00E07CDE" w:rsidRPr="00563AD3" w:rsidRDefault="00E07CDE" w:rsidP="002D1FFB">
            <w:pPr>
              <w:spacing w:before="67" w:after="67" w:line="240" w:lineRule="auto"/>
              <w:rPr>
                <w:rFonts w:eastAsia="Times New Roman"/>
                <w:color w:val="000000"/>
                <w:sz w:val="20"/>
                <w:szCs w:val="20"/>
              </w:rPr>
            </w:pPr>
            <w:r w:rsidRPr="00563AD3">
              <w:rPr>
                <w:rFonts w:eastAsia="Times New Roman"/>
                <w:color w:val="000000"/>
                <w:sz w:val="20"/>
                <w:szCs w:val="20"/>
              </w:rPr>
              <w:t>Resident</w:t>
            </w:r>
          </w:p>
        </w:tc>
        <w:tc>
          <w:tcPr>
            <w:tcW w:w="1408" w:type="dxa"/>
            <w:tcBorders>
              <w:top w:val="nil"/>
              <w:left w:val="nil"/>
              <w:bottom w:val="nil"/>
              <w:right w:val="single" w:sz="4" w:space="0" w:color="auto"/>
            </w:tcBorders>
            <w:shd w:val="clear" w:color="auto" w:fill="FFFFFF"/>
          </w:tcPr>
          <w:p w14:paraId="2D9CEAF6" w14:textId="77777777" w:rsidR="00E07CDE" w:rsidRPr="00563AD3" w:rsidRDefault="00E07CDE" w:rsidP="002D1FFB">
            <w:pPr>
              <w:spacing w:before="67" w:after="67" w:line="240" w:lineRule="auto"/>
              <w:ind w:right="129"/>
              <w:jc w:val="right"/>
              <w:rPr>
                <w:rFonts w:eastAsia="Times New Roman"/>
                <w:color w:val="000000"/>
                <w:sz w:val="20"/>
                <w:szCs w:val="20"/>
              </w:rPr>
            </w:pPr>
            <w:r w:rsidRPr="00563AD3">
              <w:rPr>
                <w:rFonts w:eastAsia="Calibri"/>
                <w:color w:val="000000"/>
                <w:sz w:val="20"/>
                <w:szCs w:val="20"/>
                <w:lang w:eastAsia="en-US"/>
              </w:rPr>
              <w:t>145 (20.0%)</w:t>
            </w:r>
          </w:p>
        </w:tc>
        <w:tc>
          <w:tcPr>
            <w:tcW w:w="1502" w:type="dxa"/>
            <w:tcBorders>
              <w:top w:val="nil"/>
              <w:left w:val="single" w:sz="4" w:space="0" w:color="auto"/>
              <w:bottom w:val="nil"/>
              <w:right w:val="nil"/>
            </w:tcBorders>
            <w:shd w:val="clear" w:color="auto" w:fill="FFFFFF"/>
            <w:tcMar>
              <w:left w:w="67" w:type="dxa"/>
              <w:right w:w="67" w:type="dxa"/>
            </w:tcMar>
          </w:tcPr>
          <w:p w14:paraId="77EE9BAE" w14:textId="77777777" w:rsidR="00E07CDE" w:rsidRPr="00563AD3" w:rsidRDefault="00E07CDE" w:rsidP="002D1FFB">
            <w:pPr>
              <w:spacing w:before="67" w:after="67" w:line="240" w:lineRule="auto"/>
              <w:jc w:val="right"/>
              <w:rPr>
                <w:rFonts w:eastAsia="Times New Roman"/>
                <w:color w:val="000000"/>
                <w:sz w:val="20"/>
                <w:szCs w:val="20"/>
              </w:rPr>
            </w:pPr>
            <w:r w:rsidRPr="00563AD3">
              <w:rPr>
                <w:rFonts w:eastAsia="Times New Roman"/>
                <w:color w:val="000000"/>
                <w:sz w:val="20"/>
                <w:szCs w:val="20"/>
              </w:rPr>
              <w:t>22 (22.2%)</w:t>
            </w:r>
          </w:p>
        </w:tc>
        <w:tc>
          <w:tcPr>
            <w:tcW w:w="1455" w:type="dxa"/>
            <w:tcBorders>
              <w:top w:val="nil"/>
              <w:left w:val="nil"/>
              <w:bottom w:val="nil"/>
              <w:right w:val="nil"/>
            </w:tcBorders>
            <w:shd w:val="clear" w:color="auto" w:fill="FFFFFF"/>
            <w:tcMar>
              <w:left w:w="67" w:type="dxa"/>
              <w:right w:w="67" w:type="dxa"/>
            </w:tcMar>
          </w:tcPr>
          <w:p w14:paraId="17D76AE2" w14:textId="77777777" w:rsidR="00E07CDE" w:rsidRPr="00563AD3" w:rsidRDefault="00E07CDE" w:rsidP="002D1FFB">
            <w:pPr>
              <w:spacing w:before="67" w:after="67" w:line="240" w:lineRule="auto"/>
              <w:jc w:val="right"/>
              <w:rPr>
                <w:rFonts w:eastAsia="Times New Roman"/>
                <w:color w:val="000000"/>
                <w:sz w:val="20"/>
                <w:szCs w:val="20"/>
              </w:rPr>
            </w:pPr>
            <w:r w:rsidRPr="00563AD3">
              <w:rPr>
                <w:rFonts w:eastAsia="Times New Roman"/>
                <w:color w:val="000000"/>
                <w:sz w:val="20"/>
                <w:szCs w:val="20"/>
              </w:rPr>
              <w:t>36 (22.2%)</w:t>
            </w:r>
          </w:p>
        </w:tc>
        <w:tc>
          <w:tcPr>
            <w:tcW w:w="1455" w:type="dxa"/>
            <w:tcBorders>
              <w:top w:val="nil"/>
              <w:left w:val="nil"/>
              <w:bottom w:val="nil"/>
              <w:right w:val="single" w:sz="4" w:space="0" w:color="auto"/>
            </w:tcBorders>
            <w:shd w:val="clear" w:color="auto" w:fill="FFFFFF"/>
            <w:tcMar>
              <w:left w:w="67" w:type="dxa"/>
              <w:right w:w="67" w:type="dxa"/>
            </w:tcMar>
          </w:tcPr>
          <w:p w14:paraId="3E2C1F91" w14:textId="77777777" w:rsidR="00E07CDE" w:rsidRPr="00563AD3" w:rsidRDefault="00E07CDE" w:rsidP="002D1FFB">
            <w:pPr>
              <w:spacing w:before="67" w:after="67" w:line="240" w:lineRule="auto"/>
              <w:jc w:val="right"/>
              <w:rPr>
                <w:rFonts w:eastAsia="Times New Roman"/>
                <w:color w:val="000000"/>
                <w:sz w:val="20"/>
                <w:szCs w:val="20"/>
              </w:rPr>
            </w:pPr>
            <w:r w:rsidRPr="00563AD3">
              <w:rPr>
                <w:rFonts w:eastAsia="Times New Roman"/>
                <w:color w:val="000000"/>
                <w:sz w:val="20"/>
                <w:szCs w:val="20"/>
              </w:rPr>
              <w:t>58 (22.2%)</w:t>
            </w:r>
          </w:p>
        </w:tc>
      </w:tr>
      <w:tr w:rsidR="00E07CDE" w:rsidRPr="00563AD3" w14:paraId="75648851" w14:textId="77777777" w:rsidTr="00921620">
        <w:trPr>
          <w:cantSplit/>
          <w:jc w:val="center"/>
        </w:trPr>
        <w:tc>
          <w:tcPr>
            <w:tcW w:w="1989" w:type="dxa"/>
            <w:tcBorders>
              <w:top w:val="nil"/>
              <w:left w:val="single" w:sz="4" w:space="0" w:color="auto"/>
              <w:bottom w:val="nil"/>
              <w:right w:val="nil"/>
            </w:tcBorders>
            <w:shd w:val="clear" w:color="auto" w:fill="FFFFFF"/>
            <w:tcMar>
              <w:left w:w="67" w:type="dxa"/>
              <w:right w:w="67" w:type="dxa"/>
            </w:tcMar>
          </w:tcPr>
          <w:p w14:paraId="1C525E96" w14:textId="77777777" w:rsidR="00E07CDE" w:rsidRPr="00563AD3" w:rsidRDefault="00E07CDE" w:rsidP="002D1FFB">
            <w:pPr>
              <w:spacing w:before="67" w:after="67" w:line="240" w:lineRule="auto"/>
              <w:rPr>
                <w:rFonts w:eastAsia="Times New Roman"/>
                <w:color w:val="000000"/>
                <w:sz w:val="20"/>
                <w:szCs w:val="20"/>
              </w:rPr>
            </w:pPr>
            <w:r w:rsidRPr="00563AD3">
              <w:rPr>
                <w:rFonts w:eastAsia="Times New Roman"/>
                <w:color w:val="000000"/>
                <w:sz w:val="20"/>
                <w:szCs w:val="20"/>
              </w:rPr>
              <w:t>Personal consultee</w:t>
            </w:r>
          </w:p>
        </w:tc>
        <w:tc>
          <w:tcPr>
            <w:tcW w:w="1408" w:type="dxa"/>
            <w:tcBorders>
              <w:top w:val="nil"/>
              <w:left w:val="nil"/>
              <w:bottom w:val="nil"/>
              <w:right w:val="single" w:sz="4" w:space="0" w:color="auto"/>
            </w:tcBorders>
            <w:shd w:val="clear" w:color="auto" w:fill="FFFFFF"/>
          </w:tcPr>
          <w:p w14:paraId="1F035DF0" w14:textId="77777777" w:rsidR="00E07CDE" w:rsidRPr="00563AD3" w:rsidRDefault="00E07CDE" w:rsidP="002D1FFB">
            <w:pPr>
              <w:spacing w:before="67" w:after="67" w:line="240" w:lineRule="auto"/>
              <w:ind w:right="129"/>
              <w:jc w:val="right"/>
              <w:rPr>
                <w:rFonts w:eastAsia="Times New Roman"/>
                <w:color w:val="000000"/>
                <w:sz w:val="20"/>
                <w:szCs w:val="20"/>
              </w:rPr>
            </w:pPr>
            <w:r w:rsidRPr="00563AD3">
              <w:rPr>
                <w:rFonts w:eastAsia="Calibri"/>
                <w:color w:val="000000"/>
                <w:sz w:val="20"/>
                <w:szCs w:val="20"/>
                <w:lang w:eastAsia="en-US"/>
              </w:rPr>
              <w:t>263 (36.2%)</w:t>
            </w:r>
          </w:p>
        </w:tc>
        <w:tc>
          <w:tcPr>
            <w:tcW w:w="1502" w:type="dxa"/>
            <w:tcBorders>
              <w:top w:val="nil"/>
              <w:left w:val="single" w:sz="4" w:space="0" w:color="auto"/>
              <w:bottom w:val="nil"/>
              <w:right w:val="nil"/>
            </w:tcBorders>
            <w:shd w:val="clear" w:color="auto" w:fill="FFFFFF"/>
            <w:tcMar>
              <w:left w:w="67" w:type="dxa"/>
              <w:right w:w="67" w:type="dxa"/>
            </w:tcMar>
          </w:tcPr>
          <w:p w14:paraId="5F377190" w14:textId="77777777" w:rsidR="00E07CDE" w:rsidRPr="00563AD3" w:rsidRDefault="00E07CDE" w:rsidP="002D1FFB">
            <w:pPr>
              <w:spacing w:before="67" w:after="67" w:line="240" w:lineRule="auto"/>
              <w:jc w:val="right"/>
              <w:rPr>
                <w:rFonts w:eastAsia="Times New Roman"/>
                <w:color w:val="000000"/>
                <w:sz w:val="20"/>
                <w:szCs w:val="20"/>
              </w:rPr>
            </w:pPr>
            <w:r w:rsidRPr="00563AD3">
              <w:rPr>
                <w:rFonts w:eastAsia="Times New Roman"/>
                <w:color w:val="000000"/>
                <w:sz w:val="20"/>
                <w:szCs w:val="20"/>
              </w:rPr>
              <w:t>34 (34.3%)</w:t>
            </w:r>
          </w:p>
        </w:tc>
        <w:tc>
          <w:tcPr>
            <w:tcW w:w="1455" w:type="dxa"/>
            <w:tcBorders>
              <w:top w:val="nil"/>
              <w:left w:val="nil"/>
              <w:bottom w:val="nil"/>
              <w:right w:val="nil"/>
            </w:tcBorders>
            <w:shd w:val="clear" w:color="auto" w:fill="FFFFFF"/>
            <w:tcMar>
              <w:left w:w="67" w:type="dxa"/>
              <w:right w:w="67" w:type="dxa"/>
            </w:tcMar>
          </w:tcPr>
          <w:p w14:paraId="6D0C960C" w14:textId="77777777" w:rsidR="00E07CDE" w:rsidRPr="00563AD3" w:rsidRDefault="00E07CDE" w:rsidP="002D1FFB">
            <w:pPr>
              <w:spacing w:before="67" w:after="67" w:line="240" w:lineRule="auto"/>
              <w:jc w:val="right"/>
              <w:rPr>
                <w:rFonts w:eastAsia="Times New Roman"/>
                <w:color w:val="000000"/>
                <w:sz w:val="20"/>
                <w:szCs w:val="20"/>
              </w:rPr>
            </w:pPr>
            <w:r w:rsidRPr="00563AD3">
              <w:rPr>
                <w:rFonts w:eastAsia="Times New Roman"/>
                <w:color w:val="000000"/>
                <w:sz w:val="20"/>
                <w:szCs w:val="20"/>
              </w:rPr>
              <w:t>39 (24.1%)</w:t>
            </w:r>
          </w:p>
        </w:tc>
        <w:tc>
          <w:tcPr>
            <w:tcW w:w="1455" w:type="dxa"/>
            <w:tcBorders>
              <w:top w:val="nil"/>
              <w:left w:val="nil"/>
              <w:bottom w:val="nil"/>
              <w:right w:val="single" w:sz="4" w:space="0" w:color="auto"/>
            </w:tcBorders>
            <w:shd w:val="clear" w:color="auto" w:fill="FFFFFF"/>
            <w:tcMar>
              <w:left w:w="67" w:type="dxa"/>
              <w:right w:w="67" w:type="dxa"/>
            </w:tcMar>
          </w:tcPr>
          <w:p w14:paraId="16E54A6A" w14:textId="77777777" w:rsidR="00E07CDE" w:rsidRPr="00563AD3" w:rsidRDefault="00E07CDE" w:rsidP="002D1FFB">
            <w:pPr>
              <w:spacing w:before="67" w:after="67" w:line="240" w:lineRule="auto"/>
              <w:jc w:val="right"/>
              <w:rPr>
                <w:rFonts w:eastAsia="Times New Roman"/>
                <w:color w:val="000000"/>
                <w:sz w:val="20"/>
                <w:szCs w:val="20"/>
              </w:rPr>
            </w:pPr>
            <w:r w:rsidRPr="00563AD3">
              <w:rPr>
                <w:rFonts w:eastAsia="Times New Roman"/>
                <w:color w:val="000000"/>
                <w:sz w:val="20"/>
                <w:szCs w:val="20"/>
              </w:rPr>
              <w:t>73 (28.0%)</w:t>
            </w:r>
          </w:p>
        </w:tc>
      </w:tr>
      <w:tr w:rsidR="00E07CDE" w:rsidRPr="00563AD3" w14:paraId="39B72187" w14:textId="77777777" w:rsidTr="00921620">
        <w:trPr>
          <w:cantSplit/>
          <w:jc w:val="center"/>
        </w:trPr>
        <w:tc>
          <w:tcPr>
            <w:tcW w:w="1989" w:type="dxa"/>
            <w:tcBorders>
              <w:top w:val="nil"/>
              <w:left w:val="single" w:sz="4" w:space="0" w:color="auto"/>
              <w:bottom w:val="single" w:sz="4" w:space="0" w:color="auto"/>
              <w:right w:val="nil"/>
            </w:tcBorders>
            <w:shd w:val="clear" w:color="auto" w:fill="FFFFFF"/>
            <w:tcMar>
              <w:left w:w="67" w:type="dxa"/>
              <w:right w:w="67" w:type="dxa"/>
            </w:tcMar>
          </w:tcPr>
          <w:p w14:paraId="2CCE7407" w14:textId="77777777" w:rsidR="00E07CDE" w:rsidRPr="00563AD3" w:rsidRDefault="00E07CDE" w:rsidP="002D1FFB">
            <w:pPr>
              <w:keepNext/>
              <w:spacing w:before="67" w:after="67" w:line="240" w:lineRule="auto"/>
              <w:rPr>
                <w:rFonts w:eastAsia="Times New Roman"/>
                <w:color w:val="000000"/>
                <w:sz w:val="20"/>
                <w:szCs w:val="20"/>
              </w:rPr>
            </w:pPr>
            <w:r w:rsidRPr="00563AD3">
              <w:rPr>
                <w:rFonts w:eastAsia="Times New Roman"/>
                <w:color w:val="000000"/>
                <w:sz w:val="20"/>
                <w:szCs w:val="20"/>
              </w:rPr>
              <w:t>Nominated consultee</w:t>
            </w:r>
          </w:p>
        </w:tc>
        <w:tc>
          <w:tcPr>
            <w:tcW w:w="1408" w:type="dxa"/>
            <w:tcBorders>
              <w:top w:val="nil"/>
              <w:left w:val="nil"/>
              <w:bottom w:val="single" w:sz="4" w:space="0" w:color="auto"/>
              <w:right w:val="single" w:sz="4" w:space="0" w:color="auto"/>
            </w:tcBorders>
            <w:shd w:val="clear" w:color="auto" w:fill="FFFFFF"/>
          </w:tcPr>
          <w:p w14:paraId="0745F9E7" w14:textId="77777777" w:rsidR="00E07CDE" w:rsidRPr="00563AD3" w:rsidRDefault="00E07CDE" w:rsidP="002D1FFB">
            <w:pPr>
              <w:keepNext/>
              <w:spacing w:before="67" w:after="67" w:line="240" w:lineRule="auto"/>
              <w:ind w:right="129"/>
              <w:jc w:val="right"/>
              <w:rPr>
                <w:rFonts w:eastAsia="Times New Roman"/>
                <w:color w:val="000000"/>
                <w:sz w:val="20"/>
                <w:szCs w:val="20"/>
              </w:rPr>
            </w:pPr>
            <w:r w:rsidRPr="00563AD3">
              <w:rPr>
                <w:rFonts w:eastAsia="Calibri"/>
                <w:color w:val="000000"/>
                <w:sz w:val="20"/>
                <w:szCs w:val="20"/>
                <w:lang w:eastAsia="en-US"/>
              </w:rPr>
              <w:t>318 (43.8%)</w:t>
            </w:r>
          </w:p>
        </w:tc>
        <w:tc>
          <w:tcPr>
            <w:tcW w:w="1502" w:type="dxa"/>
            <w:tcBorders>
              <w:top w:val="nil"/>
              <w:left w:val="single" w:sz="4" w:space="0" w:color="auto"/>
              <w:bottom w:val="single" w:sz="4" w:space="0" w:color="auto"/>
              <w:right w:val="nil"/>
            </w:tcBorders>
            <w:shd w:val="clear" w:color="auto" w:fill="FFFFFF"/>
            <w:tcMar>
              <w:left w:w="67" w:type="dxa"/>
              <w:right w:w="67" w:type="dxa"/>
            </w:tcMar>
          </w:tcPr>
          <w:p w14:paraId="2290BFBA" w14:textId="77777777" w:rsidR="00E07CDE" w:rsidRPr="00563AD3" w:rsidRDefault="00E07CDE" w:rsidP="002D1FFB">
            <w:pPr>
              <w:keepNext/>
              <w:spacing w:before="67" w:after="67" w:line="240" w:lineRule="auto"/>
              <w:jc w:val="right"/>
              <w:rPr>
                <w:rFonts w:eastAsia="Times New Roman"/>
                <w:color w:val="000000"/>
                <w:sz w:val="20"/>
                <w:szCs w:val="20"/>
              </w:rPr>
            </w:pPr>
            <w:r w:rsidRPr="00563AD3">
              <w:rPr>
                <w:rFonts w:eastAsia="Times New Roman"/>
                <w:color w:val="000000"/>
                <w:sz w:val="20"/>
                <w:szCs w:val="20"/>
              </w:rPr>
              <w:t>43 (43.4%)</w:t>
            </w:r>
          </w:p>
        </w:tc>
        <w:tc>
          <w:tcPr>
            <w:tcW w:w="1455" w:type="dxa"/>
            <w:tcBorders>
              <w:top w:val="nil"/>
              <w:left w:val="nil"/>
              <w:bottom w:val="single" w:sz="4" w:space="0" w:color="auto"/>
              <w:right w:val="nil"/>
            </w:tcBorders>
            <w:shd w:val="clear" w:color="auto" w:fill="FFFFFF"/>
            <w:tcMar>
              <w:left w:w="67" w:type="dxa"/>
              <w:right w:w="67" w:type="dxa"/>
            </w:tcMar>
          </w:tcPr>
          <w:p w14:paraId="26180DE0" w14:textId="77777777" w:rsidR="00E07CDE" w:rsidRPr="00563AD3" w:rsidRDefault="00E07CDE" w:rsidP="002D1FFB">
            <w:pPr>
              <w:keepNext/>
              <w:spacing w:before="67" w:after="67" w:line="240" w:lineRule="auto"/>
              <w:jc w:val="right"/>
              <w:rPr>
                <w:rFonts w:eastAsia="Times New Roman"/>
                <w:color w:val="000000"/>
                <w:sz w:val="20"/>
                <w:szCs w:val="20"/>
              </w:rPr>
            </w:pPr>
            <w:r w:rsidRPr="00563AD3">
              <w:rPr>
                <w:rFonts w:eastAsia="Times New Roman"/>
                <w:color w:val="000000"/>
                <w:sz w:val="20"/>
                <w:szCs w:val="20"/>
              </w:rPr>
              <w:t>87 (53.7%)</w:t>
            </w:r>
          </w:p>
        </w:tc>
        <w:tc>
          <w:tcPr>
            <w:tcW w:w="1455" w:type="dxa"/>
            <w:tcBorders>
              <w:top w:val="nil"/>
              <w:left w:val="nil"/>
              <w:bottom w:val="single" w:sz="4" w:space="0" w:color="auto"/>
              <w:right w:val="single" w:sz="4" w:space="0" w:color="auto"/>
            </w:tcBorders>
            <w:shd w:val="clear" w:color="auto" w:fill="FFFFFF"/>
            <w:tcMar>
              <w:left w:w="67" w:type="dxa"/>
              <w:right w:w="67" w:type="dxa"/>
            </w:tcMar>
          </w:tcPr>
          <w:p w14:paraId="03D912E9" w14:textId="77777777" w:rsidR="00E07CDE" w:rsidRPr="00563AD3" w:rsidRDefault="00E07CDE" w:rsidP="002D1FFB">
            <w:pPr>
              <w:keepNext/>
              <w:spacing w:before="67" w:after="67" w:line="240" w:lineRule="auto"/>
              <w:jc w:val="right"/>
              <w:rPr>
                <w:rFonts w:eastAsia="Times New Roman"/>
                <w:color w:val="000000"/>
                <w:sz w:val="20"/>
                <w:szCs w:val="20"/>
              </w:rPr>
            </w:pPr>
            <w:r w:rsidRPr="00563AD3">
              <w:rPr>
                <w:rFonts w:eastAsia="Times New Roman"/>
                <w:color w:val="000000"/>
                <w:sz w:val="20"/>
                <w:szCs w:val="20"/>
              </w:rPr>
              <w:t>130 (49.8%)</w:t>
            </w:r>
          </w:p>
        </w:tc>
      </w:tr>
    </w:tbl>
    <w:p w14:paraId="418E0A51" w14:textId="77777777" w:rsidR="00E07CDE" w:rsidRPr="00563AD3" w:rsidRDefault="00E07CDE" w:rsidP="009B13F3">
      <w:pPr>
        <w:autoSpaceDE/>
        <w:autoSpaceDN/>
        <w:adjustRightInd/>
        <w:spacing w:before="120" w:after="0"/>
        <w:rPr>
          <w:rFonts w:eastAsia="Calibri"/>
          <w:sz w:val="24"/>
          <w:szCs w:val="24"/>
          <w:lang w:eastAsia="en-US"/>
        </w:rPr>
      </w:pPr>
    </w:p>
    <w:p w14:paraId="012E89D7" w14:textId="77777777" w:rsidR="00E07CDE" w:rsidRPr="00563AD3" w:rsidRDefault="00E07CDE" w:rsidP="009B13F3">
      <w:pPr>
        <w:autoSpaceDE/>
        <w:autoSpaceDN/>
        <w:adjustRightInd/>
        <w:spacing w:before="120" w:after="0"/>
        <w:rPr>
          <w:rFonts w:eastAsia="Calibri"/>
          <w:sz w:val="24"/>
          <w:szCs w:val="24"/>
          <w:lang w:eastAsia="en-US"/>
        </w:rPr>
        <w:sectPr w:rsidR="00E07CDE" w:rsidRPr="00563AD3" w:rsidSect="00C163F3">
          <w:pgSz w:w="11906" w:h="16838"/>
          <w:pgMar w:top="1440" w:right="1440" w:bottom="1440" w:left="1440" w:header="708" w:footer="708" w:gutter="0"/>
          <w:cols w:space="708"/>
          <w:docGrid w:linePitch="360"/>
        </w:sectPr>
      </w:pPr>
    </w:p>
    <w:p w14:paraId="716AAA5C" w14:textId="77777777" w:rsidR="00E07CDE" w:rsidRPr="00563AD3" w:rsidRDefault="00E07CDE" w:rsidP="009B13F3">
      <w:pPr>
        <w:autoSpaceDE/>
        <w:autoSpaceDN/>
        <w:adjustRightInd/>
        <w:spacing w:before="120" w:after="0"/>
        <w:rPr>
          <w:rFonts w:eastAsia="Calibri"/>
          <w:sz w:val="24"/>
          <w:szCs w:val="24"/>
          <w:lang w:eastAsia="en-US"/>
        </w:rPr>
      </w:pPr>
    </w:p>
    <w:p w14:paraId="2416808A" w14:textId="77777777" w:rsidR="00E07CDE" w:rsidRPr="00563AD3" w:rsidRDefault="00E07CDE" w:rsidP="009B13F3">
      <w:pPr>
        <w:pStyle w:val="Heading3"/>
        <w:rPr>
          <w:rFonts w:eastAsia="Times New Roman"/>
          <w:lang w:eastAsia="en-US"/>
        </w:rPr>
      </w:pPr>
      <w:bookmarkStart w:id="260" w:name="_Toc500934956"/>
      <w:bookmarkStart w:id="261" w:name="_Toc525544065"/>
      <w:r w:rsidRPr="00563AD3">
        <w:rPr>
          <w:rFonts w:eastAsia="Times New Roman"/>
          <w:lang w:eastAsia="en-US"/>
        </w:rPr>
        <w:t>Staff</w:t>
      </w:r>
      <w:bookmarkEnd w:id="260"/>
      <w:r w:rsidRPr="00563AD3">
        <w:rPr>
          <w:rFonts w:eastAsia="Times New Roman"/>
          <w:lang w:eastAsia="en-US"/>
        </w:rPr>
        <w:t xml:space="preserve"> and relative/ friend</w:t>
      </w:r>
      <w:bookmarkEnd w:id="261"/>
    </w:p>
    <w:p w14:paraId="0E4DE98E" w14:textId="439A1E6A" w:rsidR="00E07CDE" w:rsidRPr="00563AD3" w:rsidRDefault="00E07CDE" w:rsidP="002D1FFB">
      <w:pPr>
        <w:pStyle w:val="Tableheading"/>
        <w:rPr>
          <w:rFonts w:eastAsia="Calibri"/>
          <w:lang w:eastAsia="en-US"/>
        </w:rPr>
      </w:pPr>
      <w:bookmarkStart w:id="262" w:name="_Ref500404027"/>
      <w:bookmarkStart w:id="263" w:name="_Toc500935009"/>
      <w:bookmarkStart w:id="264" w:name="_Toc948228"/>
      <w:r w:rsidRPr="00563AD3">
        <w:rPr>
          <w:rFonts w:eastAsia="Calibri"/>
          <w:lang w:eastAsia="en-US"/>
        </w:rPr>
        <w:t xml:space="preserve">Table </w:t>
      </w:r>
      <w:bookmarkEnd w:id="262"/>
      <w:r w:rsidR="00F9110A">
        <w:rPr>
          <w:rFonts w:eastAsia="Calibri"/>
          <w:lang w:eastAsia="en-US"/>
        </w:rPr>
        <w:t>31</w:t>
      </w:r>
      <w:r w:rsidR="00F9110A" w:rsidRPr="00563AD3">
        <w:rPr>
          <w:rFonts w:eastAsia="Calibri"/>
          <w:lang w:eastAsia="en-US"/>
        </w:rPr>
        <w:t xml:space="preserve"> </w:t>
      </w:r>
      <w:r w:rsidRPr="00563AD3">
        <w:rPr>
          <w:rFonts w:eastAsia="Calibri"/>
          <w:lang w:eastAsia="en-US"/>
        </w:rPr>
        <w:t>Staff measures – SCIDS (total number of staff that completed at least one SCIDS item)</w:t>
      </w:r>
      <w:bookmarkEnd w:id="263"/>
      <w:bookmarkEnd w:id="264"/>
    </w:p>
    <w:tbl>
      <w:tblPr>
        <w:tblW w:w="5000" w:type="pct"/>
        <w:jc w:val="center"/>
        <w:tblCellMar>
          <w:left w:w="0" w:type="dxa"/>
          <w:right w:w="0" w:type="dxa"/>
        </w:tblCellMar>
        <w:tblLook w:val="0000" w:firstRow="0" w:lastRow="0" w:firstColumn="0" w:lastColumn="0" w:noHBand="0" w:noVBand="0"/>
      </w:tblPr>
      <w:tblGrid>
        <w:gridCol w:w="1985"/>
        <w:gridCol w:w="1147"/>
        <w:gridCol w:w="181"/>
        <w:gridCol w:w="1328"/>
        <w:gridCol w:w="184"/>
        <w:gridCol w:w="1149"/>
        <w:gridCol w:w="1147"/>
        <w:gridCol w:w="181"/>
        <w:gridCol w:w="1328"/>
        <w:gridCol w:w="184"/>
        <w:gridCol w:w="1147"/>
        <w:gridCol w:w="1149"/>
        <w:gridCol w:w="179"/>
        <w:gridCol w:w="1328"/>
        <w:gridCol w:w="187"/>
        <w:gridCol w:w="1144"/>
      </w:tblGrid>
      <w:tr w:rsidR="00E07CDE" w:rsidRPr="002D1FFB" w14:paraId="1721B925" w14:textId="77777777" w:rsidTr="00C163F3">
        <w:trPr>
          <w:cantSplit/>
          <w:tblHeader/>
          <w:jc w:val="center"/>
        </w:trPr>
        <w:tc>
          <w:tcPr>
            <w:tcW w:w="712" w:type="pct"/>
            <w:tcBorders>
              <w:top w:val="single" w:sz="4" w:space="0" w:color="auto"/>
              <w:left w:val="single" w:sz="4" w:space="0" w:color="auto"/>
              <w:bottom w:val="nil"/>
              <w:right w:val="nil"/>
            </w:tcBorders>
            <w:shd w:val="clear" w:color="auto" w:fill="FFFFFF"/>
            <w:tcMar>
              <w:left w:w="67" w:type="dxa"/>
              <w:right w:w="67" w:type="dxa"/>
            </w:tcMar>
            <w:vAlign w:val="bottom"/>
          </w:tcPr>
          <w:p w14:paraId="5E05A1A2" w14:textId="77777777" w:rsidR="00E07CDE" w:rsidRPr="002D1FFB" w:rsidRDefault="00E07CDE" w:rsidP="002D1FFB">
            <w:pPr>
              <w:keepNext/>
              <w:spacing w:before="67" w:after="67" w:line="240" w:lineRule="auto"/>
              <w:jc w:val="center"/>
              <w:rPr>
                <w:rFonts w:eastAsia="Times New Roman"/>
                <w:b/>
                <w:bCs/>
                <w:color w:val="000000"/>
                <w:sz w:val="18"/>
                <w:szCs w:val="18"/>
              </w:rPr>
            </w:pPr>
          </w:p>
        </w:tc>
        <w:tc>
          <w:tcPr>
            <w:tcW w:w="4288" w:type="pct"/>
            <w:gridSpan w:val="15"/>
            <w:tcBorders>
              <w:top w:val="single" w:sz="4" w:space="0" w:color="auto"/>
              <w:left w:val="nil"/>
              <w:bottom w:val="nil"/>
              <w:right w:val="single" w:sz="4" w:space="0" w:color="auto"/>
            </w:tcBorders>
            <w:shd w:val="clear" w:color="auto" w:fill="FFFFFF"/>
            <w:tcMar>
              <w:left w:w="67" w:type="dxa"/>
              <w:right w:w="67" w:type="dxa"/>
            </w:tcMar>
            <w:vAlign w:val="bottom"/>
          </w:tcPr>
          <w:p w14:paraId="1916B4C5" w14:textId="77777777" w:rsidR="00E07CDE" w:rsidRPr="002D1FFB" w:rsidRDefault="00E07CDE" w:rsidP="002D1FFB">
            <w:pPr>
              <w:keepNext/>
              <w:spacing w:before="67" w:after="67" w:line="240" w:lineRule="auto"/>
              <w:jc w:val="center"/>
              <w:rPr>
                <w:rFonts w:eastAsia="Times New Roman"/>
                <w:b/>
                <w:bCs/>
                <w:color w:val="000000"/>
                <w:sz w:val="18"/>
                <w:szCs w:val="18"/>
              </w:rPr>
            </w:pPr>
            <w:r w:rsidRPr="002D1FFB">
              <w:rPr>
                <w:rFonts w:eastAsia="Times New Roman"/>
                <w:b/>
                <w:bCs/>
                <w:color w:val="000000"/>
                <w:sz w:val="18"/>
                <w:szCs w:val="18"/>
              </w:rPr>
              <w:t>SCIDS summaries</w:t>
            </w:r>
          </w:p>
        </w:tc>
      </w:tr>
      <w:tr w:rsidR="00E07CDE" w:rsidRPr="002D1FFB" w14:paraId="0D146E1B" w14:textId="77777777" w:rsidTr="00C163F3">
        <w:trPr>
          <w:cantSplit/>
          <w:tblHeader/>
          <w:jc w:val="center"/>
        </w:trPr>
        <w:tc>
          <w:tcPr>
            <w:tcW w:w="712" w:type="pct"/>
            <w:tcBorders>
              <w:top w:val="nil"/>
              <w:left w:val="single" w:sz="4" w:space="0" w:color="auto"/>
              <w:bottom w:val="nil"/>
              <w:right w:val="nil"/>
            </w:tcBorders>
            <w:shd w:val="clear" w:color="auto" w:fill="FFFFFF"/>
            <w:tcMar>
              <w:left w:w="67" w:type="dxa"/>
              <w:right w:w="67" w:type="dxa"/>
            </w:tcMar>
            <w:vAlign w:val="bottom"/>
          </w:tcPr>
          <w:p w14:paraId="03C8702D" w14:textId="77777777" w:rsidR="00E07CDE" w:rsidRPr="002D1FFB" w:rsidRDefault="00E07CDE" w:rsidP="002D1FFB">
            <w:pPr>
              <w:keepNext/>
              <w:spacing w:before="67" w:after="67" w:line="240" w:lineRule="auto"/>
              <w:jc w:val="center"/>
              <w:rPr>
                <w:rFonts w:eastAsia="Times New Roman"/>
                <w:b/>
                <w:bCs/>
                <w:color w:val="000000"/>
                <w:sz w:val="18"/>
                <w:szCs w:val="18"/>
              </w:rPr>
            </w:pPr>
          </w:p>
        </w:tc>
        <w:tc>
          <w:tcPr>
            <w:tcW w:w="1430" w:type="pct"/>
            <w:gridSpan w:val="5"/>
            <w:tcBorders>
              <w:top w:val="nil"/>
              <w:left w:val="nil"/>
              <w:bottom w:val="nil"/>
              <w:right w:val="nil"/>
            </w:tcBorders>
            <w:shd w:val="clear" w:color="auto" w:fill="FFFFFF"/>
            <w:tcMar>
              <w:left w:w="67" w:type="dxa"/>
              <w:right w:w="67" w:type="dxa"/>
            </w:tcMar>
            <w:vAlign w:val="bottom"/>
          </w:tcPr>
          <w:p w14:paraId="3B841683" w14:textId="77777777" w:rsidR="00E07CDE" w:rsidRPr="002D1FFB" w:rsidRDefault="00E07CDE" w:rsidP="002D1FFB">
            <w:pPr>
              <w:keepNext/>
              <w:spacing w:before="67" w:after="67" w:line="240" w:lineRule="auto"/>
              <w:jc w:val="center"/>
              <w:rPr>
                <w:rFonts w:eastAsia="Times New Roman"/>
                <w:b/>
                <w:bCs/>
                <w:color w:val="000000"/>
                <w:sz w:val="18"/>
                <w:szCs w:val="18"/>
              </w:rPr>
            </w:pPr>
            <w:r w:rsidRPr="002D1FFB">
              <w:rPr>
                <w:rFonts w:eastAsia="Times New Roman"/>
                <w:b/>
                <w:bCs/>
                <w:color w:val="000000"/>
                <w:sz w:val="18"/>
                <w:szCs w:val="18"/>
              </w:rPr>
              <w:t>Baseline</w:t>
            </w:r>
          </w:p>
        </w:tc>
        <w:tc>
          <w:tcPr>
            <w:tcW w:w="1429" w:type="pct"/>
            <w:gridSpan w:val="5"/>
            <w:tcBorders>
              <w:top w:val="nil"/>
              <w:left w:val="nil"/>
              <w:bottom w:val="nil"/>
              <w:right w:val="nil"/>
            </w:tcBorders>
            <w:shd w:val="clear" w:color="auto" w:fill="FFFFFF"/>
            <w:tcMar>
              <w:left w:w="67" w:type="dxa"/>
              <w:right w:w="67" w:type="dxa"/>
            </w:tcMar>
            <w:vAlign w:val="bottom"/>
          </w:tcPr>
          <w:p w14:paraId="556060DA" w14:textId="1F72D3F1" w:rsidR="00E07CDE" w:rsidRPr="002D1FFB" w:rsidRDefault="00921620" w:rsidP="002D1FFB">
            <w:pPr>
              <w:keepNext/>
              <w:spacing w:before="67" w:after="67" w:line="240" w:lineRule="auto"/>
              <w:jc w:val="center"/>
              <w:rPr>
                <w:rFonts w:eastAsia="Times New Roman"/>
                <w:b/>
                <w:bCs/>
                <w:color w:val="000000"/>
                <w:sz w:val="18"/>
                <w:szCs w:val="18"/>
              </w:rPr>
            </w:pPr>
            <w:r w:rsidRPr="002D1FFB">
              <w:rPr>
                <w:rFonts w:eastAsia="Times New Roman"/>
                <w:b/>
                <w:bCs/>
                <w:color w:val="000000"/>
                <w:sz w:val="18"/>
                <w:szCs w:val="18"/>
              </w:rPr>
              <w:t>6-</w:t>
            </w:r>
            <w:r w:rsidR="00E07CDE" w:rsidRPr="002D1FFB">
              <w:rPr>
                <w:rFonts w:eastAsia="Times New Roman"/>
                <w:b/>
                <w:bCs/>
                <w:color w:val="000000"/>
                <w:sz w:val="18"/>
                <w:szCs w:val="18"/>
              </w:rPr>
              <w:t>months</w:t>
            </w:r>
          </w:p>
        </w:tc>
        <w:tc>
          <w:tcPr>
            <w:tcW w:w="1429" w:type="pct"/>
            <w:gridSpan w:val="5"/>
            <w:tcBorders>
              <w:top w:val="nil"/>
              <w:left w:val="nil"/>
              <w:bottom w:val="nil"/>
              <w:right w:val="single" w:sz="4" w:space="0" w:color="auto"/>
            </w:tcBorders>
            <w:shd w:val="clear" w:color="auto" w:fill="FFFFFF"/>
            <w:tcMar>
              <w:left w:w="67" w:type="dxa"/>
              <w:right w:w="67" w:type="dxa"/>
            </w:tcMar>
            <w:vAlign w:val="bottom"/>
          </w:tcPr>
          <w:p w14:paraId="6D706D0D" w14:textId="56F579D0" w:rsidR="00E07CDE" w:rsidRPr="002D1FFB" w:rsidRDefault="00921620" w:rsidP="002D1FFB">
            <w:pPr>
              <w:keepNext/>
              <w:spacing w:before="67" w:after="67" w:line="240" w:lineRule="auto"/>
              <w:jc w:val="center"/>
              <w:rPr>
                <w:rFonts w:eastAsia="Times New Roman"/>
                <w:b/>
                <w:bCs/>
                <w:color w:val="000000"/>
                <w:sz w:val="18"/>
                <w:szCs w:val="18"/>
              </w:rPr>
            </w:pPr>
            <w:r w:rsidRPr="002D1FFB">
              <w:rPr>
                <w:rFonts w:eastAsia="Times New Roman"/>
                <w:b/>
                <w:bCs/>
                <w:color w:val="000000"/>
                <w:sz w:val="18"/>
                <w:szCs w:val="18"/>
              </w:rPr>
              <w:t>16-</w:t>
            </w:r>
            <w:r w:rsidR="00E07CDE" w:rsidRPr="002D1FFB">
              <w:rPr>
                <w:rFonts w:eastAsia="Times New Roman"/>
                <w:b/>
                <w:bCs/>
                <w:color w:val="000000"/>
                <w:sz w:val="18"/>
                <w:szCs w:val="18"/>
              </w:rPr>
              <w:t>months</w:t>
            </w:r>
          </w:p>
        </w:tc>
      </w:tr>
      <w:tr w:rsidR="00E07CDE" w:rsidRPr="002D1FFB" w14:paraId="5748ED22" w14:textId="77777777" w:rsidTr="00C163F3">
        <w:trPr>
          <w:cantSplit/>
          <w:tblHeader/>
          <w:jc w:val="center"/>
        </w:trPr>
        <w:tc>
          <w:tcPr>
            <w:tcW w:w="712" w:type="pct"/>
            <w:tcBorders>
              <w:top w:val="nil"/>
              <w:left w:val="single" w:sz="4" w:space="0" w:color="auto"/>
              <w:bottom w:val="single" w:sz="4" w:space="0" w:color="000000"/>
              <w:right w:val="nil"/>
            </w:tcBorders>
            <w:shd w:val="clear" w:color="auto" w:fill="FFFFFF"/>
            <w:tcMar>
              <w:left w:w="67" w:type="dxa"/>
              <w:right w:w="67" w:type="dxa"/>
            </w:tcMar>
            <w:vAlign w:val="bottom"/>
          </w:tcPr>
          <w:p w14:paraId="63D0C850" w14:textId="77777777" w:rsidR="00E07CDE" w:rsidRPr="002D1FFB" w:rsidRDefault="00E07CDE" w:rsidP="002D1FFB">
            <w:pPr>
              <w:keepNext/>
              <w:spacing w:before="67" w:after="67" w:line="240" w:lineRule="auto"/>
              <w:rPr>
                <w:rFonts w:eastAsia="Times New Roman"/>
                <w:b/>
                <w:bCs/>
                <w:color w:val="000000"/>
                <w:sz w:val="18"/>
                <w:szCs w:val="18"/>
              </w:rPr>
            </w:pPr>
            <w:r w:rsidRPr="002D1FFB">
              <w:rPr>
                <w:rFonts w:eastAsia="Times New Roman"/>
                <w:b/>
                <w:bCs/>
                <w:color w:val="000000"/>
                <w:sz w:val="18"/>
                <w:szCs w:val="18"/>
              </w:rPr>
              <w:t>Mean (SD) missing</w:t>
            </w:r>
          </w:p>
        </w:tc>
        <w:tc>
          <w:tcPr>
            <w:tcW w:w="476" w:type="pct"/>
            <w:gridSpan w:val="2"/>
            <w:tcBorders>
              <w:top w:val="nil"/>
              <w:left w:val="nil"/>
              <w:bottom w:val="single" w:sz="4" w:space="0" w:color="000000"/>
              <w:right w:val="nil"/>
            </w:tcBorders>
            <w:shd w:val="clear" w:color="auto" w:fill="FFFFFF"/>
            <w:tcMar>
              <w:left w:w="67" w:type="dxa"/>
              <w:right w:w="67" w:type="dxa"/>
            </w:tcMar>
            <w:vAlign w:val="bottom"/>
          </w:tcPr>
          <w:p w14:paraId="5BA1A257" w14:textId="77777777" w:rsidR="00E07CDE" w:rsidRPr="002D1FFB" w:rsidRDefault="00E07CDE" w:rsidP="002D1FFB">
            <w:pPr>
              <w:keepNext/>
              <w:spacing w:before="67" w:after="67" w:line="240" w:lineRule="auto"/>
              <w:jc w:val="right"/>
              <w:rPr>
                <w:rFonts w:eastAsia="Times New Roman"/>
                <w:b/>
                <w:bCs/>
                <w:color w:val="000000"/>
                <w:sz w:val="18"/>
                <w:szCs w:val="18"/>
              </w:rPr>
            </w:pPr>
            <w:r w:rsidRPr="002D1FFB">
              <w:rPr>
                <w:rFonts w:eastAsia="Times New Roman"/>
                <w:b/>
                <w:bCs/>
                <w:color w:val="000000"/>
                <w:sz w:val="18"/>
                <w:szCs w:val="18"/>
              </w:rPr>
              <w:t>Control</w:t>
            </w:r>
            <w:r w:rsidRPr="002D1FFB">
              <w:rPr>
                <w:rFonts w:eastAsia="Times New Roman"/>
                <w:b/>
                <w:bCs/>
                <w:color w:val="000000"/>
                <w:sz w:val="18"/>
                <w:szCs w:val="18"/>
              </w:rPr>
              <w:br/>
              <w:t>(n = 86)</w:t>
            </w:r>
          </w:p>
        </w:tc>
        <w:tc>
          <w:tcPr>
            <w:tcW w:w="476" w:type="pct"/>
            <w:tcBorders>
              <w:top w:val="nil"/>
              <w:left w:val="nil"/>
              <w:bottom w:val="single" w:sz="4" w:space="0" w:color="000000"/>
              <w:right w:val="nil"/>
            </w:tcBorders>
            <w:shd w:val="clear" w:color="auto" w:fill="FFFFFF"/>
            <w:tcMar>
              <w:left w:w="67" w:type="dxa"/>
              <w:right w:w="67" w:type="dxa"/>
            </w:tcMar>
            <w:vAlign w:val="bottom"/>
          </w:tcPr>
          <w:p w14:paraId="62DDD86B" w14:textId="77777777" w:rsidR="00E07CDE" w:rsidRPr="002D1FFB" w:rsidRDefault="00E07CDE" w:rsidP="002D1FFB">
            <w:pPr>
              <w:keepNext/>
              <w:spacing w:before="67" w:after="67" w:line="240" w:lineRule="auto"/>
              <w:jc w:val="right"/>
              <w:rPr>
                <w:rFonts w:eastAsia="Times New Roman"/>
                <w:b/>
                <w:bCs/>
                <w:color w:val="000000"/>
                <w:sz w:val="18"/>
                <w:szCs w:val="18"/>
              </w:rPr>
            </w:pPr>
            <w:r w:rsidRPr="002D1FFB">
              <w:rPr>
                <w:rFonts w:eastAsia="Times New Roman"/>
                <w:b/>
                <w:bCs/>
                <w:color w:val="000000"/>
                <w:sz w:val="18"/>
                <w:szCs w:val="18"/>
              </w:rPr>
              <w:t>Intervention</w:t>
            </w:r>
            <w:r w:rsidRPr="002D1FFB">
              <w:rPr>
                <w:rFonts w:eastAsia="Times New Roman"/>
                <w:b/>
                <w:bCs/>
                <w:color w:val="000000"/>
                <w:sz w:val="18"/>
                <w:szCs w:val="18"/>
              </w:rPr>
              <w:br/>
              <w:t>(n = 260)</w:t>
            </w:r>
          </w:p>
        </w:tc>
        <w:tc>
          <w:tcPr>
            <w:tcW w:w="476" w:type="pct"/>
            <w:gridSpan w:val="2"/>
            <w:tcBorders>
              <w:top w:val="nil"/>
              <w:left w:val="nil"/>
              <w:bottom w:val="single" w:sz="4" w:space="0" w:color="000000"/>
              <w:right w:val="nil"/>
            </w:tcBorders>
            <w:shd w:val="clear" w:color="auto" w:fill="FFFFFF"/>
            <w:tcMar>
              <w:left w:w="67" w:type="dxa"/>
              <w:right w:w="67" w:type="dxa"/>
            </w:tcMar>
            <w:vAlign w:val="bottom"/>
          </w:tcPr>
          <w:p w14:paraId="73C46187" w14:textId="77777777" w:rsidR="00E07CDE" w:rsidRPr="002D1FFB" w:rsidRDefault="00E07CDE" w:rsidP="002D1FFB">
            <w:pPr>
              <w:keepNext/>
              <w:spacing w:before="67" w:after="67" w:line="240" w:lineRule="auto"/>
              <w:jc w:val="right"/>
              <w:rPr>
                <w:rFonts w:eastAsia="Times New Roman"/>
                <w:b/>
                <w:bCs/>
                <w:color w:val="000000"/>
                <w:sz w:val="18"/>
                <w:szCs w:val="18"/>
              </w:rPr>
            </w:pPr>
            <w:r w:rsidRPr="002D1FFB">
              <w:rPr>
                <w:rFonts w:eastAsia="Times New Roman"/>
                <w:b/>
                <w:bCs/>
                <w:color w:val="000000"/>
                <w:sz w:val="18"/>
                <w:szCs w:val="18"/>
              </w:rPr>
              <w:t>Total</w:t>
            </w:r>
            <w:r w:rsidRPr="002D1FFB">
              <w:rPr>
                <w:rFonts w:eastAsia="Times New Roman"/>
                <w:b/>
                <w:bCs/>
                <w:color w:val="000000"/>
                <w:sz w:val="18"/>
                <w:szCs w:val="18"/>
              </w:rPr>
              <w:br/>
              <w:t>(n = 346)</w:t>
            </w:r>
          </w:p>
        </w:tc>
        <w:tc>
          <w:tcPr>
            <w:tcW w:w="476" w:type="pct"/>
            <w:gridSpan w:val="2"/>
            <w:tcBorders>
              <w:top w:val="nil"/>
              <w:left w:val="nil"/>
              <w:bottom w:val="single" w:sz="4" w:space="0" w:color="000000"/>
              <w:right w:val="nil"/>
            </w:tcBorders>
            <w:shd w:val="clear" w:color="auto" w:fill="FFFFFF"/>
            <w:tcMar>
              <w:left w:w="67" w:type="dxa"/>
              <w:right w:w="67" w:type="dxa"/>
            </w:tcMar>
            <w:vAlign w:val="bottom"/>
          </w:tcPr>
          <w:p w14:paraId="4FDE5E05" w14:textId="77777777" w:rsidR="00E07CDE" w:rsidRPr="002D1FFB" w:rsidRDefault="00E07CDE" w:rsidP="002D1FFB">
            <w:pPr>
              <w:keepNext/>
              <w:spacing w:before="67" w:after="67" w:line="240" w:lineRule="auto"/>
              <w:jc w:val="right"/>
              <w:rPr>
                <w:rFonts w:eastAsia="Times New Roman"/>
                <w:b/>
                <w:bCs/>
                <w:color w:val="000000"/>
                <w:sz w:val="18"/>
                <w:szCs w:val="18"/>
              </w:rPr>
            </w:pPr>
            <w:r w:rsidRPr="002D1FFB">
              <w:rPr>
                <w:rFonts w:eastAsia="Times New Roman"/>
                <w:b/>
                <w:bCs/>
                <w:color w:val="000000"/>
                <w:sz w:val="18"/>
                <w:szCs w:val="18"/>
              </w:rPr>
              <w:t>Control</w:t>
            </w:r>
            <w:r w:rsidRPr="002D1FFB">
              <w:rPr>
                <w:rFonts w:eastAsia="Times New Roman"/>
                <w:b/>
                <w:bCs/>
                <w:color w:val="000000"/>
                <w:sz w:val="18"/>
                <w:szCs w:val="18"/>
              </w:rPr>
              <w:br/>
              <w:t>(n = 84)</w:t>
            </w:r>
          </w:p>
        </w:tc>
        <w:tc>
          <w:tcPr>
            <w:tcW w:w="476" w:type="pct"/>
            <w:tcBorders>
              <w:top w:val="nil"/>
              <w:left w:val="nil"/>
              <w:bottom w:val="single" w:sz="4" w:space="0" w:color="000000"/>
              <w:right w:val="nil"/>
            </w:tcBorders>
            <w:shd w:val="clear" w:color="auto" w:fill="FFFFFF"/>
            <w:tcMar>
              <w:left w:w="67" w:type="dxa"/>
              <w:right w:w="67" w:type="dxa"/>
            </w:tcMar>
            <w:vAlign w:val="bottom"/>
          </w:tcPr>
          <w:p w14:paraId="20C9C7E6" w14:textId="77777777" w:rsidR="00E07CDE" w:rsidRPr="002D1FFB" w:rsidRDefault="00E07CDE" w:rsidP="002D1FFB">
            <w:pPr>
              <w:keepNext/>
              <w:spacing w:before="67" w:after="67" w:line="240" w:lineRule="auto"/>
              <w:jc w:val="right"/>
              <w:rPr>
                <w:rFonts w:eastAsia="Times New Roman"/>
                <w:b/>
                <w:bCs/>
                <w:color w:val="000000"/>
                <w:sz w:val="18"/>
                <w:szCs w:val="18"/>
              </w:rPr>
            </w:pPr>
            <w:r w:rsidRPr="002D1FFB">
              <w:rPr>
                <w:rFonts w:eastAsia="Times New Roman"/>
                <w:b/>
                <w:bCs/>
                <w:color w:val="000000"/>
                <w:sz w:val="18"/>
                <w:szCs w:val="18"/>
              </w:rPr>
              <w:t>Intervention</w:t>
            </w:r>
            <w:r w:rsidRPr="002D1FFB">
              <w:rPr>
                <w:rFonts w:eastAsia="Times New Roman"/>
                <w:b/>
                <w:bCs/>
                <w:color w:val="000000"/>
                <w:sz w:val="18"/>
                <w:szCs w:val="18"/>
              </w:rPr>
              <w:br/>
              <w:t>(n = 112)</w:t>
            </w:r>
          </w:p>
        </w:tc>
        <w:tc>
          <w:tcPr>
            <w:tcW w:w="476" w:type="pct"/>
            <w:gridSpan w:val="2"/>
            <w:tcBorders>
              <w:top w:val="nil"/>
              <w:left w:val="nil"/>
              <w:bottom w:val="single" w:sz="4" w:space="0" w:color="000000"/>
              <w:right w:val="nil"/>
            </w:tcBorders>
            <w:shd w:val="clear" w:color="auto" w:fill="FFFFFF"/>
            <w:tcMar>
              <w:left w:w="67" w:type="dxa"/>
              <w:right w:w="67" w:type="dxa"/>
            </w:tcMar>
            <w:vAlign w:val="bottom"/>
          </w:tcPr>
          <w:p w14:paraId="78069379" w14:textId="77777777" w:rsidR="00E07CDE" w:rsidRPr="002D1FFB" w:rsidRDefault="00E07CDE" w:rsidP="002D1FFB">
            <w:pPr>
              <w:keepNext/>
              <w:spacing w:before="67" w:after="67" w:line="240" w:lineRule="auto"/>
              <w:jc w:val="right"/>
              <w:rPr>
                <w:rFonts w:eastAsia="Times New Roman"/>
                <w:b/>
                <w:bCs/>
                <w:color w:val="000000"/>
                <w:sz w:val="18"/>
                <w:szCs w:val="18"/>
              </w:rPr>
            </w:pPr>
            <w:r w:rsidRPr="002D1FFB">
              <w:rPr>
                <w:rFonts w:eastAsia="Times New Roman"/>
                <w:b/>
                <w:bCs/>
                <w:color w:val="000000"/>
                <w:sz w:val="18"/>
                <w:szCs w:val="18"/>
              </w:rPr>
              <w:t>Total</w:t>
            </w:r>
            <w:r w:rsidRPr="002D1FFB">
              <w:rPr>
                <w:rFonts w:eastAsia="Times New Roman"/>
                <w:b/>
                <w:bCs/>
                <w:color w:val="000000"/>
                <w:sz w:val="18"/>
                <w:szCs w:val="18"/>
              </w:rPr>
              <w:br/>
              <w:t>(n = 196)</w:t>
            </w:r>
          </w:p>
        </w:tc>
        <w:tc>
          <w:tcPr>
            <w:tcW w:w="476" w:type="pct"/>
            <w:gridSpan w:val="2"/>
            <w:tcBorders>
              <w:top w:val="nil"/>
              <w:left w:val="nil"/>
              <w:bottom w:val="single" w:sz="4" w:space="0" w:color="000000"/>
              <w:right w:val="nil"/>
            </w:tcBorders>
            <w:shd w:val="clear" w:color="auto" w:fill="FFFFFF"/>
            <w:tcMar>
              <w:left w:w="67" w:type="dxa"/>
              <w:right w:w="67" w:type="dxa"/>
            </w:tcMar>
            <w:vAlign w:val="bottom"/>
          </w:tcPr>
          <w:p w14:paraId="2F548FC1" w14:textId="77777777" w:rsidR="00E07CDE" w:rsidRPr="002D1FFB" w:rsidRDefault="00E07CDE" w:rsidP="002D1FFB">
            <w:pPr>
              <w:keepNext/>
              <w:spacing w:before="67" w:after="67" w:line="240" w:lineRule="auto"/>
              <w:jc w:val="right"/>
              <w:rPr>
                <w:rFonts w:eastAsia="Times New Roman"/>
                <w:b/>
                <w:bCs/>
                <w:color w:val="000000"/>
                <w:sz w:val="18"/>
                <w:szCs w:val="18"/>
              </w:rPr>
            </w:pPr>
            <w:r w:rsidRPr="002D1FFB">
              <w:rPr>
                <w:rFonts w:eastAsia="Times New Roman"/>
                <w:b/>
                <w:bCs/>
                <w:color w:val="000000"/>
                <w:sz w:val="18"/>
                <w:szCs w:val="18"/>
              </w:rPr>
              <w:t>Control</w:t>
            </w:r>
            <w:r w:rsidRPr="002D1FFB">
              <w:rPr>
                <w:rFonts w:eastAsia="Times New Roman"/>
                <w:b/>
                <w:bCs/>
                <w:color w:val="000000"/>
                <w:sz w:val="18"/>
                <w:szCs w:val="18"/>
              </w:rPr>
              <w:br/>
              <w:t>(n = 50)</w:t>
            </w:r>
          </w:p>
        </w:tc>
        <w:tc>
          <w:tcPr>
            <w:tcW w:w="476" w:type="pct"/>
            <w:tcBorders>
              <w:top w:val="nil"/>
              <w:left w:val="nil"/>
              <w:bottom w:val="single" w:sz="4" w:space="0" w:color="000000"/>
              <w:right w:val="nil"/>
            </w:tcBorders>
            <w:shd w:val="clear" w:color="auto" w:fill="FFFFFF"/>
            <w:tcMar>
              <w:left w:w="67" w:type="dxa"/>
              <w:right w:w="67" w:type="dxa"/>
            </w:tcMar>
            <w:vAlign w:val="bottom"/>
          </w:tcPr>
          <w:p w14:paraId="5A1BB042" w14:textId="77777777" w:rsidR="00E07CDE" w:rsidRPr="002D1FFB" w:rsidRDefault="00E07CDE" w:rsidP="002D1FFB">
            <w:pPr>
              <w:keepNext/>
              <w:spacing w:before="67" w:after="67" w:line="240" w:lineRule="auto"/>
              <w:jc w:val="right"/>
              <w:rPr>
                <w:rFonts w:eastAsia="Times New Roman"/>
                <w:b/>
                <w:bCs/>
                <w:color w:val="000000"/>
                <w:sz w:val="18"/>
                <w:szCs w:val="18"/>
              </w:rPr>
            </w:pPr>
            <w:r w:rsidRPr="002D1FFB">
              <w:rPr>
                <w:rFonts w:eastAsia="Times New Roman"/>
                <w:b/>
                <w:bCs/>
                <w:color w:val="000000"/>
                <w:sz w:val="18"/>
                <w:szCs w:val="18"/>
              </w:rPr>
              <w:t>Intervention</w:t>
            </w:r>
            <w:r w:rsidRPr="002D1FFB">
              <w:rPr>
                <w:rFonts w:eastAsia="Times New Roman"/>
                <w:b/>
                <w:bCs/>
                <w:color w:val="000000"/>
                <w:sz w:val="18"/>
                <w:szCs w:val="18"/>
              </w:rPr>
              <w:br/>
              <w:t>(n = 132)</w:t>
            </w:r>
          </w:p>
        </w:tc>
        <w:tc>
          <w:tcPr>
            <w:tcW w:w="477" w:type="pct"/>
            <w:gridSpan w:val="2"/>
            <w:tcBorders>
              <w:top w:val="nil"/>
              <w:left w:val="nil"/>
              <w:bottom w:val="single" w:sz="4" w:space="0" w:color="000000"/>
              <w:right w:val="single" w:sz="4" w:space="0" w:color="auto"/>
            </w:tcBorders>
            <w:shd w:val="clear" w:color="auto" w:fill="FFFFFF"/>
            <w:tcMar>
              <w:left w:w="67" w:type="dxa"/>
              <w:right w:w="67" w:type="dxa"/>
            </w:tcMar>
            <w:vAlign w:val="bottom"/>
          </w:tcPr>
          <w:p w14:paraId="7345C950" w14:textId="77777777" w:rsidR="00E07CDE" w:rsidRPr="002D1FFB" w:rsidRDefault="00E07CDE" w:rsidP="002D1FFB">
            <w:pPr>
              <w:keepNext/>
              <w:spacing w:before="67" w:after="67" w:line="240" w:lineRule="auto"/>
              <w:jc w:val="right"/>
              <w:rPr>
                <w:rFonts w:eastAsia="Times New Roman"/>
                <w:b/>
                <w:bCs/>
                <w:color w:val="000000"/>
                <w:sz w:val="18"/>
                <w:szCs w:val="18"/>
              </w:rPr>
            </w:pPr>
            <w:r w:rsidRPr="002D1FFB">
              <w:rPr>
                <w:rFonts w:eastAsia="Times New Roman"/>
                <w:b/>
                <w:bCs/>
                <w:color w:val="000000"/>
                <w:sz w:val="18"/>
                <w:szCs w:val="18"/>
              </w:rPr>
              <w:t>Total</w:t>
            </w:r>
            <w:r w:rsidRPr="002D1FFB">
              <w:rPr>
                <w:rFonts w:eastAsia="Times New Roman"/>
                <w:b/>
                <w:bCs/>
                <w:color w:val="000000"/>
                <w:sz w:val="18"/>
                <w:szCs w:val="18"/>
              </w:rPr>
              <w:br/>
              <w:t>(n = 182)</w:t>
            </w:r>
          </w:p>
        </w:tc>
      </w:tr>
      <w:tr w:rsidR="00E07CDE" w:rsidRPr="002D1FFB" w14:paraId="74A498E4" w14:textId="77777777" w:rsidTr="00C163F3">
        <w:trPr>
          <w:cantSplit/>
          <w:jc w:val="center"/>
        </w:trPr>
        <w:tc>
          <w:tcPr>
            <w:tcW w:w="712" w:type="pct"/>
            <w:tcBorders>
              <w:top w:val="nil"/>
              <w:left w:val="single" w:sz="4" w:space="0" w:color="auto"/>
              <w:bottom w:val="nil"/>
              <w:right w:val="nil"/>
            </w:tcBorders>
            <w:shd w:val="clear" w:color="auto" w:fill="FFFFFF"/>
            <w:tcMar>
              <w:left w:w="67" w:type="dxa"/>
              <w:right w:w="67" w:type="dxa"/>
            </w:tcMar>
          </w:tcPr>
          <w:p w14:paraId="23BE20EC" w14:textId="77777777" w:rsidR="00E07CDE" w:rsidRPr="002D1FFB" w:rsidRDefault="00E07CDE" w:rsidP="002D1FFB">
            <w:pPr>
              <w:spacing w:before="67" w:after="67" w:line="240" w:lineRule="auto"/>
              <w:rPr>
                <w:rFonts w:eastAsia="Times New Roman"/>
                <w:b/>
                <w:bCs/>
                <w:color w:val="000000"/>
                <w:sz w:val="18"/>
                <w:szCs w:val="18"/>
              </w:rPr>
            </w:pPr>
            <w:r w:rsidRPr="002D1FFB">
              <w:rPr>
                <w:rFonts w:eastAsia="Times New Roman"/>
                <w:b/>
                <w:bCs/>
                <w:color w:val="000000"/>
                <w:sz w:val="18"/>
                <w:szCs w:val="18"/>
              </w:rPr>
              <w:t>Total SCIDS score</w:t>
            </w:r>
          </w:p>
        </w:tc>
        <w:tc>
          <w:tcPr>
            <w:tcW w:w="476" w:type="pct"/>
            <w:gridSpan w:val="2"/>
            <w:tcBorders>
              <w:top w:val="nil"/>
              <w:left w:val="nil"/>
              <w:bottom w:val="nil"/>
              <w:right w:val="nil"/>
            </w:tcBorders>
            <w:shd w:val="clear" w:color="auto" w:fill="FFFFFF"/>
            <w:tcMar>
              <w:left w:w="67" w:type="dxa"/>
              <w:right w:w="67" w:type="dxa"/>
            </w:tcMar>
          </w:tcPr>
          <w:p w14:paraId="5001C2F8" w14:textId="77777777" w:rsidR="00E07CDE" w:rsidRPr="002D1FFB" w:rsidRDefault="00E07CDE" w:rsidP="002D1FFB">
            <w:pPr>
              <w:spacing w:before="67" w:after="67" w:line="240" w:lineRule="auto"/>
              <w:jc w:val="right"/>
              <w:rPr>
                <w:rFonts w:eastAsia="Times New Roman"/>
                <w:b/>
                <w:color w:val="000000"/>
                <w:sz w:val="18"/>
                <w:szCs w:val="18"/>
              </w:rPr>
            </w:pPr>
            <w:r w:rsidRPr="002D1FFB">
              <w:rPr>
                <w:rFonts w:eastAsia="Times New Roman"/>
                <w:b/>
                <w:color w:val="000000"/>
                <w:sz w:val="18"/>
                <w:szCs w:val="18"/>
              </w:rPr>
              <w:t>53.2 (8.96) 1</w:t>
            </w:r>
          </w:p>
        </w:tc>
        <w:tc>
          <w:tcPr>
            <w:tcW w:w="476" w:type="pct"/>
            <w:tcBorders>
              <w:top w:val="nil"/>
              <w:left w:val="nil"/>
              <w:bottom w:val="nil"/>
              <w:right w:val="nil"/>
            </w:tcBorders>
            <w:shd w:val="clear" w:color="auto" w:fill="FFFFFF"/>
            <w:tcMar>
              <w:left w:w="67" w:type="dxa"/>
              <w:right w:w="67" w:type="dxa"/>
            </w:tcMar>
          </w:tcPr>
          <w:p w14:paraId="6EA177A3" w14:textId="77777777" w:rsidR="00E07CDE" w:rsidRPr="002D1FFB" w:rsidRDefault="00E07CDE" w:rsidP="002D1FFB">
            <w:pPr>
              <w:spacing w:before="67" w:after="67" w:line="240" w:lineRule="auto"/>
              <w:jc w:val="right"/>
              <w:rPr>
                <w:rFonts w:eastAsia="Times New Roman"/>
                <w:b/>
                <w:color w:val="000000"/>
                <w:sz w:val="18"/>
                <w:szCs w:val="18"/>
              </w:rPr>
            </w:pPr>
            <w:r w:rsidRPr="002D1FFB">
              <w:rPr>
                <w:rFonts w:eastAsia="Times New Roman"/>
                <w:b/>
                <w:color w:val="000000"/>
                <w:sz w:val="18"/>
                <w:szCs w:val="18"/>
              </w:rPr>
              <w:t>53.7 (9.24) 5</w:t>
            </w:r>
          </w:p>
        </w:tc>
        <w:tc>
          <w:tcPr>
            <w:tcW w:w="476" w:type="pct"/>
            <w:gridSpan w:val="2"/>
            <w:tcBorders>
              <w:top w:val="nil"/>
              <w:left w:val="nil"/>
              <w:bottom w:val="nil"/>
              <w:right w:val="nil"/>
            </w:tcBorders>
            <w:shd w:val="clear" w:color="auto" w:fill="FFFFFF"/>
            <w:tcMar>
              <w:left w:w="67" w:type="dxa"/>
              <w:right w:w="67" w:type="dxa"/>
            </w:tcMar>
          </w:tcPr>
          <w:p w14:paraId="4377965C" w14:textId="77777777" w:rsidR="00E07CDE" w:rsidRPr="002D1FFB" w:rsidRDefault="00E07CDE" w:rsidP="002D1FFB">
            <w:pPr>
              <w:spacing w:before="67" w:after="67" w:line="240" w:lineRule="auto"/>
              <w:jc w:val="right"/>
              <w:rPr>
                <w:rFonts w:eastAsia="Times New Roman"/>
                <w:b/>
                <w:color w:val="000000"/>
                <w:sz w:val="18"/>
                <w:szCs w:val="18"/>
              </w:rPr>
            </w:pPr>
            <w:r w:rsidRPr="002D1FFB">
              <w:rPr>
                <w:rFonts w:eastAsia="Times New Roman"/>
                <w:b/>
                <w:color w:val="000000"/>
                <w:sz w:val="18"/>
                <w:szCs w:val="18"/>
              </w:rPr>
              <w:t>53.6 (9.16) 6</w:t>
            </w:r>
          </w:p>
        </w:tc>
        <w:tc>
          <w:tcPr>
            <w:tcW w:w="476" w:type="pct"/>
            <w:gridSpan w:val="2"/>
            <w:tcBorders>
              <w:top w:val="nil"/>
              <w:left w:val="nil"/>
              <w:bottom w:val="nil"/>
              <w:right w:val="nil"/>
            </w:tcBorders>
            <w:shd w:val="clear" w:color="auto" w:fill="FFFFFF"/>
            <w:tcMar>
              <w:left w:w="67" w:type="dxa"/>
              <w:right w:w="67" w:type="dxa"/>
            </w:tcMar>
          </w:tcPr>
          <w:p w14:paraId="5DD021DC" w14:textId="77777777" w:rsidR="00E07CDE" w:rsidRPr="002D1FFB" w:rsidRDefault="00E07CDE" w:rsidP="002D1FFB">
            <w:pPr>
              <w:spacing w:before="67" w:after="67" w:line="240" w:lineRule="auto"/>
              <w:jc w:val="right"/>
              <w:rPr>
                <w:rFonts w:eastAsia="Times New Roman"/>
                <w:b/>
                <w:color w:val="000000"/>
                <w:sz w:val="18"/>
                <w:szCs w:val="18"/>
              </w:rPr>
            </w:pPr>
            <w:r w:rsidRPr="002D1FFB">
              <w:rPr>
                <w:rFonts w:eastAsia="Times New Roman"/>
                <w:b/>
                <w:color w:val="000000"/>
                <w:sz w:val="18"/>
                <w:szCs w:val="18"/>
              </w:rPr>
              <w:t>55 (8.64) 1</w:t>
            </w:r>
          </w:p>
        </w:tc>
        <w:tc>
          <w:tcPr>
            <w:tcW w:w="476" w:type="pct"/>
            <w:tcBorders>
              <w:top w:val="nil"/>
              <w:left w:val="nil"/>
              <w:bottom w:val="nil"/>
              <w:right w:val="nil"/>
            </w:tcBorders>
            <w:shd w:val="clear" w:color="auto" w:fill="FFFFFF"/>
            <w:tcMar>
              <w:left w:w="67" w:type="dxa"/>
              <w:right w:w="67" w:type="dxa"/>
            </w:tcMar>
          </w:tcPr>
          <w:p w14:paraId="14AFD7FB" w14:textId="77777777" w:rsidR="00E07CDE" w:rsidRPr="002D1FFB" w:rsidRDefault="00E07CDE" w:rsidP="002D1FFB">
            <w:pPr>
              <w:spacing w:before="67" w:after="67" w:line="240" w:lineRule="auto"/>
              <w:jc w:val="right"/>
              <w:rPr>
                <w:rFonts w:eastAsia="Times New Roman"/>
                <w:b/>
                <w:color w:val="000000"/>
                <w:sz w:val="18"/>
                <w:szCs w:val="18"/>
              </w:rPr>
            </w:pPr>
            <w:r w:rsidRPr="002D1FFB">
              <w:rPr>
                <w:rFonts w:eastAsia="Times New Roman"/>
                <w:b/>
                <w:color w:val="000000"/>
                <w:sz w:val="18"/>
                <w:szCs w:val="18"/>
              </w:rPr>
              <w:t>53.5 (8.56) 2</w:t>
            </w:r>
          </w:p>
        </w:tc>
        <w:tc>
          <w:tcPr>
            <w:tcW w:w="476" w:type="pct"/>
            <w:gridSpan w:val="2"/>
            <w:tcBorders>
              <w:top w:val="nil"/>
              <w:left w:val="nil"/>
              <w:bottom w:val="nil"/>
              <w:right w:val="nil"/>
            </w:tcBorders>
            <w:shd w:val="clear" w:color="auto" w:fill="FFFFFF"/>
            <w:tcMar>
              <w:left w:w="67" w:type="dxa"/>
              <w:right w:w="67" w:type="dxa"/>
            </w:tcMar>
          </w:tcPr>
          <w:p w14:paraId="38FD709B" w14:textId="77777777" w:rsidR="00E07CDE" w:rsidRPr="002D1FFB" w:rsidRDefault="00E07CDE" w:rsidP="002D1FFB">
            <w:pPr>
              <w:spacing w:before="67" w:after="67" w:line="240" w:lineRule="auto"/>
              <w:jc w:val="right"/>
              <w:rPr>
                <w:rFonts w:eastAsia="Times New Roman"/>
                <w:b/>
                <w:color w:val="000000"/>
                <w:sz w:val="18"/>
                <w:szCs w:val="18"/>
              </w:rPr>
            </w:pPr>
            <w:r w:rsidRPr="002D1FFB">
              <w:rPr>
                <w:rFonts w:eastAsia="Times New Roman"/>
                <w:b/>
                <w:color w:val="000000"/>
                <w:sz w:val="18"/>
                <w:szCs w:val="18"/>
              </w:rPr>
              <w:t>54.1 (8.6) 3</w:t>
            </w:r>
          </w:p>
        </w:tc>
        <w:tc>
          <w:tcPr>
            <w:tcW w:w="476" w:type="pct"/>
            <w:gridSpan w:val="2"/>
            <w:tcBorders>
              <w:top w:val="nil"/>
              <w:left w:val="nil"/>
              <w:bottom w:val="nil"/>
              <w:right w:val="nil"/>
            </w:tcBorders>
            <w:shd w:val="clear" w:color="auto" w:fill="FFFFFF"/>
            <w:tcMar>
              <w:left w:w="67" w:type="dxa"/>
              <w:right w:w="67" w:type="dxa"/>
            </w:tcMar>
          </w:tcPr>
          <w:p w14:paraId="6DD5BB87" w14:textId="77777777" w:rsidR="00E07CDE" w:rsidRPr="002D1FFB" w:rsidRDefault="00E07CDE" w:rsidP="002D1FFB">
            <w:pPr>
              <w:spacing w:before="67" w:after="67" w:line="240" w:lineRule="auto"/>
              <w:jc w:val="right"/>
              <w:rPr>
                <w:rFonts w:eastAsia="Times New Roman"/>
                <w:b/>
                <w:color w:val="000000"/>
                <w:sz w:val="18"/>
                <w:szCs w:val="18"/>
              </w:rPr>
            </w:pPr>
            <w:r w:rsidRPr="002D1FFB">
              <w:rPr>
                <w:rFonts w:eastAsia="Times New Roman"/>
                <w:b/>
                <w:color w:val="000000"/>
                <w:sz w:val="18"/>
                <w:szCs w:val="18"/>
              </w:rPr>
              <w:t>58.4 (7.97) 1</w:t>
            </w:r>
          </w:p>
        </w:tc>
        <w:tc>
          <w:tcPr>
            <w:tcW w:w="476" w:type="pct"/>
            <w:tcBorders>
              <w:top w:val="nil"/>
              <w:left w:val="nil"/>
              <w:bottom w:val="nil"/>
              <w:right w:val="nil"/>
            </w:tcBorders>
            <w:shd w:val="clear" w:color="auto" w:fill="FFFFFF"/>
            <w:tcMar>
              <w:left w:w="67" w:type="dxa"/>
              <w:right w:w="67" w:type="dxa"/>
            </w:tcMar>
          </w:tcPr>
          <w:p w14:paraId="3B882659" w14:textId="77777777" w:rsidR="00E07CDE" w:rsidRPr="002D1FFB" w:rsidRDefault="00E07CDE" w:rsidP="002D1FFB">
            <w:pPr>
              <w:spacing w:before="67" w:after="67" w:line="240" w:lineRule="auto"/>
              <w:jc w:val="right"/>
              <w:rPr>
                <w:rFonts w:eastAsia="Times New Roman"/>
                <w:b/>
                <w:color w:val="000000"/>
                <w:sz w:val="18"/>
                <w:szCs w:val="18"/>
              </w:rPr>
            </w:pPr>
            <w:r w:rsidRPr="002D1FFB">
              <w:rPr>
                <w:rFonts w:eastAsia="Times New Roman"/>
                <w:b/>
                <w:color w:val="000000"/>
                <w:sz w:val="18"/>
                <w:szCs w:val="18"/>
              </w:rPr>
              <w:t>56.8 (8.3) 1</w:t>
            </w:r>
          </w:p>
        </w:tc>
        <w:tc>
          <w:tcPr>
            <w:tcW w:w="477" w:type="pct"/>
            <w:gridSpan w:val="2"/>
            <w:tcBorders>
              <w:top w:val="nil"/>
              <w:left w:val="nil"/>
              <w:bottom w:val="nil"/>
              <w:right w:val="single" w:sz="4" w:space="0" w:color="auto"/>
            </w:tcBorders>
            <w:shd w:val="clear" w:color="auto" w:fill="FFFFFF"/>
            <w:tcMar>
              <w:left w:w="67" w:type="dxa"/>
              <w:right w:w="67" w:type="dxa"/>
            </w:tcMar>
          </w:tcPr>
          <w:p w14:paraId="71340B5B" w14:textId="77777777" w:rsidR="00E07CDE" w:rsidRPr="002D1FFB" w:rsidRDefault="00E07CDE" w:rsidP="002D1FFB">
            <w:pPr>
              <w:spacing w:before="67" w:after="67" w:line="240" w:lineRule="auto"/>
              <w:jc w:val="right"/>
              <w:rPr>
                <w:rFonts w:eastAsia="Times New Roman"/>
                <w:b/>
                <w:color w:val="000000"/>
                <w:sz w:val="18"/>
                <w:szCs w:val="18"/>
              </w:rPr>
            </w:pPr>
            <w:r w:rsidRPr="002D1FFB">
              <w:rPr>
                <w:rFonts w:eastAsia="Times New Roman"/>
                <w:b/>
                <w:color w:val="000000"/>
                <w:sz w:val="18"/>
                <w:szCs w:val="18"/>
              </w:rPr>
              <w:t>57.2 (8.22) 2</w:t>
            </w:r>
          </w:p>
        </w:tc>
      </w:tr>
      <w:tr w:rsidR="00E07CDE" w:rsidRPr="002D1FFB" w14:paraId="70DA19DC" w14:textId="77777777" w:rsidTr="00C163F3">
        <w:trPr>
          <w:cantSplit/>
          <w:jc w:val="center"/>
        </w:trPr>
        <w:tc>
          <w:tcPr>
            <w:tcW w:w="712" w:type="pct"/>
            <w:tcBorders>
              <w:top w:val="nil"/>
              <w:left w:val="single" w:sz="4" w:space="0" w:color="auto"/>
              <w:bottom w:val="nil"/>
              <w:right w:val="nil"/>
            </w:tcBorders>
            <w:shd w:val="clear" w:color="auto" w:fill="FFFFFF"/>
            <w:tcMar>
              <w:left w:w="67" w:type="dxa"/>
              <w:right w:w="67" w:type="dxa"/>
            </w:tcMar>
          </w:tcPr>
          <w:p w14:paraId="698A6653" w14:textId="77777777" w:rsidR="00E07CDE" w:rsidRPr="002D1FFB" w:rsidRDefault="00E07CDE" w:rsidP="002D1FFB">
            <w:pPr>
              <w:spacing w:before="67" w:after="67" w:line="240" w:lineRule="auto"/>
              <w:rPr>
                <w:rFonts w:eastAsia="Times New Roman"/>
                <w:color w:val="000000"/>
                <w:sz w:val="18"/>
                <w:szCs w:val="18"/>
              </w:rPr>
            </w:pPr>
            <w:r w:rsidRPr="002D1FFB">
              <w:rPr>
                <w:rFonts w:eastAsia="Times New Roman"/>
                <w:color w:val="000000"/>
                <w:sz w:val="18"/>
                <w:szCs w:val="18"/>
              </w:rPr>
              <w:t>Professionalism</w:t>
            </w:r>
          </w:p>
        </w:tc>
        <w:tc>
          <w:tcPr>
            <w:tcW w:w="476" w:type="pct"/>
            <w:gridSpan w:val="2"/>
            <w:tcBorders>
              <w:top w:val="nil"/>
              <w:left w:val="nil"/>
              <w:bottom w:val="nil"/>
              <w:right w:val="nil"/>
            </w:tcBorders>
            <w:shd w:val="clear" w:color="auto" w:fill="FFFFFF"/>
            <w:tcMar>
              <w:left w:w="67" w:type="dxa"/>
              <w:right w:w="67" w:type="dxa"/>
            </w:tcMar>
          </w:tcPr>
          <w:p w14:paraId="7D8475F6"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16.7 (2.61) 0</w:t>
            </w:r>
          </w:p>
        </w:tc>
        <w:tc>
          <w:tcPr>
            <w:tcW w:w="476" w:type="pct"/>
            <w:tcBorders>
              <w:top w:val="nil"/>
              <w:left w:val="nil"/>
              <w:bottom w:val="nil"/>
              <w:right w:val="nil"/>
            </w:tcBorders>
            <w:shd w:val="clear" w:color="auto" w:fill="FFFFFF"/>
            <w:tcMar>
              <w:left w:w="67" w:type="dxa"/>
              <w:right w:w="67" w:type="dxa"/>
            </w:tcMar>
          </w:tcPr>
          <w:p w14:paraId="5DAE4937"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17 (2.75) 4</w:t>
            </w:r>
          </w:p>
        </w:tc>
        <w:tc>
          <w:tcPr>
            <w:tcW w:w="476" w:type="pct"/>
            <w:gridSpan w:val="2"/>
            <w:tcBorders>
              <w:top w:val="nil"/>
              <w:left w:val="nil"/>
              <w:bottom w:val="nil"/>
              <w:right w:val="nil"/>
            </w:tcBorders>
            <w:shd w:val="clear" w:color="auto" w:fill="FFFFFF"/>
            <w:tcMar>
              <w:left w:w="67" w:type="dxa"/>
              <w:right w:w="67" w:type="dxa"/>
            </w:tcMar>
          </w:tcPr>
          <w:p w14:paraId="023B9DB9"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16.9 (2.72) 4</w:t>
            </w:r>
          </w:p>
        </w:tc>
        <w:tc>
          <w:tcPr>
            <w:tcW w:w="476" w:type="pct"/>
            <w:gridSpan w:val="2"/>
            <w:tcBorders>
              <w:top w:val="nil"/>
              <w:left w:val="nil"/>
              <w:bottom w:val="nil"/>
              <w:right w:val="nil"/>
            </w:tcBorders>
            <w:shd w:val="clear" w:color="auto" w:fill="FFFFFF"/>
            <w:tcMar>
              <w:left w:w="67" w:type="dxa"/>
              <w:right w:w="67" w:type="dxa"/>
            </w:tcMar>
          </w:tcPr>
          <w:p w14:paraId="441E7469"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17.2 (2.72) 3</w:t>
            </w:r>
          </w:p>
        </w:tc>
        <w:tc>
          <w:tcPr>
            <w:tcW w:w="476" w:type="pct"/>
            <w:tcBorders>
              <w:top w:val="nil"/>
              <w:left w:val="nil"/>
              <w:bottom w:val="nil"/>
              <w:right w:val="nil"/>
            </w:tcBorders>
            <w:shd w:val="clear" w:color="auto" w:fill="FFFFFF"/>
            <w:tcMar>
              <w:left w:w="67" w:type="dxa"/>
              <w:right w:w="67" w:type="dxa"/>
            </w:tcMar>
          </w:tcPr>
          <w:p w14:paraId="5F64AE72"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16.8 (2.52) 2</w:t>
            </w:r>
          </w:p>
        </w:tc>
        <w:tc>
          <w:tcPr>
            <w:tcW w:w="476" w:type="pct"/>
            <w:gridSpan w:val="2"/>
            <w:tcBorders>
              <w:top w:val="nil"/>
              <w:left w:val="nil"/>
              <w:bottom w:val="nil"/>
              <w:right w:val="nil"/>
            </w:tcBorders>
            <w:shd w:val="clear" w:color="auto" w:fill="FFFFFF"/>
            <w:tcMar>
              <w:left w:w="67" w:type="dxa"/>
              <w:right w:w="67" w:type="dxa"/>
            </w:tcMar>
          </w:tcPr>
          <w:p w14:paraId="34853524"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17 (2.6) 5</w:t>
            </w:r>
          </w:p>
        </w:tc>
        <w:tc>
          <w:tcPr>
            <w:tcW w:w="476" w:type="pct"/>
            <w:gridSpan w:val="2"/>
            <w:tcBorders>
              <w:top w:val="nil"/>
              <w:left w:val="nil"/>
              <w:bottom w:val="nil"/>
              <w:right w:val="nil"/>
            </w:tcBorders>
            <w:shd w:val="clear" w:color="auto" w:fill="FFFFFF"/>
            <w:tcMar>
              <w:left w:w="67" w:type="dxa"/>
              <w:right w:w="67" w:type="dxa"/>
            </w:tcMar>
          </w:tcPr>
          <w:p w14:paraId="755464DD"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18 (2.17) 1</w:t>
            </w:r>
          </w:p>
        </w:tc>
        <w:tc>
          <w:tcPr>
            <w:tcW w:w="476" w:type="pct"/>
            <w:tcBorders>
              <w:top w:val="nil"/>
              <w:left w:val="nil"/>
              <w:bottom w:val="nil"/>
              <w:right w:val="nil"/>
            </w:tcBorders>
            <w:shd w:val="clear" w:color="auto" w:fill="FFFFFF"/>
            <w:tcMar>
              <w:left w:w="67" w:type="dxa"/>
              <w:right w:w="67" w:type="dxa"/>
            </w:tcMar>
          </w:tcPr>
          <w:p w14:paraId="41AE7ABB"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17.6 (2.4) 2</w:t>
            </w:r>
          </w:p>
        </w:tc>
        <w:tc>
          <w:tcPr>
            <w:tcW w:w="477" w:type="pct"/>
            <w:gridSpan w:val="2"/>
            <w:tcBorders>
              <w:top w:val="nil"/>
              <w:left w:val="nil"/>
              <w:bottom w:val="nil"/>
              <w:right w:val="single" w:sz="4" w:space="0" w:color="auto"/>
            </w:tcBorders>
            <w:shd w:val="clear" w:color="auto" w:fill="FFFFFF"/>
            <w:tcMar>
              <w:left w:w="67" w:type="dxa"/>
              <w:right w:w="67" w:type="dxa"/>
            </w:tcMar>
          </w:tcPr>
          <w:p w14:paraId="5DA728EE"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17.7 (2.34) 3</w:t>
            </w:r>
          </w:p>
        </w:tc>
      </w:tr>
      <w:tr w:rsidR="00E07CDE" w:rsidRPr="002D1FFB" w14:paraId="73BA525B" w14:textId="77777777" w:rsidTr="00C163F3">
        <w:trPr>
          <w:cantSplit/>
          <w:jc w:val="center"/>
        </w:trPr>
        <w:tc>
          <w:tcPr>
            <w:tcW w:w="712" w:type="pct"/>
            <w:tcBorders>
              <w:top w:val="nil"/>
              <w:left w:val="single" w:sz="4" w:space="0" w:color="auto"/>
              <w:bottom w:val="nil"/>
              <w:right w:val="nil"/>
            </w:tcBorders>
            <w:shd w:val="clear" w:color="auto" w:fill="FFFFFF"/>
            <w:tcMar>
              <w:left w:w="67" w:type="dxa"/>
              <w:right w:w="67" w:type="dxa"/>
            </w:tcMar>
          </w:tcPr>
          <w:p w14:paraId="7A1F003C" w14:textId="77777777" w:rsidR="00E07CDE" w:rsidRPr="002D1FFB" w:rsidRDefault="00E07CDE" w:rsidP="002D1FFB">
            <w:pPr>
              <w:spacing w:before="67" w:after="67" w:line="240" w:lineRule="auto"/>
              <w:rPr>
                <w:rFonts w:eastAsia="Times New Roman"/>
                <w:color w:val="000000"/>
                <w:sz w:val="18"/>
                <w:szCs w:val="18"/>
              </w:rPr>
            </w:pPr>
            <w:r w:rsidRPr="002D1FFB">
              <w:rPr>
                <w:rFonts w:eastAsia="Times New Roman"/>
                <w:color w:val="000000"/>
                <w:sz w:val="18"/>
                <w:szCs w:val="18"/>
              </w:rPr>
              <w:t>Building relationships</w:t>
            </w:r>
          </w:p>
        </w:tc>
        <w:tc>
          <w:tcPr>
            <w:tcW w:w="476" w:type="pct"/>
            <w:gridSpan w:val="2"/>
            <w:tcBorders>
              <w:top w:val="nil"/>
              <w:left w:val="nil"/>
              <w:bottom w:val="nil"/>
              <w:right w:val="nil"/>
            </w:tcBorders>
            <w:shd w:val="clear" w:color="auto" w:fill="FFFFFF"/>
            <w:tcMar>
              <w:left w:w="67" w:type="dxa"/>
              <w:right w:w="67" w:type="dxa"/>
            </w:tcMar>
          </w:tcPr>
          <w:p w14:paraId="1258EC9E"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11.7 (2.37) 0</w:t>
            </w:r>
          </w:p>
        </w:tc>
        <w:tc>
          <w:tcPr>
            <w:tcW w:w="476" w:type="pct"/>
            <w:tcBorders>
              <w:top w:val="nil"/>
              <w:left w:val="nil"/>
              <w:bottom w:val="nil"/>
              <w:right w:val="nil"/>
            </w:tcBorders>
            <w:shd w:val="clear" w:color="auto" w:fill="FFFFFF"/>
            <w:tcMar>
              <w:left w:w="67" w:type="dxa"/>
              <w:right w:w="67" w:type="dxa"/>
            </w:tcMar>
          </w:tcPr>
          <w:p w14:paraId="787A35BF"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11.8 (2.36) 4</w:t>
            </w:r>
          </w:p>
        </w:tc>
        <w:tc>
          <w:tcPr>
            <w:tcW w:w="476" w:type="pct"/>
            <w:gridSpan w:val="2"/>
            <w:tcBorders>
              <w:top w:val="nil"/>
              <w:left w:val="nil"/>
              <w:bottom w:val="nil"/>
              <w:right w:val="nil"/>
            </w:tcBorders>
            <w:shd w:val="clear" w:color="auto" w:fill="FFFFFF"/>
            <w:tcMar>
              <w:left w:w="67" w:type="dxa"/>
              <w:right w:w="67" w:type="dxa"/>
            </w:tcMar>
          </w:tcPr>
          <w:p w14:paraId="036CE41D"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11.8 (2.36) 4</w:t>
            </w:r>
          </w:p>
        </w:tc>
        <w:tc>
          <w:tcPr>
            <w:tcW w:w="476" w:type="pct"/>
            <w:gridSpan w:val="2"/>
            <w:tcBorders>
              <w:top w:val="nil"/>
              <w:left w:val="nil"/>
              <w:bottom w:val="nil"/>
              <w:right w:val="nil"/>
            </w:tcBorders>
            <w:shd w:val="clear" w:color="auto" w:fill="FFFFFF"/>
            <w:tcMar>
              <w:left w:w="67" w:type="dxa"/>
              <w:right w:w="67" w:type="dxa"/>
            </w:tcMar>
          </w:tcPr>
          <w:p w14:paraId="0377EC9A"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12.3 (2.24) 0</w:t>
            </w:r>
          </w:p>
        </w:tc>
        <w:tc>
          <w:tcPr>
            <w:tcW w:w="476" w:type="pct"/>
            <w:tcBorders>
              <w:top w:val="nil"/>
              <w:left w:val="nil"/>
              <w:bottom w:val="nil"/>
              <w:right w:val="nil"/>
            </w:tcBorders>
            <w:shd w:val="clear" w:color="auto" w:fill="FFFFFF"/>
            <w:tcMar>
              <w:left w:w="67" w:type="dxa"/>
              <w:right w:w="67" w:type="dxa"/>
            </w:tcMar>
          </w:tcPr>
          <w:p w14:paraId="2ABC8F09"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11.9 (2.18) 1</w:t>
            </w:r>
          </w:p>
        </w:tc>
        <w:tc>
          <w:tcPr>
            <w:tcW w:w="476" w:type="pct"/>
            <w:gridSpan w:val="2"/>
            <w:tcBorders>
              <w:top w:val="nil"/>
              <w:left w:val="nil"/>
              <w:bottom w:val="nil"/>
              <w:right w:val="nil"/>
            </w:tcBorders>
            <w:shd w:val="clear" w:color="auto" w:fill="FFFFFF"/>
            <w:tcMar>
              <w:left w:w="67" w:type="dxa"/>
              <w:right w:w="67" w:type="dxa"/>
            </w:tcMar>
          </w:tcPr>
          <w:p w14:paraId="1EC823DD"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12.1 (2.21) 1</w:t>
            </w:r>
          </w:p>
        </w:tc>
        <w:tc>
          <w:tcPr>
            <w:tcW w:w="476" w:type="pct"/>
            <w:gridSpan w:val="2"/>
            <w:tcBorders>
              <w:top w:val="nil"/>
              <w:left w:val="nil"/>
              <w:bottom w:val="nil"/>
              <w:right w:val="nil"/>
            </w:tcBorders>
            <w:shd w:val="clear" w:color="auto" w:fill="FFFFFF"/>
            <w:tcMar>
              <w:left w:w="67" w:type="dxa"/>
              <w:right w:w="67" w:type="dxa"/>
            </w:tcMar>
          </w:tcPr>
          <w:p w14:paraId="7F1495B8"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13 (2.39) 1</w:t>
            </w:r>
          </w:p>
        </w:tc>
        <w:tc>
          <w:tcPr>
            <w:tcW w:w="476" w:type="pct"/>
            <w:tcBorders>
              <w:top w:val="nil"/>
              <w:left w:val="nil"/>
              <w:bottom w:val="nil"/>
              <w:right w:val="nil"/>
            </w:tcBorders>
            <w:shd w:val="clear" w:color="auto" w:fill="FFFFFF"/>
            <w:tcMar>
              <w:left w:w="67" w:type="dxa"/>
              <w:right w:w="67" w:type="dxa"/>
            </w:tcMar>
          </w:tcPr>
          <w:p w14:paraId="53C0BC23"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12.6 (2.24) 1</w:t>
            </w:r>
          </w:p>
        </w:tc>
        <w:tc>
          <w:tcPr>
            <w:tcW w:w="477" w:type="pct"/>
            <w:gridSpan w:val="2"/>
            <w:tcBorders>
              <w:top w:val="nil"/>
              <w:left w:val="nil"/>
              <w:bottom w:val="nil"/>
              <w:right w:val="single" w:sz="4" w:space="0" w:color="auto"/>
            </w:tcBorders>
            <w:shd w:val="clear" w:color="auto" w:fill="FFFFFF"/>
            <w:tcMar>
              <w:left w:w="67" w:type="dxa"/>
              <w:right w:w="67" w:type="dxa"/>
            </w:tcMar>
          </w:tcPr>
          <w:p w14:paraId="23FE7424"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12.7 (2.28) 2</w:t>
            </w:r>
          </w:p>
        </w:tc>
      </w:tr>
      <w:tr w:rsidR="00E07CDE" w:rsidRPr="002D1FFB" w14:paraId="38D5A3B7" w14:textId="77777777" w:rsidTr="00C163F3">
        <w:trPr>
          <w:cantSplit/>
          <w:jc w:val="center"/>
        </w:trPr>
        <w:tc>
          <w:tcPr>
            <w:tcW w:w="712" w:type="pct"/>
            <w:tcBorders>
              <w:top w:val="nil"/>
              <w:left w:val="single" w:sz="4" w:space="0" w:color="auto"/>
              <w:bottom w:val="nil"/>
              <w:right w:val="nil"/>
            </w:tcBorders>
            <w:shd w:val="clear" w:color="auto" w:fill="FFFFFF"/>
            <w:tcMar>
              <w:left w:w="67" w:type="dxa"/>
              <w:right w:w="67" w:type="dxa"/>
            </w:tcMar>
          </w:tcPr>
          <w:p w14:paraId="4DF65FA0" w14:textId="77777777" w:rsidR="00E07CDE" w:rsidRPr="002D1FFB" w:rsidRDefault="00E07CDE" w:rsidP="002D1FFB">
            <w:pPr>
              <w:spacing w:before="67" w:after="67" w:line="240" w:lineRule="auto"/>
              <w:rPr>
                <w:rFonts w:eastAsia="Times New Roman"/>
                <w:color w:val="000000"/>
                <w:sz w:val="18"/>
                <w:szCs w:val="18"/>
              </w:rPr>
            </w:pPr>
            <w:r w:rsidRPr="002D1FFB">
              <w:rPr>
                <w:rFonts w:eastAsia="Times New Roman"/>
                <w:color w:val="000000"/>
                <w:sz w:val="18"/>
                <w:szCs w:val="18"/>
              </w:rPr>
              <w:t>Core challenges</w:t>
            </w:r>
          </w:p>
        </w:tc>
        <w:tc>
          <w:tcPr>
            <w:tcW w:w="476" w:type="pct"/>
            <w:gridSpan w:val="2"/>
            <w:tcBorders>
              <w:top w:val="nil"/>
              <w:left w:val="nil"/>
              <w:bottom w:val="nil"/>
              <w:right w:val="nil"/>
            </w:tcBorders>
            <w:shd w:val="clear" w:color="auto" w:fill="FFFFFF"/>
            <w:tcMar>
              <w:left w:w="67" w:type="dxa"/>
              <w:right w:w="67" w:type="dxa"/>
            </w:tcMar>
          </w:tcPr>
          <w:p w14:paraId="7FBF4C9F"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11.9 (2.84) 1</w:t>
            </w:r>
          </w:p>
        </w:tc>
        <w:tc>
          <w:tcPr>
            <w:tcW w:w="476" w:type="pct"/>
            <w:tcBorders>
              <w:top w:val="nil"/>
              <w:left w:val="nil"/>
              <w:bottom w:val="nil"/>
              <w:right w:val="nil"/>
            </w:tcBorders>
            <w:shd w:val="clear" w:color="auto" w:fill="FFFFFF"/>
            <w:tcMar>
              <w:left w:w="67" w:type="dxa"/>
              <w:right w:w="67" w:type="dxa"/>
            </w:tcMar>
          </w:tcPr>
          <w:p w14:paraId="68EB653F"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11.9 (2.9) 6</w:t>
            </w:r>
          </w:p>
        </w:tc>
        <w:tc>
          <w:tcPr>
            <w:tcW w:w="476" w:type="pct"/>
            <w:gridSpan w:val="2"/>
            <w:tcBorders>
              <w:top w:val="nil"/>
              <w:left w:val="nil"/>
              <w:bottom w:val="nil"/>
              <w:right w:val="nil"/>
            </w:tcBorders>
            <w:shd w:val="clear" w:color="auto" w:fill="FFFFFF"/>
            <w:tcMar>
              <w:left w:w="67" w:type="dxa"/>
              <w:right w:w="67" w:type="dxa"/>
            </w:tcMar>
          </w:tcPr>
          <w:p w14:paraId="29981AE6"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11.9 (2.88) 7</w:t>
            </w:r>
          </w:p>
        </w:tc>
        <w:tc>
          <w:tcPr>
            <w:tcW w:w="476" w:type="pct"/>
            <w:gridSpan w:val="2"/>
            <w:tcBorders>
              <w:top w:val="nil"/>
              <w:left w:val="nil"/>
              <w:bottom w:val="nil"/>
              <w:right w:val="nil"/>
            </w:tcBorders>
            <w:shd w:val="clear" w:color="auto" w:fill="FFFFFF"/>
            <w:tcMar>
              <w:left w:w="67" w:type="dxa"/>
              <w:right w:w="67" w:type="dxa"/>
            </w:tcMar>
          </w:tcPr>
          <w:p w14:paraId="4B4CAA71"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12.2 (2.71) 1</w:t>
            </w:r>
          </w:p>
        </w:tc>
        <w:tc>
          <w:tcPr>
            <w:tcW w:w="476" w:type="pct"/>
            <w:tcBorders>
              <w:top w:val="nil"/>
              <w:left w:val="nil"/>
              <w:bottom w:val="nil"/>
              <w:right w:val="nil"/>
            </w:tcBorders>
            <w:shd w:val="clear" w:color="auto" w:fill="FFFFFF"/>
            <w:tcMar>
              <w:left w:w="67" w:type="dxa"/>
              <w:right w:w="67" w:type="dxa"/>
            </w:tcMar>
          </w:tcPr>
          <w:p w14:paraId="5733966D"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12 (2.63) 3</w:t>
            </w:r>
          </w:p>
        </w:tc>
        <w:tc>
          <w:tcPr>
            <w:tcW w:w="476" w:type="pct"/>
            <w:gridSpan w:val="2"/>
            <w:tcBorders>
              <w:top w:val="nil"/>
              <w:left w:val="nil"/>
              <w:bottom w:val="nil"/>
              <w:right w:val="nil"/>
            </w:tcBorders>
            <w:shd w:val="clear" w:color="auto" w:fill="FFFFFF"/>
            <w:tcMar>
              <w:left w:w="67" w:type="dxa"/>
              <w:right w:w="67" w:type="dxa"/>
            </w:tcMar>
          </w:tcPr>
          <w:p w14:paraId="711ECA95"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12.1 (2.66) 4</w:t>
            </w:r>
          </w:p>
        </w:tc>
        <w:tc>
          <w:tcPr>
            <w:tcW w:w="476" w:type="pct"/>
            <w:gridSpan w:val="2"/>
            <w:tcBorders>
              <w:top w:val="nil"/>
              <w:left w:val="nil"/>
              <w:bottom w:val="nil"/>
              <w:right w:val="nil"/>
            </w:tcBorders>
            <w:shd w:val="clear" w:color="auto" w:fill="FFFFFF"/>
            <w:tcMar>
              <w:left w:w="67" w:type="dxa"/>
              <w:right w:w="67" w:type="dxa"/>
            </w:tcMar>
          </w:tcPr>
          <w:p w14:paraId="454EA10D"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13.6 (2.51) 1</w:t>
            </w:r>
          </w:p>
        </w:tc>
        <w:tc>
          <w:tcPr>
            <w:tcW w:w="476" w:type="pct"/>
            <w:tcBorders>
              <w:top w:val="nil"/>
              <w:left w:val="nil"/>
              <w:bottom w:val="nil"/>
              <w:right w:val="nil"/>
            </w:tcBorders>
            <w:shd w:val="clear" w:color="auto" w:fill="FFFFFF"/>
            <w:tcMar>
              <w:left w:w="67" w:type="dxa"/>
              <w:right w:w="67" w:type="dxa"/>
            </w:tcMar>
          </w:tcPr>
          <w:p w14:paraId="7485515A"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12.9 (2.61) 1</w:t>
            </w:r>
          </w:p>
        </w:tc>
        <w:tc>
          <w:tcPr>
            <w:tcW w:w="477" w:type="pct"/>
            <w:gridSpan w:val="2"/>
            <w:tcBorders>
              <w:top w:val="nil"/>
              <w:left w:val="nil"/>
              <w:bottom w:val="nil"/>
              <w:right w:val="single" w:sz="4" w:space="0" w:color="auto"/>
            </w:tcBorders>
            <w:shd w:val="clear" w:color="auto" w:fill="FFFFFF"/>
            <w:tcMar>
              <w:left w:w="67" w:type="dxa"/>
              <w:right w:w="67" w:type="dxa"/>
            </w:tcMar>
          </w:tcPr>
          <w:p w14:paraId="398EDD89" w14:textId="77777777" w:rsidR="00E07CDE" w:rsidRPr="002D1FFB" w:rsidRDefault="00E07CDE" w:rsidP="002D1FFB">
            <w:pPr>
              <w:spacing w:before="67" w:after="67" w:line="240" w:lineRule="auto"/>
              <w:jc w:val="right"/>
              <w:rPr>
                <w:rFonts w:eastAsia="Times New Roman"/>
                <w:color w:val="000000"/>
                <w:sz w:val="18"/>
                <w:szCs w:val="18"/>
              </w:rPr>
            </w:pPr>
            <w:r w:rsidRPr="002D1FFB">
              <w:rPr>
                <w:rFonts w:eastAsia="Times New Roman"/>
                <w:color w:val="000000"/>
                <w:sz w:val="18"/>
                <w:szCs w:val="18"/>
              </w:rPr>
              <w:t>13.1 (2.59) 2</w:t>
            </w:r>
          </w:p>
        </w:tc>
      </w:tr>
      <w:tr w:rsidR="00E07CDE" w:rsidRPr="002D1FFB" w14:paraId="3890FC82" w14:textId="77777777" w:rsidTr="00C163F3">
        <w:trPr>
          <w:cantSplit/>
          <w:jc w:val="center"/>
        </w:trPr>
        <w:tc>
          <w:tcPr>
            <w:tcW w:w="712" w:type="pct"/>
            <w:tcBorders>
              <w:top w:val="nil"/>
              <w:left w:val="single" w:sz="4" w:space="0" w:color="auto"/>
              <w:bottom w:val="single" w:sz="4" w:space="0" w:color="auto"/>
              <w:right w:val="nil"/>
            </w:tcBorders>
            <w:shd w:val="clear" w:color="auto" w:fill="FFFFFF"/>
            <w:tcMar>
              <w:left w:w="67" w:type="dxa"/>
              <w:right w:w="67" w:type="dxa"/>
            </w:tcMar>
          </w:tcPr>
          <w:p w14:paraId="76F6803D" w14:textId="77777777" w:rsidR="00E07CDE" w:rsidRPr="002D1FFB" w:rsidRDefault="00E07CDE" w:rsidP="002D1FFB">
            <w:pPr>
              <w:keepNext/>
              <w:spacing w:before="67" w:after="67" w:line="240" w:lineRule="auto"/>
              <w:rPr>
                <w:rFonts w:eastAsia="Times New Roman"/>
                <w:color w:val="000000"/>
                <w:sz w:val="18"/>
                <w:szCs w:val="18"/>
              </w:rPr>
            </w:pPr>
            <w:r w:rsidRPr="002D1FFB">
              <w:rPr>
                <w:rFonts w:eastAsia="Times New Roman"/>
                <w:color w:val="000000"/>
                <w:sz w:val="18"/>
                <w:szCs w:val="18"/>
              </w:rPr>
              <w:t>Sustaining personhood</w:t>
            </w:r>
          </w:p>
        </w:tc>
        <w:tc>
          <w:tcPr>
            <w:tcW w:w="476" w:type="pct"/>
            <w:gridSpan w:val="2"/>
            <w:tcBorders>
              <w:top w:val="nil"/>
              <w:left w:val="nil"/>
              <w:bottom w:val="single" w:sz="4" w:space="0" w:color="auto"/>
              <w:right w:val="nil"/>
            </w:tcBorders>
            <w:shd w:val="clear" w:color="auto" w:fill="FFFFFF"/>
            <w:tcMar>
              <w:left w:w="67" w:type="dxa"/>
              <w:right w:w="67" w:type="dxa"/>
            </w:tcMar>
          </w:tcPr>
          <w:p w14:paraId="69A29F6A"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12.9 (2.31) 0</w:t>
            </w:r>
          </w:p>
        </w:tc>
        <w:tc>
          <w:tcPr>
            <w:tcW w:w="476" w:type="pct"/>
            <w:tcBorders>
              <w:top w:val="nil"/>
              <w:left w:val="nil"/>
              <w:bottom w:val="single" w:sz="4" w:space="0" w:color="auto"/>
              <w:right w:val="nil"/>
            </w:tcBorders>
            <w:shd w:val="clear" w:color="auto" w:fill="FFFFFF"/>
            <w:tcMar>
              <w:left w:w="67" w:type="dxa"/>
              <w:right w:w="67" w:type="dxa"/>
            </w:tcMar>
          </w:tcPr>
          <w:p w14:paraId="1ECA9E12"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13 (2.43) 5</w:t>
            </w:r>
          </w:p>
        </w:tc>
        <w:tc>
          <w:tcPr>
            <w:tcW w:w="476" w:type="pct"/>
            <w:gridSpan w:val="2"/>
            <w:tcBorders>
              <w:top w:val="nil"/>
              <w:left w:val="nil"/>
              <w:bottom w:val="single" w:sz="4" w:space="0" w:color="auto"/>
              <w:right w:val="nil"/>
            </w:tcBorders>
            <w:shd w:val="clear" w:color="auto" w:fill="FFFFFF"/>
            <w:tcMar>
              <w:left w:w="67" w:type="dxa"/>
              <w:right w:w="67" w:type="dxa"/>
            </w:tcMar>
          </w:tcPr>
          <w:p w14:paraId="5E1ED5FB"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13 (2.39) 5</w:t>
            </w:r>
          </w:p>
        </w:tc>
        <w:tc>
          <w:tcPr>
            <w:tcW w:w="476" w:type="pct"/>
            <w:gridSpan w:val="2"/>
            <w:tcBorders>
              <w:top w:val="nil"/>
              <w:left w:val="nil"/>
              <w:bottom w:val="single" w:sz="4" w:space="0" w:color="auto"/>
              <w:right w:val="nil"/>
            </w:tcBorders>
            <w:shd w:val="clear" w:color="auto" w:fill="FFFFFF"/>
            <w:tcMar>
              <w:left w:w="67" w:type="dxa"/>
              <w:right w:w="67" w:type="dxa"/>
            </w:tcMar>
          </w:tcPr>
          <w:p w14:paraId="6003D5EC"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13.4 (2.27) 2</w:t>
            </w:r>
          </w:p>
        </w:tc>
        <w:tc>
          <w:tcPr>
            <w:tcW w:w="476" w:type="pct"/>
            <w:tcBorders>
              <w:top w:val="nil"/>
              <w:left w:val="nil"/>
              <w:bottom w:val="single" w:sz="4" w:space="0" w:color="auto"/>
              <w:right w:val="nil"/>
            </w:tcBorders>
            <w:shd w:val="clear" w:color="auto" w:fill="FFFFFF"/>
            <w:tcMar>
              <w:left w:w="67" w:type="dxa"/>
              <w:right w:w="67" w:type="dxa"/>
            </w:tcMar>
          </w:tcPr>
          <w:p w14:paraId="0E32B37A"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12.8 (2.47) 1</w:t>
            </w:r>
          </w:p>
        </w:tc>
        <w:tc>
          <w:tcPr>
            <w:tcW w:w="476" w:type="pct"/>
            <w:gridSpan w:val="2"/>
            <w:tcBorders>
              <w:top w:val="nil"/>
              <w:left w:val="nil"/>
              <w:bottom w:val="single" w:sz="4" w:space="0" w:color="auto"/>
              <w:right w:val="nil"/>
            </w:tcBorders>
            <w:shd w:val="clear" w:color="auto" w:fill="FFFFFF"/>
            <w:tcMar>
              <w:left w:w="67" w:type="dxa"/>
              <w:right w:w="67" w:type="dxa"/>
            </w:tcMar>
          </w:tcPr>
          <w:p w14:paraId="4A1C02A5"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13.1 (2.4) 3</w:t>
            </w:r>
          </w:p>
        </w:tc>
        <w:tc>
          <w:tcPr>
            <w:tcW w:w="476" w:type="pct"/>
            <w:gridSpan w:val="2"/>
            <w:tcBorders>
              <w:top w:val="nil"/>
              <w:left w:val="nil"/>
              <w:bottom w:val="single" w:sz="4" w:space="0" w:color="auto"/>
              <w:right w:val="nil"/>
            </w:tcBorders>
            <w:shd w:val="clear" w:color="auto" w:fill="FFFFFF"/>
            <w:tcMar>
              <w:left w:w="67" w:type="dxa"/>
              <w:right w:w="67" w:type="dxa"/>
            </w:tcMar>
          </w:tcPr>
          <w:p w14:paraId="2F9E5E0B"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13.8 (1.96) 1</w:t>
            </w:r>
          </w:p>
        </w:tc>
        <w:tc>
          <w:tcPr>
            <w:tcW w:w="476" w:type="pct"/>
            <w:tcBorders>
              <w:top w:val="nil"/>
              <w:left w:val="nil"/>
              <w:bottom w:val="single" w:sz="4" w:space="0" w:color="auto"/>
              <w:right w:val="nil"/>
            </w:tcBorders>
            <w:shd w:val="clear" w:color="auto" w:fill="FFFFFF"/>
            <w:tcMar>
              <w:left w:w="67" w:type="dxa"/>
              <w:right w:w="67" w:type="dxa"/>
            </w:tcMar>
          </w:tcPr>
          <w:p w14:paraId="698A8743"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13.6 (2.11) 2</w:t>
            </w:r>
          </w:p>
        </w:tc>
        <w:tc>
          <w:tcPr>
            <w:tcW w:w="477" w:type="pct"/>
            <w:gridSpan w:val="2"/>
            <w:tcBorders>
              <w:top w:val="nil"/>
              <w:left w:val="nil"/>
              <w:bottom w:val="single" w:sz="4" w:space="0" w:color="auto"/>
              <w:right w:val="single" w:sz="4" w:space="0" w:color="auto"/>
            </w:tcBorders>
            <w:shd w:val="clear" w:color="auto" w:fill="FFFFFF"/>
            <w:tcMar>
              <w:left w:w="67" w:type="dxa"/>
              <w:right w:w="67" w:type="dxa"/>
            </w:tcMar>
          </w:tcPr>
          <w:p w14:paraId="0274092F"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13.6 (2.07) 3</w:t>
            </w:r>
          </w:p>
        </w:tc>
      </w:tr>
      <w:tr w:rsidR="00E07CDE" w:rsidRPr="002D1FFB" w14:paraId="700C2822" w14:textId="77777777" w:rsidTr="00C163F3">
        <w:trPr>
          <w:cantSplit/>
          <w:jc w:val="center"/>
        </w:trPr>
        <w:tc>
          <w:tcPr>
            <w:tcW w:w="712" w:type="pct"/>
            <w:tcBorders>
              <w:top w:val="nil"/>
              <w:left w:val="single" w:sz="4" w:space="0" w:color="auto"/>
              <w:bottom w:val="single" w:sz="4" w:space="0" w:color="auto"/>
              <w:right w:val="nil"/>
            </w:tcBorders>
            <w:shd w:val="clear" w:color="auto" w:fill="FFFFFF"/>
            <w:tcMar>
              <w:left w:w="67" w:type="dxa"/>
              <w:right w:w="67" w:type="dxa"/>
            </w:tcMar>
          </w:tcPr>
          <w:p w14:paraId="2D33D60E" w14:textId="77777777" w:rsidR="00E07CDE" w:rsidRPr="002D1FFB" w:rsidRDefault="00E07CDE" w:rsidP="002D1FFB">
            <w:pPr>
              <w:keepNext/>
              <w:spacing w:before="67" w:after="67" w:line="240" w:lineRule="auto"/>
              <w:rPr>
                <w:rFonts w:eastAsia="Times New Roman"/>
                <w:color w:val="000000"/>
                <w:sz w:val="18"/>
                <w:szCs w:val="18"/>
              </w:rPr>
            </w:pPr>
            <w:r w:rsidRPr="002D1FFB">
              <w:rPr>
                <w:rFonts w:eastAsia="Calibri"/>
                <w:b/>
                <w:bCs/>
                <w:color w:val="000000"/>
                <w:sz w:val="18"/>
                <w:szCs w:val="18"/>
                <w:lang w:eastAsia="en-US"/>
              </w:rPr>
              <w:t>Booklets circulated to staff</w:t>
            </w:r>
          </w:p>
        </w:tc>
        <w:tc>
          <w:tcPr>
            <w:tcW w:w="411" w:type="pct"/>
            <w:tcBorders>
              <w:top w:val="nil"/>
              <w:left w:val="nil"/>
              <w:bottom w:val="single" w:sz="4" w:space="0" w:color="auto"/>
              <w:right w:val="nil"/>
            </w:tcBorders>
            <w:shd w:val="clear" w:color="auto" w:fill="FFFFFF"/>
            <w:tcMar>
              <w:left w:w="67" w:type="dxa"/>
              <w:right w:w="67" w:type="dxa"/>
            </w:tcMar>
            <w:vAlign w:val="bottom"/>
          </w:tcPr>
          <w:p w14:paraId="38A7A4DD"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525</w:t>
            </w:r>
          </w:p>
        </w:tc>
        <w:tc>
          <w:tcPr>
            <w:tcW w:w="607" w:type="pct"/>
            <w:gridSpan w:val="3"/>
            <w:tcBorders>
              <w:top w:val="nil"/>
              <w:left w:val="nil"/>
              <w:bottom w:val="single" w:sz="4" w:space="0" w:color="auto"/>
              <w:right w:val="nil"/>
            </w:tcBorders>
            <w:shd w:val="clear" w:color="auto" w:fill="FFFFFF"/>
            <w:tcMar>
              <w:left w:w="67" w:type="dxa"/>
              <w:right w:w="67" w:type="dxa"/>
            </w:tcMar>
            <w:vAlign w:val="bottom"/>
          </w:tcPr>
          <w:p w14:paraId="126C7A98"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1143</w:t>
            </w:r>
          </w:p>
        </w:tc>
        <w:tc>
          <w:tcPr>
            <w:tcW w:w="412" w:type="pct"/>
            <w:tcBorders>
              <w:top w:val="nil"/>
              <w:left w:val="nil"/>
              <w:bottom w:val="single" w:sz="4" w:space="0" w:color="auto"/>
              <w:right w:val="nil"/>
            </w:tcBorders>
            <w:shd w:val="clear" w:color="auto" w:fill="FFFFFF"/>
            <w:tcMar>
              <w:left w:w="67" w:type="dxa"/>
              <w:right w:w="67" w:type="dxa"/>
            </w:tcMar>
            <w:vAlign w:val="bottom"/>
          </w:tcPr>
          <w:p w14:paraId="66A7D78F"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Calibri"/>
                <w:color w:val="000000"/>
                <w:sz w:val="18"/>
                <w:szCs w:val="18"/>
                <w:lang w:eastAsia="en-US"/>
              </w:rPr>
              <w:t>1668</w:t>
            </w:r>
          </w:p>
        </w:tc>
        <w:tc>
          <w:tcPr>
            <w:tcW w:w="411" w:type="pct"/>
            <w:tcBorders>
              <w:top w:val="nil"/>
              <w:left w:val="nil"/>
              <w:bottom w:val="single" w:sz="4" w:space="0" w:color="auto"/>
              <w:right w:val="nil"/>
            </w:tcBorders>
            <w:shd w:val="clear" w:color="auto" w:fill="FFFFFF"/>
            <w:tcMar>
              <w:left w:w="67" w:type="dxa"/>
              <w:right w:w="67" w:type="dxa"/>
            </w:tcMar>
            <w:vAlign w:val="bottom"/>
          </w:tcPr>
          <w:p w14:paraId="50056795"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546</w:t>
            </w:r>
          </w:p>
        </w:tc>
        <w:tc>
          <w:tcPr>
            <w:tcW w:w="607" w:type="pct"/>
            <w:gridSpan w:val="3"/>
            <w:tcBorders>
              <w:top w:val="nil"/>
              <w:left w:val="nil"/>
              <w:bottom w:val="single" w:sz="4" w:space="0" w:color="auto"/>
              <w:right w:val="nil"/>
            </w:tcBorders>
            <w:shd w:val="clear" w:color="auto" w:fill="FFFFFF"/>
            <w:tcMar>
              <w:left w:w="67" w:type="dxa"/>
              <w:right w:w="67" w:type="dxa"/>
            </w:tcMar>
            <w:vAlign w:val="bottom"/>
          </w:tcPr>
          <w:p w14:paraId="7A63A8C6"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848</w:t>
            </w:r>
          </w:p>
        </w:tc>
        <w:tc>
          <w:tcPr>
            <w:tcW w:w="411" w:type="pct"/>
            <w:tcBorders>
              <w:top w:val="nil"/>
              <w:left w:val="nil"/>
              <w:bottom w:val="single" w:sz="4" w:space="0" w:color="auto"/>
              <w:right w:val="nil"/>
            </w:tcBorders>
            <w:shd w:val="clear" w:color="auto" w:fill="FFFFFF"/>
            <w:tcMar>
              <w:left w:w="67" w:type="dxa"/>
              <w:right w:w="67" w:type="dxa"/>
            </w:tcMar>
            <w:vAlign w:val="bottom"/>
          </w:tcPr>
          <w:p w14:paraId="5C4EB87A"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Calibri"/>
                <w:color w:val="000000"/>
                <w:sz w:val="18"/>
                <w:szCs w:val="18"/>
                <w:lang w:eastAsia="en-US"/>
              </w:rPr>
              <w:t>1394</w:t>
            </w:r>
          </w:p>
        </w:tc>
        <w:tc>
          <w:tcPr>
            <w:tcW w:w="412" w:type="pct"/>
            <w:tcBorders>
              <w:top w:val="nil"/>
              <w:left w:val="nil"/>
              <w:bottom w:val="single" w:sz="4" w:space="0" w:color="auto"/>
              <w:right w:val="nil"/>
            </w:tcBorders>
            <w:shd w:val="clear" w:color="auto" w:fill="FFFFFF"/>
            <w:tcMar>
              <w:left w:w="67" w:type="dxa"/>
              <w:right w:w="67" w:type="dxa"/>
            </w:tcMar>
            <w:vAlign w:val="bottom"/>
          </w:tcPr>
          <w:p w14:paraId="53080699"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526</w:t>
            </w:r>
          </w:p>
        </w:tc>
        <w:tc>
          <w:tcPr>
            <w:tcW w:w="607" w:type="pct"/>
            <w:gridSpan w:val="3"/>
            <w:tcBorders>
              <w:top w:val="nil"/>
              <w:left w:val="nil"/>
              <w:bottom w:val="single" w:sz="4" w:space="0" w:color="auto"/>
              <w:right w:val="nil"/>
            </w:tcBorders>
            <w:shd w:val="clear" w:color="auto" w:fill="FFFFFF"/>
            <w:tcMar>
              <w:left w:w="67" w:type="dxa"/>
              <w:right w:w="67" w:type="dxa"/>
            </w:tcMar>
            <w:vAlign w:val="bottom"/>
          </w:tcPr>
          <w:p w14:paraId="75F1F318"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Times New Roman"/>
                <w:color w:val="000000"/>
                <w:sz w:val="18"/>
                <w:szCs w:val="18"/>
              </w:rPr>
              <w:t>1108</w:t>
            </w:r>
          </w:p>
        </w:tc>
        <w:tc>
          <w:tcPr>
            <w:tcW w:w="410" w:type="pct"/>
            <w:tcBorders>
              <w:top w:val="nil"/>
              <w:left w:val="nil"/>
              <w:bottom w:val="single" w:sz="4" w:space="0" w:color="auto"/>
              <w:right w:val="single" w:sz="4" w:space="0" w:color="auto"/>
            </w:tcBorders>
            <w:shd w:val="clear" w:color="auto" w:fill="FFFFFF"/>
            <w:tcMar>
              <w:left w:w="67" w:type="dxa"/>
              <w:right w:w="67" w:type="dxa"/>
            </w:tcMar>
            <w:vAlign w:val="bottom"/>
          </w:tcPr>
          <w:p w14:paraId="5E07E5EA" w14:textId="77777777" w:rsidR="00E07CDE" w:rsidRPr="002D1FFB" w:rsidRDefault="00E07CDE" w:rsidP="002D1FFB">
            <w:pPr>
              <w:keepNext/>
              <w:spacing w:before="67" w:after="67" w:line="240" w:lineRule="auto"/>
              <w:jc w:val="right"/>
              <w:rPr>
                <w:rFonts w:eastAsia="Times New Roman"/>
                <w:color w:val="000000"/>
                <w:sz w:val="18"/>
                <w:szCs w:val="18"/>
              </w:rPr>
            </w:pPr>
            <w:r w:rsidRPr="002D1FFB">
              <w:rPr>
                <w:rFonts w:eastAsia="Calibri"/>
                <w:bCs/>
                <w:color w:val="000000"/>
                <w:sz w:val="18"/>
                <w:szCs w:val="18"/>
                <w:lang w:eastAsia="en-US"/>
              </w:rPr>
              <w:t>1634</w:t>
            </w:r>
          </w:p>
        </w:tc>
      </w:tr>
      <w:tr w:rsidR="00E07CDE" w:rsidRPr="002D1FFB" w14:paraId="68E87578" w14:textId="77777777" w:rsidTr="00C163F3">
        <w:trPr>
          <w:cantSplit/>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tcPr>
          <w:p w14:paraId="1D6C904C" w14:textId="77777777" w:rsidR="00E07CDE" w:rsidRPr="002D1FFB" w:rsidRDefault="00E07CDE" w:rsidP="002D1FFB">
            <w:pPr>
              <w:autoSpaceDE/>
              <w:autoSpaceDN/>
              <w:adjustRightInd/>
              <w:spacing w:before="120" w:after="0" w:line="240" w:lineRule="auto"/>
              <w:rPr>
                <w:rFonts w:eastAsia="Times New Roman"/>
                <w:color w:val="000000"/>
                <w:sz w:val="18"/>
                <w:szCs w:val="18"/>
              </w:rPr>
            </w:pPr>
            <w:r w:rsidRPr="002D1FFB">
              <w:rPr>
                <w:rFonts w:eastAsia="Calibri"/>
                <w:sz w:val="18"/>
                <w:szCs w:val="18"/>
                <w:lang w:eastAsia="en-US"/>
              </w:rPr>
              <w:t>Overall score ranging from 17-68 with higher scores indicative of more confidence in delivering care to those with dementia.</w:t>
            </w:r>
          </w:p>
        </w:tc>
      </w:tr>
    </w:tbl>
    <w:p w14:paraId="38EF6FD6" w14:textId="77777777" w:rsidR="00E07CDE" w:rsidRPr="00563AD3" w:rsidRDefault="00E07CDE" w:rsidP="009B13F3">
      <w:pPr>
        <w:autoSpaceDE/>
        <w:autoSpaceDN/>
        <w:adjustRightInd/>
        <w:spacing w:before="120" w:after="0"/>
        <w:rPr>
          <w:rFonts w:eastAsia="Calibri"/>
          <w:sz w:val="24"/>
          <w:szCs w:val="24"/>
          <w:lang w:eastAsia="en-US"/>
        </w:rPr>
      </w:pPr>
    </w:p>
    <w:p w14:paraId="54A22627" w14:textId="77777777" w:rsidR="00E07CDE" w:rsidRPr="00563AD3" w:rsidRDefault="00E07CDE" w:rsidP="009B13F3">
      <w:pPr>
        <w:tabs>
          <w:tab w:val="left" w:pos="2520"/>
        </w:tabs>
        <w:autoSpaceDE/>
        <w:autoSpaceDN/>
        <w:adjustRightInd/>
        <w:spacing w:before="120" w:after="0"/>
        <w:rPr>
          <w:rFonts w:eastAsia="Calibri"/>
          <w:sz w:val="24"/>
          <w:szCs w:val="24"/>
          <w:lang w:eastAsia="en-US"/>
        </w:rPr>
      </w:pPr>
      <w:r w:rsidRPr="00563AD3">
        <w:rPr>
          <w:rFonts w:eastAsia="Calibri"/>
          <w:sz w:val="24"/>
          <w:szCs w:val="24"/>
          <w:lang w:eastAsia="en-US"/>
        </w:rPr>
        <w:tab/>
      </w:r>
    </w:p>
    <w:p w14:paraId="6A511C3D" w14:textId="77777777" w:rsidR="002D1FFB" w:rsidRDefault="002D1FFB">
      <w:pPr>
        <w:autoSpaceDE/>
        <w:autoSpaceDN/>
        <w:adjustRightInd/>
        <w:spacing w:line="259" w:lineRule="auto"/>
        <w:rPr>
          <w:rFonts w:eastAsia="Calibri"/>
          <w:b/>
          <w:lang w:eastAsia="en-US"/>
        </w:rPr>
      </w:pPr>
      <w:r>
        <w:rPr>
          <w:rFonts w:eastAsia="Calibri"/>
          <w:lang w:eastAsia="en-US"/>
        </w:rPr>
        <w:br w:type="page"/>
      </w:r>
    </w:p>
    <w:p w14:paraId="6B9E95F5" w14:textId="32341A5B" w:rsidR="00E07CDE" w:rsidRPr="00563AD3" w:rsidRDefault="00E07CDE" w:rsidP="002D1FFB">
      <w:pPr>
        <w:pStyle w:val="Tableheading"/>
        <w:rPr>
          <w:rFonts w:eastAsia="Calibri"/>
          <w:lang w:eastAsia="en-US"/>
        </w:rPr>
      </w:pPr>
      <w:bookmarkStart w:id="265" w:name="_Toc948229"/>
      <w:r w:rsidRPr="00563AD3">
        <w:rPr>
          <w:rFonts w:eastAsia="Calibri"/>
          <w:lang w:eastAsia="en-US"/>
        </w:rPr>
        <w:t xml:space="preserve">Table </w:t>
      </w:r>
      <w:r w:rsidR="00F9110A">
        <w:rPr>
          <w:rFonts w:eastAsia="Calibri"/>
          <w:lang w:eastAsia="en-US"/>
        </w:rPr>
        <w:t>32</w:t>
      </w:r>
      <w:r w:rsidR="00F9110A" w:rsidRPr="00563AD3">
        <w:rPr>
          <w:rFonts w:eastAsia="Calibri"/>
          <w:lang w:eastAsia="en-US"/>
        </w:rPr>
        <w:t xml:space="preserve"> </w:t>
      </w:r>
      <w:r w:rsidRPr="00563AD3">
        <w:rPr>
          <w:rFonts w:eastAsia="Calibri"/>
          <w:lang w:eastAsia="en-US"/>
        </w:rPr>
        <w:t>QUALID – completed by relative/ friend (out of relatives that were registered at each timepoint)</w:t>
      </w:r>
      <w:bookmarkEnd w:id="265"/>
    </w:p>
    <w:tbl>
      <w:tblPr>
        <w:tblW w:w="0" w:type="auto"/>
        <w:jc w:val="center"/>
        <w:tblCellMar>
          <w:left w:w="0" w:type="dxa"/>
          <w:right w:w="0" w:type="dxa"/>
        </w:tblCellMar>
        <w:tblLook w:val="0000" w:firstRow="0" w:lastRow="0" w:firstColumn="0" w:lastColumn="0" w:noHBand="0" w:noVBand="0"/>
      </w:tblPr>
      <w:tblGrid>
        <w:gridCol w:w="1695"/>
        <w:gridCol w:w="1046"/>
        <w:gridCol w:w="1165"/>
        <w:gridCol w:w="881"/>
        <w:gridCol w:w="874"/>
        <w:gridCol w:w="1165"/>
        <w:gridCol w:w="1048"/>
        <w:gridCol w:w="824"/>
        <w:gridCol w:w="1165"/>
        <w:gridCol w:w="1048"/>
        <w:gridCol w:w="824"/>
        <w:gridCol w:w="1165"/>
        <w:gridCol w:w="1048"/>
      </w:tblGrid>
      <w:tr w:rsidR="00E07CDE" w:rsidRPr="002D1FFB" w14:paraId="2447F6EC" w14:textId="77777777" w:rsidTr="002D1FFB">
        <w:trPr>
          <w:cantSplit/>
          <w:tblHeader/>
          <w:jc w:val="center"/>
        </w:trPr>
        <w:tc>
          <w:tcPr>
            <w:tcW w:w="1695" w:type="dxa"/>
            <w:tcBorders>
              <w:top w:val="single" w:sz="4" w:space="0" w:color="auto"/>
              <w:left w:val="single" w:sz="4" w:space="0" w:color="auto"/>
              <w:bottom w:val="nil"/>
              <w:right w:val="nil"/>
            </w:tcBorders>
            <w:shd w:val="clear" w:color="auto" w:fill="FFFFFF"/>
            <w:tcMar>
              <w:left w:w="67" w:type="dxa"/>
              <w:right w:w="67" w:type="dxa"/>
            </w:tcMar>
            <w:vAlign w:val="bottom"/>
          </w:tcPr>
          <w:p w14:paraId="3DEBD882" w14:textId="77777777" w:rsidR="00E07CDE" w:rsidRPr="002D1FFB" w:rsidRDefault="00E07CDE" w:rsidP="002D1FFB">
            <w:pPr>
              <w:keepNext/>
              <w:autoSpaceDE/>
              <w:autoSpaceDN/>
              <w:spacing w:before="67" w:after="67" w:line="240" w:lineRule="auto"/>
              <w:jc w:val="center"/>
              <w:rPr>
                <w:rFonts w:eastAsia="Calibri"/>
                <w:b/>
                <w:bCs/>
                <w:color w:val="000000"/>
                <w:sz w:val="18"/>
                <w:szCs w:val="18"/>
                <w:lang w:eastAsia="en-US"/>
              </w:rPr>
            </w:pPr>
            <w:r w:rsidRPr="002D1FFB">
              <w:rPr>
                <w:rFonts w:eastAsia="Calibri"/>
                <w:sz w:val="18"/>
                <w:szCs w:val="18"/>
                <w:lang w:eastAsia="en-US"/>
              </w:rPr>
              <w:tab/>
            </w:r>
          </w:p>
        </w:tc>
        <w:tc>
          <w:tcPr>
            <w:tcW w:w="0" w:type="auto"/>
            <w:gridSpan w:val="12"/>
            <w:tcBorders>
              <w:top w:val="single" w:sz="4" w:space="0" w:color="auto"/>
              <w:left w:val="nil"/>
              <w:bottom w:val="nil"/>
              <w:right w:val="single" w:sz="4" w:space="0" w:color="auto"/>
            </w:tcBorders>
            <w:shd w:val="clear" w:color="auto" w:fill="FFFFFF"/>
            <w:tcMar>
              <w:left w:w="67" w:type="dxa"/>
              <w:right w:w="67" w:type="dxa"/>
            </w:tcMar>
            <w:vAlign w:val="bottom"/>
          </w:tcPr>
          <w:p w14:paraId="1BDDBA7C" w14:textId="77777777" w:rsidR="00E07CDE" w:rsidRPr="002D1FFB" w:rsidRDefault="00E07CDE" w:rsidP="002D1FFB">
            <w:pPr>
              <w:keepNext/>
              <w:autoSpaceDE/>
              <w:autoSpaceDN/>
              <w:spacing w:before="67" w:after="67" w:line="240" w:lineRule="auto"/>
              <w:jc w:val="center"/>
              <w:rPr>
                <w:rFonts w:eastAsia="Calibri"/>
                <w:b/>
                <w:bCs/>
                <w:color w:val="000000"/>
                <w:sz w:val="18"/>
                <w:szCs w:val="18"/>
                <w:lang w:eastAsia="en-US"/>
              </w:rPr>
            </w:pPr>
            <w:r w:rsidRPr="002D1FFB">
              <w:rPr>
                <w:rFonts w:eastAsia="Calibri"/>
                <w:b/>
                <w:bCs/>
                <w:color w:val="000000"/>
                <w:sz w:val="18"/>
                <w:szCs w:val="18"/>
                <w:lang w:eastAsia="en-US"/>
              </w:rPr>
              <w:t>QUALID summaries – completed by relative/ friend</w:t>
            </w:r>
          </w:p>
        </w:tc>
      </w:tr>
      <w:tr w:rsidR="00E07CDE" w:rsidRPr="002D1FFB" w14:paraId="1FC0799D" w14:textId="77777777" w:rsidTr="002D1FFB">
        <w:trPr>
          <w:cantSplit/>
          <w:tblHeader/>
          <w:jc w:val="center"/>
        </w:trPr>
        <w:tc>
          <w:tcPr>
            <w:tcW w:w="1695" w:type="dxa"/>
            <w:tcBorders>
              <w:top w:val="nil"/>
              <w:left w:val="single" w:sz="4" w:space="0" w:color="auto"/>
              <w:bottom w:val="nil"/>
              <w:right w:val="nil"/>
            </w:tcBorders>
            <w:shd w:val="clear" w:color="auto" w:fill="FFFFFF"/>
            <w:tcMar>
              <w:left w:w="67" w:type="dxa"/>
              <w:right w:w="67" w:type="dxa"/>
            </w:tcMar>
            <w:vAlign w:val="bottom"/>
          </w:tcPr>
          <w:p w14:paraId="77D88755" w14:textId="77777777" w:rsidR="00E07CDE" w:rsidRPr="002D1FFB" w:rsidRDefault="00E07CDE" w:rsidP="002D1FFB">
            <w:pPr>
              <w:keepNext/>
              <w:autoSpaceDE/>
              <w:autoSpaceDN/>
              <w:spacing w:before="67" w:after="67" w:line="240" w:lineRule="auto"/>
              <w:jc w:val="center"/>
              <w:rPr>
                <w:rFonts w:eastAsia="Calibri"/>
                <w:b/>
                <w:bCs/>
                <w:color w:val="000000"/>
                <w:sz w:val="18"/>
                <w:szCs w:val="18"/>
                <w:lang w:eastAsia="en-US"/>
              </w:rPr>
            </w:pPr>
          </w:p>
        </w:tc>
        <w:tc>
          <w:tcPr>
            <w:tcW w:w="3092" w:type="dxa"/>
            <w:gridSpan w:val="3"/>
            <w:tcBorders>
              <w:top w:val="nil"/>
              <w:left w:val="nil"/>
              <w:bottom w:val="nil"/>
              <w:right w:val="nil"/>
            </w:tcBorders>
            <w:shd w:val="clear" w:color="auto" w:fill="FFFFFF"/>
            <w:tcMar>
              <w:left w:w="67" w:type="dxa"/>
              <w:right w:w="67" w:type="dxa"/>
            </w:tcMar>
            <w:vAlign w:val="bottom"/>
          </w:tcPr>
          <w:p w14:paraId="48CCD2A5" w14:textId="77777777" w:rsidR="00E07CDE" w:rsidRPr="002D1FFB" w:rsidRDefault="00E07CDE" w:rsidP="002D1FFB">
            <w:pPr>
              <w:keepNext/>
              <w:autoSpaceDE/>
              <w:autoSpaceDN/>
              <w:spacing w:before="67" w:after="67" w:line="240" w:lineRule="auto"/>
              <w:jc w:val="center"/>
              <w:rPr>
                <w:rFonts w:eastAsia="Calibri"/>
                <w:b/>
                <w:bCs/>
                <w:color w:val="000000"/>
                <w:sz w:val="18"/>
                <w:szCs w:val="18"/>
                <w:lang w:eastAsia="en-US"/>
              </w:rPr>
            </w:pPr>
            <w:r w:rsidRPr="002D1FFB">
              <w:rPr>
                <w:rFonts w:eastAsia="Calibri"/>
                <w:b/>
                <w:bCs/>
                <w:color w:val="000000"/>
                <w:sz w:val="18"/>
                <w:szCs w:val="18"/>
                <w:lang w:eastAsia="en-US"/>
              </w:rPr>
              <w:t>Baseline</w:t>
            </w:r>
          </w:p>
        </w:tc>
        <w:tc>
          <w:tcPr>
            <w:tcW w:w="3087" w:type="dxa"/>
            <w:gridSpan w:val="3"/>
            <w:tcBorders>
              <w:top w:val="nil"/>
              <w:left w:val="nil"/>
              <w:bottom w:val="nil"/>
              <w:right w:val="nil"/>
            </w:tcBorders>
            <w:shd w:val="clear" w:color="auto" w:fill="D9D9D9" w:themeFill="background1" w:themeFillShade="D9"/>
            <w:tcMar>
              <w:left w:w="67" w:type="dxa"/>
              <w:right w:w="67" w:type="dxa"/>
            </w:tcMar>
            <w:vAlign w:val="bottom"/>
          </w:tcPr>
          <w:p w14:paraId="74B9ED10" w14:textId="07D27EAA" w:rsidR="00E07CDE" w:rsidRPr="002D1FFB" w:rsidRDefault="00921620" w:rsidP="002D1FFB">
            <w:pPr>
              <w:keepNext/>
              <w:autoSpaceDE/>
              <w:autoSpaceDN/>
              <w:spacing w:before="67" w:after="67" w:line="240" w:lineRule="auto"/>
              <w:jc w:val="center"/>
              <w:rPr>
                <w:rFonts w:eastAsia="Calibri"/>
                <w:b/>
                <w:bCs/>
                <w:color w:val="000000"/>
                <w:sz w:val="18"/>
                <w:szCs w:val="18"/>
                <w:lang w:eastAsia="en-US"/>
              </w:rPr>
            </w:pPr>
            <w:r w:rsidRPr="002D1FFB">
              <w:rPr>
                <w:rFonts w:eastAsia="Calibri"/>
                <w:b/>
                <w:bCs/>
                <w:color w:val="000000"/>
                <w:sz w:val="18"/>
                <w:szCs w:val="18"/>
                <w:lang w:eastAsia="en-US"/>
              </w:rPr>
              <w:t>6-</w:t>
            </w:r>
            <w:r w:rsidR="00E07CDE" w:rsidRPr="002D1FFB">
              <w:rPr>
                <w:rFonts w:eastAsia="Calibri"/>
                <w:b/>
                <w:bCs/>
                <w:color w:val="000000"/>
                <w:sz w:val="18"/>
                <w:szCs w:val="18"/>
                <w:lang w:eastAsia="en-US"/>
              </w:rPr>
              <w:t>months</w:t>
            </w:r>
          </w:p>
        </w:tc>
        <w:tc>
          <w:tcPr>
            <w:tcW w:w="3037" w:type="dxa"/>
            <w:gridSpan w:val="3"/>
            <w:tcBorders>
              <w:top w:val="nil"/>
              <w:left w:val="nil"/>
              <w:bottom w:val="nil"/>
              <w:right w:val="nil"/>
            </w:tcBorders>
            <w:shd w:val="clear" w:color="auto" w:fill="FFFFFF"/>
            <w:tcMar>
              <w:left w:w="67" w:type="dxa"/>
              <w:right w:w="67" w:type="dxa"/>
            </w:tcMar>
            <w:vAlign w:val="bottom"/>
          </w:tcPr>
          <w:p w14:paraId="1BC878F3" w14:textId="5452B138" w:rsidR="00E07CDE" w:rsidRPr="002D1FFB" w:rsidRDefault="00921620" w:rsidP="002D1FFB">
            <w:pPr>
              <w:keepNext/>
              <w:autoSpaceDE/>
              <w:autoSpaceDN/>
              <w:spacing w:before="67" w:after="67" w:line="240" w:lineRule="auto"/>
              <w:jc w:val="center"/>
              <w:rPr>
                <w:rFonts w:eastAsia="Calibri"/>
                <w:b/>
                <w:bCs/>
                <w:color w:val="000000"/>
                <w:sz w:val="18"/>
                <w:szCs w:val="18"/>
                <w:lang w:eastAsia="en-US"/>
              </w:rPr>
            </w:pPr>
            <w:r w:rsidRPr="002D1FFB">
              <w:rPr>
                <w:rFonts w:eastAsia="Calibri"/>
                <w:b/>
                <w:bCs/>
                <w:color w:val="000000"/>
                <w:sz w:val="18"/>
                <w:szCs w:val="18"/>
                <w:lang w:eastAsia="en-US"/>
              </w:rPr>
              <w:t>16-</w:t>
            </w:r>
            <w:r w:rsidR="00E07CDE" w:rsidRPr="002D1FFB">
              <w:rPr>
                <w:rFonts w:eastAsia="Calibri"/>
                <w:b/>
                <w:bCs/>
                <w:color w:val="000000"/>
                <w:sz w:val="18"/>
                <w:szCs w:val="18"/>
                <w:lang w:eastAsia="en-US"/>
              </w:rPr>
              <w:t>months</w:t>
            </w:r>
            <w:r w:rsidR="00E07CDE" w:rsidRPr="002D1FFB">
              <w:rPr>
                <w:rFonts w:eastAsia="Calibri"/>
                <w:b/>
                <w:bCs/>
                <w:color w:val="000000"/>
                <w:sz w:val="18"/>
                <w:szCs w:val="18"/>
                <w:lang w:eastAsia="en-US"/>
              </w:rPr>
              <w:br/>
              <w:t>original cohort</w:t>
            </w:r>
          </w:p>
        </w:tc>
        <w:tc>
          <w:tcPr>
            <w:tcW w:w="3037" w:type="dxa"/>
            <w:gridSpan w:val="3"/>
            <w:tcBorders>
              <w:top w:val="nil"/>
              <w:left w:val="nil"/>
              <w:bottom w:val="nil"/>
              <w:right w:val="single" w:sz="4" w:space="0" w:color="auto"/>
            </w:tcBorders>
            <w:shd w:val="clear" w:color="auto" w:fill="D9D9D9" w:themeFill="background1" w:themeFillShade="D9"/>
            <w:tcMar>
              <w:left w:w="67" w:type="dxa"/>
              <w:right w:w="67" w:type="dxa"/>
            </w:tcMar>
            <w:vAlign w:val="bottom"/>
          </w:tcPr>
          <w:p w14:paraId="74D4B8BF" w14:textId="03C5A60B" w:rsidR="00E07CDE" w:rsidRPr="002D1FFB" w:rsidRDefault="00921620" w:rsidP="002D1FFB">
            <w:pPr>
              <w:keepNext/>
              <w:autoSpaceDE/>
              <w:autoSpaceDN/>
              <w:spacing w:before="67" w:after="67" w:line="240" w:lineRule="auto"/>
              <w:jc w:val="center"/>
              <w:rPr>
                <w:rFonts w:eastAsia="Calibri"/>
                <w:b/>
                <w:bCs/>
                <w:color w:val="000000"/>
                <w:sz w:val="18"/>
                <w:szCs w:val="18"/>
                <w:lang w:eastAsia="en-US"/>
              </w:rPr>
            </w:pPr>
            <w:r w:rsidRPr="002D1FFB">
              <w:rPr>
                <w:rFonts w:eastAsia="Calibri"/>
                <w:b/>
                <w:bCs/>
                <w:color w:val="000000"/>
                <w:sz w:val="18"/>
                <w:szCs w:val="18"/>
                <w:lang w:eastAsia="en-US"/>
              </w:rPr>
              <w:t>16-</w:t>
            </w:r>
            <w:r w:rsidR="00E07CDE" w:rsidRPr="002D1FFB">
              <w:rPr>
                <w:rFonts w:eastAsia="Calibri"/>
                <w:b/>
                <w:bCs/>
                <w:color w:val="000000"/>
                <w:sz w:val="18"/>
                <w:szCs w:val="18"/>
                <w:lang w:eastAsia="en-US"/>
              </w:rPr>
              <w:t>months</w:t>
            </w:r>
            <w:r w:rsidR="00E07CDE" w:rsidRPr="002D1FFB">
              <w:rPr>
                <w:rFonts w:eastAsia="Calibri"/>
                <w:b/>
                <w:bCs/>
                <w:color w:val="000000"/>
                <w:sz w:val="18"/>
                <w:szCs w:val="18"/>
                <w:lang w:eastAsia="en-US"/>
              </w:rPr>
              <w:br/>
              <w:t>cross-sectional cohort</w:t>
            </w:r>
          </w:p>
        </w:tc>
      </w:tr>
      <w:tr w:rsidR="00E07CDE" w:rsidRPr="002D1FFB" w14:paraId="3AC1F63B" w14:textId="77777777" w:rsidTr="002D1FFB">
        <w:trPr>
          <w:cantSplit/>
          <w:tblHeader/>
          <w:jc w:val="center"/>
        </w:trPr>
        <w:tc>
          <w:tcPr>
            <w:tcW w:w="1695" w:type="dxa"/>
            <w:tcBorders>
              <w:top w:val="nil"/>
              <w:left w:val="single" w:sz="4" w:space="0" w:color="auto"/>
              <w:bottom w:val="single" w:sz="4" w:space="0" w:color="000000"/>
              <w:right w:val="nil"/>
            </w:tcBorders>
            <w:shd w:val="clear" w:color="auto" w:fill="FFFFFF"/>
            <w:tcMar>
              <w:left w:w="67" w:type="dxa"/>
              <w:right w:w="67" w:type="dxa"/>
            </w:tcMar>
            <w:vAlign w:val="bottom"/>
          </w:tcPr>
          <w:p w14:paraId="36064A30" w14:textId="77777777" w:rsidR="00E07CDE" w:rsidRPr="002D1FFB" w:rsidRDefault="00E07CDE" w:rsidP="002D1FFB">
            <w:pPr>
              <w:keepNext/>
              <w:autoSpaceDE/>
              <w:autoSpaceDN/>
              <w:spacing w:before="67" w:after="67" w:line="240" w:lineRule="auto"/>
              <w:jc w:val="center"/>
              <w:rPr>
                <w:rFonts w:eastAsia="Calibri"/>
                <w:b/>
                <w:bCs/>
                <w:color w:val="000000"/>
                <w:sz w:val="18"/>
                <w:szCs w:val="18"/>
                <w:lang w:eastAsia="en-US"/>
              </w:rPr>
            </w:pPr>
            <w:r w:rsidRPr="002D1FFB">
              <w:rPr>
                <w:rFonts w:eastAsia="Calibri"/>
                <w:b/>
                <w:bCs/>
                <w:color w:val="000000"/>
                <w:sz w:val="18"/>
                <w:szCs w:val="18"/>
                <w:lang w:eastAsia="en-US"/>
              </w:rPr>
              <w:t>Mean (SD) missing</w:t>
            </w:r>
            <w:r w:rsidRPr="002D1FFB">
              <w:rPr>
                <w:rFonts w:eastAsia="Calibri"/>
                <w:b/>
                <w:bCs/>
                <w:color w:val="000000"/>
                <w:sz w:val="18"/>
                <w:szCs w:val="18"/>
                <w:lang w:eastAsia="en-US"/>
              </w:rPr>
              <w:br/>
              <w:t>Median (IQR)</w:t>
            </w:r>
          </w:p>
        </w:tc>
        <w:tc>
          <w:tcPr>
            <w:tcW w:w="1046" w:type="dxa"/>
            <w:tcBorders>
              <w:top w:val="nil"/>
              <w:left w:val="nil"/>
              <w:bottom w:val="single" w:sz="4" w:space="0" w:color="000000"/>
              <w:right w:val="nil"/>
            </w:tcBorders>
            <w:shd w:val="clear" w:color="auto" w:fill="FFFFFF"/>
            <w:tcMar>
              <w:left w:w="67" w:type="dxa"/>
              <w:right w:w="67" w:type="dxa"/>
            </w:tcMar>
            <w:vAlign w:val="bottom"/>
          </w:tcPr>
          <w:p w14:paraId="2A58D839"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Control        (n = 96)</w:t>
            </w:r>
          </w:p>
        </w:tc>
        <w:tc>
          <w:tcPr>
            <w:tcW w:w="1165" w:type="dxa"/>
            <w:tcBorders>
              <w:top w:val="nil"/>
              <w:left w:val="nil"/>
              <w:bottom w:val="single" w:sz="4" w:space="0" w:color="000000"/>
              <w:right w:val="nil"/>
            </w:tcBorders>
            <w:shd w:val="clear" w:color="auto" w:fill="FFFFFF"/>
            <w:tcMar>
              <w:left w:w="67" w:type="dxa"/>
              <w:right w:w="67" w:type="dxa"/>
            </w:tcMar>
            <w:vAlign w:val="bottom"/>
          </w:tcPr>
          <w:p w14:paraId="2D6BD2CF"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Intervention (n = 101)</w:t>
            </w:r>
          </w:p>
        </w:tc>
        <w:tc>
          <w:tcPr>
            <w:tcW w:w="881" w:type="dxa"/>
            <w:tcBorders>
              <w:top w:val="nil"/>
              <w:left w:val="nil"/>
              <w:bottom w:val="single" w:sz="4" w:space="0" w:color="000000"/>
              <w:right w:val="nil"/>
            </w:tcBorders>
            <w:shd w:val="clear" w:color="auto" w:fill="FFFFFF"/>
            <w:tcMar>
              <w:left w:w="67" w:type="dxa"/>
              <w:right w:w="67" w:type="dxa"/>
            </w:tcMar>
            <w:vAlign w:val="bottom"/>
          </w:tcPr>
          <w:p w14:paraId="1C830959"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Total        (n = 197)</w:t>
            </w:r>
          </w:p>
        </w:tc>
        <w:tc>
          <w:tcPr>
            <w:tcW w:w="874" w:type="dxa"/>
            <w:tcBorders>
              <w:top w:val="nil"/>
              <w:left w:val="nil"/>
              <w:bottom w:val="single" w:sz="4" w:space="0" w:color="000000"/>
              <w:right w:val="nil"/>
            </w:tcBorders>
            <w:shd w:val="clear" w:color="auto" w:fill="D9D9D9" w:themeFill="background1" w:themeFillShade="D9"/>
            <w:tcMar>
              <w:left w:w="67" w:type="dxa"/>
              <w:right w:w="67" w:type="dxa"/>
            </w:tcMar>
            <w:vAlign w:val="bottom"/>
          </w:tcPr>
          <w:p w14:paraId="6A0A4D02"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Control          (n = 85)</w:t>
            </w:r>
          </w:p>
        </w:tc>
        <w:tc>
          <w:tcPr>
            <w:tcW w:w="1165" w:type="dxa"/>
            <w:tcBorders>
              <w:top w:val="nil"/>
              <w:left w:val="nil"/>
              <w:bottom w:val="single" w:sz="4" w:space="0" w:color="000000"/>
              <w:right w:val="nil"/>
            </w:tcBorders>
            <w:shd w:val="clear" w:color="auto" w:fill="D9D9D9" w:themeFill="background1" w:themeFillShade="D9"/>
            <w:tcMar>
              <w:left w:w="67" w:type="dxa"/>
              <w:right w:w="67" w:type="dxa"/>
            </w:tcMar>
            <w:vAlign w:val="bottom"/>
          </w:tcPr>
          <w:p w14:paraId="28392FFA"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Intervention (n = 85)</w:t>
            </w:r>
          </w:p>
        </w:tc>
        <w:tc>
          <w:tcPr>
            <w:tcW w:w="1048" w:type="dxa"/>
            <w:tcBorders>
              <w:top w:val="nil"/>
              <w:left w:val="nil"/>
              <w:bottom w:val="single" w:sz="4" w:space="0" w:color="000000"/>
              <w:right w:val="nil"/>
            </w:tcBorders>
            <w:shd w:val="clear" w:color="auto" w:fill="D9D9D9" w:themeFill="background1" w:themeFillShade="D9"/>
            <w:tcMar>
              <w:left w:w="67" w:type="dxa"/>
              <w:right w:w="67" w:type="dxa"/>
            </w:tcMar>
            <w:vAlign w:val="bottom"/>
          </w:tcPr>
          <w:p w14:paraId="34F25307"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Total            (n = 170)</w:t>
            </w:r>
          </w:p>
        </w:tc>
        <w:tc>
          <w:tcPr>
            <w:tcW w:w="824" w:type="dxa"/>
            <w:tcBorders>
              <w:top w:val="nil"/>
              <w:left w:val="nil"/>
              <w:bottom w:val="single" w:sz="4" w:space="0" w:color="000000"/>
              <w:right w:val="nil"/>
            </w:tcBorders>
            <w:shd w:val="clear" w:color="auto" w:fill="FFFFFF"/>
            <w:tcMar>
              <w:left w:w="67" w:type="dxa"/>
              <w:right w:w="67" w:type="dxa"/>
            </w:tcMar>
            <w:vAlign w:val="bottom"/>
          </w:tcPr>
          <w:p w14:paraId="4F67F8C7"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Control     (n = 63)</w:t>
            </w:r>
          </w:p>
        </w:tc>
        <w:tc>
          <w:tcPr>
            <w:tcW w:w="1165" w:type="dxa"/>
            <w:tcBorders>
              <w:top w:val="nil"/>
              <w:left w:val="nil"/>
              <w:bottom w:val="single" w:sz="4" w:space="0" w:color="000000"/>
              <w:right w:val="nil"/>
            </w:tcBorders>
            <w:shd w:val="clear" w:color="auto" w:fill="FFFFFF"/>
            <w:tcMar>
              <w:left w:w="67" w:type="dxa"/>
              <w:right w:w="67" w:type="dxa"/>
            </w:tcMar>
            <w:vAlign w:val="bottom"/>
          </w:tcPr>
          <w:p w14:paraId="62BFBDD6"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Intervention (n = 55)</w:t>
            </w:r>
          </w:p>
        </w:tc>
        <w:tc>
          <w:tcPr>
            <w:tcW w:w="1048" w:type="dxa"/>
            <w:tcBorders>
              <w:top w:val="nil"/>
              <w:left w:val="nil"/>
              <w:bottom w:val="single" w:sz="4" w:space="0" w:color="000000"/>
              <w:right w:val="nil"/>
            </w:tcBorders>
            <w:shd w:val="clear" w:color="auto" w:fill="FFFFFF"/>
            <w:tcMar>
              <w:left w:w="67" w:type="dxa"/>
              <w:right w:w="67" w:type="dxa"/>
            </w:tcMar>
            <w:vAlign w:val="bottom"/>
          </w:tcPr>
          <w:p w14:paraId="70E2A8E2"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Total            (n = 118)</w:t>
            </w:r>
          </w:p>
        </w:tc>
        <w:tc>
          <w:tcPr>
            <w:tcW w:w="824" w:type="dxa"/>
            <w:tcBorders>
              <w:top w:val="nil"/>
              <w:left w:val="nil"/>
              <w:bottom w:val="single" w:sz="4" w:space="0" w:color="000000"/>
              <w:right w:val="nil"/>
            </w:tcBorders>
            <w:shd w:val="clear" w:color="auto" w:fill="D9D9D9" w:themeFill="background1" w:themeFillShade="D9"/>
            <w:tcMar>
              <w:left w:w="67" w:type="dxa"/>
              <w:right w:w="67" w:type="dxa"/>
            </w:tcMar>
            <w:vAlign w:val="bottom"/>
          </w:tcPr>
          <w:p w14:paraId="4275E6C1"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Control      (n = 64)</w:t>
            </w:r>
          </w:p>
        </w:tc>
        <w:tc>
          <w:tcPr>
            <w:tcW w:w="1165" w:type="dxa"/>
            <w:tcBorders>
              <w:top w:val="nil"/>
              <w:left w:val="nil"/>
              <w:bottom w:val="single" w:sz="4" w:space="0" w:color="000000"/>
              <w:right w:val="nil"/>
            </w:tcBorders>
            <w:shd w:val="clear" w:color="auto" w:fill="D9D9D9" w:themeFill="background1" w:themeFillShade="D9"/>
            <w:tcMar>
              <w:left w:w="67" w:type="dxa"/>
              <w:right w:w="67" w:type="dxa"/>
            </w:tcMar>
            <w:vAlign w:val="bottom"/>
          </w:tcPr>
          <w:p w14:paraId="40224F4F"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Intervention (n = 55)</w:t>
            </w:r>
          </w:p>
        </w:tc>
        <w:tc>
          <w:tcPr>
            <w:tcW w:w="1048" w:type="dxa"/>
            <w:tcBorders>
              <w:top w:val="nil"/>
              <w:left w:val="nil"/>
              <w:bottom w:val="single" w:sz="4" w:space="0" w:color="000000"/>
              <w:right w:val="single" w:sz="4" w:space="0" w:color="auto"/>
            </w:tcBorders>
            <w:shd w:val="clear" w:color="auto" w:fill="D9D9D9" w:themeFill="background1" w:themeFillShade="D9"/>
            <w:tcMar>
              <w:left w:w="67" w:type="dxa"/>
              <w:right w:w="67" w:type="dxa"/>
            </w:tcMar>
            <w:vAlign w:val="bottom"/>
          </w:tcPr>
          <w:p w14:paraId="7F495154" w14:textId="77777777" w:rsidR="00E07CDE" w:rsidRPr="002D1FFB" w:rsidRDefault="00E07CDE" w:rsidP="002D1FFB">
            <w:pPr>
              <w:keepNext/>
              <w:autoSpaceDE/>
              <w:autoSpaceDN/>
              <w:spacing w:before="67" w:after="67" w:line="240" w:lineRule="auto"/>
              <w:jc w:val="right"/>
              <w:rPr>
                <w:rFonts w:eastAsia="Calibri"/>
                <w:b/>
                <w:bCs/>
                <w:color w:val="000000"/>
                <w:sz w:val="18"/>
                <w:szCs w:val="18"/>
                <w:lang w:eastAsia="en-US"/>
              </w:rPr>
            </w:pPr>
            <w:r w:rsidRPr="002D1FFB">
              <w:rPr>
                <w:rFonts w:eastAsia="Calibri"/>
                <w:b/>
                <w:bCs/>
                <w:color w:val="000000"/>
                <w:sz w:val="18"/>
                <w:szCs w:val="18"/>
                <w:lang w:eastAsia="en-US"/>
              </w:rPr>
              <w:t>Total            (n = 119)</w:t>
            </w:r>
          </w:p>
        </w:tc>
      </w:tr>
      <w:tr w:rsidR="00E07CDE" w:rsidRPr="002D1FFB" w14:paraId="458D471D" w14:textId="77777777" w:rsidTr="002D1FFB">
        <w:trPr>
          <w:cantSplit/>
          <w:jc w:val="center"/>
        </w:trPr>
        <w:tc>
          <w:tcPr>
            <w:tcW w:w="1695" w:type="dxa"/>
            <w:tcBorders>
              <w:top w:val="nil"/>
              <w:left w:val="single" w:sz="4" w:space="0" w:color="auto"/>
              <w:bottom w:val="nil"/>
              <w:right w:val="nil"/>
            </w:tcBorders>
            <w:shd w:val="clear" w:color="auto" w:fill="FFFFFF"/>
            <w:tcMar>
              <w:left w:w="67" w:type="dxa"/>
              <w:right w:w="67" w:type="dxa"/>
            </w:tcMar>
          </w:tcPr>
          <w:p w14:paraId="3E1012DF" w14:textId="77777777" w:rsidR="00E07CDE" w:rsidRPr="002D1FFB" w:rsidRDefault="00E07CDE" w:rsidP="002D1FFB">
            <w:pPr>
              <w:keepNext/>
              <w:autoSpaceDE/>
              <w:autoSpaceDN/>
              <w:spacing w:before="67" w:after="67" w:line="240" w:lineRule="auto"/>
              <w:rPr>
                <w:rFonts w:eastAsia="Calibri"/>
                <w:color w:val="000000"/>
                <w:sz w:val="18"/>
                <w:szCs w:val="18"/>
                <w:lang w:eastAsia="en-US"/>
              </w:rPr>
            </w:pPr>
            <w:r w:rsidRPr="002D1FFB">
              <w:rPr>
                <w:rFonts w:eastAsia="Calibri"/>
                <w:color w:val="000000"/>
                <w:sz w:val="18"/>
                <w:szCs w:val="18"/>
                <w:lang w:eastAsia="en-US"/>
              </w:rPr>
              <w:t>QUALID relative/  proxy</w:t>
            </w:r>
          </w:p>
        </w:tc>
        <w:tc>
          <w:tcPr>
            <w:tcW w:w="1046" w:type="dxa"/>
            <w:tcBorders>
              <w:top w:val="nil"/>
              <w:left w:val="nil"/>
              <w:bottom w:val="nil"/>
              <w:right w:val="nil"/>
            </w:tcBorders>
            <w:shd w:val="clear" w:color="auto" w:fill="FFFFFF"/>
            <w:tcMar>
              <w:left w:w="67" w:type="dxa"/>
              <w:right w:w="67" w:type="dxa"/>
            </w:tcMar>
          </w:tcPr>
          <w:p w14:paraId="09B0BBE6"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22.5 (7.49) 14</w:t>
            </w:r>
          </w:p>
        </w:tc>
        <w:tc>
          <w:tcPr>
            <w:tcW w:w="1165" w:type="dxa"/>
            <w:tcBorders>
              <w:top w:val="nil"/>
              <w:left w:val="nil"/>
              <w:bottom w:val="nil"/>
              <w:right w:val="nil"/>
            </w:tcBorders>
            <w:shd w:val="clear" w:color="auto" w:fill="FFFFFF"/>
            <w:tcMar>
              <w:left w:w="67" w:type="dxa"/>
              <w:right w:w="67" w:type="dxa"/>
            </w:tcMar>
          </w:tcPr>
          <w:p w14:paraId="5C251396"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21.6 (6.86) 20</w:t>
            </w:r>
          </w:p>
        </w:tc>
        <w:tc>
          <w:tcPr>
            <w:tcW w:w="881" w:type="dxa"/>
            <w:tcBorders>
              <w:top w:val="nil"/>
              <w:left w:val="nil"/>
              <w:bottom w:val="nil"/>
              <w:right w:val="nil"/>
            </w:tcBorders>
            <w:shd w:val="clear" w:color="auto" w:fill="FFFFFF"/>
            <w:tcMar>
              <w:left w:w="67" w:type="dxa"/>
              <w:right w:w="67" w:type="dxa"/>
            </w:tcMar>
          </w:tcPr>
          <w:p w14:paraId="156D41B4"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22 (7.18) 34</w:t>
            </w:r>
          </w:p>
        </w:tc>
        <w:tc>
          <w:tcPr>
            <w:tcW w:w="874" w:type="dxa"/>
            <w:tcBorders>
              <w:top w:val="nil"/>
              <w:left w:val="nil"/>
              <w:bottom w:val="nil"/>
              <w:right w:val="nil"/>
            </w:tcBorders>
            <w:shd w:val="clear" w:color="auto" w:fill="D9D9D9" w:themeFill="background1" w:themeFillShade="D9"/>
            <w:tcMar>
              <w:left w:w="67" w:type="dxa"/>
              <w:right w:w="67" w:type="dxa"/>
            </w:tcMar>
          </w:tcPr>
          <w:p w14:paraId="1B7E5290"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21.6 (7.18) 23</w:t>
            </w:r>
          </w:p>
        </w:tc>
        <w:tc>
          <w:tcPr>
            <w:tcW w:w="1165" w:type="dxa"/>
            <w:tcBorders>
              <w:top w:val="nil"/>
              <w:left w:val="nil"/>
              <w:bottom w:val="nil"/>
              <w:right w:val="nil"/>
            </w:tcBorders>
            <w:shd w:val="clear" w:color="auto" w:fill="D9D9D9" w:themeFill="background1" w:themeFillShade="D9"/>
            <w:tcMar>
              <w:left w:w="67" w:type="dxa"/>
              <w:right w:w="67" w:type="dxa"/>
            </w:tcMar>
          </w:tcPr>
          <w:p w14:paraId="58320C51"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22.1 (8.89) 20</w:t>
            </w:r>
          </w:p>
        </w:tc>
        <w:tc>
          <w:tcPr>
            <w:tcW w:w="1048" w:type="dxa"/>
            <w:tcBorders>
              <w:top w:val="nil"/>
              <w:left w:val="nil"/>
              <w:bottom w:val="nil"/>
              <w:right w:val="nil"/>
            </w:tcBorders>
            <w:shd w:val="clear" w:color="auto" w:fill="D9D9D9" w:themeFill="background1" w:themeFillShade="D9"/>
            <w:tcMar>
              <w:left w:w="67" w:type="dxa"/>
              <w:right w:w="67" w:type="dxa"/>
            </w:tcMar>
          </w:tcPr>
          <w:p w14:paraId="130F6D80"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21.8 (8.07) 43</w:t>
            </w:r>
          </w:p>
        </w:tc>
        <w:tc>
          <w:tcPr>
            <w:tcW w:w="824" w:type="dxa"/>
            <w:tcBorders>
              <w:top w:val="nil"/>
              <w:left w:val="nil"/>
              <w:bottom w:val="nil"/>
              <w:right w:val="nil"/>
            </w:tcBorders>
            <w:shd w:val="clear" w:color="auto" w:fill="FFFFFF"/>
            <w:tcMar>
              <w:left w:w="67" w:type="dxa"/>
              <w:right w:w="67" w:type="dxa"/>
            </w:tcMar>
          </w:tcPr>
          <w:p w14:paraId="51E87475"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23 (6.24) 25</w:t>
            </w:r>
          </w:p>
        </w:tc>
        <w:tc>
          <w:tcPr>
            <w:tcW w:w="1165" w:type="dxa"/>
            <w:tcBorders>
              <w:top w:val="nil"/>
              <w:left w:val="nil"/>
              <w:bottom w:val="nil"/>
              <w:right w:val="nil"/>
            </w:tcBorders>
            <w:shd w:val="clear" w:color="auto" w:fill="FFFFFF"/>
            <w:tcMar>
              <w:left w:w="67" w:type="dxa"/>
              <w:right w:w="67" w:type="dxa"/>
            </w:tcMar>
          </w:tcPr>
          <w:p w14:paraId="5DC885BE"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23.1 (8.41) 24</w:t>
            </w:r>
          </w:p>
        </w:tc>
        <w:tc>
          <w:tcPr>
            <w:tcW w:w="1048" w:type="dxa"/>
            <w:tcBorders>
              <w:top w:val="nil"/>
              <w:left w:val="nil"/>
              <w:bottom w:val="nil"/>
              <w:right w:val="nil"/>
            </w:tcBorders>
            <w:shd w:val="clear" w:color="auto" w:fill="FFFFFF"/>
            <w:tcMar>
              <w:left w:w="67" w:type="dxa"/>
              <w:right w:w="67" w:type="dxa"/>
            </w:tcMar>
          </w:tcPr>
          <w:p w14:paraId="70BFB0AC"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23 (7.24) 49</w:t>
            </w:r>
          </w:p>
        </w:tc>
        <w:tc>
          <w:tcPr>
            <w:tcW w:w="824" w:type="dxa"/>
            <w:tcBorders>
              <w:top w:val="nil"/>
              <w:left w:val="nil"/>
              <w:bottom w:val="nil"/>
              <w:right w:val="nil"/>
            </w:tcBorders>
            <w:shd w:val="clear" w:color="auto" w:fill="D9D9D9" w:themeFill="background1" w:themeFillShade="D9"/>
            <w:tcMar>
              <w:left w:w="67" w:type="dxa"/>
              <w:right w:w="67" w:type="dxa"/>
            </w:tcMar>
          </w:tcPr>
          <w:p w14:paraId="04E9B0D9"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23 (6.15) 25</w:t>
            </w:r>
          </w:p>
        </w:tc>
        <w:tc>
          <w:tcPr>
            <w:tcW w:w="1165" w:type="dxa"/>
            <w:tcBorders>
              <w:top w:val="nil"/>
              <w:left w:val="nil"/>
              <w:bottom w:val="nil"/>
              <w:right w:val="nil"/>
            </w:tcBorders>
            <w:shd w:val="clear" w:color="auto" w:fill="D9D9D9" w:themeFill="background1" w:themeFillShade="D9"/>
            <w:tcMar>
              <w:left w:w="67" w:type="dxa"/>
              <w:right w:w="67" w:type="dxa"/>
            </w:tcMar>
          </w:tcPr>
          <w:p w14:paraId="143219C6"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23.1 (8.41) 24</w:t>
            </w:r>
          </w:p>
        </w:tc>
        <w:tc>
          <w:tcPr>
            <w:tcW w:w="1048" w:type="dxa"/>
            <w:tcBorders>
              <w:top w:val="nil"/>
              <w:left w:val="nil"/>
              <w:bottom w:val="nil"/>
              <w:right w:val="single" w:sz="4" w:space="0" w:color="auto"/>
            </w:tcBorders>
            <w:shd w:val="clear" w:color="auto" w:fill="D9D9D9" w:themeFill="background1" w:themeFillShade="D9"/>
            <w:tcMar>
              <w:left w:w="67" w:type="dxa"/>
              <w:right w:w="67" w:type="dxa"/>
            </w:tcMar>
          </w:tcPr>
          <w:p w14:paraId="61138975" w14:textId="77777777" w:rsidR="00E07CDE" w:rsidRPr="002D1FFB" w:rsidRDefault="00E07CDE" w:rsidP="002D1FFB">
            <w:pPr>
              <w:keepNext/>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23 (7.18) 49</w:t>
            </w:r>
          </w:p>
        </w:tc>
      </w:tr>
      <w:tr w:rsidR="00E07CDE" w:rsidRPr="002D1FFB" w14:paraId="5F1B81CC" w14:textId="77777777" w:rsidTr="002D1FFB">
        <w:trPr>
          <w:cantSplit/>
          <w:jc w:val="center"/>
        </w:trPr>
        <w:tc>
          <w:tcPr>
            <w:tcW w:w="1695" w:type="dxa"/>
            <w:tcBorders>
              <w:top w:val="nil"/>
              <w:left w:val="single" w:sz="4" w:space="0" w:color="auto"/>
              <w:bottom w:val="single" w:sz="4" w:space="0" w:color="auto"/>
              <w:right w:val="nil"/>
            </w:tcBorders>
            <w:shd w:val="clear" w:color="auto" w:fill="FFFFFF"/>
            <w:tcMar>
              <w:left w:w="67" w:type="dxa"/>
              <w:right w:w="67" w:type="dxa"/>
            </w:tcMar>
          </w:tcPr>
          <w:p w14:paraId="57EDF5CE" w14:textId="77777777" w:rsidR="00E07CDE" w:rsidRPr="002D1FFB" w:rsidRDefault="00E07CDE" w:rsidP="002D1FFB">
            <w:pPr>
              <w:autoSpaceDE/>
              <w:autoSpaceDN/>
              <w:spacing w:before="67" w:after="67" w:line="240" w:lineRule="auto"/>
              <w:jc w:val="center"/>
              <w:rPr>
                <w:rFonts w:eastAsia="Calibri"/>
                <w:color w:val="000000"/>
                <w:sz w:val="18"/>
                <w:szCs w:val="18"/>
                <w:lang w:eastAsia="en-US"/>
              </w:rPr>
            </w:pPr>
          </w:p>
        </w:tc>
        <w:tc>
          <w:tcPr>
            <w:tcW w:w="1046" w:type="dxa"/>
            <w:tcBorders>
              <w:top w:val="nil"/>
              <w:left w:val="nil"/>
              <w:bottom w:val="single" w:sz="4" w:space="0" w:color="auto"/>
              <w:right w:val="nil"/>
            </w:tcBorders>
            <w:shd w:val="clear" w:color="auto" w:fill="FFFFFF"/>
            <w:tcMar>
              <w:left w:w="67" w:type="dxa"/>
              <w:right w:w="67" w:type="dxa"/>
            </w:tcMar>
          </w:tcPr>
          <w:p w14:paraId="5EFBCA9B"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21 (17, 28)</w:t>
            </w:r>
          </w:p>
        </w:tc>
        <w:tc>
          <w:tcPr>
            <w:tcW w:w="1165" w:type="dxa"/>
            <w:tcBorders>
              <w:top w:val="nil"/>
              <w:left w:val="nil"/>
              <w:bottom w:val="single" w:sz="4" w:space="0" w:color="auto"/>
              <w:right w:val="nil"/>
            </w:tcBorders>
            <w:shd w:val="clear" w:color="auto" w:fill="FFFFFF"/>
            <w:tcMar>
              <w:left w:w="67" w:type="dxa"/>
              <w:right w:w="67" w:type="dxa"/>
            </w:tcMar>
          </w:tcPr>
          <w:p w14:paraId="7C98964A"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21 (17, 25)</w:t>
            </w:r>
          </w:p>
        </w:tc>
        <w:tc>
          <w:tcPr>
            <w:tcW w:w="881" w:type="dxa"/>
            <w:tcBorders>
              <w:top w:val="nil"/>
              <w:left w:val="nil"/>
              <w:bottom w:val="single" w:sz="4" w:space="0" w:color="auto"/>
              <w:right w:val="nil"/>
            </w:tcBorders>
            <w:shd w:val="clear" w:color="auto" w:fill="FFFFFF"/>
            <w:tcMar>
              <w:left w:w="67" w:type="dxa"/>
              <w:right w:w="67" w:type="dxa"/>
            </w:tcMar>
          </w:tcPr>
          <w:p w14:paraId="04CA8A00"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21 (17, 26)</w:t>
            </w:r>
          </w:p>
        </w:tc>
        <w:tc>
          <w:tcPr>
            <w:tcW w:w="874" w:type="dxa"/>
            <w:tcBorders>
              <w:top w:val="nil"/>
              <w:left w:val="nil"/>
              <w:bottom w:val="single" w:sz="4" w:space="0" w:color="auto"/>
              <w:right w:val="nil"/>
            </w:tcBorders>
            <w:shd w:val="clear" w:color="auto" w:fill="D9D9D9" w:themeFill="background1" w:themeFillShade="D9"/>
            <w:tcMar>
              <w:left w:w="67" w:type="dxa"/>
              <w:right w:w="67" w:type="dxa"/>
            </w:tcMar>
          </w:tcPr>
          <w:p w14:paraId="691CD1E1"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20.9 (15, 25)</w:t>
            </w:r>
          </w:p>
        </w:tc>
        <w:tc>
          <w:tcPr>
            <w:tcW w:w="1165" w:type="dxa"/>
            <w:tcBorders>
              <w:top w:val="nil"/>
              <w:left w:val="nil"/>
              <w:bottom w:val="single" w:sz="4" w:space="0" w:color="auto"/>
              <w:right w:val="nil"/>
            </w:tcBorders>
            <w:shd w:val="clear" w:color="auto" w:fill="D9D9D9" w:themeFill="background1" w:themeFillShade="D9"/>
            <w:tcMar>
              <w:left w:w="67" w:type="dxa"/>
              <w:right w:w="67" w:type="dxa"/>
            </w:tcMar>
          </w:tcPr>
          <w:p w14:paraId="11AC8134"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20 (14.3, 30)</w:t>
            </w:r>
          </w:p>
        </w:tc>
        <w:tc>
          <w:tcPr>
            <w:tcW w:w="1048" w:type="dxa"/>
            <w:tcBorders>
              <w:top w:val="nil"/>
              <w:left w:val="nil"/>
              <w:bottom w:val="single" w:sz="4" w:space="0" w:color="auto"/>
              <w:right w:val="nil"/>
            </w:tcBorders>
            <w:shd w:val="clear" w:color="auto" w:fill="D9D9D9" w:themeFill="background1" w:themeFillShade="D9"/>
            <w:tcMar>
              <w:left w:w="67" w:type="dxa"/>
              <w:right w:w="67" w:type="dxa"/>
            </w:tcMar>
          </w:tcPr>
          <w:p w14:paraId="21E560EA"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20.9 (15, 27)</w:t>
            </w:r>
          </w:p>
        </w:tc>
        <w:tc>
          <w:tcPr>
            <w:tcW w:w="824" w:type="dxa"/>
            <w:tcBorders>
              <w:top w:val="nil"/>
              <w:left w:val="nil"/>
              <w:bottom w:val="single" w:sz="4" w:space="0" w:color="auto"/>
              <w:right w:val="nil"/>
            </w:tcBorders>
            <w:shd w:val="clear" w:color="auto" w:fill="FFFFFF"/>
            <w:tcMar>
              <w:left w:w="67" w:type="dxa"/>
              <w:right w:w="67" w:type="dxa"/>
            </w:tcMar>
          </w:tcPr>
          <w:p w14:paraId="77C3AD3F"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23 (18, 26)</w:t>
            </w:r>
          </w:p>
        </w:tc>
        <w:tc>
          <w:tcPr>
            <w:tcW w:w="1165" w:type="dxa"/>
            <w:tcBorders>
              <w:top w:val="nil"/>
              <w:left w:val="nil"/>
              <w:bottom w:val="single" w:sz="4" w:space="0" w:color="auto"/>
              <w:right w:val="nil"/>
            </w:tcBorders>
            <w:shd w:val="clear" w:color="auto" w:fill="FFFFFF"/>
            <w:tcMar>
              <w:left w:w="67" w:type="dxa"/>
              <w:right w:w="67" w:type="dxa"/>
            </w:tcMar>
          </w:tcPr>
          <w:p w14:paraId="28DA4B97"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22 (16.5, 29)</w:t>
            </w:r>
          </w:p>
        </w:tc>
        <w:tc>
          <w:tcPr>
            <w:tcW w:w="1048" w:type="dxa"/>
            <w:tcBorders>
              <w:top w:val="nil"/>
              <w:left w:val="nil"/>
              <w:bottom w:val="single" w:sz="4" w:space="0" w:color="auto"/>
              <w:right w:val="nil"/>
            </w:tcBorders>
            <w:shd w:val="clear" w:color="auto" w:fill="FFFFFF"/>
            <w:tcMar>
              <w:left w:w="67" w:type="dxa"/>
              <w:right w:w="67" w:type="dxa"/>
            </w:tcMar>
          </w:tcPr>
          <w:p w14:paraId="5992A384"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22 (18, 28)</w:t>
            </w:r>
          </w:p>
        </w:tc>
        <w:tc>
          <w:tcPr>
            <w:tcW w:w="824" w:type="dxa"/>
            <w:tcBorders>
              <w:top w:val="nil"/>
              <w:left w:val="nil"/>
              <w:bottom w:val="single" w:sz="4" w:space="0" w:color="auto"/>
              <w:right w:val="nil"/>
            </w:tcBorders>
            <w:shd w:val="clear" w:color="auto" w:fill="D9D9D9" w:themeFill="background1" w:themeFillShade="D9"/>
            <w:tcMar>
              <w:left w:w="67" w:type="dxa"/>
              <w:right w:w="67" w:type="dxa"/>
            </w:tcMar>
          </w:tcPr>
          <w:p w14:paraId="6997D99D"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23 (18, 26)</w:t>
            </w:r>
          </w:p>
        </w:tc>
        <w:tc>
          <w:tcPr>
            <w:tcW w:w="1165" w:type="dxa"/>
            <w:tcBorders>
              <w:top w:val="nil"/>
              <w:left w:val="nil"/>
              <w:bottom w:val="single" w:sz="4" w:space="0" w:color="auto"/>
              <w:right w:val="nil"/>
            </w:tcBorders>
            <w:shd w:val="clear" w:color="auto" w:fill="D9D9D9" w:themeFill="background1" w:themeFillShade="D9"/>
            <w:tcMar>
              <w:left w:w="67" w:type="dxa"/>
              <w:right w:w="67" w:type="dxa"/>
            </w:tcMar>
          </w:tcPr>
          <w:p w14:paraId="01845400"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22 (16.5, 29)</w:t>
            </w:r>
          </w:p>
        </w:tc>
        <w:tc>
          <w:tcPr>
            <w:tcW w:w="1048" w:type="dxa"/>
            <w:tcBorders>
              <w:top w:val="nil"/>
              <w:left w:val="nil"/>
              <w:bottom w:val="single" w:sz="4" w:space="0" w:color="auto"/>
              <w:right w:val="single" w:sz="4" w:space="0" w:color="auto"/>
            </w:tcBorders>
            <w:shd w:val="clear" w:color="auto" w:fill="D9D9D9" w:themeFill="background1" w:themeFillShade="D9"/>
            <w:tcMar>
              <w:left w:w="67" w:type="dxa"/>
              <w:right w:w="67" w:type="dxa"/>
            </w:tcMar>
          </w:tcPr>
          <w:p w14:paraId="4C97300F" w14:textId="77777777" w:rsidR="00E07CDE" w:rsidRPr="002D1FFB" w:rsidRDefault="00E07CDE" w:rsidP="002D1FFB">
            <w:pPr>
              <w:autoSpaceDE/>
              <w:autoSpaceDN/>
              <w:spacing w:before="67" w:after="67" w:line="240" w:lineRule="auto"/>
              <w:jc w:val="right"/>
              <w:rPr>
                <w:rFonts w:eastAsia="Calibri"/>
                <w:color w:val="000000"/>
                <w:sz w:val="18"/>
                <w:szCs w:val="18"/>
                <w:lang w:eastAsia="en-US"/>
              </w:rPr>
            </w:pPr>
            <w:r w:rsidRPr="002D1FFB">
              <w:rPr>
                <w:rFonts w:eastAsia="Calibri"/>
                <w:color w:val="000000"/>
                <w:sz w:val="18"/>
                <w:szCs w:val="18"/>
                <w:lang w:eastAsia="en-US"/>
              </w:rPr>
              <w:t>22.5 (18, 28)</w:t>
            </w:r>
          </w:p>
        </w:tc>
      </w:tr>
    </w:tbl>
    <w:p w14:paraId="5DF802F7" w14:textId="77777777" w:rsidR="00AE112B" w:rsidRDefault="00AE112B" w:rsidP="009B13F3">
      <w:pPr>
        <w:pStyle w:val="Heading3"/>
        <w:rPr>
          <w:rFonts w:eastAsia="Times New Roman"/>
          <w:lang w:eastAsia="en-US"/>
        </w:rPr>
        <w:sectPr w:rsidR="00AE112B" w:rsidSect="00D15FEF">
          <w:pgSz w:w="16838" w:h="11906" w:orient="landscape"/>
          <w:pgMar w:top="1440" w:right="1440" w:bottom="1440" w:left="1440" w:header="708" w:footer="708" w:gutter="0"/>
          <w:cols w:space="708"/>
          <w:docGrid w:linePitch="360"/>
        </w:sectPr>
      </w:pPr>
      <w:bookmarkStart w:id="266" w:name="_Toc500934950"/>
    </w:p>
    <w:p w14:paraId="733CAF0A" w14:textId="220CBE94" w:rsidR="00E07CDE" w:rsidRPr="00563AD3" w:rsidRDefault="00E07CDE" w:rsidP="009B13F3">
      <w:pPr>
        <w:pStyle w:val="Heading3"/>
        <w:rPr>
          <w:rFonts w:eastAsia="Times New Roman"/>
          <w:lang w:eastAsia="en-US"/>
        </w:rPr>
      </w:pPr>
      <w:bookmarkStart w:id="267" w:name="_Toc525544066"/>
      <w:r w:rsidRPr="00563AD3">
        <w:rPr>
          <w:rFonts w:eastAsia="Times New Roman"/>
          <w:lang w:eastAsia="en-US"/>
        </w:rPr>
        <w:t>Intervention</w:t>
      </w:r>
      <w:bookmarkEnd w:id="267"/>
    </w:p>
    <w:p w14:paraId="7A13F83B" w14:textId="0B4077CE" w:rsidR="00E07CDE" w:rsidRPr="00563AD3" w:rsidRDefault="00E07CDE" w:rsidP="00D15FEF">
      <w:pPr>
        <w:pStyle w:val="Tableheading"/>
        <w:rPr>
          <w:rFonts w:eastAsia="Calibri"/>
          <w:lang w:eastAsia="en-US"/>
        </w:rPr>
      </w:pPr>
      <w:bookmarkStart w:id="268" w:name="_Ref499126208"/>
      <w:bookmarkStart w:id="269" w:name="_Toc948230"/>
      <w:bookmarkStart w:id="270" w:name="_Toc500935012"/>
      <w:bookmarkStart w:id="271" w:name="_Ref499901607"/>
      <w:bookmarkStart w:id="272" w:name="_Toc500935010"/>
      <w:r w:rsidRPr="00563AD3">
        <w:rPr>
          <w:rFonts w:eastAsia="Calibri"/>
          <w:lang w:eastAsia="en-US"/>
        </w:rPr>
        <w:t xml:space="preserve">Table </w:t>
      </w:r>
      <w:bookmarkEnd w:id="268"/>
      <w:r w:rsidR="00072202">
        <w:rPr>
          <w:rFonts w:eastAsia="Calibri"/>
          <w:lang w:eastAsia="en-US"/>
        </w:rPr>
        <w:t>33</w:t>
      </w:r>
      <w:r w:rsidR="00072202" w:rsidRPr="00563AD3">
        <w:rPr>
          <w:rFonts w:eastAsia="Calibri"/>
          <w:lang w:eastAsia="en-US"/>
        </w:rPr>
        <w:t xml:space="preserve"> </w:t>
      </w:r>
      <w:r w:rsidRPr="00563AD3">
        <w:rPr>
          <w:rFonts w:eastAsia="Calibri"/>
          <w:lang w:eastAsia="en-US"/>
        </w:rPr>
        <w:t>Compliance with intervention by care home</w:t>
      </w:r>
      <w:bookmarkEnd w:id="269"/>
      <w:r w:rsidRPr="00563AD3">
        <w:rPr>
          <w:rFonts w:eastAsia="Calibri"/>
          <w:lang w:eastAsia="en-US"/>
        </w:rPr>
        <w:t xml:space="preserve"> </w:t>
      </w:r>
      <w:bookmarkEnd w:id="270"/>
    </w:p>
    <w:tbl>
      <w:tblPr>
        <w:tblW w:w="5000" w:type="pct"/>
        <w:jc w:val="center"/>
        <w:tblCellMar>
          <w:left w:w="0" w:type="dxa"/>
          <w:right w:w="0" w:type="dxa"/>
        </w:tblCellMar>
        <w:tblLook w:val="0000" w:firstRow="0" w:lastRow="0" w:firstColumn="0" w:lastColumn="0" w:noHBand="0" w:noVBand="0"/>
      </w:tblPr>
      <w:tblGrid>
        <w:gridCol w:w="1011"/>
        <w:gridCol w:w="437"/>
        <w:gridCol w:w="1510"/>
        <w:gridCol w:w="1510"/>
        <w:gridCol w:w="1510"/>
        <w:gridCol w:w="1510"/>
        <w:gridCol w:w="1510"/>
      </w:tblGrid>
      <w:tr w:rsidR="00E07CDE" w:rsidRPr="00921620" w14:paraId="62DA71BE" w14:textId="77777777" w:rsidTr="00AE112B">
        <w:trPr>
          <w:cantSplit/>
          <w:tblHeader/>
          <w:jc w:val="center"/>
        </w:trPr>
        <w:tc>
          <w:tcPr>
            <w:tcW w:w="5000" w:type="pct"/>
            <w:gridSpan w:val="7"/>
            <w:tcBorders>
              <w:top w:val="single" w:sz="11" w:space="0" w:color="000000"/>
              <w:left w:val="single" w:sz="11" w:space="0" w:color="000000"/>
              <w:bottom w:val="nil"/>
              <w:right w:val="single" w:sz="11" w:space="0" w:color="000000"/>
            </w:tcBorders>
            <w:shd w:val="clear" w:color="auto" w:fill="FFFFFF"/>
            <w:tcMar>
              <w:left w:w="67" w:type="dxa"/>
              <w:right w:w="67" w:type="dxa"/>
            </w:tcMar>
            <w:vAlign w:val="bottom"/>
          </w:tcPr>
          <w:p w14:paraId="6B26FB53" w14:textId="77777777" w:rsidR="00E07CDE" w:rsidRPr="00921620" w:rsidRDefault="00E07CDE" w:rsidP="00AE112B">
            <w:pPr>
              <w:keepNext/>
              <w:spacing w:before="67" w:after="0" w:line="240" w:lineRule="auto"/>
              <w:jc w:val="center"/>
              <w:rPr>
                <w:rFonts w:eastAsia="Times New Roman"/>
                <w:b/>
                <w:bCs/>
                <w:color w:val="000000"/>
                <w:sz w:val="20"/>
                <w:szCs w:val="20"/>
              </w:rPr>
            </w:pPr>
            <w:r w:rsidRPr="00921620">
              <w:rPr>
                <w:rFonts w:eastAsia="Times New Roman"/>
                <w:b/>
                <w:bCs/>
                <w:color w:val="000000"/>
                <w:sz w:val="20"/>
                <w:szCs w:val="20"/>
              </w:rPr>
              <w:t xml:space="preserve">Compliance with intervention by CH </w:t>
            </w:r>
          </w:p>
          <w:p w14:paraId="51847DC9" w14:textId="77777777" w:rsidR="00E07CDE" w:rsidRPr="00921620" w:rsidRDefault="00E07CDE" w:rsidP="00AE112B">
            <w:pPr>
              <w:keepNext/>
              <w:spacing w:before="67" w:after="0" w:line="240" w:lineRule="auto"/>
              <w:jc w:val="center"/>
              <w:rPr>
                <w:rFonts w:eastAsia="Times New Roman"/>
                <w:b/>
                <w:bCs/>
                <w:color w:val="000000"/>
                <w:sz w:val="20"/>
                <w:szCs w:val="20"/>
              </w:rPr>
            </w:pPr>
            <w:r w:rsidRPr="00921620">
              <w:rPr>
                <w:rFonts w:eastAsia="Times New Roman"/>
                <w:b/>
                <w:bCs/>
                <w:color w:val="000000"/>
                <w:sz w:val="20"/>
                <w:szCs w:val="20"/>
              </w:rPr>
              <w:t>(using documented evidence and expert opinion for cycle 1)</w:t>
            </w:r>
          </w:p>
        </w:tc>
      </w:tr>
      <w:tr w:rsidR="00E07CDE" w:rsidRPr="00921620" w14:paraId="690AE9B8" w14:textId="77777777" w:rsidTr="00AE112B">
        <w:trPr>
          <w:cantSplit/>
          <w:tblHeader/>
          <w:jc w:val="center"/>
        </w:trPr>
        <w:tc>
          <w:tcPr>
            <w:tcW w:w="562" w:type="pct"/>
            <w:tcBorders>
              <w:top w:val="nil"/>
              <w:left w:val="single" w:sz="11" w:space="0" w:color="000000"/>
              <w:bottom w:val="single" w:sz="4" w:space="0" w:color="000000"/>
              <w:right w:val="nil"/>
            </w:tcBorders>
            <w:shd w:val="clear" w:color="auto" w:fill="FFFFFF"/>
            <w:tcMar>
              <w:left w:w="67" w:type="dxa"/>
              <w:right w:w="67" w:type="dxa"/>
            </w:tcMar>
            <w:vAlign w:val="bottom"/>
          </w:tcPr>
          <w:p w14:paraId="714A6B2D" w14:textId="77777777" w:rsidR="00E07CDE" w:rsidRPr="00921620" w:rsidRDefault="00E07CDE" w:rsidP="00AE112B">
            <w:pPr>
              <w:keepNext/>
              <w:spacing w:before="67" w:after="0" w:line="240" w:lineRule="auto"/>
              <w:rPr>
                <w:rFonts w:eastAsia="Times New Roman"/>
                <w:b/>
                <w:bCs/>
                <w:color w:val="000000"/>
                <w:sz w:val="20"/>
                <w:szCs w:val="20"/>
              </w:rPr>
            </w:pPr>
            <w:r w:rsidRPr="00921620">
              <w:rPr>
                <w:rFonts w:eastAsia="Times New Roman"/>
                <w:b/>
                <w:bCs/>
                <w:color w:val="000000"/>
                <w:sz w:val="20"/>
                <w:szCs w:val="20"/>
              </w:rPr>
              <w:t>CH hub</w:t>
            </w:r>
          </w:p>
        </w:tc>
        <w:tc>
          <w:tcPr>
            <w:tcW w:w="243" w:type="pct"/>
            <w:tcBorders>
              <w:top w:val="nil"/>
              <w:left w:val="nil"/>
              <w:bottom w:val="single" w:sz="4" w:space="0" w:color="000000"/>
              <w:right w:val="nil"/>
            </w:tcBorders>
            <w:shd w:val="clear" w:color="auto" w:fill="FFFFFF"/>
            <w:tcMar>
              <w:left w:w="67" w:type="dxa"/>
              <w:right w:w="67" w:type="dxa"/>
            </w:tcMar>
            <w:vAlign w:val="bottom"/>
          </w:tcPr>
          <w:p w14:paraId="4EFE7F6E" w14:textId="0D26A11E" w:rsidR="00E07CDE" w:rsidRPr="00921620" w:rsidRDefault="00EC0FB7" w:rsidP="00AE112B">
            <w:pPr>
              <w:keepNext/>
              <w:spacing w:before="67" w:after="0" w:line="240" w:lineRule="auto"/>
              <w:rPr>
                <w:rFonts w:eastAsia="Times New Roman"/>
                <w:b/>
                <w:bCs/>
                <w:color w:val="000000"/>
                <w:sz w:val="20"/>
                <w:szCs w:val="20"/>
              </w:rPr>
            </w:pPr>
            <w:r>
              <w:rPr>
                <w:rFonts w:eastAsia="Times New Roman"/>
                <w:b/>
                <w:bCs/>
                <w:color w:val="000000"/>
                <w:sz w:val="20"/>
                <w:szCs w:val="20"/>
              </w:rPr>
              <w:t>CH</w:t>
            </w:r>
          </w:p>
        </w:tc>
        <w:tc>
          <w:tcPr>
            <w:tcW w:w="839" w:type="pct"/>
            <w:tcBorders>
              <w:top w:val="nil"/>
              <w:left w:val="nil"/>
              <w:bottom w:val="single" w:sz="4" w:space="0" w:color="000000"/>
              <w:right w:val="nil"/>
            </w:tcBorders>
            <w:shd w:val="clear" w:color="auto" w:fill="FFFFFF"/>
            <w:tcMar>
              <w:left w:w="67" w:type="dxa"/>
              <w:right w:w="67" w:type="dxa"/>
            </w:tcMar>
            <w:vAlign w:val="bottom"/>
          </w:tcPr>
          <w:p w14:paraId="146B6FF6" w14:textId="77777777" w:rsidR="00E07CDE" w:rsidRPr="00921620" w:rsidRDefault="00E07CDE" w:rsidP="00AE112B">
            <w:pPr>
              <w:keepNext/>
              <w:spacing w:before="67" w:after="0" w:line="240" w:lineRule="auto"/>
              <w:rPr>
                <w:rFonts w:eastAsia="Times New Roman"/>
                <w:b/>
                <w:bCs/>
                <w:color w:val="000000"/>
                <w:sz w:val="20"/>
                <w:szCs w:val="20"/>
              </w:rPr>
            </w:pPr>
            <w:r w:rsidRPr="00921620">
              <w:rPr>
                <w:rFonts w:eastAsia="Calibri"/>
                <w:b/>
                <w:sz w:val="20"/>
                <w:szCs w:val="20"/>
                <w:lang w:eastAsia="en-US"/>
              </w:rPr>
              <w:t>CYCLE 1</w:t>
            </w:r>
          </w:p>
        </w:tc>
        <w:tc>
          <w:tcPr>
            <w:tcW w:w="839" w:type="pct"/>
            <w:tcBorders>
              <w:top w:val="nil"/>
              <w:left w:val="nil"/>
              <w:bottom w:val="single" w:sz="4" w:space="0" w:color="000000"/>
              <w:right w:val="nil"/>
            </w:tcBorders>
            <w:shd w:val="clear" w:color="auto" w:fill="FFFFFF"/>
            <w:tcMar>
              <w:left w:w="67" w:type="dxa"/>
              <w:right w:w="67" w:type="dxa"/>
            </w:tcMar>
            <w:vAlign w:val="bottom"/>
          </w:tcPr>
          <w:p w14:paraId="78B2F167" w14:textId="77777777" w:rsidR="00E07CDE" w:rsidRPr="00921620" w:rsidRDefault="00E07CDE" w:rsidP="00AE112B">
            <w:pPr>
              <w:keepNext/>
              <w:spacing w:before="67" w:after="0" w:line="240" w:lineRule="auto"/>
              <w:rPr>
                <w:rFonts w:eastAsia="Times New Roman"/>
                <w:b/>
                <w:bCs/>
                <w:color w:val="000000"/>
                <w:sz w:val="20"/>
                <w:szCs w:val="20"/>
              </w:rPr>
            </w:pPr>
            <w:r w:rsidRPr="00921620">
              <w:rPr>
                <w:rFonts w:eastAsia="Calibri"/>
                <w:b/>
                <w:sz w:val="20"/>
                <w:szCs w:val="20"/>
                <w:lang w:eastAsia="en-US"/>
              </w:rPr>
              <w:t>CYCLE 2</w:t>
            </w:r>
          </w:p>
        </w:tc>
        <w:tc>
          <w:tcPr>
            <w:tcW w:w="839" w:type="pct"/>
            <w:tcBorders>
              <w:top w:val="nil"/>
              <w:left w:val="nil"/>
              <w:bottom w:val="single" w:sz="4" w:space="0" w:color="000000"/>
              <w:right w:val="nil"/>
            </w:tcBorders>
            <w:shd w:val="clear" w:color="auto" w:fill="FFFFFF"/>
            <w:tcMar>
              <w:left w:w="67" w:type="dxa"/>
              <w:right w:w="67" w:type="dxa"/>
            </w:tcMar>
            <w:vAlign w:val="bottom"/>
          </w:tcPr>
          <w:p w14:paraId="03E3EFBD" w14:textId="77777777" w:rsidR="00E07CDE" w:rsidRPr="00921620" w:rsidRDefault="00E07CDE" w:rsidP="00AE112B">
            <w:pPr>
              <w:keepNext/>
              <w:spacing w:before="67" w:after="0" w:line="240" w:lineRule="auto"/>
              <w:rPr>
                <w:rFonts w:eastAsia="Times New Roman"/>
                <w:b/>
                <w:bCs/>
                <w:color w:val="000000"/>
                <w:sz w:val="20"/>
                <w:szCs w:val="20"/>
              </w:rPr>
            </w:pPr>
            <w:r w:rsidRPr="00921620">
              <w:rPr>
                <w:rFonts w:eastAsia="Calibri"/>
                <w:b/>
                <w:sz w:val="20"/>
                <w:szCs w:val="20"/>
                <w:lang w:eastAsia="en-US"/>
              </w:rPr>
              <w:t>CYCLE 3</w:t>
            </w:r>
          </w:p>
        </w:tc>
        <w:tc>
          <w:tcPr>
            <w:tcW w:w="839" w:type="pct"/>
            <w:tcBorders>
              <w:top w:val="nil"/>
              <w:left w:val="nil"/>
              <w:bottom w:val="single" w:sz="4" w:space="0" w:color="000000"/>
              <w:right w:val="nil"/>
            </w:tcBorders>
            <w:shd w:val="clear" w:color="auto" w:fill="FFFFFF"/>
            <w:tcMar>
              <w:left w:w="67" w:type="dxa"/>
              <w:right w:w="67" w:type="dxa"/>
            </w:tcMar>
            <w:vAlign w:val="bottom"/>
          </w:tcPr>
          <w:p w14:paraId="5A70C7C0" w14:textId="240DF671" w:rsidR="00E07CDE" w:rsidRPr="00921620" w:rsidRDefault="00E07CDE" w:rsidP="00AE112B">
            <w:pPr>
              <w:keepNext/>
              <w:spacing w:before="67" w:after="0" w:line="240" w:lineRule="auto"/>
              <w:rPr>
                <w:rFonts w:eastAsia="Times New Roman"/>
                <w:b/>
                <w:bCs/>
                <w:color w:val="000000"/>
                <w:sz w:val="20"/>
                <w:szCs w:val="20"/>
              </w:rPr>
            </w:pPr>
            <w:r w:rsidRPr="00921620">
              <w:rPr>
                <w:rFonts w:eastAsia="Calibri"/>
                <w:b/>
                <w:sz w:val="20"/>
                <w:szCs w:val="20"/>
                <w:lang w:eastAsia="en-US"/>
              </w:rPr>
              <w:t>N</w:t>
            </w:r>
            <w:r w:rsidR="00921620">
              <w:rPr>
                <w:rFonts w:eastAsia="Calibri"/>
                <w:b/>
                <w:sz w:val="20"/>
                <w:szCs w:val="20"/>
                <w:lang w:eastAsia="en-US"/>
              </w:rPr>
              <w:t>o</w:t>
            </w:r>
            <w:r w:rsidRPr="00921620">
              <w:rPr>
                <w:rFonts w:eastAsia="Calibri"/>
                <w:b/>
                <w:sz w:val="20"/>
                <w:szCs w:val="20"/>
                <w:lang w:eastAsia="en-US"/>
              </w:rPr>
              <w:t xml:space="preserve"> of cycles to at least acceptable level</w:t>
            </w:r>
          </w:p>
        </w:tc>
        <w:tc>
          <w:tcPr>
            <w:tcW w:w="839" w:type="pct"/>
            <w:tcBorders>
              <w:top w:val="nil"/>
              <w:left w:val="nil"/>
              <w:bottom w:val="single" w:sz="4" w:space="0" w:color="000000"/>
              <w:right w:val="single" w:sz="11" w:space="0" w:color="000000"/>
            </w:tcBorders>
            <w:shd w:val="clear" w:color="auto" w:fill="FFFFFF"/>
            <w:tcMar>
              <w:left w:w="67" w:type="dxa"/>
              <w:right w:w="67" w:type="dxa"/>
            </w:tcMar>
            <w:vAlign w:val="bottom"/>
          </w:tcPr>
          <w:p w14:paraId="33AC0364" w14:textId="58754377" w:rsidR="00E07CDE" w:rsidRPr="00921620" w:rsidRDefault="00E07CDE" w:rsidP="00AE112B">
            <w:pPr>
              <w:keepNext/>
              <w:spacing w:before="67" w:after="0" w:line="240" w:lineRule="auto"/>
              <w:rPr>
                <w:rFonts w:eastAsia="Times New Roman"/>
                <w:b/>
                <w:bCs/>
                <w:color w:val="000000"/>
                <w:sz w:val="20"/>
                <w:szCs w:val="20"/>
              </w:rPr>
            </w:pPr>
            <w:r w:rsidRPr="00921620">
              <w:rPr>
                <w:rFonts w:eastAsia="Calibri"/>
                <w:b/>
                <w:sz w:val="20"/>
                <w:szCs w:val="20"/>
                <w:lang w:eastAsia="en-US"/>
              </w:rPr>
              <w:t>N</w:t>
            </w:r>
            <w:r w:rsidR="00921620">
              <w:rPr>
                <w:rFonts w:eastAsia="Calibri"/>
                <w:b/>
                <w:sz w:val="20"/>
                <w:szCs w:val="20"/>
                <w:lang w:eastAsia="en-US"/>
              </w:rPr>
              <w:t>o</w:t>
            </w:r>
            <w:r w:rsidRPr="00921620">
              <w:rPr>
                <w:rFonts w:eastAsia="Calibri"/>
                <w:b/>
                <w:sz w:val="20"/>
                <w:szCs w:val="20"/>
                <w:lang w:eastAsia="en-US"/>
              </w:rPr>
              <w:t xml:space="preserve"> of cycles to at least partial level</w:t>
            </w:r>
          </w:p>
        </w:tc>
      </w:tr>
      <w:tr w:rsidR="00E07CDE" w:rsidRPr="00921620" w14:paraId="7E47E9C3"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62B5223D"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Yorkshire</w:t>
            </w:r>
          </w:p>
        </w:tc>
        <w:tc>
          <w:tcPr>
            <w:tcW w:w="243" w:type="pct"/>
            <w:tcBorders>
              <w:top w:val="nil"/>
              <w:left w:val="nil"/>
              <w:bottom w:val="nil"/>
              <w:right w:val="nil"/>
            </w:tcBorders>
            <w:shd w:val="clear" w:color="auto" w:fill="FFFFFF"/>
            <w:tcMar>
              <w:left w:w="67" w:type="dxa"/>
              <w:right w:w="67" w:type="dxa"/>
            </w:tcMar>
          </w:tcPr>
          <w:p w14:paraId="59EF7BAA"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1</w:t>
            </w:r>
          </w:p>
        </w:tc>
        <w:tc>
          <w:tcPr>
            <w:tcW w:w="839" w:type="pct"/>
            <w:tcBorders>
              <w:top w:val="nil"/>
              <w:left w:val="nil"/>
              <w:bottom w:val="nil"/>
              <w:right w:val="nil"/>
            </w:tcBorders>
            <w:shd w:val="clear" w:color="auto" w:fill="FFFFFF"/>
            <w:tcMar>
              <w:left w:w="67" w:type="dxa"/>
              <w:right w:w="67" w:type="dxa"/>
            </w:tcMar>
          </w:tcPr>
          <w:p w14:paraId="53680C1D"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59A588D4"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3E7F141E"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2C339A57"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52B4D478"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4062DB29"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27DFECCE"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548C6431"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2</w:t>
            </w:r>
          </w:p>
        </w:tc>
        <w:tc>
          <w:tcPr>
            <w:tcW w:w="839" w:type="pct"/>
            <w:tcBorders>
              <w:top w:val="nil"/>
              <w:left w:val="nil"/>
              <w:bottom w:val="nil"/>
              <w:right w:val="nil"/>
            </w:tcBorders>
            <w:shd w:val="clear" w:color="auto" w:fill="FFFFFF"/>
            <w:tcMar>
              <w:left w:w="67" w:type="dxa"/>
              <w:right w:w="67" w:type="dxa"/>
            </w:tcMar>
          </w:tcPr>
          <w:p w14:paraId="28EC7EF9"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13CFE1C3"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2914BE5F"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1BD815C2"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 cycles</w:t>
            </w:r>
          </w:p>
        </w:tc>
        <w:tc>
          <w:tcPr>
            <w:tcW w:w="839" w:type="pct"/>
            <w:tcBorders>
              <w:top w:val="nil"/>
              <w:left w:val="nil"/>
              <w:bottom w:val="nil"/>
              <w:right w:val="single" w:sz="11" w:space="0" w:color="000000"/>
            </w:tcBorders>
            <w:shd w:val="clear" w:color="auto" w:fill="FFFFFF"/>
            <w:tcMar>
              <w:left w:w="67" w:type="dxa"/>
              <w:right w:w="67" w:type="dxa"/>
            </w:tcMar>
          </w:tcPr>
          <w:p w14:paraId="4BC785BF"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 cycles</w:t>
            </w:r>
          </w:p>
        </w:tc>
      </w:tr>
      <w:tr w:rsidR="00E07CDE" w:rsidRPr="00921620" w14:paraId="1CF9C136"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2B7E8784"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3021A1B4"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3</w:t>
            </w:r>
          </w:p>
        </w:tc>
        <w:tc>
          <w:tcPr>
            <w:tcW w:w="839" w:type="pct"/>
            <w:tcBorders>
              <w:top w:val="nil"/>
              <w:left w:val="nil"/>
              <w:bottom w:val="nil"/>
              <w:right w:val="nil"/>
            </w:tcBorders>
            <w:shd w:val="clear" w:color="auto" w:fill="FFFFFF"/>
            <w:tcMar>
              <w:left w:w="67" w:type="dxa"/>
              <w:right w:w="67" w:type="dxa"/>
            </w:tcMar>
          </w:tcPr>
          <w:p w14:paraId="15454C90"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1E96DF72"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1D06D58F"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2A3B8AD2"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Two cycles</w:t>
            </w:r>
          </w:p>
        </w:tc>
        <w:tc>
          <w:tcPr>
            <w:tcW w:w="839" w:type="pct"/>
            <w:tcBorders>
              <w:top w:val="nil"/>
              <w:left w:val="nil"/>
              <w:bottom w:val="nil"/>
              <w:right w:val="single" w:sz="11" w:space="0" w:color="000000"/>
            </w:tcBorders>
            <w:shd w:val="clear" w:color="auto" w:fill="FFFFFF"/>
            <w:tcMar>
              <w:left w:w="67" w:type="dxa"/>
              <w:right w:w="67" w:type="dxa"/>
            </w:tcMar>
          </w:tcPr>
          <w:p w14:paraId="494952C9"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Two cycles</w:t>
            </w:r>
          </w:p>
        </w:tc>
      </w:tr>
      <w:tr w:rsidR="00E07CDE" w:rsidRPr="00921620" w14:paraId="2E08313C"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34760671"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2EE1DE04"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8</w:t>
            </w:r>
          </w:p>
        </w:tc>
        <w:tc>
          <w:tcPr>
            <w:tcW w:w="839" w:type="pct"/>
            <w:tcBorders>
              <w:top w:val="nil"/>
              <w:left w:val="nil"/>
              <w:bottom w:val="nil"/>
              <w:right w:val="nil"/>
            </w:tcBorders>
            <w:shd w:val="clear" w:color="auto" w:fill="FFFFFF"/>
            <w:tcMar>
              <w:left w:w="67" w:type="dxa"/>
              <w:right w:w="67" w:type="dxa"/>
            </w:tcMar>
          </w:tcPr>
          <w:p w14:paraId="2A0F0570"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1D506631"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306D2ABC"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670D4C54"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 cycles</w:t>
            </w:r>
          </w:p>
        </w:tc>
        <w:tc>
          <w:tcPr>
            <w:tcW w:w="839" w:type="pct"/>
            <w:tcBorders>
              <w:top w:val="nil"/>
              <w:left w:val="nil"/>
              <w:bottom w:val="nil"/>
              <w:right w:val="single" w:sz="11" w:space="0" w:color="000000"/>
            </w:tcBorders>
            <w:shd w:val="clear" w:color="auto" w:fill="FFFFFF"/>
            <w:tcMar>
              <w:left w:w="67" w:type="dxa"/>
              <w:right w:w="67" w:type="dxa"/>
            </w:tcMar>
          </w:tcPr>
          <w:p w14:paraId="04363126"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 cycles</w:t>
            </w:r>
          </w:p>
        </w:tc>
      </w:tr>
      <w:tr w:rsidR="00E07CDE" w:rsidRPr="00921620" w14:paraId="36D72138"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0B5587A4"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6B4164EF"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9</w:t>
            </w:r>
          </w:p>
        </w:tc>
        <w:tc>
          <w:tcPr>
            <w:tcW w:w="839" w:type="pct"/>
            <w:tcBorders>
              <w:top w:val="nil"/>
              <w:left w:val="nil"/>
              <w:bottom w:val="nil"/>
              <w:right w:val="nil"/>
            </w:tcBorders>
            <w:shd w:val="clear" w:color="auto" w:fill="FFFFFF"/>
            <w:tcMar>
              <w:left w:w="67" w:type="dxa"/>
              <w:right w:w="67" w:type="dxa"/>
            </w:tcMar>
          </w:tcPr>
          <w:p w14:paraId="46CA142B"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51748C76"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Partial</w:t>
            </w:r>
          </w:p>
        </w:tc>
        <w:tc>
          <w:tcPr>
            <w:tcW w:w="839" w:type="pct"/>
            <w:tcBorders>
              <w:top w:val="nil"/>
              <w:left w:val="nil"/>
              <w:bottom w:val="nil"/>
              <w:right w:val="nil"/>
            </w:tcBorders>
            <w:shd w:val="clear" w:color="auto" w:fill="FFFFFF"/>
            <w:tcMar>
              <w:left w:w="67" w:type="dxa"/>
              <w:right w:w="67" w:type="dxa"/>
            </w:tcMar>
          </w:tcPr>
          <w:p w14:paraId="7F3D78B5"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744CC2E5"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3FDDB0DF"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Two cycles</w:t>
            </w:r>
          </w:p>
        </w:tc>
      </w:tr>
      <w:tr w:rsidR="00E07CDE" w:rsidRPr="00921620" w14:paraId="25B0A5CF"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762242BF"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1B679EB0"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17</w:t>
            </w:r>
          </w:p>
        </w:tc>
        <w:tc>
          <w:tcPr>
            <w:tcW w:w="839" w:type="pct"/>
            <w:tcBorders>
              <w:top w:val="nil"/>
              <w:left w:val="nil"/>
              <w:bottom w:val="nil"/>
              <w:right w:val="nil"/>
            </w:tcBorders>
            <w:shd w:val="clear" w:color="auto" w:fill="FFFFFF"/>
            <w:tcMar>
              <w:left w:w="67" w:type="dxa"/>
              <w:right w:w="67" w:type="dxa"/>
            </w:tcMar>
          </w:tcPr>
          <w:p w14:paraId="713F7ECE"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2BF09FDF"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Partial</w:t>
            </w:r>
          </w:p>
        </w:tc>
        <w:tc>
          <w:tcPr>
            <w:tcW w:w="839" w:type="pct"/>
            <w:tcBorders>
              <w:top w:val="nil"/>
              <w:left w:val="nil"/>
              <w:bottom w:val="nil"/>
              <w:right w:val="nil"/>
            </w:tcBorders>
            <w:shd w:val="clear" w:color="auto" w:fill="FFFFFF"/>
            <w:tcMar>
              <w:left w:w="67" w:type="dxa"/>
              <w:right w:w="67" w:type="dxa"/>
            </w:tcMar>
          </w:tcPr>
          <w:p w14:paraId="4931EB61"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Partial</w:t>
            </w:r>
          </w:p>
        </w:tc>
        <w:tc>
          <w:tcPr>
            <w:tcW w:w="839" w:type="pct"/>
            <w:tcBorders>
              <w:top w:val="nil"/>
              <w:left w:val="nil"/>
              <w:bottom w:val="nil"/>
              <w:right w:val="nil"/>
            </w:tcBorders>
            <w:shd w:val="clear" w:color="auto" w:fill="FFFFFF"/>
            <w:tcMar>
              <w:left w:w="67" w:type="dxa"/>
              <w:right w:w="67" w:type="dxa"/>
            </w:tcMar>
          </w:tcPr>
          <w:p w14:paraId="1B1FB903"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2B097A96"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Three cycles</w:t>
            </w:r>
          </w:p>
        </w:tc>
      </w:tr>
      <w:tr w:rsidR="00E07CDE" w:rsidRPr="00921620" w14:paraId="227DCF4C"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04D5BD76"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16D20161"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24</w:t>
            </w:r>
          </w:p>
        </w:tc>
        <w:tc>
          <w:tcPr>
            <w:tcW w:w="839" w:type="pct"/>
            <w:tcBorders>
              <w:top w:val="nil"/>
              <w:left w:val="nil"/>
              <w:bottom w:val="nil"/>
              <w:right w:val="nil"/>
            </w:tcBorders>
            <w:shd w:val="clear" w:color="auto" w:fill="FFFFFF"/>
            <w:tcMar>
              <w:left w:w="67" w:type="dxa"/>
              <w:right w:w="67" w:type="dxa"/>
            </w:tcMar>
          </w:tcPr>
          <w:p w14:paraId="118BB1D8"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37326983"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2406895A"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29D01578"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2ED452EB"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78279F19"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4F866CDA"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730AC3A7"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32</w:t>
            </w:r>
          </w:p>
        </w:tc>
        <w:tc>
          <w:tcPr>
            <w:tcW w:w="839" w:type="pct"/>
            <w:tcBorders>
              <w:top w:val="nil"/>
              <w:left w:val="nil"/>
              <w:bottom w:val="nil"/>
              <w:right w:val="nil"/>
            </w:tcBorders>
            <w:shd w:val="clear" w:color="auto" w:fill="FFFFFF"/>
            <w:tcMar>
              <w:left w:w="67" w:type="dxa"/>
              <w:right w:w="67" w:type="dxa"/>
            </w:tcMar>
          </w:tcPr>
          <w:p w14:paraId="7F00E369"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60213C30"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760EDFD1"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33AD41B9"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Two cycles</w:t>
            </w:r>
          </w:p>
        </w:tc>
        <w:tc>
          <w:tcPr>
            <w:tcW w:w="839" w:type="pct"/>
            <w:tcBorders>
              <w:top w:val="nil"/>
              <w:left w:val="nil"/>
              <w:bottom w:val="nil"/>
              <w:right w:val="single" w:sz="11" w:space="0" w:color="000000"/>
            </w:tcBorders>
            <w:shd w:val="clear" w:color="auto" w:fill="FFFFFF"/>
            <w:tcMar>
              <w:left w:w="67" w:type="dxa"/>
              <w:right w:w="67" w:type="dxa"/>
            </w:tcMar>
          </w:tcPr>
          <w:p w14:paraId="18BF2629"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Two cycles</w:t>
            </w:r>
          </w:p>
        </w:tc>
      </w:tr>
      <w:tr w:rsidR="00E07CDE" w:rsidRPr="00921620" w14:paraId="7CD60469"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230F88BB"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25FD3125"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33</w:t>
            </w:r>
          </w:p>
        </w:tc>
        <w:tc>
          <w:tcPr>
            <w:tcW w:w="839" w:type="pct"/>
            <w:tcBorders>
              <w:top w:val="nil"/>
              <w:left w:val="nil"/>
              <w:bottom w:val="nil"/>
              <w:right w:val="nil"/>
            </w:tcBorders>
            <w:shd w:val="clear" w:color="auto" w:fill="FFFFFF"/>
            <w:tcMar>
              <w:left w:w="67" w:type="dxa"/>
              <w:right w:w="67" w:type="dxa"/>
            </w:tcMar>
          </w:tcPr>
          <w:p w14:paraId="7D532FA8"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Partial</w:t>
            </w:r>
          </w:p>
        </w:tc>
        <w:tc>
          <w:tcPr>
            <w:tcW w:w="839" w:type="pct"/>
            <w:tcBorders>
              <w:top w:val="nil"/>
              <w:left w:val="nil"/>
              <w:bottom w:val="nil"/>
              <w:right w:val="nil"/>
            </w:tcBorders>
            <w:shd w:val="clear" w:color="auto" w:fill="FFFFFF"/>
            <w:tcMar>
              <w:left w:w="67" w:type="dxa"/>
              <w:right w:w="67" w:type="dxa"/>
            </w:tcMar>
          </w:tcPr>
          <w:p w14:paraId="7B582A5A"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005DB550"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26015FDB"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 cycles</w:t>
            </w:r>
          </w:p>
        </w:tc>
        <w:tc>
          <w:tcPr>
            <w:tcW w:w="839" w:type="pct"/>
            <w:tcBorders>
              <w:top w:val="nil"/>
              <w:left w:val="nil"/>
              <w:bottom w:val="nil"/>
              <w:right w:val="single" w:sz="11" w:space="0" w:color="000000"/>
            </w:tcBorders>
            <w:shd w:val="clear" w:color="auto" w:fill="FFFFFF"/>
            <w:tcMar>
              <w:left w:w="67" w:type="dxa"/>
              <w:right w:w="67" w:type="dxa"/>
            </w:tcMar>
          </w:tcPr>
          <w:p w14:paraId="1DC72B54"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0447262D"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39743A9D"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3AF96649"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34</w:t>
            </w:r>
          </w:p>
        </w:tc>
        <w:tc>
          <w:tcPr>
            <w:tcW w:w="839" w:type="pct"/>
            <w:tcBorders>
              <w:top w:val="nil"/>
              <w:left w:val="nil"/>
              <w:bottom w:val="nil"/>
              <w:right w:val="nil"/>
            </w:tcBorders>
            <w:shd w:val="clear" w:color="auto" w:fill="FFFFFF"/>
            <w:tcMar>
              <w:left w:w="67" w:type="dxa"/>
              <w:right w:w="67" w:type="dxa"/>
            </w:tcMar>
          </w:tcPr>
          <w:p w14:paraId="0CD5E2C7"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0469A11F"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6356D7E9"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15A5E196"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 cycles</w:t>
            </w:r>
          </w:p>
        </w:tc>
        <w:tc>
          <w:tcPr>
            <w:tcW w:w="839" w:type="pct"/>
            <w:tcBorders>
              <w:top w:val="nil"/>
              <w:left w:val="nil"/>
              <w:bottom w:val="nil"/>
              <w:right w:val="single" w:sz="11" w:space="0" w:color="000000"/>
            </w:tcBorders>
            <w:shd w:val="clear" w:color="auto" w:fill="FFFFFF"/>
            <w:tcMar>
              <w:left w:w="67" w:type="dxa"/>
              <w:right w:w="67" w:type="dxa"/>
            </w:tcMar>
          </w:tcPr>
          <w:p w14:paraId="17CBE61A"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 cycles</w:t>
            </w:r>
          </w:p>
        </w:tc>
      </w:tr>
      <w:tr w:rsidR="00E07CDE" w:rsidRPr="00921620" w14:paraId="500C64DE"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38903EB3"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10C23544"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38</w:t>
            </w:r>
          </w:p>
        </w:tc>
        <w:tc>
          <w:tcPr>
            <w:tcW w:w="839" w:type="pct"/>
            <w:tcBorders>
              <w:top w:val="nil"/>
              <w:left w:val="nil"/>
              <w:bottom w:val="nil"/>
              <w:right w:val="nil"/>
            </w:tcBorders>
            <w:shd w:val="clear" w:color="auto" w:fill="FFFFFF"/>
            <w:tcMar>
              <w:left w:w="67" w:type="dxa"/>
              <w:right w:w="67" w:type="dxa"/>
            </w:tcMar>
          </w:tcPr>
          <w:p w14:paraId="05823C30"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Partial</w:t>
            </w:r>
          </w:p>
        </w:tc>
        <w:tc>
          <w:tcPr>
            <w:tcW w:w="839" w:type="pct"/>
            <w:tcBorders>
              <w:top w:val="nil"/>
              <w:left w:val="nil"/>
              <w:bottom w:val="nil"/>
              <w:right w:val="nil"/>
            </w:tcBorders>
            <w:shd w:val="clear" w:color="auto" w:fill="FFFFFF"/>
            <w:tcMar>
              <w:left w:w="67" w:type="dxa"/>
              <w:right w:w="67" w:type="dxa"/>
            </w:tcMar>
          </w:tcPr>
          <w:p w14:paraId="704B9FAD"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2039B06D"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603213BF"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 cycles</w:t>
            </w:r>
          </w:p>
        </w:tc>
        <w:tc>
          <w:tcPr>
            <w:tcW w:w="839" w:type="pct"/>
            <w:tcBorders>
              <w:top w:val="nil"/>
              <w:left w:val="nil"/>
              <w:bottom w:val="nil"/>
              <w:right w:val="single" w:sz="11" w:space="0" w:color="000000"/>
            </w:tcBorders>
            <w:shd w:val="clear" w:color="auto" w:fill="FFFFFF"/>
            <w:tcMar>
              <w:left w:w="67" w:type="dxa"/>
              <w:right w:w="67" w:type="dxa"/>
            </w:tcMar>
          </w:tcPr>
          <w:p w14:paraId="7C2C7188"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0DEFC71D"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0686793C"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6FE5AB71"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44</w:t>
            </w:r>
          </w:p>
        </w:tc>
        <w:tc>
          <w:tcPr>
            <w:tcW w:w="839" w:type="pct"/>
            <w:tcBorders>
              <w:top w:val="nil"/>
              <w:left w:val="nil"/>
              <w:bottom w:val="nil"/>
              <w:right w:val="nil"/>
            </w:tcBorders>
            <w:shd w:val="clear" w:color="auto" w:fill="FFFFFF"/>
            <w:tcMar>
              <w:left w:w="67" w:type="dxa"/>
              <w:right w:w="67" w:type="dxa"/>
            </w:tcMar>
          </w:tcPr>
          <w:p w14:paraId="58EEF42D"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621A525D"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26D6A8D5"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1417AE33"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6B82A48E"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79785B2F"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42B649D3"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663AF685"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48</w:t>
            </w:r>
          </w:p>
        </w:tc>
        <w:tc>
          <w:tcPr>
            <w:tcW w:w="839" w:type="pct"/>
            <w:tcBorders>
              <w:top w:val="nil"/>
              <w:left w:val="nil"/>
              <w:bottom w:val="nil"/>
              <w:right w:val="nil"/>
            </w:tcBorders>
            <w:shd w:val="clear" w:color="auto" w:fill="FFFFFF"/>
            <w:tcMar>
              <w:left w:w="67" w:type="dxa"/>
              <w:right w:w="67" w:type="dxa"/>
            </w:tcMar>
          </w:tcPr>
          <w:p w14:paraId="7F104878"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2EB922F9"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0F7F7C35"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28CCB740"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Three cycles</w:t>
            </w:r>
          </w:p>
        </w:tc>
        <w:tc>
          <w:tcPr>
            <w:tcW w:w="839" w:type="pct"/>
            <w:tcBorders>
              <w:top w:val="nil"/>
              <w:left w:val="nil"/>
              <w:bottom w:val="nil"/>
              <w:right w:val="single" w:sz="11" w:space="0" w:color="000000"/>
            </w:tcBorders>
            <w:shd w:val="clear" w:color="auto" w:fill="FFFFFF"/>
            <w:tcMar>
              <w:left w:w="67" w:type="dxa"/>
              <w:right w:w="67" w:type="dxa"/>
            </w:tcMar>
          </w:tcPr>
          <w:p w14:paraId="509EDC5A"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Three cycles</w:t>
            </w:r>
          </w:p>
        </w:tc>
      </w:tr>
      <w:tr w:rsidR="00E07CDE" w:rsidRPr="00921620" w14:paraId="4DE94839"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194F08E5"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Oxford</w:t>
            </w:r>
          </w:p>
        </w:tc>
        <w:tc>
          <w:tcPr>
            <w:tcW w:w="243" w:type="pct"/>
            <w:tcBorders>
              <w:top w:val="nil"/>
              <w:left w:val="nil"/>
              <w:bottom w:val="nil"/>
              <w:right w:val="nil"/>
            </w:tcBorders>
            <w:shd w:val="clear" w:color="auto" w:fill="FFFFFF"/>
            <w:tcMar>
              <w:left w:w="67" w:type="dxa"/>
              <w:right w:w="67" w:type="dxa"/>
            </w:tcMar>
          </w:tcPr>
          <w:p w14:paraId="0815058C"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4</w:t>
            </w:r>
          </w:p>
        </w:tc>
        <w:tc>
          <w:tcPr>
            <w:tcW w:w="839" w:type="pct"/>
            <w:tcBorders>
              <w:top w:val="nil"/>
              <w:left w:val="nil"/>
              <w:bottom w:val="nil"/>
              <w:right w:val="nil"/>
            </w:tcBorders>
            <w:shd w:val="clear" w:color="auto" w:fill="FFFFFF"/>
            <w:tcMar>
              <w:left w:w="67" w:type="dxa"/>
              <w:right w:w="67" w:type="dxa"/>
            </w:tcMar>
          </w:tcPr>
          <w:p w14:paraId="298282DC"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0EE2F1D7"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33647642"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3019A1D0"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62616840"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112F670E"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09849EE8"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3FD0E8D9"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5</w:t>
            </w:r>
          </w:p>
        </w:tc>
        <w:tc>
          <w:tcPr>
            <w:tcW w:w="839" w:type="pct"/>
            <w:tcBorders>
              <w:top w:val="nil"/>
              <w:left w:val="nil"/>
              <w:bottom w:val="nil"/>
              <w:right w:val="nil"/>
            </w:tcBorders>
            <w:shd w:val="clear" w:color="auto" w:fill="FFFFFF"/>
            <w:tcMar>
              <w:left w:w="67" w:type="dxa"/>
              <w:right w:w="67" w:type="dxa"/>
            </w:tcMar>
          </w:tcPr>
          <w:p w14:paraId="4C819A02"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22FE1C04"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Partial</w:t>
            </w:r>
          </w:p>
        </w:tc>
        <w:tc>
          <w:tcPr>
            <w:tcW w:w="839" w:type="pct"/>
            <w:tcBorders>
              <w:top w:val="nil"/>
              <w:left w:val="nil"/>
              <w:bottom w:val="nil"/>
              <w:right w:val="nil"/>
            </w:tcBorders>
            <w:shd w:val="clear" w:color="auto" w:fill="FFFFFF"/>
            <w:tcMar>
              <w:left w:w="67" w:type="dxa"/>
              <w:right w:w="67" w:type="dxa"/>
            </w:tcMar>
          </w:tcPr>
          <w:p w14:paraId="09857E67"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614EEAB1"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2B8E67C3"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Two cycles</w:t>
            </w:r>
          </w:p>
        </w:tc>
      </w:tr>
      <w:tr w:rsidR="00E07CDE" w:rsidRPr="00921620" w14:paraId="621C36A5"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629134F0"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77A8C582"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6</w:t>
            </w:r>
          </w:p>
        </w:tc>
        <w:tc>
          <w:tcPr>
            <w:tcW w:w="839" w:type="pct"/>
            <w:tcBorders>
              <w:top w:val="nil"/>
              <w:left w:val="nil"/>
              <w:bottom w:val="nil"/>
              <w:right w:val="nil"/>
            </w:tcBorders>
            <w:shd w:val="clear" w:color="auto" w:fill="FFFFFF"/>
            <w:tcMar>
              <w:left w:w="67" w:type="dxa"/>
              <w:right w:w="67" w:type="dxa"/>
            </w:tcMar>
          </w:tcPr>
          <w:p w14:paraId="20AE02C4"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4EACDA77"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5845E916"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0D0BD360"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19B8D04F"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4506DA91"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6F6950E0"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365081A9"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11</w:t>
            </w:r>
          </w:p>
        </w:tc>
        <w:tc>
          <w:tcPr>
            <w:tcW w:w="839" w:type="pct"/>
            <w:tcBorders>
              <w:top w:val="nil"/>
              <w:left w:val="nil"/>
              <w:bottom w:val="nil"/>
              <w:right w:val="nil"/>
            </w:tcBorders>
            <w:shd w:val="clear" w:color="auto" w:fill="FFFFFF"/>
            <w:tcMar>
              <w:left w:w="67" w:type="dxa"/>
              <w:right w:w="67" w:type="dxa"/>
            </w:tcMar>
          </w:tcPr>
          <w:p w14:paraId="498AF39B"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72B05886"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7240F700"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4150B19D"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4FBA9C31"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1A05F49B"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32FBD38E"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01EFB120"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12</w:t>
            </w:r>
          </w:p>
        </w:tc>
        <w:tc>
          <w:tcPr>
            <w:tcW w:w="839" w:type="pct"/>
            <w:tcBorders>
              <w:top w:val="nil"/>
              <w:left w:val="nil"/>
              <w:bottom w:val="nil"/>
              <w:right w:val="nil"/>
            </w:tcBorders>
            <w:shd w:val="clear" w:color="auto" w:fill="FFFFFF"/>
            <w:tcMar>
              <w:left w:w="67" w:type="dxa"/>
              <w:right w:w="67" w:type="dxa"/>
            </w:tcMar>
          </w:tcPr>
          <w:p w14:paraId="636AD77D"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Partial</w:t>
            </w:r>
          </w:p>
        </w:tc>
        <w:tc>
          <w:tcPr>
            <w:tcW w:w="839" w:type="pct"/>
            <w:tcBorders>
              <w:top w:val="nil"/>
              <w:left w:val="nil"/>
              <w:bottom w:val="nil"/>
              <w:right w:val="nil"/>
            </w:tcBorders>
            <w:shd w:val="clear" w:color="auto" w:fill="FFFFFF"/>
            <w:tcMar>
              <w:left w:w="67" w:type="dxa"/>
              <w:right w:w="67" w:type="dxa"/>
            </w:tcMar>
          </w:tcPr>
          <w:p w14:paraId="14D9BF77"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0092F5AD"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20E79F3A"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 cycles</w:t>
            </w:r>
          </w:p>
        </w:tc>
        <w:tc>
          <w:tcPr>
            <w:tcW w:w="839" w:type="pct"/>
            <w:tcBorders>
              <w:top w:val="nil"/>
              <w:left w:val="nil"/>
              <w:bottom w:val="nil"/>
              <w:right w:val="single" w:sz="11" w:space="0" w:color="000000"/>
            </w:tcBorders>
            <w:shd w:val="clear" w:color="auto" w:fill="FFFFFF"/>
            <w:tcMar>
              <w:left w:w="67" w:type="dxa"/>
              <w:right w:w="67" w:type="dxa"/>
            </w:tcMar>
          </w:tcPr>
          <w:p w14:paraId="70D44272"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5ABBD00F"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7185B0CD"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30DCA827"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14</w:t>
            </w:r>
          </w:p>
        </w:tc>
        <w:tc>
          <w:tcPr>
            <w:tcW w:w="839" w:type="pct"/>
            <w:tcBorders>
              <w:top w:val="nil"/>
              <w:left w:val="nil"/>
              <w:bottom w:val="nil"/>
              <w:right w:val="nil"/>
            </w:tcBorders>
            <w:shd w:val="clear" w:color="auto" w:fill="FFFFFF"/>
            <w:tcMar>
              <w:left w:w="67" w:type="dxa"/>
              <w:right w:w="67" w:type="dxa"/>
            </w:tcMar>
          </w:tcPr>
          <w:p w14:paraId="1C2BA76D"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Partial</w:t>
            </w:r>
          </w:p>
        </w:tc>
        <w:tc>
          <w:tcPr>
            <w:tcW w:w="839" w:type="pct"/>
            <w:tcBorders>
              <w:top w:val="nil"/>
              <w:left w:val="nil"/>
              <w:bottom w:val="nil"/>
              <w:right w:val="nil"/>
            </w:tcBorders>
            <w:shd w:val="clear" w:color="auto" w:fill="FFFFFF"/>
            <w:tcMar>
              <w:left w:w="67" w:type="dxa"/>
              <w:right w:w="67" w:type="dxa"/>
            </w:tcMar>
          </w:tcPr>
          <w:p w14:paraId="51C2D078"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39C47D8F"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4211BB5A"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 cycles</w:t>
            </w:r>
          </w:p>
        </w:tc>
        <w:tc>
          <w:tcPr>
            <w:tcW w:w="839" w:type="pct"/>
            <w:tcBorders>
              <w:top w:val="nil"/>
              <w:left w:val="nil"/>
              <w:bottom w:val="nil"/>
              <w:right w:val="single" w:sz="11" w:space="0" w:color="000000"/>
            </w:tcBorders>
            <w:shd w:val="clear" w:color="auto" w:fill="FFFFFF"/>
            <w:tcMar>
              <w:left w:w="67" w:type="dxa"/>
              <w:right w:w="67" w:type="dxa"/>
            </w:tcMar>
          </w:tcPr>
          <w:p w14:paraId="3D4D54D2"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35EC918E"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7229AC22"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43BD88A4"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16</w:t>
            </w:r>
          </w:p>
        </w:tc>
        <w:tc>
          <w:tcPr>
            <w:tcW w:w="839" w:type="pct"/>
            <w:tcBorders>
              <w:top w:val="nil"/>
              <w:left w:val="nil"/>
              <w:bottom w:val="nil"/>
              <w:right w:val="nil"/>
            </w:tcBorders>
            <w:shd w:val="clear" w:color="auto" w:fill="FFFFFF"/>
            <w:tcMar>
              <w:left w:w="67" w:type="dxa"/>
              <w:right w:w="67" w:type="dxa"/>
            </w:tcMar>
          </w:tcPr>
          <w:p w14:paraId="592FD1D2"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1A9141C1"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51944222"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3FB9F4F5"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Three cycles</w:t>
            </w:r>
          </w:p>
        </w:tc>
        <w:tc>
          <w:tcPr>
            <w:tcW w:w="839" w:type="pct"/>
            <w:tcBorders>
              <w:top w:val="nil"/>
              <w:left w:val="nil"/>
              <w:bottom w:val="nil"/>
              <w:right w:val="single" w:sz="11" w:space="0" w:color="000000"/>
            </w:tcBorders>
            <w:shd w:val="clear" w:color="auto" w:fill="FFFFFF"/>
            <w:tcMar>
              <w:left w:w="67" w:type="dxa"/>
              <w:right w:w="67" w:type="dxa"/>
            </w:tcMar>
          </w:tcPr>
          <w:p w14:paraId="5BF73657"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Three cycles</w:t>
            </w:r>
          </w:p>
        </w:tc>
      </w:tr>
      <w:tr w:rsidR="00E07CDE" w:rsidRPr="00921620" w14:paraId="1E8665F4"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4F98C848"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334847E0"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23</w:t>
            </w:r>
          </w:p>
        </w:tc>
        <w:tc>
          <w:tcPr>
            <w:tcW w:w="839" w:type="pct"/>
            <w:tcBorders>
              <w:top w:val="nil"/>
              <w:left w:val="nil"/>
              <w:bottom w:val="nil"/>
              <w:right w:val="nil"/>
            </w:tcBorders>
            <w:shd w:val="clear" w:color="auto" w:fill="FFFFFF"/>
            <w:tcMar>
              <w:left w:w="67" w:type="dxa"/>
              <w:right w:w="67" w:type="dxa"/>
            </w:tcMar>
          </w:tcPr>
          <w:p w14:paraId="76FA2E6B"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76D3BB19" w14:textId="1EDB9255"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Partial</w:t>
            </w:r>
          </w:p>
        </w:tc>
        <w:tc>
          <w:tcPr>
            <w:tcW w:w="839" w:type="pct"/>
            <w:tcBorders>
              <w:top w:val="nil"/>
              <w:left w:val="nil"/>
              <w:bottom w:val="nil"/>
              <w:right w:val="nil"/>
            </w:tcBorders>
            <w:shd w:val="clear" w:color="auto" w:fill="FFFFFF"/>
            <w:tcMar>
              <w:left w:w="67" w:type="dxa"/>
              <w:right w:w="67" w:type="dxa"/>
            </w:tcMar>
          </w:tcPr>
          <w:p w14:paraId="33BDB494" w14:textId="5A5452BF"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Partial</w:t>
            </w:r>
          </w:p>
        </w:tc>
        <w:tc>
          <w:tcPr>
            <w:tcW w:w="839" w:type="pct"/>
            <w:tcBorders>
              <w:top w:val="nil"/>
              <w:left w:val="nil"/>
              <w:bottom w:val="nil"/>
              <w:right w:val="nil"/>
            </w:tcBorders>
            <w:shd w:val="clear" w:color="auto" w:fill="FFFFFF"/>
            <w:tcMar>
              <w:left w:w="67" w:type="dxa"/>
              <w:right w:w="67" w:type="dxa"/>
            </w:tcMar>
          </w:tcPr>
          <w:p w14:paraId="0FC56D68"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2402E7E1"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1798E690"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2501F27F"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56C0B618"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25</w:t>
            </w:r>
          </w:p>
        </w:tc>
        <w:tc>
          <w:tcPr>
            <w:tcW w:w="839" w:type="pct"/>
            <w:tcBorders>
              <w:top w:val="nil"/>
              <w:left w:val="nil"/>
              <w:bottom w:val="nil"/>
              <w:right w:val="nil"/>
            </w:tcBorders>
            <w:shd w:val="clear" w:color="auto" w:fill="FFFFFF"/>
            <w:tcMar>
              <w:left w:w="67" w:type="dxa"/>
              <w:right w:w="67" w:type="dxa"/>
            </w:tcMar>
          </w:tcPr>
          <w:p w14:paraId="3A16AD42"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13017E18"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3B4F0C47"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6296C40D"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Two cycles</w:t>
            </w:r>
          </w:p>
        </w:tc>
        <w:tc>
          <w:tcPr>
            <w:tcW w:w="839" w:type="pct"/>
            <w:tcBorders>
              <w:top w:val="nil"/>
              <w:left w:val="nil"/>
              <w:bottom w:val="nil"/>
              <w:right w:val="single" w:sz="11" w:space="0" w:color="000000"/>
            </w:tcBorders>
            <w:shd w:val="clear" w:color="auto" w:fill="FFFFFF"/>
            <w:tcMar>
              <w:left w:w="67" w:type="dxa"/>
              <w:right w:w="67" w:type="dxa"/>
            </w:tcMar>
          </w:tcPr>
          <w:p w14:paraId="4CEC12C5"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Two cycles</w:t>
            </w:r>
          </w:p>
        </w:tc>
      </w:tr>
      <w:tr w:rsidR="00E07CDE" w:rsidRPr="00921620" w14:paraId="69833283"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5FD1D15E"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London</w:t>
            </w:r>
          </w:p>
        </w:tc>
        <w:tc>
          <w:tcPr>
            <w:tcW w:w="243" w:type="pct"/>
            <w:tcBorders>
              <w:top w:val="nil"/>
              <w:left w:val="nil"/>
              <w:bottom w:val="nil"/>
              <w:right w:val="nil"/>
            </w:tcBorders>
            <w:shd w:val="clear" w:color="auto" w:fill="FFFFFF"/>
            <w:tcMar>
              <w:left w:w="67" w:type="dxa"/>
              <w:right w:w="67" w:type="dxa"/>
            </w:tcMar>
          </w:tcPr>
          <w:p w14:paraId="0F59DFB0"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10</w:t>
            </w:r>
          </w:p>
        </w:tc>
        <w:tc>
          <w:tcPr>
            <w:tcW w:w="839" w:type="pct"/>
            <w:tcBorders>
              <w:top w:val="nil"/>
              <w:left w:val="nil"/>
              <w:bottom w:val="nil"/>
              <w:right w:val="nil"/>
            </w:tcBorders>
            <w:shd w:val="clear" w:color="auto" w:fill="FFFFFF"/>
            <w:tcMar>
              <w:left w:w="67" w:type="dxa"/>
              <w:right w:w="67" w:type="dxa"/>
            </w:tcMar>
          </w:tcPr>
          <w:p w14:paraId="05E722EE"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0F33BC96"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4ED67BD7"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1559CD89"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312EBFDC"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17FB8D47"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6935B264"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4C098842"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19</w:t>
            </w:r>
          </w:p>
        </w:tc>
        <w:tc>
          <w:tcPr>
            <w:tcW w:w="839" w:type="pct"/>
            <w:tcBorders>
              <w:top w:val="nil"/>
              <w:left w:val="nil"/>
              <w:bottom w:val="nil"/>
              <w:right w:val="nil"/>
            </w:tcBorders>
            <w:shd w:val="clear" w:color="auto" w:fill="FFFFFF"/>
            <w:tcMar>
              <w:left w:w="67" w:type="dxa"/>
              <w:right w:w="67" w:type="dxa"/>
            </w:tcMar>
          </w:tcPr>
          <w:p w14:paraId="24BD3554"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09B399D5"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4A212A57"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75621AA7"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4FA56AB5"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65846B16"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2867A95F"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2BD96D6A"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20</w:t>
            </w:r>
          </w:p>
        </w:tc>
        <w:tc>
          <w:tcPr>
            <w:tcW w:w="839" w:type="pct"/>
            <w:tcBorders>
              <w:top w:val="nil"/>
              <w:left w:val="nil"/>
              <w:bottom w:val="nil"/>
              <w:right w:val="nil"/>
            </w:tcBorders>
            <w:shd w:val="clear" w:color="auto" w:fill="FFFFFF"/>
            <w:tcMar>
              <w:left w:w="67" w:type="dxa"/>
              <w:right w:w="67" w:type="dxa"/>
            </w:tcMar>
          </w:tcPr>
          <w:p w14:paraId="4F47556C"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7EA4E8DF"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Partial</w:t>
            </w:r>
          </w:p>
        </w:tc>
        <w:tc>
          <w:tcPr>
            <w:tcW w:w="839" w:type="pct"/>
            <w:tcBorders>
              <w:top w:val="nil"/>
              <w:left w:val="nil"/>
              <w:bottom w:val="nil"/>
              <w:right w:val="nil"/>
            </w:tcBorders>
            <w:shd w:val="clear" w:color="auto" w:fill="FFFFFF"/>
            <w:tcMar>
              <w:left w:w="67" w:type="dxa"/>
              <w:right w:w="67" w:type="dxa"/>
            </w:tcMar>
          </w:tcPr>
          <w:p w14:paraId="1786AEA5"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Partial</w:t>
            </w:r>
          </w:p>
        </w:tc>
        <w:tc>
          <w:tcPr>
            <w:tcW w:w="839" w:type="pct"/>
            <w:tcBorders>
              <w:top w:val="nil"/>
              <w:left w:val="nil"/>
              <w:bottom w:val="nil"/>
              <w:right w:val="nil"/>
            </w:tcBorders>
            <w:shd w:val="clear" w:color="auto" w:fill="FFFFFF"/>
            <w:tcMar>
              <w:left w:w="67" w:type="dxa"/>
              <w:right w:w="67" w:type="dxa"/>
            </w:tcMar>
          </w:tcPr>
          <w:p w14:paraId="24E6BEB1"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432E6278"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Three cycles</w:t>
            </w:r>
          </w:p>
        </w:tc>
      </w:tr>
      <w:tr w:rsidR="00E07CDE" w:rsidRPr="00921620" w14:paraId="2DE570F6"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240D0E80"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23F2005F"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26</w:t>
            </w:r>
          </w:p>
        </w:tc>
        <w:tc>
          <w:tcPr>
            <w:tcW w:w="839" w:type="pct"/>
            <w:tcBorders>
              <w:top w:val="nil"/>
              <w:left w:val="nil"/>
              <w:bottom w:val="nil"/>
              <w:right w:val="nil"/>
            </w:tcBorders>
            <w:shd w:val="clear" w:color="auto" w:fill="FFFFFF"/>
            <w:tcMar>
              <w:left w:w="67" w:type="dxa"/>
              <w:right w:w="67" w:type="dxa"/>
            </w:tcMar>
          </w:tcPr>
          <w:p w14:paraId="1604F503"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573825EB"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20137A32"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26439121"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092364FA"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19C38A36"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562B524D"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57013202"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31</w:t>
            </w:r>
          </w:p>
        </w:tc>
        <w:tc>
          <w:tcPr>
            <w:tcW w:w="839" w:type="pct"/>
            <w:tcBorders>
              <w:top w:val="nil"/>
              <w:left w:val="nil"/>
              <w:bottom w:val="nil"/>
              <w:right w:val="nil"/>
            </w:tcBorders>
            <w:shd w:val="clear" w:color="auto" w:fill="FFFFFF"/>
            <w:tcMar>
              <w:left w:w="67" w:type="dxa"/>
              <w:right w:w="67" w:type="dxa"/>
            </w:tcMar>
          </w:tcPr>
          <w:p w14:paraId="63E84EFD"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622B3F10"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301F2C05"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36E8822D"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Two cycles</w:t>
            </w:r>
          </w:p>
        </w:tc>
        <w:tc>
          <w:tcPr>
            <w:tcW w:w="839" w:type="pct"/>
            <w:tcBorders>
              <w:top w:val="nil"/>
              <w:left w:val="nil"/>
              <w:bottom w:val="nil"/>
              <w:right w:val="single" w:sz="11" w:space="0" w:color="000000"/>
            </w:tcBorders>
            <w:shd w:val="clear" w:color="auto" w:fill="FFFFFF"/>
            <w:tcMar>
              <w:left w:w="67" w:type="dxa"/>
              <w:right w:w="67" w:type="dxa"/>
            </w:tcMar>
          </w:tcPr>
          <w:p w14:paraId="10D6C155"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Two cycles</w:t>
            </w:r>
          </w:p>
        </w:tc>
      </w:tr>
      <w:tr w:rsidR="00E07CDE" w:rsidRPr="00921620" w14:paraId="1417020E"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7D99F329"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161258EB"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39</w:t>
            </w:r>
          </w:p>
        </w:tc>
        <w:tc>
          <w:tcPr>
            <w:tcW w:w="839" w:type="pct"/>
            <w:tcBorders>
              <w:top w:val="nil"/>
              <w:left w:val="nil"/>
              <w:bottom w:val="nil"/>
              <w:right w:val="nil"/>
            </w:tcBorders>
            <w:shd w:val="clear" w:color="auto" w:fill="FFFFFF"/>
            <w:tcMar>
              <w:left w:w="67" w:type="dxa"/>
              <w:right w:w="67" w:type="dxa"/>
            </w:tcMar>
          </w:tcPr>
          <w:p w14:paraId="58E9EDEF"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2159DD5E"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0F8E1613"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58F18FD9"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46285378"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4C4B8125"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51B6964C"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64B0B8D3"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40</w:t>
            </w:r>
          </w:p>
        </w:tc>
        <w:tc>
          <w:tcPr>
            <w:tcW w:w="839" w:type="pct"/>
            <w:tcBorders>
              <w:top w:val="nil"/>
              <w:left w:val="nil"/>
              <w:bottom w:val="nil"/>
              <w:right w:val="nil"/>
            </w:tcBorders>
            <w:shd w:val="clear" w:color="auto" w:fill="FFFFFF"/>
            <w:tcMar>
              <w:left w:w="67" w:type="dxa"/>
              <w:right w:w="67" w:type="dxa"/>
            </w:tcMar>
          </w:tcPr>
          <w:p w14:paraId="6AAF60F9"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652826FE"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506CC5C0"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77EB2AAB"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Three cycles</w:t>
            </w:r>
          </w:p>
        </w:tc>
        <w:tc>
          <w:tcPr>
            <w:tcW w:w="839" w:type="pct"/>
            <w:tcBorders>
              <w:top w:val="nil"/>
              <w:left w:val="nil"/>
              <w:bottom w:val="nil"/>
              <w:right w:val="single" w:sz="11" w:space="0" w:color="000000"/>
            </w:tcBorders>
            <w:shd w:val="clear" w:color="auto" w:fill="FFFFFF"/>
            <w:tcMar>
              <w:left w:w="67" w:type="dxa"/>
              <w:right w:w="67" w:type="dxa"/>
            </w:tcMar>
          </w:tcPr>
          <w:p w14:paraId="13D0CCBF"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Three cycles</w:t>
            </w:r>
          </w:p>
        </w:tc>
      </w:tr>
      <w:tr w:rsidR="00E07CDE" w:rsidRPr="00921620" w14:paraId="1565FC16" w14:textId="77777777" w:rsidTr="00AE112B">
        <w:trPr>
          <w:cantSplit/>
          <w:jc w:val="center"/>
        </w:trPr>
        <w:tc>
          <w:tcPr>
            <w:tcW w:w="562" w:type="pct"/>
            <w:tcBorders>
              <w:top w:val="nil"/>
              <w:left w:val="single" w:sz="11" w:space="0" w:color="000000"/>
              <w:bottom w:val="nil"/>
              <w:right w:val="nil"/>
            </w:tcBorders>
            <w:shd w:val="clear" w:color="auto" w:fill="FFFFFF"/>
            <w:tcMar>
              <w:left w:w="67" w:type="dxa"/>
              <w:right w:w="67" w:type="dxa"/>
            </w:tcMar>
          </w:tcPr>
          <w:p w14:paraId="07A64668" w14:textId="77777777" w:rsidR="00E07CDE" w:rsidRPr="00921620" w:rsidRDefault="00E07CDE" w:rsidP="00AE112B">
            <w:pPr>
              <w:keepNext/>
              <w:spacing w:before="67" w:after="0" w:line="240" w:lineRule="auto"/>
              <w:rPr>
                <w:rFonts w:eastAsia="Times New Roman"/>
                <w:color w:val="000000"/>
                <w:sz w:val="20"/>
                <w:szCs w:val="20"/>
              </w:rPr>
            </w:pPr>
          </w:p>
        </w:tc>
        <w:tc>
          <w:tcPr>
            <w:tcW w:w="243" w:type="pct"/>
            <w:tcBorders>
              <w:top w:val="nil"/>
              <w:left w:val="nil"/>
              <w:bottom w:val="nil"/>
              <w:right w:val="nil"/>
            </w:tcBorders>
            <w:shd w:val="clear" w:color="auto" w:fill="FFFFFF"/>
            <w:tcMar>
              <w:left w:w="67" w:type="dxa"/>
              <w:right w:w="67" w:type="dxa"/>
            </w:tcMar>
          </w:tcPr>
          <w:p w14:paraId="10E7AEB8" w14:textId="77777777" w:rsidR="00E07CDE" w:rsidRPr="00921620" w:rsidRDefault="00E07CDE" w:rsidP="00AE112B">
            <w:pPr>
              <w:keepNext/>
              <w:spacing w:before="67" w:after="0" w:line="240" w:lineRule="auto"/>
              <w:rPr>
                <w:rFonts w:eastAsia="Times New Roman"/>
                <w:color w:val="000000"/>
                <w:sz w:val="20"/>
                <w:szCs w:val="20"/>
              </w:rPr>
            </w:pPr>
            <w:r w:rsidRPr="00921620">
              <w:rPr>
                <w:rFonts w:eastAsia="Times New Roman"/>
                <w:color w:val="000000"/>
                <w:sz w:val="20"/>
                <w:szCs w:val="20"/>
              </w:rPr>
              <w:t>42</w:t>
            </w:r>
          </w:p>
        </w:tc>
        <w:tc>
          <w:tcPr>
            <w:tcW w:w="839" w:type="pct"/>
            <w:tcBorders>
              <w:top w:val="nil"/>
              <w:left w:val="nil"/>
              <w:bottom w:val="nil"/>
              <w:right w:val="nil"/>
            </w:tcBorders>
            <w:shd w:val="clear" w:color="auto" w:fill="FFFFFF"/>
            <w:tcMar>
              <w:left w:w="67" w:type="dxa"/>
              <w:right w:w="67" w:type="dxa"/>
            </w:tcMar>
          </w:tcPr>
          <w:p w14:paraId="23267F65" w14:textId="77777777" w:rsidR="00E07CDE" w:rsidRPr="00921620" w:rsidRDefault="00E07CDE" w:rsidP="00AE112B">
            <w:pPr>
              <w:keepNext/>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nil"/>
              <w:right w:val="nil"/>
            </w:tcBorders>
            <w:shd w:val="clear" w:color="auto" w:fill="FFFFFF"/>
            <w:tcMar>
              <w:left w:w="67" w:type="dxa"/>
              <w:right w:w="67" w:type="dxa"/>
            </w:tcMar>
          </w:tcPr>
          <w:p w14:paraId="16F20229" w14:textId="77777777" w:rsidR="00E07CDE" w:rsidRPr="00921620" w:rsidRDefault="00E07CDE" w:rsidP="00AE112B">
            <w:pPr>
              <w:keepNext/>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5D49A8C6" w14:textId="77777777" w:rsidR="00E07CDE" w:rsidRPr="00921620" w:rsidRDefault="00E07CDE" w:rsidP="00AE112B">
            <w:pPr>
              <w:keepNext/>
              <w:spacing w:before="67" w:after="0" w:line="240" w:lineRule="auto"/>
              <w:rPr>
                <w:rFonts w:eastAsia="Times New Roman"/>
                <w:color w:val="000000"/>
                <w:sz w:val="20"/>
                <w:szCs w:val="20"/>
              </w:rPr>
            </w:pPr>
            <w:r w:rsidRPr="00921620">
              <w:rPr>
                <w:rFonts w:eastAsia="Calibri"/>
                <w:sz w:val="20"/>
                <w:szCs w:val="20"/>
                <w:lang w:eastAsia="en-US"/>
              </w:rPr>
              <w:t>None</w:t>
            </w:r>
          </w:p>
        </w:tc>
        <w:tc>
          <w:tcPr>
            <w:tcW w:w="839" w:type="pct"/>
            <w:tcBorders>
              <w:top w:val="nil"/>
              <w:left w:val="nil"/>
              <w:bottom w:val="nil"/>
              <w:right w:val="nil"/>
            </w:tcBorders>
            <w:shd w:val="clear" w:color="auto" w:fill="FFFFFF"/>
            <w:tcMar>
              <w:left w:w="67" w:type="dxa"/>
              <w:right w:w="67" w:type="dxa"/>
            </w:tcMar>
          </w:tcPr>
          <w:p w14:paraId="6DDC9183" w14:textId="77777777" w:rsidR="00E07CDE" w:rsidRPr="00921620" w:rsidRDefault="00E07CDE" w:rsidP="00AE112B">
            <w:pPr>
              <w:keepNext/>
              <w:spacing w:before="67" w:after="0" w:line="240" w:lineRule="auto"/>
              <w:rPr>
                <w:rFonts w:eastAsia="Times New Roman"/>
                <w:color w:val="000000"/>
                <w:sz w:val="20"/>
                <w:szCs w:val="20"/>
              </w:rPr>
            </w:pPr>
            <w:r w:rsidRPr="00921620">
              <w:rPr>
                <w:rFonts w:eastAsia="Calibri"/>
                <w:sz w:val="20"/>
                <w:szCs w:val="20"/>
                <w:lang w:eastAsia="en-US"/>
              </w:rPr>
              <w:t>One cycle</w:t>
            </w:r>
          </w:p>
        </w:tc>
        <w:tc>
          <w:tcPr>
            <w:tcW w:w="839" w:type="pct"/>
            <w:tcBorders>
              <w:top w:val="nil"/>
              <w:left w:val="nil"/>
              <w:bottom w:val="nil"/>
              <w:right w:val="single" w:sz="11" w:space="0" w:color="000000"/>
            </w:tcBorders>
            <w:shd w:val="clear" w:color="auto" w:fill="FFFFFF"/>
            <w:tcMar>
              <w:left w:w="67" w:type="dxa"/>
              <w:right w:w="67" w:type="dxa"/>
            </w:tcMar>
          </w:tcPr>
          <w:p w14:paraId="41C749C6" w14:textId="77777777" w:rsidR="00E07CDE" w:rsidRPr="00921620" w:rsidRDefault="00E07CDE" w:rsidP="00AE112B">
            <w:pPr>
              <w:keepNext/>
              <w:spacing w:before="67" w:after="0" w:line="240" w:lineRule="auto"/>
              <w:rPr>
                <w:rFonts w:eastAsia="Times New Roman"/>
                <w:color w:val="000000"/>
                <w:sz w:val="20"/>
                <w:szCs w:val="20"/>
              </w:rPr>
            </w:pPr>
            <w:r w:rsidRPr="00921620">
              <w:rPr>
                <w:rFonts w:eastAsia="Calibri"/>
                <w:sz w:val="20"/>
                <w:szCs w:val="20"/>
                <w:lang w:eastAsia="en-US"/>
              </w:rPr>
              <w:t>One cycle</w:t>
            </w:r>
          </w:p>
        </w:tc>
      </w:tr>
      <w:tr w:rsidR="00E07CDE" w:rsidRPr="00921620" w14:paraId="6EAAD1F1" w14:textId="77777777" w:rsidTr="00AE112B">
        <w:trPr>
          <w:cantSplit/>
          <w:jc w:val="center"/>
        </w:trPr>
        <w:tc>
          <w:tcPr>
            <w:tcW w:w="562" w:type="pct"/>
            <w:tcBorders>
              <w:top w:val="nil"/>
              <w:left w:val="single" w:sz="11" w:space="0" w:color="000000"/>
              <w:bottom w:val="single" w:sz="11" w:space="0" w:color="000000"/>
              <w:right w:val="nil"/>
            </w:tcBorders>
            <w:shd w:val="clear" w:color="auto" w:fill="FFFFFF"/>
            <w:tcMar>
              <w:left w:w="67" w:type="dxa"/>
              <w:right w:w="67" w:type="dxa"/>
            </w:tcMar>
          </w:tcPr>
          <w:p w14:paraId="04849297" w14:textId="77777777" w:rsidR="00E07CDE" w:rsidRPr="00921620" w:rsidRDefault="00E07CDE" w:rsidP="00AE112B">
            <w:pPr>
              <w:spacing w:before="67" w:after="0" w:line="240" w:lineRule="auto"/>
              <w:rPr>
                <w:rFonts w:eastAsia="Times New Roman"/>
                <w:color w:val="000000"/>
                <w:sz w:val="20"/>
                <w:szCs w:val="20"/>
              </w:rPr>
            </w:pPr>
          </w:p>
        </w:tc>
        <w:tc>
          <w:tcPr>
            <w:tcW w:w="243" w:type="pct"/>
            <w:tcBorders>
              <w:top w:val="nil"/>
              <w:left w:val="nil"/>
              <w:bottom w:val="single" w:sz="11" w:space="0" w:color="000000"/>
              <w:right w:val="nil"/>
            </w:tcBorders>
            <w:shd w:val="clear" w:color="auto" w:fill="FFFFFF"/>
            <w:tcMar>
              <w:left w:w="67" w:type="dxa"/>
              <w:right w:w="67" w:type="dxa"/>
            </w:tcMar>
          </w:tcPr>
          <w:p w14:paraId="6CF85FFA" w14:textId="77777777" w:rsidR="00E07CDE" w:rsidRPr="00921620" w:rsidRDefault="00E07CDE" w:rsidP="00AE112B">
            <w:pPr>
              <w:spacing w:before="67" w:after="0" w:line="240" w:lineRule="auto"/>
              <w:rPr>
                <w:rFonts w:eastAsia="Times New Roman"/>
                <w:color w:val="000000"/>
                <w:sz w:val="20"/>
                <w:szCs w:val="20"/>
              </w:rPr>
            </w:pPr>
            <w:r w:rsidRPr="00921620">
              <w:rPr>
                <w:rFonts w:eastAsia="Times New Roman"/>
                <w:color w:val="000000"/>
                <w:sz w:val="20"/>
                <w:szCs w:val="20"/>
              </w:rPr>
              <w:t>47</w:t>
            </w:r>
          </w:p>
        </w:tc>
        <w:tc>
          <w:tcPr>
            <w:tcW w:w="839" w:type="pct"/>
            <w:tcBorders>
              <w:top w:val="nil"/>
              <w:left w:val="nil"/>
              <w:bottom w:val="single" w:sz="11" w:space="0" w:color="000000"/>
              <w:right w:val="nil"/>
            </w:tcBorders>
            <w:shd w:val="clear" w:color="auto" w:fill="FFFFFF"/>
            <w:tcMar>
              <w:left w:w="67" w:type="dxa"/>
              <w:right w:w="67" w:type="dxa"/>
            </w:tcMar>
          </w:tcPr>
          <w:p w14:paraId="0F86F1B5"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single" w:sz="11" w:space="0" w:color="000000"/>
              <w:right w:val="nil"/>
            </w:tcBorders>
            <w:shd w:val="clear" w:color="auto" w:fill="FFFFFF"/>
            <w:tcMar>
              <w:left w:w="67" w:type="dxa"/>
              <w:right w:w="67" w:type="dxa"/>
            </w:tcMar>
          </w:tcPr>
          <w:p w14:paraId="46F37835"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single" w:sz="11" w:space="0" w:color="000000"/>
              <w:right w:val="nil"/>
            </w:tcBorders>
            <w:shd w:val="clear" w:color="auto" w:fill="FFFFFF"/>
            <w:tcMar>
              <w:left w:w="67" w:type="dxa"/>
              <w:right w:w="67" w:type="dxa"/>
            </w:tcMar>
          </w:tcPr>
          <w:p w14:paraId="05575FBA"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Acceptable</w:t>
            </w:r>
          </w:p>
        </w:tc>
        <w:tc>
          <w:tcPr>
            <w:tcW w:w="839" w:type="pct"/>
            <w:tcBorders>
              <w:top w:val="nil"/>
              <w:left w:val="nil"/>
              <w:bottom w:val="single" w:sz="11" w:space="0" w:color="000000"/>
              <w:right w:val="nil"/>
            </w:tcBorders>
            <w:shd w:val="clear" w:color="auto" w:fill="FFFFFF"/>
            <w:tcMar>
              <w:left w:w="67" w:type="dxa"/>
              <w:right w:w="67" w:type="dxa"/>
            </w:tcMar>
          </w:tcPr>
          <w:p w14:paraId="04000737"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Three cycles</w:t>
            </w:r>
          </w:p>
        </w:tc>
        <w:tc>
          <w:tcPr>
            <w:tcW w:w="839" w:type="pct"/>
            <w:tcBorders>
              <w:top w:val="nil"/>
              <w:left w:val="nil"/>
              <w:bottom w:val="single" w:sz="11" w:space="0" w:color="000000"/>
              <w:right w:val="single" w:sz="11" w:space="0" w:color="000000"/>
            </w:tcBorders>
            <w:shd w:val="clear" w:color="auto" w:fill="FFFFFF"/>
            <w:tcMar>
              <w:left w:w="67" w:type="dxa"/>
              <w:right w:w="67" w:type="dxa"/>
            </w:tcMar>
          </w:tcPr>
          <w:p w14:paraId="102175A4" w14:textId="77777777" w:rsidR="00E07CDE" w:rsidRPr="00921620" w:rsidRDefault="00E07CDE" w:rsidP="00AE112B">
            <w:pPr>
              <w:spacing w:before="67" w:after="0" w:line="240" w:lineRule="auto"/>
              <w:rPr>
                <w:rFonts w:eastAsia="Times New Roman"/>
                <w:color w:val="000000"/>
                <w:sz w:val="20"/>
                <w:szCs w:val="20"/>
              </w:rPr>
            </w:pPr>
            <w:r w:rsidRPr="00921620">
              <w:rPr>
                <w:rFonts w:eastAsia="Calibri"/>
                <w:sz w:val="20"/>
                <w:szCs w:val="20"/>
                <w:lang w:eastAsia="en-US"/>
              </w:rPr>
              <w:t>Three cycles</w:t>
            </w:r>
          </w:p>
        </w:tc>
      </w:tr>
    </w:tbl>
    <w:p w14:paraId="247FAC83" w14:textId="77777777" w:rsidR="00D15FEF" w:rsidRDefault="00D15FEF" w:rsidP="009B13F3">
      <w:pPr>
        <w:rPr>
          <w:rFonts w:eastAsia="Times New Roman"/>
          <w:lang w:eastAsia="en-US"/>
        </w:rPr>
        <w:sectPr w:rsidR="00D15FEF" w:rsidSect="00AE112B">
          <w:pgSz w:w="11906" w:h="16838"/>
          <w:pgMar w:top="1440" w:right="1440" w:bottom="1440" w:left="1440" w:header="708" w:footer="708" w:gutter="0"/>
          <w:cols w:space="708"/>
          <w:docGrid w:linePitch="360"/>
        </w:sectPr>
      </w:pPr>
      <w:bookmarkStart w:id="273" w:name="_Toc500934958"/>
      <w:bookmarkEnd w:id="271"/>
      <w:bookmarkEnd w:id="272"/>
    </w:p>
    <w:p w14:paraId="2A4501B0" w14:textId="10F86677" w:rsidR="00E07CDE" w:rsidRPr="00563AD3" w:rsidRDefault="00E07CDE" w:rsidP="009B13F3">
      <w:pPr>
        <w:rPr>
          <w:rFonts w:eastAsia="Times New Roman"/>
          <w:lang w:eastAsia="en-US"/>
        </w:rPr>
      </w:pPr>
    </w:p>
    <w:bookmarkEnd w:id="273"/>
    <w:p w14:paraId="345E8F96" w14:textId="57C9DC21" w:rsidR="00E07CDE" w:rsidRPr="00563AD3" w:rsidRDefault="00E07CDE" w:rsidP="009B13F3">
      <w:pPr>
        <w:pStyle w:val="Heading4"/>
        <w:rPr>
          <w:rFonts w:eastAsia="Times New Roman"/>
          <w:lang w:eastAsia="en-US"/>
        </w:rPr>
      </w:pPr>
      <w:r w:rsidRPr="00563AD3">
        <w:rPr>
          <w:rFonts w:eastAsia="Times New Roman"/>
          <w:lang w:eastAsia="en-US"/>
        </w:rPr>
        <w:t>Briefing</w:t>
      </w:r>
    </w:p>
    <w:p w14:paraId="507B249E" w14:textId="2742510C" w:rsidR="00E07CDE" w:rsidRPr="00563AD3" w:rsidRDefault="00E07CDE" w:rsidP="00AE112B">
      <w:pPr>
        <w:pStyle w:val="Tableheading"/>
        <w:rPr>
          <w:rFonts w:eastAsia="Calibri"/>
          <w:lang w:eastAsia="en-US"/>
        </w:rPr>
      </w:pPr>
      <w:bookmarkStart w:id="274" w:name="_Ref499130869"/>
      <w:bookmarkStart w:id="275" w:name="_Ref499130864"/>
      <w:bookmarkStart w:id="276" w:name="_Toc500935013"/>
      <w:bookmarkStart w:id="277" w:name="_Toc948231"/>
      <w:r w:rsidRPr="00563AD3">
        <w:rPr>
          <w:rFonts w:eastAsia="Calibri"/>
          <w:lang w:eastAsia="en-US"/>
        </w:rPr>
        <w:t xml:space="preserve">Table </w:t>
      </w:r>
      <w:bookmarkEnd w:id="274"/>
      <w:r w:rsidR="00072202">
        <w:rPr>
          <w:rFonts w:eastAsia="Calibri"/>
          <w:lang w:eastAsia="en-US"/>
        </w:rPr>
        <w:t>34</w:t>
      </w:r>
      <w:r w:rsidR="00072202" w:rsidRPr="00563AD3">
        <w:rPr>
          <w:rFonts w:eastAsia="Calibri"/>
          <w:lang w:eastAsia="en-US"/>
        </w:rPr>
        <w:t xml:space="preserve"> </w:t>
      </w:r>
      <w:r w:rsidRPr="00563AD3">
        <w:rPr>
          <w:rFonts w:eastAsia="Calibri"/>
          <w:lang w:eastAsia="en-US"/>
        </w:rPr>
        <w:t>Summary of briefing sessions as documented</w:t>
      </w:r>
      <w:bookmarkEnd w:id="275"/>
      <w:bookmarkEnd w:id="276"/>
      <w:bookmarkEnd w:id="277"/>
    </w:p>
    <w:tbl>
      <w:tblPr>
        <w:tblW w:w="5000" w:type="pct"/>
        <w:jc w:val="center"/>
        <w:tblCellMar>
          <w:left w:w="0" w:type="dxa"/>
          <w:right w:w="0" w:type="dxa"/>
        </w:tblCellMar>
        <w:tblLook w:val="0000" w:firstRow="0" w:lastRow="0" w:firstColumn="0" w:lastColumn="0" w:noHBand="0" w:noVBand="0"/>
      </w:tblPr>
      <w:tblGrid>
        <w:gridCol w:w="3507"/>
        <w:gridCol w:w="1836"/>
        <w:gridCol w:w="1836"/>
        <w:gridCol w:w="1837"/>
      </w:tblGrid>
      <w:tr w:rsidR="00E07CDE" w:rsidRPr="00CD4C4F" w14:paraId="5846B4BD" w14:textId="77777777" w:rsidTr="00CD4C4F">
        <w:trPr>
          <w:cantSplit/>
          <w:tblHeader/>
          <w:jc w:val="center"/>
        </w:trPr>
        <w:tc>
          <w:tcPr>
            <w:tcW w:w="5000" w:type="pct"/>
            <w:gridSpan w:val="4"/>
            <w:tcBorders>
              <w:top w:val="single" w:sz="4" w:space="0" w:color="auto"/>
              <w:left w:val="single" w:sz="4" w:space="0" w:color="auto"/>
              <w:bottom w:val="nil"/>
              <w:right w:val="single" w:sz="4" w:space="0" w:color="auto"/>
            </w:tcBorders>
            <w:shd w:val="clear" w:color="auto" w:fill="FFFFFF"/>
            <w:tcMar>
              <w:left w:w="67" w:type="dxa"/>
              <w:right w:w="67" w:type="dxa"/>
            </w:tcMar>
            <w:vAlign w:val="bottom"/>
          </w:tcPr>
          <w:p w14:paraId="1F389206" w14:textId="77777777" w:rsidR="00E07CDE" w:rsidRPr="00CD4C4F" w:rsidRDefault="00E07CDE" w:rsidP="00CD4C4F">
            <w:pPr>
              <w:keepNext/>
              <w:spacing w:before="67" w:after="67" w:line="240" w:lineRule="auto"/>
              <w:jc w:val="center"/>
              <w:rPr>
                <w:rFonts w:eastAsia="Times New Roman"/>
                <w:b/>
                <w:bCs/>
                <w:color w:val="000000"/>
                <w:sz w:val="20"/>
                <w:szCs w:val="20"/>
              </w:rPr>
            </w:pPr>
            <w:r w:rsidRPr="00CD4C4F">
              <w:rPr>
                <w:rFonts w:eastAsia="Times New Roman"/>
                <w:b/>
                <w:bCs/>
                <w:color w:val="000000"/>
                <w:sz w:val="20"/>
                <w:szCs w:val="20"/>
              </w:rPr>
              <w:t>Summary of briefing sessions by cycle - by hub and overall</w:t>
            </w:r>
          </w:p>
        </w:tc>
      </w:tr>
      <w:tr w:rsidR="00E07CDE" w:rsidRPr="00CD4C4F" w14:paraId="56346E47" w14:textId="77777777" w:rsidTr="00CD4C4F">
        <w:trPr>
          <w:cantSplit/>
          <w:tblHeader/>
          <w:jc w:val="center"/>
        </w:trPr>
        <w:tc>
          <w:tcPr>
            <w:tcW w:w="1945" w:type="pct"/>
            <w:tcBorders>
              <w:top w:val="nil"/>
              <w:left w:val="single" w:sz="4" w:space="0" w:color="auto"/>
              <w:bottom w:val="single" w:sz="4" w:space="0" w:color="000000"/>
              <w:right w:val="nil"/>
            </w:tcBorders>
            <w:shd w:val="clear" w:color="auto" w:fill="FFFFFF"/>
            <w:tcMar>
              <w:left w:w="67" w:type="dxa"/>
              <w:right w:w="67" w:type="dxa"/>
            </w:tcMar>
            <w:vAlign w:val="bottom"/>
          </w:tcPr>
          <w:p w14:paraId="2B909838" w14:textId="77777777" w:rsidR="00E07CDE" w:rsidRPr="00CD4C4F" w:rsidRDefault="00E07CDE" w:rsidP="00CD4C4F">
            <w:pPr>
              <w:keepNext/>
              <w:spacing w:before="67" w:after="67" w:line="240" w:lineRule="auto"/>
              <w:rPr>
                <w:rFonts w:eastAsia="Times New Roman"/>
                <w:b/>
                <w:bCs/>
                <w:color w:val="000000"/>
                <w:sz w:val="20"/>
                <w:szCs w:val="20"/>
              </w:rPr>
            </w:pPr>
          </w:p>
        </w:tc>
        <w:tc>
          <w:tcPr>
            <w:tcW w:w="1018" w:type="pct"/>
            <w:tcBorders>
              <w:top w:val="nil"/>
              <w:left w:val="nil"/>
              <w:bottom w:val="single" w:sz="4" w:space="0" w:color="000000"/>
              <w:right w:val="nil"/>
            </w:tcBorders>
            <w:shd w:val="clear" w:color="auto" w:fill="FFFFFF"/>
            <w:tcMar>
              <w:left w:w="67" w:type="dxa"/>
              <w:right w:w="67" w:type="dxa"/>
            </w:tcMar>
            <w:vAlign w:val="bottom"/>
          </w:tcPr>
          <w:p w14:paraId="652C62D9"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1 (n=31)</w:t>
            </w:r>
          </w:p>
        </w:tc>
        <w:tc>
          <w:tcPr>
            <w:tcW w:w="1018" w:type="pct"/>
            <w:tcBorders>
              <w:top w:val="nil"/>
              <w:left w:val="nil"/>
              <w:bottom w:val="single" w:sz="4" w:space="0" w:color="000000"/>
              <w:right w:val="nil"/>
            </w:tcBorders>
            <w:shd w:val="clear" w:color="auto" w:fill="FFFFFF"/>
            <w:tcMar>
              <w:left w:w="67" w:type="dxa"/>
              <w:right w:w="67" w:type="dxa"/>
            </w:tcMar>
            <w:vAlign w:val="bottom"/>
          </w:tcPr>
          <w:p w14:paraId="72D91C1C"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2 (n=31)</w:t>
            </w:r>
          </w:p>
        </w:tc>
        <w:tc>
          <w:tcPr>
            <w:tcW w:w="1018" w:type="pct"/>
            <w:tcBorders>
              <w:top w:val="nil"/>
              <w:left w:val="nil"/>
              <w:bottom w:val="single" w:sz="4" w:space="0" w:color="000000"/>
              <w:right w:val="single" w:sz="4" w:space="0" w:color="auto"/>
            </w:tcBorders>
            <w:shd w:val="clear" w:color="auto" w:fill="FFFFFF"/>
            <w:tcMar>
              <w:left w:w="67" w:type="dxa"/>
              <w:right w:w="67" w:type="dxa"/>
            </w:tcMar>
            <w:vAlign w:val="bottom"/>
          </w:tcPr>
          <w:p w14:paraId="0E1852FD"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3 (n=31)</w:t>
            </w:r>
          </w:p>
        </w:tc>
      </w:tr>
      <w:tr w:rsidR="00E07CDE" w:rsidRPr="00CD4C4F" w14:paraId="14D66B21"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347786BD"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Number of formal sessions</w:t>
            </w:r>
          </w:p>
        </w:tc>
        <w:tc>
          <w:tcPr>
            <w:tcW w:w="1018" w:type="pct"/>
            <w:tcBorders>
              <w:top w:val="nil"/>
              <w:left w:val="nil"/>
              <w:bottom w:val="nil"/>
              <w:right w:val="nil"/>
            </w:tcBorders>
            <w:shd w:val="clear" w:color="auto" w:fill="FFFFFF"/>
            <w:tcMar>
              <w:left w:w="67" w:type="dxa"/>
              <w:right w:w="67" w:type="dxa"/>
            </w:tcMar>
          </w:tcPr>
          <w:p w14:paraId="6878DE8B"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nil"/>
            </w:tcBorders>
            <w:shd w:val="clear" w:color="auto" w:fill="FFFFFF"/>
            <w:tcMar>
              <w:left w:w="67" w:type="dxa"/>
              <w:right w:w="67" w:type="dxa"/>
            </w:tcMar>
          </w:tcPr>
          <w:p w14:paraId="7FFE6B2F"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single" w:sz="4" w:space="0" w:color="auto"/>
            </w:tcBorders>
            <w:shd w:val="clear" w:color="auto" w:fill="FFFFFF"/>
            <w:tcMar>
              <w:left w:w="67" w:type="dxa"/>
              <w:right w:w="67" w:type="dxa"/>
            </w:tcMar>
          </w:tcPr>
          <w:p w14:paraId="5E62F178"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7EA0270F"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00D87F00"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1</w:t>
            </w:r>
          </w:p>
        </w:tc>
        <w:tc>
          <w:tcPr>
            <w:tcW w:w="1018" w:type="pct"/>
            <w:tcBorders>
              <w:top w:val="nil"/>
              <w:left w:val="nil"/>
              <w:bottom w:val="nil"/>
              <w:right w:val="nil"/>
            </w:tcBorders>
            <w:shd w:val="clear" w:color="auto" w:fill="FFFFFF"/>
            <w:tcMar>
              <w:left w:w="67" w:type="dxa"/>
              <w:right w:w="67" w:type="dxa"/>
            </w:tcMar>
          </w:tcPr>
          <w:p w14:paraId="0C8CC45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9 (29.0%)</w:t>
            </w:r>
          </w:p>
        </w:tc>
        <w:tc>
          <w:tcPr>
            <w:tcW w:w="1018" w:type="pct"/>
            <w:tcBorders>
              <w:top w:val="nil"/>
              <w:left w:val="nil"/>
              <w:bottom w:val="nil"/>
              <w:right w:val="nil"/>
            </w:tcBorders>
            <w:shd w:val="clear" w:color="auto" w:fill="FFFFFF"/>
            <w:tcMar>
              <w:left w:w="67" w:type="dxa"/>
              <w:right w:w="67" w:type="dxa"/>
            </w:tcMar>
          </w:tcPr>
          <w:p w14:paraId="0F55374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7 (22.6%)</w:t>
            </w:r>
          </w:p>
        </w:tc>
        <w:tc>
          <w:tcPr>
            <w:tcW w:w="1018" w:type="pct"/>
            <w:tcBorders>
              <w:top w:val="nil"/>
              <w:left w:val="nil"/>
              <w:bottom w:val="nil"/>
              <w:right w:val="single" w:sz="4" w:space="0" w:color="auto"/>
            </w:tcBorders>
            <w:shd w:val="clear" w:color="auto" w:fill="FFFFFF"/>
            <w:tcMar>
              <w:left w:w="67" w:type="dxa"/>
              <w:right w:w="67" w:type="dxa"/>
            </w:tcMar>
          </w:tcPr>
          <w:p w14:paraId="5336F6A0"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 (9.7%)</w:t>
            </w:r>
          </w:p>
        </w:tc>
      </w:tr>
      <w:tr w:rsidR="00E07CDE" w:rsidRPr="00CD4C4F" w14:paraId="466C883F"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6107652E"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2</w:t>
            </w:r>
          </w:p>
        </w:tc>
        <w:tc>
          <w:tcPr>
            <w:tcW w:w="1018" w:type="pct"/>
            <w:tcBorders>
              <w:top w:val="nil"/>
              <w:left w:val="nil"/>
              <w:bottom w:val="nil"/>
              <w:right w:val="nil"/>
            </w:tcBorders>
            <w:shd w:val="clear" w:color="auto" w:fill="FFFFFF"/>
            <w:tcMar>
              <w:left w:w="67" w:type="dxa"/>
              <w:right w:w="67" w:type="dxa"/>
            </w:tcMar>
          </w:tcPr>
          <w:p w14:paraId="73C183ED"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(12.9%)</w:t>
            </w:r>
          </w:p>
        </w:tc>
        <w:tc>
          <w:tcPr>
            <w:tcW w:w="1018" w:type="pct"/>
            <w:tcBorders>
              <w:top w:val="nil"/>
              <w:left w:val="nil"/>
              <w:bottom w:val="nil"/>
              <w:right w:val="nil"/>
            </w:tcBorders>
            <w:shd w:val="clear" w:color="auto" w:fill="FFFFFF"/>
            <w:tcMar>
              <w:left w:w="67" w:type="dxa"/>
              <w:right w:w="67" w:type="dxa"/>
            </w:tcMar>
          </w:tcPr>
          <w:p w14:paraId="61EF22B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c>
          <w:tcPr>
            <w:tcW w:w="1018" w:type="pct"/>
            <w:tcBorders>
              <w:top w:val="nil"/>
              <w:left w:val="nil"/>
              <w:bottom w:val="nil"/>
              <w:right w:val="single" w:sz="4" w:space="0" w:color="auto"/>
            </w:tcBorders>
            <w:shd w:val="clear" w:color="auto" w:fill="FFFFFF"/>
            <w:tcMar>
              <w:left w:w="67" w:type="dxa"/>
              <w:right w:w="67" w:type="dxa"/>
            </w:tcMar>
          </w:tcPr>
          <w:p w14:paraId="2E13BDFE"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r>
      <w:tr w:rsidR="00E07CDE" w:rsidRPr="00CD4C4F" w14:paraId="24B38D6C"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4CB3C3F5"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3</w:t>
            </w:r>
          </w:p>
        </w:tc>
        <w:tc>
          <w:tcPr>
            <w:tcW w:w="1018" w:type="pct"/>
            <w:tcBorders>
              <w:top w:val="nil"/>
              <w:left w:val="nil"/>
              <w:bottom w:val="nil"/>
              <w:right w:val="nil"/>
            </w:tcBorders>
            <w:shd w:val="clear" w:color="auto" w:fill="FFFFFF"/>
            <w:tcMar>
              <w:left w:w="67" w:type="dxa"/>
              <w:right w:w="67" w:type="dxa"/>
            </w:tcMar>
          </w:tcPr>
          <w:p w14:paraId="27717D80"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 (6.5%)</w:t>
            </w:r>
          </w:p>
        </w:tc>
        <w:tc>
          <w:tcPr>
            <w:tcW w:w="1018" w:type="pct"/>
            <w:tcBorders>
              <w:top w:val="nil"/>
              <w:left w:val="nil"/>
              <w:bottom w:val="nil"/>
              <w:right w:val="nil"/>
            </w:tcBorders>
            <w:shd w:val="clear" w:color="auto" w:fill="FFFFFF"/>
            <w:tcMar>
              <w:left w:w="67" w:type="dxa"/>
              <w:right w:w="67" w:type="dxa"/>
            </w:tcMar>
          </w:tcPr>
          <w:p w14:paraId="47E855C4"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c>
          <w:tcPr>
            <w:tcW w:w="1018" w:type="pct"/>
            <w:tcBorders>
              <w:top w:val="nil"/>
              <w:left w:val="nil"/>
              <w:bottom w:val="nil"/>
              <w:right w:val="single" w:sz="4" w:space="0" w:color="auto"/>
            </w:tcBorders>
            <w:shd w:val="clear" w:color="auto" w:fill="FFFFFF"/>
            <w:tcMar>
              <w:left w:w="67" w:type="dxa"/>
              <w:right w:w="67" w:type="dxa"/>
            </w:tcMar>
          </w:tcPr>
          <w:p w14:paraId="372F17D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r>
      <w:tr w:rsidR="00E07CDE" w:rsidRPr="00CD4C4F" w14:paraId="2EF2BED8"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17451FAF"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Missing</w:t>
            </w:r>
          </w:p>
        </w:tc>
        <w:tc>
          <w:tcPr>
            <w:tcW w:w="1018" w:type="pct"/>
            <w:tcBorders>
              <w:top w:val="nil"/>
              <w:left w:val="nil"/>
              <w:bottom w:val="nil"/>
              <w:right w:val="nil"/>
            </w:tcBorders>
            <w:shd w:val="clear" w:color="auto" w:fill="FFFFFF"/>
            <w:tcMar>
              <w:left w:w="67" w:type="dxa"/>
              <w:right w:w="67" w:type="dxa"/>
            </w:tcMar>
          </w:tcPr>
          <w:p w14:paraId="51DD3FE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16 (51.6%)</w:t>
            </w:r>
          </w:p>
        </w:tc>
        <w:tc>
          <w:tcPr>
            <w:tcW w:w="1018" w:type="pct"/>
            <w:tcBorders>
              <w:top w:val="nil"/>
              <w:left w:val="nil"/>
              <w:bottom w:val="nil"/>
              <w:right w:val="nil"/>
            </w:tcBorders>
            <w:shd w:val="clear" w:color="auto" w:fill="FFFFFF"/>
            <w:tcMar>
              <w:left w:w="67" w:type="dxa"/>
              <w:right w:w="67" w:type="dxa"/>
            </w:tcMar>
          </w:tcPr>
          <w:p w14:paraId="2FEA98F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22 (71.0%)</w:t>
            </w:r>
          </w:p>
        </w:tc>
        <w:tc>
          <w:tcPr>
            <w:tcW w:w="1018" w:type="pct"/>
            <w:tcBorders>
              <w:top w:val="nil"/>
              <w:left w:val="nil"/>
              <w:bottom w:val="nil"/>
              <w:right w:val="single" w:sz="4" w:space="0" w:color="auto"/>
            </w:tcBorders>
            <w:shd w:val="clear" w:color="auto" w:fill="FFFFFF"/>
            <w:tcMar>
              <w:left w:w="67" w:type="dxa"/>
              <w:right w:w="67" w:type="dxa"/>
            </w:tcMar>
          </w:tcPr>
          <w:p w14:paraId="55FB90E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26 (83.9%)</w:t>
            </w:r>
          </w:p>
        </w:tc>
      </w:tr>
      <w:tr w:rsidR="00E07CDE" w:rsidRPr="00CD4C4F" w14:paraId="7F244D3D"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31901E8A"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Length of formal sessions (mins)</w:t>
            </w:r>
          </w:p>
        </w:tc>
        <w:tc>
          <w:tcPr>
            <w:tcW w:w="1018" w:type="pct"/>
            <w:tcBorders>
              <w:top w:val="nil"/>
              <w:left w:val="nil"/>
              <w:bottom w:val="nil"/>
              <w:right w:val="nil"/>
            </w:tcBorders>
            <w:shd w:val="clear" w:color="auto" w:fill="FFFFFF"/>
            <w:tcMar>
              <w:left w:w="67" w:type="dxa"/>
              <w:right w:w="67" w:type="dxa"/>
            </w:tcMar>
          </w:tcPr>
          <w:p w14:paraId="00F06536"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nil"/>
            </w:tcBorders>
            <w:shd w:val="clear" w:color="auto" w:fill="FFFFFF"/>
            <w:tcMar>
              <w:left w:w="67" w:type="dxa"/>
              <w:right w:w="67" w:type="dxa"/>
            </w:tcMar>
          </w:tcPr>
          <w:p w14:paraId="21676A43"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single" w:sz="4" w:space="0" w:color="auto"/>
            </w:tcBorders>
            <w:shd w:val="clear" w:color="auto" w:fill="FFFFFF"/>
            <w:tcMar>
              <w:left w:w="67" w:type="dxa"/>
              <w:right w:w="67" w:type="dxa"/>
            </w:tcMar>
          </w:tcPr>
          <w:p w14:paraId="1764552D"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4D1D45EA"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2EB413F6"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1018" w:type="pct"/>
            <w:tcBorders>
              <w:top w:val="nil"/>
              <w:left w:val="nil"/>
              <w:bottom w:val="nil"/>
              <w:right w:val="nil"/>
            </w:tcBorders>
            <w:shd w:val="clear" w:color="auto" w:fill="FFFFFF"/>
            <w:tcMar>
              <w:left w:w="67" w:type="dxa"/>
              <w:right w:w="67" w:type="dxa"/>
            </w:tcMar>
          </w:tcPr>
          <w:p w14:paraId="4D6E8AB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71.7 (61.72) 16</w:t>
            </w:r>
          </w:p>
        </w:tc>
        <w:tc>
          <w:tcPr>
            <w:tcW w:w="1018" w:type="pct"/>
            <w:tcBorders>
              <w:top w:val="nil"/>
              <w:left w:val="nil"/>
              <w:bottom w:val="nil"/>
              <w:right w:val="nil"/>
            </w:tcBorders>
            <w:shd w:val="clear" w:color="auto" w:fill="FFFFFF"/>
            <w:tcMar>
              <w:left w:w="67" w:type="dxa"/>
              <w:right w:w="67" w:type="dxa"/>
            </w:tcMar>
          </w:tcPr>
          <w:p w14:paraId="24CCCA8D"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66.9 (34.94) 23</w:t>
            </w:r>
          </w:p>
        </w:tc>
        <w:tc>
          <w:tcPr>
            <w:tcW w:w="1018" w:type="pct"/>
            <w:tcBorders>
              <w:top w:val="nil"/>
              <w:left w:val="nil"/>
              <w:bottom w:val="nil"/>
              <w:right w:val="single" w:sz="4" w:space="0" w:color="auto"/>
            </w:tcBorders>
            <w:shd w:val="clear" w:color="auto" w:fill="FFFFFF"/>
            <w:tcMar>
              <w:left w:w="67" w:type="dxa"/>
              <w:right w:w="67" w:type="dxa"/>
            </w:tcMar>
          </w:tcPr>
          <w:p w14:paraId="5F8359EA"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93.8 (41.31) 27</w:t>
            </w:r>
          </w:p>
        </w:tc>
      </w:tr>
      <w:tr w:rsidR="00E07CDE" w:rsidRPr="00CD4C4F" w14:paraId="7FB96C19"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77100F07"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1018" w:type="pct"/>
            <w:tcBorders>
              <w:top w:val="nil"/>
              <w:left w:val="nil"/>
              <w:bottom w:val="nil"/>
              <w:right w:val="nil"/>
            </w:tcBorders>
            <w:shd w:val="clear" w:color="auto" w:fill="FFFFFF"/>
            <w:tcMar>
              <w:left w:w="67" w:type="dxa"/>
              <w:right w:w="67" w:type="dxa"/>
            </w:tcMar>
          </w:tcPr>
          <w:p w14:paraId="3E1D6466"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40 (20, 240)</w:t>
            </w:r>
          </w:p>
        </w:tc>
        <w:tc>
          <w:tcPr>
            <w:tcW w:w="1018" w:type="pct"/>
            <w:tcBorders>
              <w:top w:val="nil"/>
              <w:left w:val="nil"/>
              <w:bottom w:val="nil"/>
              <w:right w:val="nil"/>
            </w:tcBorders>
            <w:shd w:val="clear" w:color="auto" w:fill="FFFFFF"/>
            <w:tcMar>
              <w:left w:w="67" w:type="dxa"/>
              <w:right w:w="67" w:type="dxa"/>
            </w:tcMar>
          </w:tcPr>
          <w:p w14:paraId="08A1636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60 (30, 140)</w:t>
            </w:r>
          </w:p>
        </w:tc>
        <w:tc>
          <w:tcPr>
            <w:tcW w:w="1018" w:type="pct"/>
            <w:tcBorders>
              <w:top w:val="nil"/>
              <w:left w:val="nil"/>
              <w:bottom w:val="nil"/>
              <w:right w:val="single" w:sz="4" w:space="0" w:color="auto"/>
            </w:tcBorders>
            <w:shd w:val="clear" w:color="auto" w:fill="FFFFFF"/>
            <w:tcMar>
              <w:left w:w="67" w:type="dxa"/>
              <w:right w:w="67" w:type="dxa"/>
            </w:tcMar>
          </w:tcPr>
          <w:p w14:paraId="326FA27D"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97.5 (45, 135)</w:t>
            </w:r>
          </w:p>
        </w:tc>
      </w:tr>
      <w:tr w:rsidR="00E07CDE" w:rsidRPr="00CD4C4F" w14:paraId="4673F92F"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0775015B"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Total number of staff attended</w:t>
            </w:r>
          </w:p>
        </w:tc>
        <w:tc>
          <w:tcPr>
            <w:tcW w:w="1018" w:type="pct"/>
            <w:tcBorders>
              <w:top w:val="nil"/>
              <w:left w:val="nil"/>
              <w:bottom w:val="nil"/>
              <w:right w:val="nil"/>
            </w:tcBorders>
            <w:shd w:val="clear" w:color="auto" w:fill="FFFFFF"/>
            <w:tcMar>
              <w:left w:w="67" w:type="dxa"/>
              <w:right w:w="67" w:type="dxa"/>
            </w:tcMar>
          </w:tcPr>
          <w:p w14:paraId="2EC1C6B8"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nil"/>
            </w:tcBorders>
            <w:shd w:val="clear" w:color="auto" w:fill="FFFFFF"/>
            <w:tcMar>
              <w:left w:w="67" w:type="dxa"/>
              <w:right w:w="67" w:type="dxa"/>
            </w:tcMar>
          </w:tcPr>
          <w:p w14:paraId="5AF13F55"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single" w:sz="4" w:space="0" w:color="auto"/>
            </w:tcBorders>
            <w:shd w:val="clear" w:color="auto" w:fill="FFFFFF"/>
            <w:tcMar>
              <w:left w:w="67" w:type="dxa"/>
              <w:right w:w="67" w:type="dxa"/>
            </w:tcMar>
          </w:tcPr>
          <w:p w14:paraId="74178C72"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23DF11D5"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6A2B5F02"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1018" w:type="pct"/>
            <w:tcBorders>
              <w:top w:val="nil"/>
              <w:left w:val="nil"/>
              <w:bottom w:val="nil"/>
              <w:right w:val="nil"/>
            </w:tcBorders>
            <w:shd w:val="clear" w:color="auto" w:fill="FFFFFF"/>
            <w:tcMar>
              <w:left w:w="67" w:type="dxa"/>
              <w:right w:w="67" w:type="dxa"/>
            </w:tcMar>
          </w:tcPr>
          <w:p w14:paraId="1CE8AEE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10.1 (4.52) 18</w:t>
            </w:r>
          </w:p>
        </w:tc>
        <w:tc>
          <w:tcPr>
            <w:tcW w:w="1018" w:type="pct"/>
            <w:tcBorders>
              <w:top w:val="nil"/>
              <w:left w:val="nil"/>
              <w:bottom w:val="nil"/>
              <w:right w:val="nil"/>
            </w:tcBorders>
            <w:shd w:val="clear" w:color="auto" w:fill="FFFFFF"/>
            <w:tcMar>
              <w:left w:w="67" w:type="dxa"/>
              <w:right w:w="67" w:type="dxa"/>
            </w:tcMar>
          </w:tcPr>
          <w:p w14:paraId="258A082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15.8 (7.44) 23</w:t>
            </w:r>
          </w:p>
        </w:tc>
        <w:tc>
          <w:tcPr>
            <w:tcW w:w="1018" w:type="pct"/>
            <w:tcBorders>
              <w:top w:val="nil"/>
              <w:left w:val="nil"/>
              <w:bottom w:val="nil"/>
              <w:right w:val="single" w:sz="4" w:space="0" w:color="auto"/>
            </w:tcBorders>
            <w:shd w:val="clear" w:color="auto" w:fill="FFFFFF"/>
            <w:tcMar>
              <w:left w:w="67" w:type="dxa"/>
              <w:right w:w="67" w:type="dxa"/>
            </w:tcMar>
          </w:tcPr>
          <w:p w14:paraId="3B681AF6"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18.0 (8.19) 28</w:t>
            </w:r>
          </w:p>
        </w:tc>
      </w:tr>
      <w:tr w:rsidR="00E07CDE" w:rsidRPr="00CD4C4F" w14:paraId="2F9C7C43"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3FBBD047"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1018" w:type="pct"/>
            <w:tcBorders>
              <w:top w:val="nil"/>
              <w:left w:val="nil"/>
              <w:bottom w:val="nil"/>
              <w:right w:val="nil"/>
            </w:tcBorders>
            <w:shd w:val="clear" w:color="auto" w:fill="FFFFFF"/>
            <w:tcMar>
              <w:left w:w="67" w:type="dxa"/>
              <w:right w:w="67" w:type="dxa"/>
            </w:tcMar>
          </w:tcPr>
          <w:p w14:paraId="2331FA9A"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10 (3, 20)</w:t>
            </w:r>
          </w:p>
        </w:tc>
        <w:tc>
          <w:tcPr>
            <w:tcW w:w="1018" w:type="pct"/>
            <w:tcBorders>
              <w:top w:val="nil"/>
              <w:left w:val="nil"/>
              <w:bottom w:val="nil"/>
              <w:right w:val="nil"/>
            </w:tcBorders>
            <w:shd w:val="clear" w:color="auto" w:fill="FFFFFF"/>
            <w:tcMar>
              <w:left w:w="67" w:type="dxa"/>
              <w:right w:w="67" w:type="dxa"/>
            </w:tcMar>
          </w:tcPr>
          <w:p w14:paraId="4F67B25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14.5 (8, 28)</w:t>
            </w:r>
          </w:p>
        </w:tc>
        <w:tc>
          <w:tcPr>
            <w:tcW w:w="1018" w:type="pct"/>
            <w:tcBorders>
              <w:top w:val="nil"/>
              <w:left w:val="nil"/>
              <w:bottom w:val="nil"/>
              <w:right w:val="single" w:sz="4" w:space="0" w:color="auto"/>
            </w:tcBorders>
            <w:shd w:val="clear" w:color="auto" w:fill="FFFFFF"/>
            <w:tcMar>
              <w:left w:w="67" w:type="dxa"/>
              <w:right w:w="67" w:type="dxa"/>
            </w:tcMar>
          </w:tcPr>
          <w:p w14:paraId="5832CAD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20 (9, 25)</w:t>
            </w:r>
          </w:p>
        </w:tc>
      </w:tr>
      <w:tr w:rsidR="00E07CDE" w:rsidRPr="00CD4C4F" w14:paraId="7B2C06A8"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2157EE3C"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Number of direct staff attended</w:t>
            </w:r>
          </w:p>
        </w:tc>
        <w:tc>
          <w:tcPr>
            <w:tcW w:w="1018" w:type="pct"/>
            <w:tcBorders>
              <w:top w:val="nil"/>
              <w:left w:val="nil"/>
              <w:bottom w:val="nil"/>
              <w:right w:val="nil"/>
            </w:tcBorders>
            <w:shd w:val="clear" w:color="auto" w:fill="FFFFFF"/>
            <w:tcMar>
              <w:left w:w="67" w:type="dxa"/>
              <w:right w:w="67" w:type="dxa"/>
            </w:tcMar>
          </w:tcPr>
          <w:p w14:paraId="455B29BF"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nil"/>
            </w:tcBorders>
            <w:shd w:val="clear" w:color="auto" w:fill="FFFFFF"/>
            <w:tcMar>
              <w:left w:w="67" w:type="dxa"/>
              <w:right w:w="67" w:type="dxa"/>
            </w:tcMar>
          </w:tcPr>
          <w:p w14:paraId="555D55D5"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single" w:sz="4" w:space="0" w:color="auto"/>
            </w:tcBorders>
            <w:shd w:val="clear" w:color="auto" w:fill="FFFFFF"/>
            <w:tcMar>
              <w:left w:w="67" w:type="dxa"/>
              <w:right w:w="67" w:type="dxa"/>
            </w:tcMar>
          </w:tcPr>
          <w:p w14:paraId="78B2B739"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44BE4E6C"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63084C19"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1018" w:type="pct"/>
            <w:tcBorders>
              <w:top w:val="nil"/>
              <w:left w:val="nil"/>
              <w:bottom w:val="nil"/>
              <w:right w:val="nil"/>
            </w:tcBorders>
            <w:shd w:val="clear" w:color="auto" w:fill="FFFFFF"/>
            <w:tcMar>
              <w:left w:w="67" w:type="dxa"/>
              <w:right w:w="67" w:type="dxa"/>
            </w:tcMar>
          </w:tcPr>
          <w:p w14:paraId="505C38A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11.4 (6.23) 26</w:t>
            </w:r>
          </w:p>
        </w:tc>
        <w:tc>
          <w:tcPr>
            <w:tcW w:w="1018" w:type="pct"/>
            <w:tcBorders>
              <w:top w:val="nil"/>
              <w:left w:val="nil"/>
              <w:bottom w:val="nil"/>
              <w:right w:val="nil"/>
            </w:tcBorders>
            <w:shd w:val="clear" w:color="auto" w:fill="FFFFFF"/>
            <w:tcMar>
              <w:left w:w="67" w:type="dxa"/>
              <w:right w:w="67" w:type="dxa"/>
            </w:tcMar>
          </w:tcPr>
          <w:p w14:paraId="7CF6CCF0"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15.3 (6.08) 27</w:t>
            </w:r>
          </w:p>
        </w:tc>
        <w:tc>
          <w:tcPr>
            <w:tcW w:w="1018" w:type="pct"/>
            <w:tcBorders>
              <w:top w:val="nil"/>
              <w:left w:val="nil"/>
              <w:bottom w:val="nil"/>
              <w:right w:val="single" w:sz="4" w:space="0" w:color="auto"/>
            </w:tcBorders>
            <w:shd w:val="clear" w:color="auto" w:fill="FFFFFF"/>
            <w:tcMar>
              <w:left w:w="67" w:type="dxa"/>
              <w:right w:w="67" w:type="dxa"/>
            </w:tcMar>
          </w:tcPr>
          <w:p w14:paraId="232104B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14.0 (5.29) 28</w:t>
            </w:r>
          </w:p>
        </w:tc>
      </w:tr>
      <w:tr w:rsidR="00E07CDE" w:rsidRPr="00CD4C4F" w14:paraId="494651A5"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53D367B0"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1018" w:type="pct"/>
            <w:tcBorders>
              <w:top w:val="nil"/>
              <w:left w:val="nil"/>
              <w:bottom w:val="nil"/>
              <w:right w:val="nil"/>
            </w:tcBorders>
            <w:shd w:val="clear" w:color="auto" w:fill="FFFFFF"/>
            <w:tcMar>
              <w:left w:w="67" w:type="dxa"/>
              <w:right w:w="67" w:type="dxa"/>
            </w:tcMar>
          </w:tcPr>
          <w:p w14:paraId="703DBEB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13.0 (3.0, 17.0)</w:t>
            </w:r>
          </w:p>
        </w:tc>
        <w:tc>
          <w:tcPr>
            <w:tcW w:w="1018" w:type="pct"/>
            <w:tcBorders>
              <w:top w:val="nil"/>
              <w:left w:val="nil"/>
              <w:bottom w:val="nil"/>
              <w:right w:val="nil"/>
            </w:tcBorders>
            <w:shd w:val="clear" w:color="auto" w:fill="FFFFFF"/>
            <w:tcMar>
              <w:left w:w="67" w:type="dxa"/>
              <w:right w:w="67" w:type="dxa"/>
            </w:tcMar>
          </w:tcPr>
          <w:p w14:paraId="0BC9CB3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13.5 (10.0, 24.0)</w:t>
            </w:r>
          </w:p>
        </w:tc>
        <w:tc>
          <w:tcPr>
            <w:tcW w:w="1018" w:type="pct"/>
            <w:tcBorders>
              <w:top w:val="nil"/>
              <w:left w:val="nil"/>
              <w:bottom w:val="nil"/>
              <w:right w:val="single" w:sz="4" w:space="0" w:color="auto"/>
            </w:tcBorders>
            <w:shd w:val="clear" w:color="auto" w:fill="FFFFFF"/>
            <w:tcMar>
              <w:left w:w="67" w:type="dxa"/>
              <w:right w:w="67" w:type="dxa"/>
            </w:tcMar>
          </w:tcPr>
          <w:p w14:paraId="5785F64A"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16.0 (8.0, 18.0)</w:t>
            </w:r>
          </w:p>
        </w:tc>
      </w:tr>
      <w:tr w:rsidR="00E07CDE" w:rsidRPr="00CD4C4F" w14:paraId="5797C37F"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29B6FBD6"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Timing of formal session from randomisation (months)</w:t>
            </w:r>
          </w:p>
        </w:tc>
        <w:tc>
          <w:tcPr>
            <w:tcW w:w="1018" w:type="pct"/>
            <w:tcBorders>
              <w:top w:val="nil"/>
              <w:left w:val="nil"/>
              <w:bottom w:val="nil"/>
              <w:right w:val="nil"/>
            </w:tcBorders>
            <w:shd w:val="clear" w:color="auto" w:fill="FFFFFF"/>
            <w:tcMar>
              <w:left w:w="67" w:type="dxa"/>
              <w:right w:w="67" w:type="dxa"/>
            </w:tcMar>
          </w:tcPr>
          <w:p w14:paraId="6BE812DC"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nil"/>
            </w:tcBorders>
            <w:shd w:val="clear" w:color="auto" w:fill="FFFFFF"/>
            <w:tcMar>
              <w:left w:w="67" w:type="dxa"/>
              <w:right w:w="67" w:type="dxa"/>
            </w:tcMar>
          </w:tcPr>
          <w:p w14:paraId="4128851F"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single" w:sz="4" w:space="0" w:color="auto"/>
            </w:tcBorders>
            <w:shd w:val="clear" w:color="auto" w:fill="FFFFFF"/>
            <w:tcMar>
              <w:left w:w="67" w:type="dxa"/>
              <w:right w:w="67" w:type="dxa"/>
            </w:tcMar>
          </w:tcPr>
          <w:p w14:paraId="4A87D233"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17F55EFC"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7433B839"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1018" w:type="pct"/>
            <w:tcBorders>
              <w:top w:val="nil"/>
              <w:left w:val="nil"/>
              <w:bottom w:val="nil"/>
              <w:right w:val="nil"/>
            </w:tcBorders>
            <w:shd w:val="clear" w:color="auto" w:fill="FFFFFF"/>
            <w:tcMar>
              <w:left w:w="67" w:type="dxa"/>
              <w:right w:w="67" w:type="dxa"/>
            </w:tcMar>
          </w:tcPr>
          <w:p w14:paraId="7F2F61C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2.8 (0.98) 16</w:t>
            </w:r>
          </w:p>
        </w:tc>
        <w:tc>
          <w:tcPr>
            <w:tcW w:w="1018" w:type="pct"/>
            <w:tcBorders>
              <w:top w:val="nil"/>
              <w:left w:val="nil"/>
              <w:bottom w:val="nil"/>
              <w:right w:val="nil"/>
            </w:tcBorders>
            <w:shd w:val="clear" w:color="auto" w:fill="FFFFFF"/>
            <w:tcMar>
              <w:left w:w="67" w:type="dxa"/>
              <w:right w:w="67" w:type="dxa"/>
            </w:tcMar>
          </w:tcPr>
          <w:p w14:paraId="57C7384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8.7 (2.79) 23</w:t>
            </w:r>
          </w:p>
        </w:tc>
        <w:tc>
          <w:tcPr>
            <w:tcW w:w="1018" w:type="pct"/>
            <w:tcBorders>
              <w:top w:val="nil"/>
              <w:left w:val="nil"/>
              <w:bottom w:val="nil"/>
              <w:right w:val="single" w:sz="4" w:space="0" w:color="auto"/>
            </w:tcBorders>
            <w:shd w:val="clear" w:color="auto" w:fill="FFFFFF"/>
            <w:tcMar>
              <w:left w:w="67" w:type="dxa"/>
              <w:right w:w="67" w:type="dxa"/>
            </w:tcMar>
          </w:tcPr>
          <w:p w14:paraId="10C6068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13.5 (1.19) 26</w:t>
            </w:r>
          </w:p>
        </w:tc>
      </w:tr>
      <w:tr w:rsidR="00E07CDE" w:rsidRPr="00CD4C4F" w14:paraId="0DF0DA4D"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3B499947"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1018" w:type="pct"/>
            <w:tcBorders>
              <w:top w:val="nil"/>
              <w:left w:val="nil"/>
              <w:bottom w:val="nil"/>
              <w:right w:val="nil"/>
            </w:tcBorders>
            <w:shd w:val="clear" w:color="auto" w:fill="FFFFFF"/>
            <w:tcMar>
              <w:left w:w="67" w:type="dxa"/>
              <w:right w:w="67" w:type="dxa"/>
            </w:tcMar>
          </w:tcPr>
          <w:p w14:paraId="118A0752"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2.7 (1.0, 4.9)</w:t>
            </w:r>
          </w:p>
        </w:tc>
        <w:tc>
          <w:tcPr>
            <w:tcW w:w="1018" w:type="pct"/>
            <w:tcBorders>
              <w:top w:val="nil"/>
              <w:left w:val="nil"/>
              <w:bottom w:val="nil"/>
              <w:right w:val="nil"/>
            </w:tcBorders>
            <w:shd w:val="clear" w:color="auto" w:fill="FFFFFF"/>
            <w:tcMar>
              <w:left w:w="67" w:type="dxa"/>
              <w:right w:w="67" w:type="dxa"/>
            </w:tcMar>
          </w:tcPr>
          <w:p w14:paraId="7747960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8.1 (4.4, 13.0)</w:t>
            </w:r>
          </w:p>
        </w:tc>
        <w:tc>
          <w:tcPr>
            <w:tcW w:w="1018" w:type="pct"/>
            <w:tcBorders>
              <w:top w:val="nil"/>
              <w:left w:val="nil"/>
              <w:bottom w:val="nil"/>
              <w:right w:val="single" w:sz="4" w:space="0" w:color="auto"/>
            </w:tcBorders>
            <w:shd w:val="clear" w:color="auto" w:fill="FFFFFF"/>
            <w:tcMar>
              <w:left w:w="67" w:type="dxa"/>
              <w:right w:w="67" w:type="dxa"/>
            </w:tcMar>
          </w:tcPr>
          <w:p w14:paraId="1054529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13.6 (12.4, 15.3)</w:t>
            </w:r>
          </w:p>
        </w:tc>
      </w:tr>
      <w:tr w:rsidR="00E07CDE" w:rsidRPr="00CD4C4F" w14:paraId="2E357069"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6BF369FA"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Informal briefing sessions held</w:t>
            </w:r>
          </w:p>
        </w:tc>
        <w:tc>
          <w:tcPr>
            <w:tcW w:w="1018" w:type="pct"/>
            <w:tcBorders>
              <w:top w:val="nil"/>
              <w:left w:val="nil"/>
              <w:bottom w:val="nil"/>
              <w:right w:val="nil"/>
            </w:tcBorders>
            <w:shd w:val="clear" w:color="auto" w:fill="FFFFFF"/>
            <w:tcMar>
              <w:left w:w="67" w:type="dxa"/>
              <w:right w:w="67" w:type="dxa"/>
            </w:tcMar>
          </w:tcPr>
          <w:p w14:paraId="743589E3"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nil"/>
            </w:tcBorders>
            <w:shd w:val="clear" w:color="auto" w:fill="FFFFFF"/>
            <w:tcMar>
              <w:left w:w="67" w:type="dxa"/>
              <w:right w:w="67" w:type="dxa"/>
            </w:tcMar>
          </w:tcPr>
          <w:p w14:paraId="44F7C339"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single" w:sz="4" w:space="0" w:color="auto"/>
            </w:tcBorders>
            <w:shd w:val="clear" w:color="auto" w:fill="FFFFFF"/>
            <w:tcMar>
              <w:left w:w="67" w:type="dxa"/>
              <w:right w:w="67" w:type="dxa"/>
            </w:tcMar>
          </w:tcPr>
          <w:p w14:paraId="700941FD"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75D30612"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53263C64"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Yes N (%) Missing</w:t>
            </w:r>
          </w:p>
        </w:tc>
        <w:tc>
          <w:tcPr>
            <w:tcW w:w="1018" w:type="pct"/>
            <w:tcBorders>
              <w:top w:val="nil"/>
              <w:left w:val="nil"/>
              <w:bottom w:val="nil"/>
              <w:right w:val="nil"/>
            </w:tcBorders>
            <w:shd w:val="clear" w:color="auto" w:fill="FFFFFF"/>
            <w:tcMar>
              <w:left w:w="67" w:type="dxa"/>
              <w:right w:w="67" w:type="dxa"/>
            </w:tcMar>
          </w:tcPr>
          <w:p w14:paraId="7CE7B6C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15 (48.4%) 15</w:t>
            </w:r>
          </w:p>
        </w:tc>
        <w:tc>
          <w:tcPr>
            <w:tcW w:w="1018" w:type="pct"/>
            <w:tcBorders>
              <w:top w:val="nil"/>
              <w:left w:val="nil"/>
              <w:bottom w:val="nil"/>
              <w:right w:val="nil"/>
            </w:tcBorders>
            <w:shd w:val="clear" w:color="auto" w:fill="FFFFFF"/>
            <w:tcMar>
              <w:left w:w="67" w:type="dxa"/>
              <w:right w:w="67" w:type="dxa"/>
            </w:tcMar>
          </w:tcPr>
          <w:p w14:paraId="605B99BA"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10 (32.3%) 20</w:t>
            </w:r>
          </w:p>
        </w:tc>
        <w:tc>
          <w:tcPr>
            <w:tcW w:w="1018" w:type="pct"/>
            <w:tcBorders>
              <w:top w:val="nil"/>
              <w:left w:val="nil"/>
              <w:bottom w:val="nil"/>
              <w:right w:val="single" w:sz="4" w:space="0" w:color="auto"/>
            </w:tcBorders>
            <w:shd w:val="clear" w:color="auto" w:fill="FFFFFF"/>
            <w:tcMar>
              <w:left w:w="67" w:type="dxa"/>
              <w:right w:w="67" w:type="dxa"/>
            </w:tcMar>
          </w:tcPr>
          <w:p w14:paraId="35255FA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 (9.7%) 26</w:t>
            </w:r>
          </w:p>
        </w:tc>
      </w:tr>
      <w:tr w:rsidR="00E07CDE" w:rsidRPr="00CD4C4F" w14:paraId="2CAAF43B"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3B9CC52B"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No</w:t>
            </w:r>
          </w:p>
        </w:tc>
        <w:tc>
          <w:tcPr>
            <w:tcW w:w="1018" w:type="pct"/>
            <w:tcBorders>
              <w:top w:val="nil"/>
              <w:left w:val="nil"/>
              <w:bottom w:val="nil"/>
              <w:right w:val="nil"/>
            </w:tcBorders>
            <w:shd w:val="clear" w:color="auto" w:fill="FFFFFF"/>
            <w:tcMar>
              <w:left w:w="67" w:type="dxa"/>
              <w:right w:w="67" w:type="dxa"/>
            </w:tcMar>
          </w:tcPr>
          <w:p w14:paraId="0844DA5E"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c>
          <w:tcPr>
            <w:tcW w:w="1018" w:type="pct"/>
            <w:tcBorders>
              <w:top w:val="nil"/>
              <w:left w:val="nil"/>
              <w:bottom w:val="nil"/>
              <w:right w:val="nil"/>
            </w:tcBorders>
            <w:shd w:val="clear" w:color="auto" w:fill="FFFFFF"/>
            <w:tcMar>
              <w:left w:w="67" w:type="dxa"/>
              <w:right w:w="67" w:type="dxa"/>
            </w:tcMar>
          </w:tcPr>
          <w:p w14:paraId="5479F02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c>
          <w:tcPr>
            <w:tcW w:w="1018" w:type="pct"/>
            <w:tcBorders>
              <w:top w:val="nil"/>
              <w:left w:val="nil"/>
              <w:bottom w:val="nil"/>
              <w:right w:val="single" w:sz="4" w:space="0" w:color="auto"/>
            </w:tcBorders>
            <w:shd w:val="clear" w:color="auto" w:fill="FFFFFF"/>
            <w:tcMar>
              <w:left w:w="67" w:type="dxa"/>
              <w:right w:w="67" w:type="dxa"/>
            </w:tcMar>
          </w:tcPr>
          <w:p w14:paraId="64FF2E9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 (6.5%)</w:t>
            </w:r>
          </w:p>
        </w:tc>
      </w:tr>
      <w:tr w:rsidR="00E07CDE" w:rsidRPr="00CD4C4F" w14:paraId="003CB82C"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356836B4"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Number of staff informally briefed</w:t>
            </w:r>
          </w:p>
        </w:tc>
        <w:tc>
          <w:tcPr>
            <w:tcW w:w="1018" w:type="pct"/>
            <w:tcBorders>
              <w:top w:val="nil"/>
              <w:left w:val="nil"/>
              <w:bottom w:val="nil"/>
              <w:right w:val="nil"/>
            </w:tcBorders>
            <w:shd w:val="clear" w:color="auto" w:fill="FFFFFF"/>
            <w:tcMar>
              <w:left w:w="67" w:type="dxa"/>
              <w:right w:w="67" w:type="dxa"/>
            </w:tcMar>
          </w:tcPr>
          <w:p w14:paraId="7A0764DD"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nil"/>
            </w:tcBorders>
            <w:shd w:val="clear" w:color="auto" w:fill="FFFFFF"/>
            <w:tcMar>
              <w:left w:w="67" w:type="dxa"/>
              <w:right w:w="67" w:type="dxa"/>
            </w:tcMar>
          </w:tcPr>
          <w:p w14:paraId="08B56B73"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single" w:sz="4" w:space="0" w:color="auto"/>
            </w:tcBorders>
            <w:shd w:val="clear" w:color="auto" w:fill="FFFFFF"/>
            <w:tcMar>
              <w:left w:w="67" w:type="dxa"/>
              <w:right w:w="67" w:type="dxa"/>
            </w:tcMar>
          </w:tcPr>
          <w:p w14:paraId="32E7C351"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72C9D10C" w14:textId="77777777" w:rsidTr="00CD4C4F">
        <w:trPr>
          <w:cantSplit/>
          <w:jc w:val="center"/>
        </w:trPr>
        <w:tc>
          <w:tcPr>
            <w:tcW w:w="1945" w:type="pct"/>
            <w:tcBorders>
              <w:top w:val="nil"/>
              <w:left w:val="single" w:sz="4" w:space="0" w:color="auto"/>
              <w:bottom w:val="nil"/>
              <w:right w:val="nil"/>
            </w:tcBorders>
            <w:shd w:val="clear" w:color="auto" w:fill="FFFFFF"/>
            <w:tcMar>
              <w:left w:w="67" w:type="dxa"/>
              <w:right w:w="67" w:type="dxa"/>
            </w:tcMar>
          </w:tcPr>
          <w:p w14:paraId="347216E0"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1018" w:type="pct"/>
            <w:tcBorders>
              <w:top w:val="nil"/>
              <w:left w:val="nil"/>
              <w:bottom w:val="nil"/>
              <w:right w:val="nil"/>
            </w:tcBorders>
            <w:shd w:val="clear" w:color="auto" w:fill="FFFFFF"/>
            <w:tcMar>
              <w:left w:w="67" w:type="dxa"/>
              <w:right w:w="67" w:type="dxa"/>
            </w:tcMar>
          </w:tcPr>
          <w:p w14:paraId="17E44D4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10.5 (7.51) 17</w:t>
            </w:r>
          </w:p>
        </w:tc>
        <w:tc>
          <w:tcPr>
            <w:tcW w:w="1018" w:type="pct"/>
            <w:tcBorders>
              <w:top w:val="nil"/>
              <w:left w:val="nil"/>
              <w:bottom w:val="nil"/>
              <w:right w:val="nil"/>
            </w:tcBorders>
            <w:shd w:val="clear" w:color="auto" w:fill="FFFFFF"/>
            <w:tcMar>
              <w:left w:w="67" w:type="dxa"/>
              <w:right w:w="67" w:type="dxa"/>
            </w:tcMar>
          </w:tcPr>
          <w:p w14:paraId="2C75134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13.1 (10.89) 23</w:t>
            </w:r>
          </w:p>
        </w:tc>
        <w:tc>
          <w:tcPr>
            <w:tcW w:w="1018" w:type="pct"/>
            <w:tcBorders>
              <w:top w:val="nil"/>
              <w:left w:val="nil"/>
              <w:bottom w:val="nil"/>
              <w:right w:val="single" w:sz="4" w:space="0" w:color="auto"/>
            </w:tcBorders>
            <w:shd w:val="clear" w:color="auto" w:fill="FFFFFF"/>
            <w:tcMar>
              <w:left w:w="67" w:type="dxa"/>
              <w:right w:w="67" w:type="dxa"/>
            </w:tcMar>
          </w:tcPr>
          <w:p w14:paraId="2271620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19.3 (1.15) 28</w:t>
            </w:r>
          </w:p>
        </w:tc>
      </w:tr>
      <w:tr w:rsidR="00E07CDE" w:rsidRPr="00CD4C4F" w14:paraId="3D95D711" w14:textId="77777777" w:rsidTr="00CD4C4F">
        <w:trPr>
          <w:cantSplit/>
          <w:jc w:val="center"/>
        </w:trPr>
        <w:tc>
          <w:tcPr>
            <w:tcW w:w="1945" w:type="pct"/>
            <w:tcBorders>
              <w:top w:val="nil"/>
              <w:left w:val="single" w:sz="4" w:space="0" w:color="auto"/>
              <w:bottom w:val="single" w:sz="4" w:space="0" w:color="auto"/>
              <w:right w:val="nil"/>
            </w:tcBorders>
            <w:shd w:val="clear" w:color="auto" w:fill="FFFFFF"/>
            <w:tcMar>
              <w:left w:w="67" w:type="dxa"/>
              <w:right w:w="67" w:type="dxa"/>
            </w:tcMar>
          </w:tcPr>
          <w:p w14:paraId="4365AFE5" w14:textId="77777777" w:rsidR="00E07CDE" w:rsidRPr="00CD4C4F" w:rsidRDefault="00E07CDE" w:rsidP="00CD4C4F">
            <w:pPr>
              <w:keepNext/>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1018" w:type="pct"/>
            <w:tcBorders>
              <w:top w:val="nil"/>
              <w:left w:val="nil"/>
              <w:bottom w:val="single" w:sz="4" w:space="0" w:color="auto"/>
              <w:right w:val="nil"/>
            </w:tcBorders>
            <w:shd w:val="clear" w:color="auto" w:fill="FFFFFF"/>
            <w:tcMar>
              <w:left w:w="67" w:type="dxa"/>
              <w:right w:w="67" w:type="dxa"/>
            </w:tcMar>
          </w:tcPr>
          <w:p w14:paraId="2F19CBD2"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8.5 (2.0, 30.0)</w:t>
            </w:r>
          </w:p>
        </w:tc>
        <w:tc>
          <w:tcPr>
            <w:tcW w:w="1018" w:type="pct"/>
            <w:tcBorders>
              <w:top w:val="nil"/>
              <w:left w:val="nil"/>
              <w:bottom w:val="single" w:sz="4" w:space="0" w:color="auto"/>
              <w:right w:val="nil"/>
            </w:tcBorders>
            <w:shd w:val="clear" w:color="auto" w:fill="FFFFFF"/>
            <w:tcMar>
              <w:left w:w="67" w:type="dxa"/>
              <w:right w:w="67" w:type="dxa"/>
            </w:tcMar>
          </w:tcPr>
          <w:p w14:paraId="0BACF2C9"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7.0 (4.0, 31.0)</w:t>
            </w:r>
          </w:p>
        </w:tc>
        <w:tc>
          <w:tcPr>
            <w:tcW w:w="1018" w:type="pct"/>
            <w:tcBorders>
              <w:top w:val="nil"/>
              <w:left w:val="nil"/>
              <w:bottom w:val="single" w:sz="4" w:space="0" w:color="auto"/>
              <w:right w:val="single" w:sz="4" w:space="0" w:color="auto"/>
            </w:tcBorders>
            <w:shd w:val="clear" w:color="auto" w:fill="FFFFFF"/>
            <w:tcMar>
              <w:left w:w="67" w:type="dxa"/>
              <w:right w:w="67" w:type="dxa"/>
            </w:tcMar>
          </w:tcPr>
          <w:p w14:paraId="04EAC50B"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20.0 (18.0, 20.0)</w:t>
            </w:r>
          </w:p>
        </w:tc>
      </w:tr>
    </w:tbl>
    <w:p w14:paraId="38687720" w14:textId="77777777" w:rsidR="00E07CDE" w:rsidRPr="00563AD3" w:rsidRDefault="00E07CDE" w:rsidP="009B13F3">
      <w:pPr>
        <w:autoSpaceDE/>
        <w:autoSpaceDN/>
        <w:adjustRightInd/>
        <w:spacing w:before="120" w:after="0"/>
        <w:rPr>
          <w:rFonts w:eastAsia="Calibri"/>
          <w:sz w:val="24"/>
          <w:szCs w:val="24"/>
          <w:lang w:eastAsia="en-US"/>
        </w:rPr>
      </w:pPr>
    </w:p>
    <w:p w14:paraId="5F175146" w14:textId="77777777" w:rsidR="00CD4C4F" w:rsidRDefault="00CD4C4F">
      <w:pPr>
        <w:autoSpaceDE/>
        <w:autoSpaceDN/>
        <w:adjustRightInd/>
        <w:spacing w:line="259" w:lineRule="auto"/>
        <w:rPr>
          <w:rFonts w:eastAsia="Calibri"/>
          <w:b/>
          <w:lang w:eastAsia="en-US"/>
        </w:rPr>
      </w:pPr>
      <w:bookmarkStart w:id="278" w:name="_Ref499131444"/>
      <w:bookmarkStart w:id="279" w:name="_Toc500935039"/>
      <w:r>
        <w:rPr>
          <w:rFonts w:eastAsia="Calibri"/>
          <w:lang w:eastAsia="en-US"/>
        </w:rPr>
        <w:br w:type="page"/>
      </w:r>
    </w:p>
    <w:p w14:paraId="1AAED933" w14:textId="52512F90" w:rsidR="00E07CDE" w:rsidRPr="00563AD3" w:rsidRDefault="00E07CDE" w:rsidP="00747F9C">
      <w:pPr>
        <w:pStyle w:val="Figure"/>
        <w:rPr>
          <w:rFonts w:eastAsia="Calibri"/>
          <w:b/>
          <w:lang w:eastAsia="en-US"/>
        </w:rPr>
      </w:pPr>
      <w:bookmarkStart w:id="280" w:name="_Toc525805243"/>
      <w:r w:rsidRPr="00747F9C">
        <w:t xml:space="preserve">Figure </w:t>
      </w:r>
      <w:bookmarkEnd w:id="278"/>
      <w:r w:rsidR="00072202" w:rsidRPr="00747F9C">
        <w:t xml:space="preserve">7 </w:t>
      </w:r>
      <w:r w:rsidRPr="00747F9C">
        <w:t>Time</w:t>
      </w:r>
      <w:r w:rsidRPr="00563AD3">
        <w:rPr>
          <w:rFonts w:eastAsia="Calibri"/>
          <w:lang w:eastAsia="en-US"/>
        </w:rPr>
        <w:t xml:space="preserve"> between CH randomisation and briefing sessions</w:t>
      </w:r>
      <w:bookmarkEnd w:id="279"/>
      <w:bookmarkEnd w:id="280"/>
    </w:p>
    <w:p w14:paraId="40CF3372" w14:textId="77777777" w:rsidR="00E07CDE" w:rsidRPr="00563AD3" w:rsidRDefault="00E07CDE" w:rsidP="009B13F3">
      <w:pPr>
        <w:autoSpaceDE/>
        <w:autoSpaceDN/>
        <w:adjustRightInd/>
        <w:spacing w:before="120" w:after="0"/>
        <w:rPr>
          <w:rFonts w:eastAsia="Calibri"/>
          <w:sz w:val="24"/>
          <w:szCs w:val="24"/>
          <w:lang w:eastAsia="en-US"/>
        </w:rPr>
      </w:pPr>
      <w:r w:rsidRPr="00563AD3">
        <w:rPr>
          <w:rFonts w:eastAsia="Calibri"/>
          <w:noProof/>
          <w:sz w:val="24"/>
          <w:szCs w:val="24"/>
        </w:rPr>
        <w:drawing>
          <wp:inline distT="0" distB="0" distL="0" distR="0" wp14:anchorId="16F1CF04" wp14:editId="559F8B78">
            <wp:extent cx="5731510" cy="4302125"/>
            <wp:effectExtent l="0" t="0" r="2540" b="3175"/>
            <wp:docPr id="3" name="Picture 3" descr="P:\CTRU\Projects\Health_Sciences\Older People\DCM EPIC\Stats\Final\Plots\14_Treatments\Timing of formal briefing sess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RU\Projects\Health_Sciences\Older People\DCM EPIC\Stats\Final\Plots\14_Treatments\Timing of formal briefing sessions.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1510" cy="4302125"/>
                    </a:xfrm>
                    <a:prstGeom prst="rect">
                      <a:avLst/>
                    </a:prstGeom>
                    <a:noFill/>
                    <a:ln>
                      <a:noFill/>
                    </a:ln>
                  </pic:spPr>
                </pic:pic>
              </a:graphicData>
            </a:graphic>
          </wp:inline>
        </w:drawing>
      </w:r>
    </w:p>
    <w:p w14:paraId="67F585E9" w14:textId="77777777" w:rsidR="00E07CDE" w:rsidRPr="00563AD3" w:rsidRDefault="00E07CDE" w:rsidP="009B13F3">
      <w:pPr>
        <w:autoSpaceDE/>
        <w:autoSpaceDN/>
        <w:adjustRightInd/>
        <w:spacing w:before="120" w:after="0"/>
        <w:rPr>
          <w:rFonts w:eastAsia="Calibri"/>
          <w:sz w:val="24"/>
          <w:szCs w:val="24"/>
          <w:lang w:eastAsia="en-US"/>
        </w:rPr>
      </w:pPr>
    </w:p>
    <w:p w14:paraId="303CDB40" w14:textId="77777777" w:rsidR="00E07CDE" w:rsidRPr="00563AD3" w:rsidRDefault="00E07CDE" w:rsidP="009B13F3">
      <w:pPr>
        <w:autoSpaceDE/>
        <w:autoSpaceDN/>
        <w:adjustRightInd/>
        <w:rPr>
          <w:rFonts w:eastAsia="Times New Roman"/>
          <w:u w:val="single"/>
          <w:lang w:eastAsia="en-US"/>
        </w:rPr>
      </w:pPr>
      <w:bookmarkStart w:id="281" w:name="_Toc500934960"/>
      <w:r w:rsidRPr="00563AD3">
        <w:rPr>
          <w:rFonts w:eastAsia="Times New Roman"/>
          <w:lang w:eastAsia="en-US"/>
        </w:rPr>
        <w:br w:type="page"/>
      </w:r>
    </w:p>
    <w:p w14:paraId="511F3241" w14:textId="67227705" w:rsidR="00E07CDE" w:rsidRPr="00563AD3" w:rsidRDefault="00E07CDE" w:rsidP="009B13F3">
      <w:pPr>
        <w:pStyle w:val="Heading4"/>
        <w:rPr>
          <w:rFonts w:eastAsia="Times New Roman"/>
          <w:lang w:eastAsia="en-US"/>
        </w:rPr>
      </w:pPr>
      <w:r w:rsidRPr="00563AD3">
        <w:rPr>
          <w:rFonts w:eastAsia="Times New Roman"/>
          <w:lang w:eastAsia="en-US"/>
        </w:rPr>
        <w:t>Observation</w:t>
      </w:r>
      <w:bookmarkEnd w:id="281"/>
    </w:p>
    <w:p w14:paraId="34D7D60F" w14:textId="36BDF6CE" w:rsidR="00E07CDE" w:rsidRPr="00563AD3" w:rsidRDefault="00E07CDE" w:rsidP="00CD4C4F">
      <w:pPr>
        <w:pStyle w:val="Tableheading"/>
        <w:rPr>
          <w:rFonts w:eastAsia="Calibri"/>
          <w:lang w:eastAsia="en-US"/>
        </w:rPr>
      </w:pPr>
      <w:bookmarkStart w:id="282" w:name="_Ref499133404"/>
      <w:bookmarkStart w:id="283" w:name="_Toc500935014"/>
      <w:bookmarkStart w:id="284" w:name="_Toc948232"/>
      <w:r w:rsidRPr="00563AD3">
        <w:rPr>
          <w:rFonts w:eastAsia="Calibri"/>
          <w:lang w:eastAsia="en-US"/>
        </w:rPr>
        <w:t xml:space="preserve">Table </w:t>
      </w:r>
      <w:bookmarkEnd w:id="282"/>
      <w:r w:rsidR="00B73A17">
        <w:rPr>
          <w:rFonts w:eastAsia="Calibri"/>
          <w:lang w:eastAsia="en-US"/>
        </w:rPr>
        <w:t>35</w:t>
      </w:r>
      <w:r w:rsidR="00B73A17" w:rsidRPr="00563AD3">
        <w:rPr>
          <w:rFonts w:eastAsia="Calibri"/>
          <w:lang w:eastAsia="en-US"/>
        </w:rPr>
        <w:t xml:space="preserve"> </w:t>
      </w:r>
      <w:r w:rsidRPr="00563AD3">
        <w:rPr>
          <w:rFonts w:eastAsia="Calibri"/>
          <w:lang w:eastAsia="en-US"/>
        </w:rPr>
        <w:t>Summary of observation as documented</w:t>
      </w:r>
      <w:bookmarkEnd w:id="283"/>
      <w:bookmarkEnd w:id="284"/>
    </w:p>
    <w:tbl>
      <w:tblPr>
        <w:tblW w:w="5000" w:type="pct"/>
        <w:jc w:val="center"/>
        <w:tblCellMar>
          <w:left w:w="0" w:type="dxa"/>
          <w:right w:w="0" w:type="dxa"/>
        </w:tblCellMar>
        <w:tblLook w:val="04A0" w:firstRow="1" w:lastRow="0" w:firstColumn="1" w:lastColumn="0" w:noHBand="0" w:noVBand="1"/>
      </w:tblPr>
      <w:tblGrid>
        <w:gridCol w:w="3985"/>
        <w:gridCol w:w="1677"/>
        <w:gridCol w:w="1677"/>
        <w:gridCol w:w="1677"/>
      </w:tblGrid>
      <w:tr w:rsidR="00E07CDE" w:rsidRPr="00CD4C4F" w14:paraId="2C3DD4E3" w14:textId="77777777" w:rsidTr="00CD4C4F">
        <w:trPr>
          <w:cantSplit/>
          <w:tblHeader/>
          <w:jc w:val="center"/>
        </w:trPr>
        <w:tc>
          <w:tcPr>
            <w:tcW w:w="5000" w:type="pct"/>
            <w:gridSpan w:val="4"/>
            <w:tcBorders>
              <w:top w:val="single" w:sz="4" w:space="0" w:color="auto"/>
              <w:left w:val="single" w:sz="4" w:space="0" w:color="auto"/>
              <w:bottom w:val="nil"/>
              <w:right w:val="single" w:sz="4" w:space="0" w:color="auto"/>
            </w:tcBorders>
            <w:shd w:val="clear" w:color="auto" w:fill="FFFFFF"/>
            <w:tcMar>
              <w:top w:w="0" w:type="dxa"/>
              <w:left w:w="67" w:type="dxa"/>
              <w:bottom w:w="0" w:type="dxa"/>
              <w:right w:w="67" w:type="dxa"/>
            </w:tcMar>
            <w:vAlign w:val="bottom"/>
            <w:hideMark/>
          </w:tcPr>
          <w:p w14:paraId="573BCD3F" w14:textId="77777777" w:rsidR="00E07CDE" w:rsidRPr="00CD4C4F" w:rsidRDefault="00E07CDE" w:rsidP="00CD4C4F">
            <w:pPr>
              <w:keepNext/>
              <w:spacing w:before="67" w:after="67" w:line="240" w:lineRule="auto"/>
              <w:jc w:val="center"/>
              <w:rPr>
                <w:rFonts w:eastAsia="Times New Roman"/>
                <w:b/>
                <w:bCs/>
                <w:color w:val="000000"/>
                <w:sz w:val="20"/>
                <w:szCs w:val="20"/>
              </w:rPr>
            </w:pPr>
            <w:r w:rsidRPr="00CD4C4F">
              <w:rPr>
                <w:rFonts w:eastAsia="Times New Roman"/>
                <w:b/>
                <w:bCs/>
                <w:color w:val="000000"/>
                <w:sz w:val="20"/>
                <w:szCs w:val="20"/>
              </w:rPr>
              <w:t>Observations adherence by cycle</w:t>
            </w:r>
          </w:p>
        </w:tc>
      </w:tr>
      <w:tr w:rsidR="00E07CDE" w:rsidRPr="00CD4C4F" w14:paraId="342F79B9" w14:textId="77777777" w:rsidTr="00CD4C4F">
        <w:trPr>
          <w:cantSplit/>
          <w:tblHeader/>
          <w:jc w:val="center"/>
        </w:trPr>
        <w:tc>
          <w:tcPr>
            <w:tcW w:w="2210" w:type="pct"/>
            <w:tcBorders>
              <w:top w:val="nil"/>
              <w:left w:val="single" w:sz="4" w:space="0" w:color="auto"/>
              <w:bottom w:val="single" w:sz="4" w:space="0" w:color="000000"/>
              <w:right w:val="nil"/>
            </w:tcBorders>
            <w:shd w:val="clear" w:color="auto" w:fill="FFFFFF"/>
            <w:tcMar>
              <w:top w:w="0" w:type="dxa"/>
              <w:left w:w="67" w:type="dxa"/>
              <w:bottom w:w="0" w:type="dxa"/>
              <w:right w:w="67" w:type="dxa"/>
            </w:tcMar>
            <w:vAlign w:val="bottom"/>
          </w:tcPr>
          <w:p w14:paraId="5B1CCAA0" w14:textId="77777777" w:rsidR="00E07CDE" w:rsidRPr="00CD4C4F" w:rsidRDefault="00E07CDE" w:rsidP="00CD4C4F">
            <w:pPr>
              <w:keepNext/>
              <w:spacing w:before="67" w:after="67" w:line="240" w:lineRule="auto"/>
              <w:rPr>
                <w:rFonts w:eastAsia="Times New Roman"/>
                <w:b/>
                <w:bCs/>
                <w:color w:val="000000"/>
                <w:sz w:val="20"/>
                <w:szCs w:val="20"/>
              </w:rPr>
            </w:pPr>
          </w:p>
        </w:tc>
        <w:tc>
          <w:tcPr>
            <w:tcW w:w="930" w:type="pct"/>
            <w:tcBorders>
              <w:top w:val="nil"/>
              <w:left w:val="nil"/>
              <w:bottom w:val="single" w:sz="4" w:space="0" w:color="000000"/>
              <w:right w:val="nil"/>
            </w:tcBorders>
            <w:shd w:val="clear" w:color="auto" w:fill="FFFFFF"/>
            <w:tcMar>
              <w:top w:w="0" w:type="dxa"/>
              <w:left w:w="67" w:type="dxa"/>
              <w:bottom w:w="0" w:type="dxa"/>
              <w:right w:w="67" w:type="dxa"/>
            </w:tcMar>
            <w:vAlign w:val="bottom"/>
          </w:tcPr>
          <w:p w14:paraId="7A9644DF"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1 (n=31)</w:t>
            </w:r>
          </w:p>
        </w:tc>
        <w:tc>
          <w:tcPr>
            <w:tcW w:w="930" w:type="pct"/>
            <w:tcBorders>
              <w:top w:val="nil"/>
              <w:left w:val="nil"/>
              <w:bottom w:val="single" w:sz="4" w:space="0" w:color="000000"/>
              <w:right w:val="nil"/>
            </w:tcBorders>
            <w:shd w:val="clear" w:color="auto" w:fill="FFFFFF"/>
            <w:tcMar>
              <w:top w:w="0" w:type="dxa"/>
              <w:left w:w="67" w:type="dxa"/>
              <w:bottom w:w="0" w:type="dxa"/>
              <w:right w:w="67" w:type="dxa"/>
            </w:tcMar>
            <w:vAlign w:val="bottom"/>
          </w:tcPr>
          <w:p w14:paraId="71DD1CAA"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2 (n=31)</w:t>
            </w:r>
          </w:p>
        </w:tc>
        <w:tc>
          <w:tcPr>
            <w:tcW w:w="930" w:type="pct"/>
            <w:tcBorders>
              <w:top w:val="nil"/>
              <w:left w:val="nil"/>
              <w:bottom w:val="single" w:sz="4" w:space="0" w:color="000000"/>
              <w:right w:val="single" w:sz="4" w:space="0" w:color="auto"/>
            </w:tcBorders>
            <w:shd w:val="clear" w:color="auto" w:fill="FFFFFF"/>
            <w:tcMar>
              <w:top w:w="0" w:type="dxa"/>
              <w:left w:w="67" w:type="dxa"/>
              <w:bottom w:w="0" w:type="dxa"/>
              <w:right w:w="67" w:type="dxa"/>
            </w:tcMar>
            <w:vAlign w:val="bottom"/>
          </w:tcPr>
          <w:p w14:paraId="4AA19720"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3 (n=31)</w:t>
            </w:r>
          </w:p>
        </w:tc>
      </w:tr>
      <w:tr w:rsidR="00E07CDE" w:rsidRPr="00CD4C4F" w14:paraId="239BC198"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1C5D728B"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Number of mappers observed</w:t>
            </w:r>
          </w:p>
        </w:tc>
        <w:tc>
          <w:tcPr>
            <w:tcW w:w="930" w:type="pct"/>
            <w:shd w:val="clear" w:color="auto" w:fill="FFFFFF"/>
            <w:tcMar>
              <w:top w:w="0" w:type="dxa"/>
              <w:left w:w="67" w:type="dxa"/>
              <w:bottom w:w="0" w:type="dxa"/>
              <w:right w:w="67" w:type="dxa"/>
            </w:tcMar>
          </w:tcPr>
          <w:p w14:paraId="48000B26"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shd w:val="clear" w:color="auto" w:fill="FFFFFF"/>
            <w:tcMar>
              <w:top w:w="0" w:type="dxa"/>
              <w:left w:w="67" w:type="dxa"/>
              <w:bottom w:w="0" w:type="dxa"/>
              <w:right w:w="67" w:type="dxa"/>
            </w:tcMar>
          </w:tcPr>
          <w:p w14:paraId="44B883AD"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tcBorders>
              <w:right w:val="single" w:sz="4" w:space="0" w:color="auto"/>
            </w:tcBorders>
            <w:shd w:val="clear" w:color="auto" w:fill="FFFFFF"/>
            <w:tcMar>
              <w:top w:w="0" w:type="dxa"/>
              <w:left w:w="67" w:type="dxa"/>
              <w:bottom w:w="0" w:type="dxa"/>
              <w:right w:w="67" w:type="dxa"/>
            </w:tcMar>
          </w:tcPr>
          <w:p w14:paraId="75A059A3"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6AAAA617"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295EB5F8"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1</w:t>
            </w:r>
          </w:p>
        </w:tc>
        <w:tc>
          <w:tcPr>
            <w:tcW w:w="930" w:type="pct"/>
            <w:shd w:val="clear" w:color="auto" w:fill="FFFFFF"/>
            <w:tcMar>
              <w:top w:w="0" w:type="dxa"/>
              <w:left w:w="67" w:type="dxa"/>
              <w:bottom w:w="0" w:type="dxa"/>
              <w:right w:w="67" w:type="dxa"/>
            </w:tcMar>
          </w:tcPr>
          <w:p w14:paraId="3177A51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c>
          <w:tcPr>
            <w:tcW w:w="930" w:type="pct"/>
            <w:shd w:val="clear" w:color="auto" w:fill="FFFFFF"/>
            <w:tcMar>
              <w:top w:w="0" w:type="dxa"/>
              <w:left w:w="67" w:type="dxa"/>
              <w:bottom w:w="0" w:type="dxa"/>
              <w:right w:w="67" w:type="dxa"/>
            </w:tcMar>
          </w:tcPr>
          <w:p w14:paraId="56052D7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c>
          <w:tcPr>
            <w:tcW w:w="930" w:type="pct"/>
            <w:tcBorders>
              <w:right w:val="single" w:sz="4" w:space="0" w:color="auto"/>
            </w:tcBorders>
            <w:shd w:val="clear" w:color="auto" w:fill="FFFFFF"/>
            <w:tcMar>
              <w:top w:w="0" w:type="dxa"/>
              <w:left w:w="67" w:type="dxa"/>
              <w:bottom w:w="0" w:type="dxa"/>
              <w:right w:w="67" w:type="dxa"/>
            </w:tcMar>
          </w:tcPr>
          <w:p w14:paraId="1FADD3F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r>
      <w:tr w:rsidR="00E07CDE" w:rsidRPr="00CD4C4F" w14:paraId="0E64C6A9"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2FB2B2FF"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2</w:t>
            </w:r>
          </w:p>
        </w:tc>
        <w:tc>
          <w:tcPr>
            <w:tcW w:w="930" w:type="pct"/>
            <w:shd w:val="clear" w:color="auto" w:fill="FFFFFF"/>
            <w:tcMar>
              <w:top w:w="0" w:type="dxa"/>
              <w:left w:w="67" w:type="dxa"/>
              <w:bottom w:w="0" w:type="dxa"/>
              <w:right w:w="67" w:type="dxa"/>
            </w:tcMar>
          </w:tcPr>
          <w:p w14:paraId="7589B70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18 (58.1%)</w:t>
            </w:r>
          </w:p>
        </w:tc>
        <w:tc>
          <w:tcPr>
            <w:tcW w:w="930" w:type="pct"/>
            <w:shd w:val="clear" w:color="auto" w:fill="FFFFFF"/>
            <w:tcMar>
              <w:top w:w="0" w:type="dxa"/>
              <w:left w:w="67" w:type="dxa"/>
              <w:bottom w:w="0" w:type="dxa"/>
              <w:right w:w="67" w:type="dxa"/>
            </w:tcMar>
          </w:tcPr>
          <w:p w14:paraId="3F3F71F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10 (32.3%)</w:t>
            </w:r>
          </w:p>
        </w:tc>
        <w:tc>
          <w:tcPr>
            <w:tcW w:w="930" w:type="pct"/>
            <w:tcBorders>
              <w:right w:val="single" w:sz="4" w:space="0" w:color="auto"/>
            </w:tcBorders>
            <w:shd w:val="clear" w:color="auto" w:fill="FFFFFF"/>
            <w:tcMar>
              <w:top w:w="0" w:type="dxa"/>
              <w:left w:w="67" w:type="dxa"/>
              <w:bottom w:w="0" w:type="dxa"/>
              <w:right w:w="67" w:type="dxa"/>
            </w:tcMar>
          </w:tcPr>
          <w:p w14:paraId="000301B2"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(12.9%)</w:t>
            </w:r>
          </w:p>
        </w:tc>
      </w:tr>
      <w:tr w:rsidR="00E07CDE" w:rsidRPr="00CD4C4F" w14:paraId="205BB2CF"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4B25EF54"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Missing</w:t>
            </w:r>
          </w:p>
        </w:tc>
        <w:tc>
          <w:tcPr>
            <w:tcW w:w="930" w:type="pct"/>
            <w:shd w:val="clear" w:color="auto" w:fill="FFFFFF"/>
            <w:tcMar>
              <w:top w:w="0" w:type="dxa"/>
              <w:left w:w="67" w:type="dxa"/>
              <w:bottom w:w="0" w:type="dxa"/>
              <w:right w:w="67" w:type="dxa"/>
            </w:tcMar>
          </w:tcPr>
          <w:p w14:paraId="095B381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12 (38.7%)</w:t>
            </w:r>
          </w:p>
        </w:tc>
        <w:tc>
          <w:tcPr>
            <w:tcW w:w="930" w:type="pct"/>
            <w:shd w:val="clear" w:color="auto" w:fill="FFFFFF"/>
            <w:tcMar>
              <w:top w:w="0" w:type="dxa"/>
              <w:left w:w="67" w:type="dxa"/>
              <w:bottom w:w="0" w:type="dxa"/>
              <w:right w:w="67" w:type="dxa"/>
            </w:tcMar>
          </w:tcPr>
          <w:p w14:paraId="0B832F3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20 (64.5%)</w:t>
            </w:r>
          </w:p>
        </w:tc>
        <w:tc>
          <w:tcPr>
            <w:tcW w:w="930" w:type="pct"/>
            <w:tcBorders>
              <w:right w:val="single" w:sz="4" w:space="0" w:color="auto"/>
            </w:tcBorders>
            <w:shd w:val="clear" w:color="auto" w:fill="FFFFFF"/>
            <w:tcMar>
              <w:top w:w="0" w:type="dxa"/>
              <w:left w:w="67" w:type="dxa"/>
              <w:bottom w:w="0" w:type="dxa"/>
              <w:right w:w="67" w:type="dxa"/>
            </w:tcMar>
          </w:tcPr>
          <w:p w14:paraId="42B7CDB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26 (83.9%)</w:t>
            </w:r>
          </w:p>
        </w:tc>
      </w:tr>
      <w:tr w:rsidR="00E07CDE" w:rsidRPr="00CD4C4F" w14:paraId="305F7A53"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78E7740E"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N of observation periods</w:t>
            </w:r>
          </w:p>
        </w:tc>
        <w:tc>
          <w:tcPr>
            <w:tcW w:w="930" w:type="pct"/>
            <w:shd w:val="clear" w:color="auto" w:fill="FFFFFF"/>
            <w:tcMar>
              <w:top w:w="0" w:type="dxa"/>
              <w:left w:w="67" w:type="dxa"/>
              <w:bottom w:w="0" w:type="dxa"/>
              <w:right w:w="67" w:type="dxa"/>
            </w:tcMar>
          </w:tcPr>
          <w:p w14:paraId="625C3A84"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shd w:val="clear" w:color="auto" w:fill="FFFFFF"/>
            <w:tcMar>
              <w:top w:w="0" w:type="dxa"/>
              <w:left w:w="67" w:type="dxa"/>
              <w:bottom w:w="0" w:type="dxa"/>
              <w:right w:w="67" w:type="dxa"/>
            </w:tcMar>
          </w:tcPr>
          <w:p w14:paraId="073DB67E"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tcBorders>
              <w:right w:val="single" w:sz="4" w:space="0" w:color="auto"/>
            </w:tcBorders>
            <w:shd w:val="clear" w:color="auto" w:fill="FFFFFF"/>
            <w:tcMar>
              <w:top w:w="0" w:type="dxa"/>
              <w:left w:w="67" w:type="dxa"/>
              <w:bottom w:w="0" w:type="dxa"/>
              <w:right w:w="67" w:type="dxa"/>
            </w:tcMar>
          </w:tcPr>
          <w:p w14:paraId="658EBFC3"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732FE349"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59E49DDD"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930" w:type="pct"/>
            <w:shd w:val="clear" w:color="auto" w:fill="FFFFFF"/>
            <w:tcMar>
              <w:top w:w="0" w:type="dxa"/>
              <w:left w:w="67" w:type="dxa"/>
              <w:bottom w:w="0" w:type="dxa"/>
              <w:right w:w="67" w:type="dxa"/>
            </w:tcMar>
          </w:tcPr>
          <w:p w14:paraId="32890DB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4.3 (2.05) 16</w:t>
            </w:r>
          </w:p>
        </w:tc>
        <w:tc>
          <w:tcPr>
            <w:tcW w:w="930" w:type="pct"/>
            <w:shd w:val="clear" w:color="auto" w:fill="FFFFFF"/>
            <w:tcMar>
              <w:top w:w="0" w:type="dxa"/>
              <w:left w:w="67" w:type="dxa"/>
              <w:bottom w:w="0" w:type="dxa"/>
              <w:right w:w="67" w:type="dxa"/>
            </w:tcMar>
          </w:tcPr>
          <w:p w14:paraId="4EDFE492"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3.9 (1.89) 23</w:t>
            </w:r>
          </w:p>
        </w:tc>
        <w:tc>
          <w:tcPr>
            <w:tcW w:w="930" w:type="pct"/>
            <w:tcBorders>
              <w:right w:val="single" w:sz="4" w:space="0" w:color="auto"/>
            </w:tcBorders>
            <w:shd w:val="clear" w:color="auto" w:fill="FFFFFF"/>
            <w:tcMar>
              <w:top w:w="0" w:type="dxa"/>
              <w:left w:w="67" w:type="dxa"/>
              <w:bottom w:w="0" w:type="dxa"/>
              <w:right w:w="67" w:type="dxa"/>
            </w:tcMar>
          </w:tcPr>
          <w:p w14:paraId="7E508CA0"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2.0 (0.00) 28</w:t>
            </w:r>
          </w:p>
        </w:tc>
      </w:tr>
      <w:tr w:rsidR="00E07CDE" w:rsidRPr="00CD4C4F" w14:paraId="138A97CA"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0F2F6FD1"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30" w:type="pct"/>
            <w:shd w:val="clear" w:color="auto" w:fill="FFFFFF"/>
            <w:tcMar>
              <w:top w:w="0" w:type="dxa"/>
              <w:left w:w="67" w:type="dxa"/>
              <w:bottom w:w="0" w:type="dxa"/>
              <w:right w:w="67" w:type="dxa"/>
            </w:tcMar>
          </w:tcPr>
          <w:p w14:paraId="29E167FD"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(2, 8)</w:t>
            </w:r>
          </w:p>
        </w:tc>
        <w:tc>
          <w:tcPr>
            <w:tcW w:w="930" w:type="pct"/>
            <w:shd w:val="clear" w:color="auto" w:fill="FFFFFF"/>
            <w:tcMar>
              <w:top w:w="0" w:type="dxa"/>
              <w:left w:w="67" w:type="dxa"/>
              <w:bottom w:w="0" w:type="dxa"/>
              <w:right w:w="67" w:type="dxa"/>
            </w:tcMar>
          </w:tcPr>
          <w:p w14:paraId="475F1E3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(2, 8)</w:t>
            </w:r>
          </w:p>
        </w:tc>
        <w:tc>
          <w:tcPr>
            <w:tcW w:w="930" w:type="pct"/>
            <w:tcBorders>
              <w:right w:val="single" w:sz="4" w:space="0" w:color="auto"/>
            </w:tcBorders>
            <w:shd w:val="clear" w:color="auto" w:fill="FFFFFF"/>
            <w:tcMar>
              <w:top w:w="0" w:type="dxa"/>
              <w:left w:w="67" w:type="dxa"/>
              <w:bottom w:w="0" w:type="dxa"/>
              <w:right w:w="67" w:type="dxa"/>
            </w:tcMar>
          </w:tcPr>
          <w:p w14:paraId="27160A0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 (2, 2)</w:t>
            </w:r>
          </w:p>
        </w:tc>
      </w:tr>
      <w:tr w:rsidR="00E07CDE" w:rsidRPr="00CD4C4F" w14:paraId="67A3FB26"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46EDE88A"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N of days between first and last observation</w:t>
            </w:r>
          </w:p>
        </w:tc>
        <w:tc>
          <w:tcPr>
            <w:tcW w:w="930" w:type="pct"/>
            <w:shd w:val="clear" w:color="auto" w:fill="FFFFFF"/>
            <w:tcMar>
              <w:top w:w="0" w:type="dxa"/>
              <w:left w:w="67" w:type="dxa"/>
              <w:bottom w:w="0" w:type="dxa"/>
              <w:right w:w="67" w:type="dxa"/>
            </w:tcMar>
          </w:tcPr>
          <w:p w14:paraId="2FFECCE7"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shd w:val="clear" w:color="auto" w:fill="FFFFFF"/>
            <w:tcMar>
              <w:top w:w="0" w:type="dxa"/>
              <w:left w:w="67" w:type="dxa"/>
              <w:bottom w:w="0" w:type="dxa"/>
              <w:right w:w="67" w:type="dxa"/>
            </w:tcMar>
          </w:tcPr>
          <w:p w14:paraId="5D077A6E"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tcBorders>
              <w:right w:val="single" w:sz="4" w:space="0" w:color="auto"/>
            </w:tcBorders>
            <w:shd w:val="clear" w:color="auto" w:fill="FFFFFF"/>
            <w:tcMar>
              <w:top w:w="0" w:type="dxa"/>
              <w:left w:w="67" w:type="dxa"/>
              <w:bottom w:w="0" w:type="dxa"/>
              <w:right w:w="67" w:type="dxa"/>
            </w:tcMar>
          </w:tcPr>
          <w:p w14:paraId="02F0B6DD"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1EFA0890"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18E6C9DC"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930" w:type="pct"/>
            <w:shd w:val="clear" w:color="auto" w:fill="FFFFFF"/>
            <w:tcMar>
              <w:top w:w="0" w:type="dxa"/>
              <w:left w:w="67" w:type="dxa"/>
              <w:bottom w:w="0" w:type="dxa"/>
              <w:right w:w="67" w:type="dxa"/>
            </w:tcMar>
          </w:tcPr>
          <w:p w14:paraId="68DABA5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3.0 (7.05) 13</w:t>
            </w:r>
          </w:p>
        </w:tc>
        <w:tc>
          <w:tcPr>
            <w:tcW w:w="930" w:type="pct"/>
            <w:shd w:val="clear" w:color="auto" w:fill="FFFFFF"/>
            <w:tcMar>
              <w:top w:w="0" w:type="dxa"/>
              <w:left w:w="67" w:type="dxa"/>
              <w:bottom w:w="0" w:type="dxa"/>
              <w:right w:w="67" w:type="dxa"/>
            </w:tcMar>
          </w:tcPr>
          <w:p w14:paraId="2A2C598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4.5 (14.75) 20</w:t>
            </w:r>
          </w:p>
        </w:tc>
        <w:tc>
          <w:tcPr>
            <w:tcW w:w="930" w:type="pct"/>
            <w:tcBorders>
              <w:right w:val="single" w:sz="4" w:space="0" w:color="auto"/>
            </w:tcBorders>
            <w:shd w:val="clear" w:color="auto" w:fill="FFFFFF"/>
            <w:tcMar>
              <w:top w:w="0" w:type="dxa"/>
              <w:left w:w="67" w:type="dxa"/>
              <w:bottom w:w="0" w:type="dxa"/>
              <w:right w:w="67" w:type="dxa"/>
            </w:tcMar>
          </w:tcPr>
          <w:p w14:paraId="02735E6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0.0 (0.00) 26</w:t>
            </w:r>
          </w:p>
        </w:tc>
      </w:tr>
      <w:tr w:rsidR="00E07CDE" w:rsidRPr="00CD4C4F" w14:paraId="0B3709AA"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7927400C"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30" w:type="pct"/>
            <w:shd w:val="clear" w:color="auto" w:fill="FFFFFF"/>
            <w:tcMar>
              <w:top w:w="0" w:type="dxa"/>
              <w:left w:w="67" w:type="dxa"/>
              <w:bottom w:w="0" w:type="dxa"/>
              <w:right w:w="67" w:type="dxa"/>
            </w:tcMar>
          </w:tcPr>
          <w:p w14:paraId="71D104FE"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0 (0, 29)</w:t>
            </w:r>
          </w:p>
        </w:tc>
        <w:tc>
          <w:tcPr>
            <w:tcW w:w="930" w:type="pct"/>
            <w:shd w:val="clear" w:color="auto" w:fill="FFFFFF"/>
            <w:tcMar>
              <w:top w:w="0" w:type="dxa"/>
              <w:left w:w="67" w:type="dxa"/>
              <w:bottom w:w="0" w:type="dxa"/>
              <w:right w:w="67" w:type="dxa"/>
            </w:tcMar>
          </w:tcPr>
          <w:p w14:paraId="7AB96F3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0 (0, 49)</w:t>
            </w:r>
          </w:p>
        </w:tc>
        <w:tc>
          <w:tcPr>
            <w:tcW w:w="930" w:type="pct"/>
            <w:tcBorders>
              <w:right w:val="single" w:sz="4" w:space="0" w:color="auto"/>
            </w:tcBorders>
            <w:shd w:val="clear" w:color="auto" w:fill="FFFFFF"/>
            <w:tcMar>
              <w:top w:w="0" w:type="dxa"/>
              <w:left w:w="67" w:type="dxa"/>
              <w:bottom w:w="0" w:type="dxa"/>
              <w:right w:w="67" w:type="dxa"/>
            </w:tcMar>
          </w:tcPr>
          <w:p w14:paraId="36EBB2C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0 (0, 0)</w:t>
            </w:r>
          </w:p>
        </w:tc>
      </w:tr>
      <w:tr w:rsidR="00E07CDE" w:rsidRPr="00CD4C4F" w14:paraId="7020DE63"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597A7228"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Total mapping time (hours)</w:t>
            </w:r>
          </w:p>
        </w:tc>
        <w:tc>
          <w:tcPr>
            <w:tcW w:w="930" w:type="pct"/>
            <w:shd w:val="clear" w:color="auto" w:fill="FFFFFF"/>
            <w:tcMar>
              <w:top w:w="0" w:type="dxa"/>
              <w:left w:w="67" w:type="dxa"/>
              <w:bottom w:w="0" w:type="dxa"/>
              <w:right w:w="67" w:type="dxa"/>
            </w:tcMar>
          </w:tcPr>
          <w:p w14:paraId="497A5999"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shd w:val="clear" w:color="auto" w:fill="FFFFFF"/>
            <w:tcMar>
              <w:top w:w="0" w:type="dxa"/>
              <w:left w:w="67" w:type="dxa"/>
              <w:bottom w:w="0" w:type="dxa"/>
              <w:right w:w="67" w:type="dxa"/>
            </w:tcMar>
          </w:tcPr>
          <w:p w14:paraId="75CC2017"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tcBorders>
              <w:right w:val="single" w:sz="4" w:space="0" w:color="auto"/>
            </w:tcBorders>
            <w:shd w:val="clear" w:color="auto" w:fill="FFFFFF"/>
            <w:tcMar>
              <w:top w:w="0" w:type="dxa"/>
              <w:left w:w="67" w:type="dxa"/>
              <w:bottom w:w="0" w:type="dxa"/>
              <w:right w:w="67" w:type="dxa"/>
            </w:tcMar>
          </w:tcPr>
          <w:p w14:paraId="32F80692"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2F72E9D0"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38006384"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930" w:type="pct"/>
            <w:shd w:val="clear" w:color="auto" w:fill="FFFFFF"/>
            <w:tcMar>
              <w:top w:w="0" w:type="dxa"/>
              <w:left w:w="67" w:type="dxa"/>
              <w:bottom w:w="0" w:type="dxa"/>
              <w:right w:w="67" w:type="dxa"/>
            </w:tcMar>
          </w:tcPr>
          <w:p w14:paraId="01F699F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8.9 (2.76) 16</w:t>
            </w:r>
          </w:p>
        </w:tc>
        <w:tc>
          <w:tcPr>
            <w:tcW w:w="930" w:type="pct"/>
            <w:shd w:val="clear" w:color="auto" w:fill="FFFFFF"/>
            <w:tcMar>
              <w:top w:w="0" w:type="dxa"/>
              <w:left w:w="67" w:type="dxa"/>
              <w:bottom w:w="0" w:type="dxa"/>
              <w:right w:w="67" w:type="dxa"/>
            </w:tcMar>
          </w:tcPr>
          <w:p w14:paraId="6C7E735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9.4 (2.30) 23</w:t>
            </w:r>
          </w:p>
        </w:tc>
        <w:tc>
          <w:tcPr>
            <w:tcW w:w="930" w:type="pct"/>
            <w:tcBorders>
              <w:right w:val="single" w:sz="4" w:space="0" w:color="auto"/>
            </w:tcBorders>
            <w:shd w:val="clear" w:color="auto" w:fill="FFFFFF"/>
            <w:tcMar>
              <w:top w:w="0" w:type="dxa"/>
              <w:left w:w="67" w:type="dxa"/>
              <w:bottom w:w="0" w:type="dxa"/>
              <w:right w:w="67" w:type="dxa"/>
            </w:tcMar>
          </w:tcPr>
          <w:p w14:paraId="4A1C018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7.8 (0.43) 28</w:t>
            </w:r>
          </w:p>
        </w:tc>
      </w:tr>
      <w:tr w:rsidR="00E07CDE" w:rsidRPr="00CD4C4F" w14:paraId="470FBD22"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6680A7A1"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30" w:type="pct"/>
            <w:shd w:val="clear" w:color="auto" w:fill="FFFFFF"/>
            <w:tcMar>
              <w:top w:w="0" w:type="dxa"/>
              <w:left w:w="67" w:type="dxa"/>
              <w:bottom w:w="0" w:type="dxa"/>
              <w:right w:w="67" w:type="dxa"/>
            </w:tcMar>
          </w:tcPr>
          <w:p w14:paraId="70ABA7D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9.2 (4.0, 12.4)</w:t>
            </w:r>
          </w:p>
        </w:tc>
        <w:tc>
          <w:tcPr>
            <w:tcW w:w="930" w:type="pct"/>
            <w:shd w:val="clear" w:color="auto" w:fill="FFFFFF"/>
            <w:tcMar>
              <w:top w:w="0" w:type="dxa"/>
              <w:left w:w="67" w:type="dxa"/>
              <w:bottom w:w="0" w:type="dxa"/>
              <w:right w:w="67" w:type="dxa"/>
            </w:tcMar>
          </w:tcPr>
          <w:p w14:paraId="045414C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9.9 (6.5, 12.3)</w:t>
            </w:r>
          </w:p>
        </w:tc>
        <w:tc>
          <w:tcPr>
            <w:tcW w:w="930" w:type="pct"/>
            <w:tcBorders>
              <w:right w:val="single" w:sz="4" w:space="0" w:color="auto"/>
            </w:tcBorders>
            <w:shd w:val="clear" w:color="auto" w:fill="FFFFFF"/>
            <w:tcMar>
              <w:top w:w="0" w:type="dxa"/>
              <w:left w:w="67" w:type="dxa"/>
              <w:bottom w:w="0" w:type="dxa"/>
              <w:right w:w="67" w:type="dxa"/>
            </w:tcMar>
          </w:tcPr>
          <w:p w14:paraId="28AE701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8.0 (7.3, 8.0)</w:t>
            </w:r>
          </w:p>
        </w:tc>
      </w:tr>
      <w:tr w:rsidR="00E07CDE" w:rsidRPr="00CD4C4F" w14:paraId="00072362"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41D7AED2"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 xml:space="preserve">Using all codes Yes </w:t>
            </w:r>
            <w:r w:rsidRPr="00CD4C4F">
              <w:rPr>
                <w:rFonts w:eastAsia="Times New Roman"/>
                <w:bCs/>
                <w:color w:val="000000"/>
                <w:sz w:val="20"/>
                <w:szCs w:val="20"/>
              </w:rPr>
              <w:t xml:space="preserve">N (%) </w:t>
            </w:r>
            <w:r w:rsidRPr="00CD4C4F">
              <w:rPr>
                <w:rFonts w:eastAsia="Times New Roman"/>
                <w:color w:val="000000"/>
                <w:sz w:val="20"/>
                <w:szCs w:val="20"/>
              </w:rPr>
              <w:t>Missing</w:t>
            </w:r>
          </w:p>
        </w:tc>
        <w:tc>
          <w:tcPr>
            <w:tcW w:w="930" w:type="pct"/>
            <w:shd w:val="clear" w:color="auto" w:fill="FFFFFF"/>
            <w:tcMar>
              <w:top w:w="0" w:type="dxa"/>
              <w:left w:w="67" w:type="dxa"/>
              <w:bottom w:w="0" w:type="dxa"/>
              <w:right w:w="67" w:type="dxa"/>
            </w:tcMar>
          </w:tcPr>
          <w:p w14:paraId="0A5A969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10 (32.3%) 13</w:t>
            </w:r>
          </w:p>
        </w:tc>
        <w:tc>
          <w:tcPr>
            <w:tcW w:w="930" w:type="pct"/>
            <w:shd w:val="clear" w:color="auto" w:fill="FFFFFF"/>
            <w:tcMar>
              <w:top w:w="0" w:type="dxa"/>
              <w:left w:w="67" w:type="dxa"/>
              <w:bottom w:w="0" w:type="dxa"/>
              <w:right w:w="67" w:type="dxa"/>
            </w:tcMar>
          </w:tcPr>
          <w:p w14:paraId="504FF2B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7 (22.6%) 20</w:t>
            </w:r>
          </w:p>
        </w:tc>
        <w:tc>
          <w:tcPr>
            <w:tcW w:w="930" w:type="pct"/>
            <w:tcBorders>
              <w:right w:val="single" w:sz="4" w:space="0" w:color="auto"/>
            </w:tcBorders>
            <w:shd w:val="clear" w:color="auto" w:fill="FFFFFF"/>
            <w:tcMar>
              <w:top w:w="0" w:type="dxa"/>
              <w:left w:w="67" w:type="dxa"/>
              <w:bottom w:w="0" w:type="dxa"/>
              <w:right w:w="67" w:type="dxa"/>
            </w:tcMar>
          </w:tcPr>
          <w:p w14:paraId="261EA0A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 (6.5%) 26</w:t>
            </w:r>
          </w:p>
        </w:tc>
      </w:tr>
      <w:tr w:rsidR="00E07CDE" w:rsidRPr="00CD4C4F" w14:paraId="6A67C042"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2CE516DB"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Total residents observed</w:t>
            </w:r>
          </w:p>
        </w:tc>
        <w:tc>
          <w:tcPr>
            <w:tcW w:w="930" w:type="pct"/>
            <w:shd w:val="clear" w:color="auto" w:fill="FFFFFF"/>
            <w:tcMar>
              <w:top w:w="0" w:type="dxa"/>
              <w:left w:w="67" w:type="dxa"/>
              <w:bottom w:w="0" w:type="dxa"/>
              <w:right w:w="67" w:type="dxa"/>
            </w:tcMar>
          </w:tcPr>
          <w:p w14:paraId="6BAAA87F"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shd w:val="clear" w:color="auto" w:fill="FFFFFF"/>
            <w:tcMar>
              <w:top w:w="0" w:type="dxa"/>
              <w:left w:w="67" w:type="dxa"/>
              <w:bottom w:w="0" w:type="dxa"/>
              <w:right w:w="67" w:type="dxa"/>
            </w:tcMar>
          </w:tcPr>
          <w:p w14:paraId="0D0F0EEB"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tcBorders>
              <w:right w:val="single" w:sz="4" w:space="0" w:color="auto"/>
            </w:tcBorders>
            <w:shd w:val="clear" w:color="auto" w:fill="FFFFFF"/>
            <w:tcMar>
              <w:top w:w="0" w:type="dxa"/>
              <w:left w:w="67" w:type="dxa"/>
              <w:bottom w:w="0" w:type="dxa"/>
              <w:right w:w="67" w:type="dxa"/>
            </w:tcMar>
          </w:tcPr>
          <w:p w14:paraId="15BC0DBD"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1A8D8802"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29479173"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930" w:type="pct"/>
            <w:shd w:val="clear" w:color="auto" w:fill="FFFFFF"/>
            <w:tcMar>
              <w:top w:w="0" w:type="dxa"/>
              <w:left w:w="67" w:type="dxa"/>
              <w:bottom w:w="0" w:type="dxa"/>
              <w:right w:w="67" w:type="dxa"/>
            </w:tcMar>
          </w:tcPr>
          <w:p w14:paraId="39A3AAB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5.4 (1.79) 13</w:t>
            </w:r>
          </w:p>
        </w:tc>
        <w:tc>
          <w:tcPr>
            <w:tcW w:w="930" w:type="pct"/>
            <w:shd w:val="clear" w:color="auto" w:fill="FFFFFF"/>
            <w:tcMar>
              <w:top w:w="0" w:type="dxa"/>
              <w:left w:w="67" w:type="dxa"/>
              <w:bottom w:w="0" w:type="dxa"/>
              <w:right w:w="67" w:type="dxa"/>
            </w:tcMar>
          </w:tcPr>
          <w:p w14:paraId="56D9025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5.7 (2.41) 20</w:t>
            </w:r>
          </w:p>
        </w:tc>
        <w:tc>
          <w:tcPr>
            <w:tcW w:w="930" w:type="pct"/>
            <w:tcBorders>
              <w:right w:val="single" w:sz="4" w:space="0" w:color="auto"/>
            </w:tcBorders>
            <w:shd w:val="clear" w:color="auto" w:fill="FFFFFF"/>
            <w:tcMar>
              <w:top w:w="0" w:type="dxa"/>
              <w:left w:w="67" w:type="dxa"/>
              <w:bottom w:w="0" w:type="dxa"/>
              <w:right w:w="67" w:type="dxa"/>
            </w:tcMar>
          </w:tcPr>
          <w:p w14:paraId="5E3B0DCE"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5.2 (1.79) 26</w:t>
            </w:r>
          </w:p>
        </w:tc>
      </w:tr>
      <w:tr w:rsidR="00E07CDE" w:rsidRPr="00CD4C4F" w14:paraId="49692049"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42A764FB"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30" w:type="pct"/>
            <w:shd w:val="clear" w:color="auto" w:fill="FFFFFF"/>
            <w:tcMar>
              <w:top w:w="0" w:type="dxa"/>
              <w:left w:w="67" w:type="dxa"/>
              <w:bottom w:w="0" w:type="dxa"/>
              <w:right w:w="67" w:type="dxa"/>
            </w:tcMar>
          </w:tcPr>
          <w:p w14:paraId="2AD9CA20"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 (2, 8)</w:t>
            </w:r>
          </w:p>
        </w:tc>
        <w:tc>
          <w:tcPr>
            <w:tcW w:w="930" w:type="pct"/>
            <w:shd w:val="clear" w:color="auto" w:fill="FFFFFF"/>
            <w:tcMar>
              <w:top w:w="0" w:type="dxa"/>
              <w:left w:w="67" w:type="dxa"/>
              <w:bottom w:w="0" w:type="dxa"/>
              <w:right w:w="67" w:type="dxa"/>
            </w:tcMar>
          </w:tcPr>
          <w:p w14:paraId="002BF86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 (2, 10)</w:t>
            </w:r>
          </w:p>
        </w:tc>
        <w:tc>
          <w:tcPr>
            <w:tcW w:w="930" w:type="pct"/>
            <w:tcBorders>
              <w:right w:val="single" w:sz="4" w:space="0" w:color="auto"/>
            </w:tcBorders>
            <w:shd w:val="clear" w:color="auto" w:fill="FFFFFF"/>
            <w:tcMar>
              <w:top w:w="0" w:type="dxa"/>
              <w:left w:w="67" w:type="dxa"/>
              <w:bottom w:w="0" w:type="dxa"/>
              <w:right w:w="67" w:type="dxa"/>
            </w:tcMar>
          </w:tcPr>
          <w:p w14:paraId="31E56BE6"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(4, 8)</w:t>
            </w:r>
          </w:p>
        </w:tc>
      </w:tr>
      <w:tr w:rsidR="00E07CDE" w:rsidRPr="00CD4C4F" w14:paraId="47AD4479"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61086E8E"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Out of observed:</w:t>
            </w:r>
          </w:p>
        </w:tc>
        <w:tc>
          <w:tcPr>
            <w:tcW w:w="930" w:type="pct"/>
            <w:shd w:val="clear" w:color="auto" w:fill="FFFFFF"/>
            <w:tcMar>
              <w:top w:w="0" w:type="dxa"/>
              <w:left w:w="67" w:type="dxa"/>
              <w:bottom w:w="0" w:type="dxa"/>
              <w:right w:w="67" w:type="dxa"/>
            </w:tcMar>
          </w:tcPr>
          <w:p w14:paraId="1B8615DB"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shd w:val="clear" w:color="auto" w:fill="FFFFFF"/>
            <w:tcMar>
              <w:top w:w="0" w:type="dxa"/>
              <w:left w:w="67" w:type="dxa"/>
              <w:bottom w:w="0" w:type="dxa"/>
              <w:right w:w="67" w:type="dxa"/>
            </w:tcMar>
          </w:tcPr>
          <w:p w14:paraId="020124FD"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tcBorders>
              <w:right w:val="single" w:sz="4" w:space="0" w:color="auto"/>
            </w:tcBorders>
            <w:shd w:val="clear" w:color="auto" w:fill="FFFFFF"/>
            <w:tcMar>
              <w:top w:w="0" w:type="dxa"/>
              <w:left w:w="67" w:type="dxa"/>
              <w:bottom w:w="0" w:type="dxa"/>
              <w:right w:w="67" w:type="dxa"/>
            </w:tcMar>
          </w:tcPr>
          <w:p w14:paraId="00F4BAC2"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4AA7990E"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5D28B5EF"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N of residents with less than 3 hours of observation</w:t>
            </w:r>
          </w:p>
        </w:tc>
        <w:tc>
          <w:tcPr>
            <w:tcW w:w="930" w:type="pct"/>
            <w:shd w:val="clear" w:color="auto" w:fill="FFFFFF"/>
            <w:tcMar>
              <w:top w:w="0" w:type="dxa"/>
              <w:left w:w="67" w:type="dxa"/>
              <w:bottom w:w="0" w:type="dxa"/>
              <w:right w:w="67" w:type="dxa"/>
            </w:tcMar>
          </w:tcPr>
          <w:p w14:paraId="7DD872B4"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shd w:val="clear" w:color="auto" w:fill="FFFFFF"/>
            <w:tcMar>
              <w:top w:w="0" w:type="dxa"/>
              <w:left w:w="67" w:type="dxa"/>
              <w:bottom w:w="0" w:type="dxa"/>
              <w:right w:w="67" w:type="dxa"/>
            </w:tcMar>
          </w:tcPr>
          <w:p w14:paraId="73B55E45"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tcBorders>
              <w:right w:val="single" w:sz="4" w:space="0" w:color="auto"/>
            </w:tcBorders>
            <w:shd w:val="clear" w:color="auto" w:fill="FFFFFF"/>
            <w:tcMar>
              <w:top w:w="0" w:type="dxa"/>
              <w:left w:w="67" w:type="dxa"/>
              <w:bottom w:w="0" w:type="dxa"/>
              <w:right w:w="67" w:type="dxa"/>
            </w:tcMar>
          </w:tcPr>
          <w:p w14:paraId="0FEE7913"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6C9A8E3D"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1AA78F0C" w14:textId="77777777" w:rsidR="00E07CDE" w:rsidRPr="00CD4C4F" w:rsidRDefault="00E07CDE" w:rsidP="00CD4C4F">
            <w:pPr>
              <w:spacing w:before="67" w:after="67" w:line="240" w:lineRule="auto"/>
              <w:rPr>
                <w:rFonts w:eastAsia="Calibri"/>
                <w:sz w:val="20"/>
                <w:szCs w:val="20"/>
              </w:rPr>
            </w:pPr>
            <w:r w:rsidRPr="00CD4C4F">
              <w:rPr>
                <w:rFonts w:eastAsia="Times New Roman"/>
                <w:color w:val="000000"/>
                <w:sz w:val="20"/>
                <w:szCs w:val="20"/>
              </w:rPr>
              <w:t>Mean (SD) Missing</w:t>
            </w:r>
          </w:p>
        </w:tc>
        <w:tc>
          <w:tcPr>
            <w:tcW w:w="930" w:type="pct"/>
            <w:shd w:val="clear" w:color="auto" w:fill="FFFFFF"/>
            <w:tcMar>
              <w:top w:w="0" w:type="dxa"/>
              <w:left w:w="67" w:type="dxa"/>
              <w:bottom w:w="0" w:type="dxa"/>
              <w:right w:w="67" w:type="dxa"/>
            </w:tcMar>
          </w:tcPr>
          <w:p w14:paraId="2927747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2.2 (1.72) 13</w:t>
            </w:r>
          </w:p>
        </w:tc>
        <w:tc>
          <w:tcPr>
            <w:tcW w:w="930" w:type="pct"/>
            <w:shd w:val="clear" w:color="auto" w:fill="FFFFFF"/>
            <w:tcMar>
              <w:top w:w="0" w:type="dxa"/>
              <w:left w:w="67" w:type="dxa"/>
              <w:bottom w:w="0" w:type="dxa"/>
              <w:right w:w="67" w:type="dxa"/>
            </w:tcMar>
          </w:tcPr>
          <w:p w14:paraId="69AC8A9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1.1 (2.39) 20</w:t>
            </w:r>
          </w:p>
        </w:tc>
        <w:tc>
          <w:tcPr>
            <w:tcW w:w="930" w:type="pct"/>
            <w:tcBorders>
              <w:right w:val="single" w:sz="4" w:space="0" w:color="auto"/>
            </w:tcBorders>
            <w:shd w:val="clear" w:color="auto" w:fill="FFFFFF"/>
            <w:tcMar>
              <w:top w:w="0" w:type="dxa"/>
              <w:left w:w="67" w:type="dxa"/>
              <w:bottom w:w="0" w:type="dxa"/>
              <w:right w:w="67" w:type="dxa"/>
            </w:tcMar>
          </w:tcPr>
          <w:p w14:paraId="1B4CCE7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1.0 (1.41) 26</w:t>
            </w:r>
          </w:p>
        </w:tc>
      </w:tr>
      <w:tr w:rsidR="00E07CDE" w:rsidRPr="00CD4C4F" w14:paraId="0C9427F5"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004FAB88"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30" w:type="pct"/>
            <w:shd w:val="clear" w:color="auto" w:fill="FFFFFF"/>
            <w:tcMar>
              <w:top w:w="0" w:type="dxa"/>
              <w:left w:w="67" w:type="dxa"/>
              <w:bottom w:w="0" w:type="dxa"/>
              <w:right w:w="67" w:type="dxa"/>
            </w:tcMar>
          </w:tcPr>
          <w:p w14:paraId="0B742D24"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 (0, 5)</w:t>
            </w:r>
          </w:p>
        </w:tc>
        <w:tc>
          <w:tcPr>
            <w:tcW w:w="930" w:type="pct"/>
            <w:shd w:val="clear" w:color="auto" w:fill="FFFFFF"/>
            <w:tcMar>
              <w:top w:w="0" w:type="dxa"/>
              <w:left w:w="67" w:type="dxa"/>
              <w:bottom w:w="0" w:type="dxa"/>
              <w:right w:w="67" w:type="dxa"/>
            </w:tcMar>
          </w:tcPr>
          <w:p w14:paraId="02F4826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0 (0, 8)</w:t>
            </w:r>
          </w:p>
        </w:tc>
        <w:tc>
          <w:tcPr>
            <w:tcW w:w="930" w:type="pct"/>
            <w:tcBorders>
              <w:right w:val="single" w:sz="4" w:space="0" w:color="auto"/>
            </w:tcBorders>
            <w:shd w:val="clear" w:color="auto" w:fill="FFFFFF"/>
            <w:tcMar>
              <w:top w:w="0" w:type="dxa"/>
              <w:left w:w="67" w:type="dxa"/>
              <w:bottom w:w="0" w:type="dxa"/>
              <w:right w:w="67" w:type="dxa"/>
            </w:tcMar>
          </w:tcPr>
          <w:p w14:paraId="793BF78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0 (0, 3)</w:t>
            </w:r>
          </w:p>
        </w:tc>
      </w:tr>
      <w:tr w:rsidR="00E07CDE" w:rsidRPr="00CD4C4F" w14:paraId="58B33297"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2ACD95C8"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N of residents with at least 3 hours of observation</w:t>
            </w:r>
          </w:p>
        </w:tc>
        <w:tc>
          <w:tcPr>
            <w:tcW w:w="930" w:type="pct"/>
            <w:shd w:val="clear" w:color="auto" w:fill="FFFFFF"/>
            <w:tcMar>
              <w:top w:w="0" w:type="dxa"/>
              <w:left w:w="67" w:type="dxa"/>
              <w:bottom w:w="0" w:type="dxa"/>
              <w:right w:w="67" w:type="dxa"/>
            </w:tcMar>
          </w:tcPr>
          <w:p w14:paraId="2BF7E0D7"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shd w:val="clear" w:color="auto" w:fill="FFFFFF"/>
            <w:tcMar>
              <w:top w:w="0" w:type="dxa"/>
              <w:left w:w="67" w:type="dxa"/>
              <w:bottom w:w="0" w:type="dxa"/>
              <w:right w:w="67" w:type="dxa"/>
            </w:tcMar>
          </w:tcPr>
          <w:p w14:paraId="5F796102"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tcBorders>
              <w:right w:val="single" w:sz="4" w:space="0" w:color="auto"/>
            </w:tcBorders>
            <w:shd w:val="clear" w:color="auto" w:fill="FFFFFF"/>
            <w:tcMar>
              <w:top w:w="0" w:type="dxa"/>
              <w:left w:w="67" w:type="dxa"/>
              <w:bottom w:w="0" w:type="dxa"/>
              <w:right w:w="67" w:type="dxa"/>
            </w:tcMar>
          </w:tcPr>
          <w:p w14:paraId="4E8B7FD0"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0E82D567"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6DA8B780"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930" w:type="pct"/>
            <w:shd w:val="clear" w:color="auto" w:fill="FFFFFF"/>
            <w:tcMar>
              <w:top w:w="0" w:type="dxa"/>
              <w:left w:w="67" w:type="dxa"/>
              <w:bottom w:w="0" w:type="dxa"/>
              <w:right w:w="67" w:type="dxa"/>
            </w:tcMar>
          </w:tcPr>
          <w:p w14:paraId="7C9491D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3.3 (1.81) 13</w:t>
            </w:r>
          </w:p>
        </w:tc>
        <w:tc>
          <w:tcPr>
            <w:tcW w:w="930" w:type="pct"/>
            <w:shd w:val="clear" w:color="auto" w:fill="FFFFFF"/>
            <w:tcMar>
              <w:top w:w="0" w:type="dxa"/>
              <w:left w:w="67" w:type="dxa"/>
              <w:bottom w:w="0" w:type="dxa"/>
              <w:right w:w="67" w:type="dxa"/>
            </w:tcMar>
          </w:tcPr>
          <w:p w14:paraId="6AAD194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4.6 (2.06) 20</w:t>
            </w:r>
          </w:p>
        </w:tc>
        <w:tc>
          <w:tcPr>
            <w:tcW w:w="930" w:type="pct"/>
            <w:tcBorders>
              <w:right w:val="single" w:sz="4" w:space="0" w:color="auto"/>
            </w:tcBorders>
            <w:shd w:val="clear" w:color="auto" w:fill="FFFFFF"/>
            <w:tcMar>
              <w:top w:w="0" w:type="dxa"/>
              <w:left w:w="67" w:type="dxa"/>
              <w:bottom w:w="0" w:type="dxa"/>
              <w:right w:w="67" w:type="dxa"/>
            </w:tcMar>
          </w:tcPr>
          <w:p w14:paraId="0DAF05E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4.2 (1.48) 26</w:t>
            </w:r>
          </w:p>
        </w:tc>
      </w:tr>
      <w:tr w:rsidR="00E07CDE" w:rsidRPr="00CD4C4F" w14:paraId="050C5800"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4C417967"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30" w:type="pct"/>
            <w:shd w:val="clear" w:color="auto" w:fill="FFFFFF"/>
            <w:tcMar>
              <w:top w:w="0" w:type="dxa"/>
              <w:left w:w="67" w:type="dxa"/>
              <w:bottom w:w="0" w:type="dxa"/>
              <w:right w:w="67" w:type="dxa"/>
            </w:tcMar>
          </w:tcPr>
          <w:p w14:paraId="06DB4BF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 (0, 6)</w:t>
            </w:r>
          </w:p>
        </w:tc>
        <w:tc>
          <w:tcPr>
            <w:tcW w:w="930" w:type="pct"/>
            <w:shd w:val="clear" w:color="auto" w:fill="FFFFFF"/>
            <w:tcMar>
              <w:top w:w="0" w:type="dxa"/>
              <w:left w:w="67" w:type="dxa"/>
              <w:bottom w:w="0" w:type="dxa"/>
              <w:right w:w="67" w:type="dxa"/>
            </w:tcMar>
          </w:tcPr>
          <w:p w14:paraId="25FE43F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 (2, 8)</w:t>
            </w:r>
          </w:p>
        </w:tc>
        <w:tc>
          <w:tcPr>
            <w:tcW w:w="930" w:type="pct"/>
            <w:tcBorders>
              <w:right w:val="single" w:sz="4" w:space="0" w:color="auto"/>
            </w:tcBorders>
            <w:shd w:val="clear" w:color="auto" w:fill="FFFFFF"/>
            <w:tcMar>
              <w:top w:w="0" w:type="dxa"/>
              <w:left w:w="67" w:type="dxa"/>
              <w:bottom w:w="0" w:type="dxa"/>
              <w:right w:w="67" w:type="dxa"/>
            </w:tcMar>
          </w:tcPr>
          <w:p w14:paraId="2682DAB0"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(2, 6)</w:t>
            </w:r>
          </w:p>
        </w:tc>
      </w:tr>
      <w:tr w:rsidR="00E07CDE" w:rsidRPr="00CD4C4F" w14:paraId="47CEE0EF"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4598A51B"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 of observed residents with at least 3 hours of observation</w:t>
            </w:r>
          </w:p>
        </w:tc>
        <w:tc>
          <w:tcPr>
            <w:tcW w:w="930" w:type="pct"/>
            <w:shd w:val="clear" w:color="auto" w:fill="FFFFFF"/>
            <w:tcMar>
              <w:top w:w="0" w:type="dxa"/>
              <w:left w:w="67" w:type="dxa"/>
              <w:bottom w:w="0" w:type="dxa"/>
              <w:right w:w="67" w:type="dxa"/>
            </w:tcMar>
          </w:tcPr>
          <w:p w14:paraId="0C02E3FD"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shd w:val="clear" w:color="auto" w:fill="FFFFFF"/>
            <w:tcMar>
              <w:top w:w="0" w:type="dxa"/>
              <w:left w:w="67" w:type="dxa"/>
              <w:bottom w:w="0" w:type="dxa"/>
              <w:right w:w="67" w:type="dxa"/>
            </w:tcMar>
          </w:tcPr>
          <w:p w14:paraId="65F118F4" w14:textId="77777777" w:rsidR="00E07CDE" w:rsidRPr="00CD4C4F" w:rsidRDefault="00E07CDE" w:rsidP="00CD4C4F">
            <w:pPr>
              <w:spacing w:before="67" w:after="67" w:line="240" w:lineRule="auto"/>
              <w:jc w:val="right"/>
              <w:rPr>
                <w:rFonts w:eastAsia="Times New Roman"/>
                <w:color w:val="000000"/>
                <w:sz w:val="20"/>
                <w:szCs w:val="20"/>
              </w:rPr>
            </w:pPr>
          </w:p>
        </w:tc>
        <w:tc>
          <w:tcPr>
            <w:tcW w:w="930" w:type="pct"/>
            <w:tcBorders>
              <w:right w:val="single" w:sz="4" w:space="0" w:color="auto"/>
            </w:tcBorders>
            <w:shd w:val="clear" w:color="auto" w:fill="FFFFFF"/>
            <w:tcMar>
              <w:top w:w="0" w:type="dxa"/>
              <w:left w:w="67" w:type="dxa"/>
              <w:bottom w:w="0" w:type="dxa"/>
              <w:right w:w="67" w:type="dxa"/>
            </w:tcMar>
          </w:tcPr>
          <w:p w14:paraId="6D5743BF"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18822973" w14:textId="77777777" w:rsidTr="00CD4C4F">
        <w:trPr>
          <w:cantSplit/>
          <w:jc w:val="center"/>
        </w:trPr>
        <w:tc>
          <w:tcPr>
            <w:tcW w:w="2210" w:type="pct"/>
            <w:tcBorders>
              <w:top w:val="nil"/>
              <w:left w:val="single" w:sz="4" w:space="0" w:color="auto"/>
              <w:bottom w:val="nil"/>
              <w:right w:val="nil"/>
            </w:tcBorders>
            <w:shd w:val="clear" w:color="auto" w:fill="FFFFFF"/>
            <w:tcMar>
              <w:top w:w="0" w:type="dxa"/>
              <w:left w:w="67" w:type="dxa"/>
              <w:bottom w:w="0" w:type="dxa"/>
              <w:right w:w="67" w:type="dxa"/>
            </w:tcMar>
            <w:hideMark/>
          </w:tcPr>
          <w:p w14:paraId="6698160D" w14:textId="77777777" w:rsidR="00E07CDE" w:rsidRPr="00CD4C4F" w:rsidRDefault="00E07CDE" w:rsidP="00CD4C4F">
            <w:pPr>
              <w:spacing w:before="67" w:after="67" w:line="240" w:lineRule="auto"/>
              <w:rPr>
                <w:rFonts w:eastAsia="Calibri"/>
                <w:sz w:val="20"/>
                <w:szCs w:val="20"/>
              </w:rPr>
            </w:pPr>
            <w:r w:rsidRPr="00CD4C4F">
              <w:rPr>
                <w:rFonts w:eastAsia="Times New Roman"/>
                <w:color w:val="000000"/>
                <w:sz w:val="20"/>
                <w:szCs w:val="20"/>
              </w:rPr>
              <w:t>Mean (SD)</w:t>
            </w:r>
            <w:r w:rsidRPr="00CD4C4F">
              <w:rPr>
                <w:rFonts w:eastAsia="Calibri"/>
                <w:sz w:val="20"/>
                <w:szCs w:val="20"/>
                <w:lang w:eastAsia="en-US"/>
              </w:rPr>
              <w:t xml:space="preserve"> </w:t>
            </w:r>
            <w:r w:rsidRPr="00CD4C4F">
              <w:rPr>
                <w:rFonts w:eastAsia="Times New Roman"/>
                <w:color w:val="000000"/>
                <w:sz w:val="20"/>
                <w:szCs w:val="20"/>
              </w:rPr>
              <w:t>Missing</w:t>
            </w:r>
          </w:p>
        </w:tc>
        <w:tc>
          <w:tcPr>
            <w:tcW w:w="930" w:type="pct"/>
            <w:shd w:val="clear" w:color="auto" w:fill="FFFFFF"/>
            <w:tcMar>
              <w:top w:w="0" w:type="dxa"/>
              <w:left w:w="67" w:type="dxa"/>
              <w:bottom w:w="0" w:type="dxa"/>
              <w:right w:w="67" w:type="dxa"/>
            </w:tcMar>
          </w:tcPr>
          <w:p w14:paraId="7392D9C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58.7 (33.75) 13</w:t>
            </w:r>
          </w:p>
        </w:tc>
        <w:tc>
          <w:tcPr>
            <w:tcW w:w="930" w:type="pct"/>
            <w:shd w:val="clear" w:color="auto" w:fill="FFFFFF"/>
            <w:tcMar>
              <w:top w:w="0" w:type="dxa"/>
              <w:left w:w="67" w:type="dxa"/>
              <w:bottom w:w="0" w:type="dxa"/>
              <w:right w:w="67" w:type="dxa"/>
            </w:tcMar>
          </w:tcPr>
          <w:p w14:paraId="63B94DB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86.0 (25.13) 20</w:t>
            </w:r>
          </w:p>
        </w:tc>
        <w:tc>
          <w:tcPr>
            <w:tcW w:w="930" w:type="pct"/>
            <w:tcBorders>
              <w:right w:val="single" w:sz="4" w:space="0" w:color="auto"/>
            </w:tcBorders>
            <w:shd w:val="clear" w:color="auto" w:fill="FFFFFF"/>
            <w:tcMar>
              <w:top w:w="0" w:type="dxa"/>
              <w:left w:w="67" w:type="dxa"/>
              <w:bottom w:w="0" w:type="dxa"/>
              <w:right w:w="67" w:type="dxa"/>
            </w:tcMar>
          </w:tcPr>
          <w:p w14:paraId="56E7DFD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82.5 (24.37) 26</w:t>
            </w:r>
          </w:p>
        </w:tc>
      </w:tr>
      <w:tr w:rsidR="00E07CDE" w:rsidRPr="00CD4C4F" w14:paraId="2114A21A" w14:textId="77777777" w:rsidTr="00CD4C4F">
        <w:trPr>
          <w:cantSplit/>
          <w:jc w:val="center"/>
        </w:trPr>
        <w:tc>
          <w:tcPr>
            <w:tcW w:w="2210" w:type="pct"/>
            <w:tcBorders>
              <w:top w:val="nil"/>
              <w:left w:val="single" w:sz="4" w:space="0" w:color="auto"/>
              <w:bottom w:val="single" w:sz="4" w:space="0" w:color="auto"/>
              <w:right w:val="nil"/>
            </w:tcBorders>
            <w:shd w:val="clear" w:color="auto" w:fill="FFFFFF"/>
            <w:tcMar>
              <w:top w:w="0" w:type="dxa"/>
              <w:left w:w="67" w:type="dxa"/>
              <w:bottom w:w="0" w:type="dxa"/>
              <w:right w:w="67" w:type="dxa"/>
            </w:tcMar>
            <w:hideMark/>
          </w:tcPr>
          <w:p w14:paraId="547CD00E" w14:textId="77777777" w:rsidR="00E07CDE" w:rsidRPr="00CD4C4F" w:rsidRDefault="00E07CDE" w:rsidP="00CD4C4F">
            <w:pPr>
              <w:keepNext/>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30" w:type="pct"/>
            <w:tcBorders>
              <w:bottom w:val="single" w:sz="4" w:space="0" w:color="auto"/>
            </w:tcBorders>
            <w:shd w:val="clear" w:color="auto" w:fill="FFFFFF"/>
            <w:tcMar>
              <w:top w:w="0" w:type="dxa"/>
              <w:left w:w="67" w:type="dxa"/>
              <w:bottom w:w="0" w:type="dxa"/>
              <w:right w:w="67" w:type="dxa"/>
            </w:tcMar>
          </w:tcPr>
          <w:p w14:paraId="53469A87"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60 (0, 100)</w:t>
            </w:r>
          </w:p>
        </w:tc>
        <w:tc>
          <w:tcPr>
            <w:tcW w:w="930" w:type="pct"/>
            <w:tcBorders>
              <w:bottom w:val="single" w:sz="4" w:space="0" w:color="auto"/>
            </w:tcBorders>
            <w:shd w:val="clear" w:color="auto" w:fill="FFFFFF"/>
            <w:tcMar>
              <w:top w:w="0" w:type="dxa"/>
              <w:left w:w="67" w:type="dxa"/>
              <w:bottom w:w="0" w:type="dxa"/>
              <w:right w:w="67" w:type="dxa"/>
            </w:tcMar>
          </w:tcPr>
          <w:p w14:paraId="56A30708"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100 (20, 100)</w:t>
            </w:r>
          </w:p>
        </w:tc>
        <w:tc>
          <w:tcPr>
            <w:tcW w:w="930" w:type="pct"/>
            <w:tcBorders>
              <w:bottom w:val="single" w:sz="4" w:space="0" w:color="auto"/>
              <w:right w:val="single" w:sz="4" w:space="0" w:color="auto"/>
            </w:tcBorders>
            <w:shd w:val="clear" w:color="auto" w:fill="FFFFFF"/>
            <w:tcMar>
              <w:top w:w="0" w:type="dxa"/>
              <w:left w:w="67" w:type="dxa"/>
              <w:bottom w:w="0" w:type="dxa"/>
              <w:right w:w="67" w:type="dxa"/>
            </w:tcMar>
          </w:tcPr>
          <w:p w14:paraId="47519D84"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100 (50, 100)</w:t>
            </w:r>
          </w:p>
        </w:tc>
      </w:tr>
    </w:tbl>
    <w:p w14:paraId="2F9B8E6C" w14:textId="77777777" w:rsidR="00E07CDE" w:rsidRPr="00563AD3" w:rsidRDefault="00E07CDE" w:rsidP="009B13F3">
      <w:pPr>
        <w:autoSpaceDE/>
        <w:autoSpaceDN/>
        <w:adjustRightInd/>
        <w:spacing w:before="120" w:after="0"/>
        <w:rPr>
          <w:rFonts w:eastAsia="Calibri"/>
          <w:sz w:val="24"/>
          <w:szCs w:val="24"/>
          <w:lang w:eastAsia="en-US"/>
        </w:rPr>
      </w:pPr>
    </w:p>
    <w:p w14:paraId="3344323F" w14:textId="77777777" w:rsidR="00E07CDE" w:rsidRPr="00563AD3" w:rsidRDefault="00E07CDE" w:rsidP="009B13F3">
      <w:pPr>
        <w:autoSpaceDE/>
        <w:autoSpaceDN/>
        <w:adjustRightInd/>
        <w:rPr>
          <w:rFonts w:eastAsia="Calibri"/>
          <w:b/>
          <w:bCs/>
          <w:sz w:val="24"/>
          <w:szCs w:val="18"/>
          <w:lang w:eastAsia="en-US"/>
        </w:rPr>
      </w:pPr>
      <w:bookmarkStart w:id="285" w:name="_Ref499133409"/>
      <w:bookmarkStart w:id="286" w:name="_Toc500935015"/>
      <w:r w:rsidRPr="00563AD3">
        <w:rPr>
          <w:rFonts w:eastAsia="Calibri"/>
          <w:b/>
          <w:bCs/>
          <w:sz w:val="24"/>
          <w:szCs w:val="18"/>
          <w:lang w:eastAsia="en-US"/>
        </w:rPr>
        <w:br w:type="page"/>
      </w:r>
    </w:p>
    <w:p w14:paraId="7DB389F1" w14:textId="39341281" w:rsidR="00E07CDE" w:rsidRPr="00563AD3" w:rsidRDefault="00E07CDE" w:rsidP="00CD4C4F">
      <w:pPr>
        <w:pStyle w:val="Tableheading"/>
        <w:rPr>
          <w:rFonts w:eastAsia="Calibri"/>
          <w:lang w:eastAsia="en-US"/>
        </w:rPr>
      </w:pPr>
      <w:bookmarkStart w:id="287" w:name="_Toc948233"/>
      <w:r w:rsidRPr="00563AD3">
        <w:rPr>
          <w:rFonts w:eastAsia="Calibri"/>
          <w:lang w:eastAsia="en-US"/>
        </w:rPr>
        <w:t xml:space="preserve">Table </w:t>
      </w:r>
      <w:bookmarkEnd w:id="285"/>
      <w:r w:rsidR="00B73A17">
        <w:rPr>
          <w:rFonts w:eastAsia="Calibri"/>
          <w:lang w:eastAsia="en-US"/>
        </w:rPr>
        <w:t>36</w:t>
      </w:r>
      <w:r w:rsidR="00B73A17" w:rsidRPr="00563AD3">
        <w:rPr>
          <w:rFonts w:eastAsia="Calibri"/>
          <w:lang w:eastAsia="en-US"/>
        </w:rPr>
        <w:t xml:space="preserve"> </w:t>
      </w:r>
      <w:r w:rsidRPr="00563AD3">
        <w:rPr>
          <w:rFonts w:eastAsia="Calibri"/>
          <w:lang w:eastAsia="en-US"/>
        </w:rPr>
        <w:t>Observation quality by cycle</w:t>
      </w:r>
      <w:bookmarkEnd w:id="286"/>
      <w:bookmarkEnd w:id="287"/>
    </w:p>
    <w:tbl>
      <w:tblPr>
        <w:tblW w:w="5000" w:type="pct"/>
        <w:jc w:val="center"/>
        <w:tblCellMar>
          <w:left w:w="0" w:type="dxa"/>
          <w:right w:w="0" w:type="dxa"/>
        </w:tblCellMar>
        <w:tblLook w:val="04A0" w:firstRow="1" w:lastRow="0" w:firstColumn="1" w:lastColumn="0" w:noHBand="0" w:noVBand="1"/>
      </w:tblPr>
      <w:tblGrid>
        <w:gridCol w:w="4664"/>
        <w:gridCol w:w="1450"/>
        <w:gridCol w:w="1450"/>
        <w:gridCol w:w="1452"/>
      </w:tblGrid>
      <w:tr w:rsidR="00E07CDE" w:rsidRPr="00CD4C4F" w14:paraId="38E9D4A0" w14:textId="77777777" w:rsidTr="00CD4C4F">
        <w:trPr>
          <w:cantSplit/>
          <w:tblHeader/>
          <w:jc w:val="center"/>
        </w:trPr>
        <w:tc>
          <w:tcPr>
            <w:tcW w:w="5000" w:type="pct"/>
            <w:gridSpan w:val="4"/>
            <w:tcBorders>
              <w:top w:val="single" w:sz="4" w:space="0" w:color="auto"/>
              <w:left w:val="single" w:sz="4" w:space="0" w:color="auto"/>
              <w:bottom w:val="nil"/>
              <w:right w:val="single" w:sz="4" w:space="0" w:color="auto"/>
            </w:tcBorders>
            <w:shd w:val="clear" w:color="auto" w:fill="FFFFFF"/>
            <w:tcMar>
              <w:top w:w="0" w:type="dxa"/>
              <w:left w:w="67" w:type="dxa"/>
              <w:bottom w:w="0" w:type="dxa"/>
              <w:right w:w="67" w:type="dxa"/>
            </w:tcMar>
            <w:vAlign w:val="bottom"/>
            <w:hideMark/>
          </w:tcPr>
          <w:p w14:paraId="6BBFD20B" w14:textId="77777777" w:rsidR="00E07CDE" w:rsidRPr="00CD4C4F" w:rsidRDefault="00E07CDE" w:rsidP="00CD4C4F">
            <w:pPr>
              <w:keepNext/>
              <w:spacing w:before="67" w:after="67" w:line="240" w:lineRule="auto"/>
              <w:jc w:val="center"/>
              <w:rPr>
                <w:rFonts w:eastAsia="Times New Roman"/>
                <w:b/>
                <w:bCs/>
                <w:color w:val="000000"/>
                <w:sz w:val="20"/>
                <w:szCs w:val="20"/>
              </w:rPr>
            </w:pPr>
            <w:r w:rsidRPr="00CD4C4F">
              <w:rPr>
                <w:rFonts w:eastAsia="Times New Roman"/>
                <w:b/>
                <w:bCs/>
                <w:color w:val="000000"/>
                <w:sz w:val="20"/>
                <w:szCs w:val="20"/>
              </w:rPr>
              <w:t>Observation quality by cycle</w:t>
            </w:r>
          </w:p>
        </w:tc>
      </w:tr>
      <w:tr w:rsidR="00E07CDE" w:rsidRPr="00CD4C4F" w14:paraId="602F25AB" w14:textId="77777777" w:rsidTr="00CD4C4F">
        <w:trPr>
          <w:cantSplit/>
          <w:tblHeader/>
          <w:jc w:val="center"/>
        </w:trPr>
        <w:tc>
          <w:tcPr>
            <w:tcW w:w="2587" w:type="pct"/>
            <w:tcBorders>
              <w:top w:val="nil"/>
              <w:left w:val="single" w:sz="4" w:space="0" w:color="auto"/>
              <w:bottom w:val="single" w:sz="4" w:space="0" w:color="000000"/>
              <w:right w:val="nil"/>
            </w:tcBorders>
            <w:shd w:val="clear" w:color="auto" w:fill="FFFFFF"/>
            <w:tcMar>
              <w:top w:w="0" w:type="dxa"/>
              <w:left w:w="67" w:type="dxa"/>
              <w:bottom w:w="0" w:type="dxa"/>
              <w:right w:w="67" w:type="dxa"/>
            </w:tcMar>
            <w:vAlign w:val="bottom"/>
          </w:tcPr>
          <w:p w14:paraId="7D8ED5DD" w14:textId="77777777" w:rsidR="00E07CDE" w:rsidRPr="00CD4C4F" w:rsidRDefault="00E07CDE" w:rsidP="00CD4C4F">
            <w:pPr>
              <w:keepNext/>
              <w:spacing w:before="67" w:after="67" w:line="240" w:lineRule="auto"/>
              <w:rPr>
                <w:rFonts w:eastAsia="Times New Roman"/>
                <w:b/>
                <w:bCs/>
                <w:color w:val="000000"/>
                <w:sz w:val="20"/>
                <w:szCs w:val="20"/>
              </w:rPr>
            </w:pPr>
          </w:p>
        </w:tc>
        <w:tc>
          <w:tcPr>
            <w:tcW w:w="804" w:type="pct"/>
            <w:tcBorders>
              <w:top w:val="nil"/>
              <w:left w:val="nil"/>
              <w:bottom w:val="single" w:sz="4" w:space="0" w:color="000000"/>
              <w:right w:val="nil"/>
            </w:tcBorders>
            <w:shd w:val="clear" w:color="auto" w:fill="FFFFFF"/>
            <w:tcMar>
              <w:top w:w="0" w:type="dxa"/>
              <w:left w:w="67" w:type="dxa"/>
              <w:bottom w:w="0" w:type="dxa"/>
              <w:right w:w="67" w:type="dxa"/>
            </w:tcMar>
            <w:vAlign w:val="bottom"/>
          </w:tcPr>
          <w:p w14:paraId="6BAF7405"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1 (n=31)</w:t>
            </w:r>
          </w:p>
        </w:tc>
        <w:tc>
          <w:tcPr>
            <w:tcW w:w="804" w:type="pct"/>
            <w:tcBorders>
              <w:top w:val="nil"/>
              <w:left w:val="nil"/>
              <w:bottom w:val="single" w:sz="4" w:space="0" w:color="000000"/>
              <w:right w:val="nil"/>
            </w:tcBorders>
            <w:shd w:val="clear" w:color="auto" w:fill="FFFFFF"/>
            <w:tcMar>
              <w:top w:w="0" w:type="dxa"/>
              <w:left w:w="67" w:type="dxa"/>
              <w:bottom w:w="0" w:type="dxa"/>
              <w:right w:w="67" w:type="dxa"/>
            </w:tcMar>
            <w:vAlign w:val="bottom"/>
          </w:tcPr>
          <w:p w14:paraId="4502E405"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2 (n=31)</w:t>
            </w:r>
          </w:p>
        </w:tc>
        <w:tc>
          <w:tcPr>
            <w:tcW w:w="804" w:type="pct"/>
            <w:tcBorders>
              <w:top w:val="nil"/>
              <w:left w:val="nil"/>
              <w:bottom w:val="single" w:sz="4" w:space="0" w:color="000000"/>
              <w:right w:val="single" w:sz="4" w:space="0" w:color="auto"/>
            </w:tcBorders>
            <w:shd w:val="clear" w:color="auto" w:fill="FFFFFF"/>
            <w:tcMar>
              <w:top w:w="0" w:type="dxa"/>
              <w:left w:w="67" w:type="dxa"/>
              <w:bottom w:w="0" w:type="dxa"/>
              <w:right w:w="67" w:type="dxa"/>
            </w:tcMar>
            <w:vAlign w:val="bottom"/>
          </w:tcPr>
          <w:p w14:paraId="1AF26591"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3 (n=31)</w:t>
            </w:r>
          </w:p>
        </w:tc>
      </w:tr>
      <w:tr w:rsidR="00E07CDE" w:rsidRPr="00CD4C4F" w14:paraId="321F2CF9" w14:textId="77777777" w:rsidTr="00CD4C4F">
        <w:trPr>
          <w:cantSplit/>
          <w:jc w:val="center"/>
        </w:trPr>
        <w:tc>
          <w:tcPr>
            <w:tcW w:w="2587" w:type="pct"/>
            <w:tcBorders>
              <w:top w:val="nil"/>
              <w:left w:val="single" w:sz="4" w:space="0" w:color="auto"/>
              <w:bottom w:val="nil"/>
              <w:right w:val="nil"/>
            </w:tcBorders>
            <w:shd w:val="clear" w:color="auto" w:fill="FFFFFF"/>
            <w:tcMar>
              <w:top w:w="0" w:type="dxa"/>
              <w:left w:w="67" w:type="dxa"/>
              <w:bottom w:w="0" w:type="dxa"/>
              <w:right w:w="67" w:type="dxa"/>
            </w:tcMar>
            <w:hideMark/>
          </w:tcPr>
          <w:p w14:paraId="0BC50198"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Two mappers completed at least 4 hours of observations over a 1 week period</w:t>
            </w:r>
          </w:p>
        </w:tc>
        <w:tc>
          <w:tcPr>
            <w:tcW w:w="804" w:type="pct"/>
            <w:shd w:val="clear" w:color="auto" w:fill="FFFFFF"/>
            <w:tcMar>
              <w:top w:w="0" w:type="dxa"/>
              <w:left w:w="67" w:type="dxa"/>
              <w:bottom w:w="0" w:type="dxa"/>
              <w:right w:w="67" w:type="dxa"/>
            </w:tcMar>
          </w:tcPr>
          <w:p w14:paraId="1FDAC9FC" w14:textId="77777777" w:rsidR="00E07CDE" w:rsidRPr="00CD4C4F" w:rsidRDefault="00E07CDE" w:rsidP="00CD4C4F">
            <w:pPr>
              <w:spacing w:before="67" w:after="67" w:line="240" w:lineRule="auto"/>
              <w:jc w:val="right"/>
              <w:rPr>
                <w:rFonts w:eastAsia="Times New Roman"/>
                <w:color w:val="000000"/>
                <w:sz w:val="20"/>
                <w:szCs w:val="20"/>
              </w:rPr>
            </w:pPr>
          </w:p>
        </w:tc>
        <w:tc>
          <w:tcPr>
            <w:tcW w:w="804" w:type="pct"/>
            <w:shd w:val="clear" w:color="auto" w:fill="FFFFFF"/>
            <w:tcMar>
              <w:top w:w="0" w:type="dxa"/>
              <w:left w:w="67" w:type="dxa"/>
              <w:bottom w:w="0" w:type="dxa"/>
              <w:right w:w="67" w:type="dxa"/>
            </w:tcMar>
          </w:tcPr>
          <w:p w14:paraId="27839101" w14:textId="77777777" w:rsidR="00E07CDE" w:rsidRPr="00CD4C4F" w:rsidRDefault="00E07CDE" w:rsidP="00CD4C4F">
            <w:pPr>
              <w:spacing w:before="67" w:after="67" w:line="240" w:lineRule="auto"/>
              <w:jc w:val="right"/>
              <w:rPr>
                <w:rFonts w:eastAsia="Times New Roman"/>
                <w:color w:val="000000"/>
                <w:sz w:val="20"/>
                <w:szCs w:val="20"/>
              </w:rPr>
            </w:pPr>
          </w:p>
        </w:tc>
        <w:tc>
          <w:tcPr>
            <w:tcW w:w="804" w:type="pct"/>
            <w:tcBorders>
              <w:right w:val="single" w:sz="4" w:space="0" w:color="auto"/>
            </w:tcBorders>
            <w:shd w:val="clear" w:color="auto" w:fill="FFFFFF"/>
            <w:tcMar>
              <w:top w:w="0" w:type="dxa"/>
              <w:left w:w="67" w:type="dxa"/>
              <w:bottom w:w="0" w:type="dxa"/>
              <w:right w:w="67" w:type="dxa"/>
            </w:tcMar>
          </w:tcPr>
          <w:p w14:paraId="7D5E9FA3"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43C52DE3" w14:textId="77777777" w:rsidTr="00CD4C4F">
        <w:trPr>
          <w:cantSplit/>
          <w:jc w:val="center"/>
        </w:trPr>
        <w:tc>
          <w:tcPr>
            <w:tcW w:w="2587" w:type="pct"/>
            <w:tcBorders>
              <w:top w:val="nil"/>
              <w:left w:val="single" w:sz="4" w:space="0" w:color="auto"/>
              <w:bottom w:val="nil"/>
              <w:right w:val="nil"/>
            </w:tcBorders>
            <w:shd w:val="clear" w:color="auto" w:fill="FFFFFF"/>
            <w:tcMar>
              <w:top w:w="0" w:type="dxa"/>
              <w:left w:w="67" w:type="dxa"/>
              <w:bottom w:w="0" w:type="dxa"/>
              <w:right w:w="67" w:type="dxa"/>
            </w:tcMar>
            <w:hideMark/>
          </w:tcPr>
          <w:p w14:paraId="710D1090"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Yes, completed fully</w:t>
            </w:r>
          </w:p>
        </w:tc>
        <w:tc>
          <w:tcPr>
            <w:tcW w:w="804" w:type="pct"/>
            <w:shd w:val="clear" w:color="auto" w:fill="FFFFFF"/>
            <w:tcMar>
              <w:top w:w="0" w:type="dxa"/>
              <w:left w:w="67" w:type="dxa"/>
              <w:bottom w:w="0" w:type="dxa"/>
              <w:right w:w="67" w:type="dxa"/>
            </w:tcMar>
          </w:tcPr>
          <w:p w14:paraId="1D4168CA"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13 (41.9%)</w:t>
            </w:r>
          </w:p>
        </w:tc>
        <w:tc>
          <w:tcPr>
            <w:tcW w:w="804" w:type="pct"/>
            <w:shd w:val="clear" w:color="auto" w:fill="FFFFFF"/>
            <w:tcMar>
              <w:top w:w="0" w:type="dxa"/>
              <w:left w:w="67" w:type="dxa"/>
              <w:bottom w:w="0" w:type="dxa"/>
              <w:right w:w="67" w:type="dxa"/>
            </w:tcMar>
          </w:tcPr>
          <w:p w14:paraId="715DC640"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7 (22.6%)</w:t>
            </w:r>
          </w:p>
        </w:tc>
        <w:tc>
          <w:tcPr>
            <w:tcW w:w="804" w:type="pct"/>
            <w:tcBorders>
              <w:right w:val="single" w:sz="4" w:space="0" w:color="auto"/>
            </w:tcBorders>
            <w:shd w:val="clear" w:color="auto" w:fill="FFFFFF"/>
            <w:tcMar>
              <w:top w:w="0" w:type="dxa"/>
              <w:left w:w="67" w:type="dxa"/>
              <w:bottom w:w="0" w:type="dxa"/>
              <w:right w:w="67" w:type="dxa"/>
            </w:tcMar>
          </w:tcPr>
          <w:p w14:paraId="358B804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 (9.7%)</w:t>
            </w:r>
          </w:p>
        </w:tc>
      </w:tr>
      <w:tr w:rsidR="00E07CDE" w:rsidRPr="00CD4C4F" w14:paraId="5AA0759E" w14:textId="77777777" w:rsidTr="00CD4C4F">
        <w:trPr>
          <w:cantSplit/>
          <w:jc w:val="center"/>
        </w:trPr>
        <w:tc>
          <w:tcPr>
            <w:tcW w:w="2587" w:type="pct"/>
            <w:tcBorders>
              <w:top w:val="nil"/>
              <w:left w:val="single" w:sz="4" w:space="0" w:color="auto"/>
              <w:bottom w:val="nil"/>
              <w:right w:val="nil"/>
            </w:tcBorders>
            <w:shd w:val="clear" w:color="auto" w:fill="FFFFFF"/>
            <w:tcMar>
              <w:top w:w="0" w:type="dxa"/>
              <w:left w:w="67" w:type="dxa"/>
              <w:bottom w:w="0" w:type="dxa"/>
              <w:right w:w="67" w:type="dxa"/>
            </w:tcMar>
            <w:hideMark/>
          </w:tcPr>
          <w:p w14:paraId="7E7E2E3C"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Completed partially</w:t>
            </w:r>
          </w:p>
        </w:tc>
        <w:tc>
          <w:tcPr>
            <w:tcW w:w="804" w:type="pct"/>
            <w:shd w:val="clear" w:color="auto" w:fill="FFFFFF"/>
            <w:tcMar>
              <w:top w:w="0" w:type="dxa"/>
              <w:left w:w="67" w:type="dxa"/>
              <w:bottom w:w="0" w:type="dxa"/>
              <w:right w:w="67" w:type="dxa"/>
            </w:tcMar>
          </w:tcPr>
          <w:p w14:paraId="49C0ACA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 (19.4%)</w:t>
            </w:r>
          </w:p>
        </w:tc>
        <w:tc>
          <w:tcPr>
            <w:tcW w:w="804" w:type="pct"/>
            <w:shd w:val="clear" w:color="auto" w:fill="FFFFFF"/>
            <w:tcMar>
              <w:top w:w="0" w:type="dxa"/>
              <w:left w:w="67" w:type="dxa"/>
              <w:bottom w:w="0" w:type="dxa"/>
              <w:right w:w="67" w:type="dxa"/>
            </w:tcMar>
          </w:tcPr>
          <w:p w14:paraId="7FAC826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(12.9%)</w:t>
            </w:r>
          </w:p>
        </w:tc>
        <w:tc>
          <w:tcPr>
            <w:tcW w:w="804" w:type="pct"/>
            <w:tcBorders>
              <w:right w:val="single" w:sz="4" w:space="0" w:color="auto"/>
            </w:tcBorders>
            <w:shd w:val="clear" w:color="auto" w:fill="FFFFFF"/>
            <w:tcMar>
              <w:top w:w="0" w:type="dxa"/>
              <w:left w:w="67" w:type="dxa"/>
              <w:bottom w:w="0" w:type="dxa"/>
              <w:right w:w="67" w:type="dxa"/>
            </w:tcMar>
          </w:tcPr>
          <w:p w14:paraId="18143776"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 (6.5%)</w:t>
            </w:r>
          </w:p>
        </w:tc>
      </w:tr>
      <w:tr w:rsidR="00E07CDE" w:rsidRPr="00CD4C4F" w14:paraId="739BAD28" w14:textId="77777777" w:rsidTr="00CD4C4F">
        <w:trPr>
          <w:cantSplit/>
          <w:jc w:val="center"/>
        </w:trPr>
        <w:tc>
          <w:tcPr>
            <w:tcW w:w="2587" w:type="pct"/>
            <w:tcBorders>
              <w:top w:val="nil"/>
              <w:left w:val="single" w:sz="4" w:space="0" w:color="auto"/>
              <w:bottom w:val="nil"/>
              <w:right w:val="nil"/>
            </w:tcBorders>
            <w:shd w:val="clear" w:color="auto" w:fill="FFFFFF"/>
            <w:tcMar>
              <w:top w:w="0" w:type="dxa"/>
              <w:left w:w="67" w:type="dxa"/>
              <w:bottom w:w="0" w:type="dxa"/>
              <w:right w:w="67" w:type="dxa"/>
            </w:tcMar>
            <w:hideMark/>
          </w:tcPr>
          <w:p w14:paraId="58CD20BD"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Not completed</w:t>
            </w:r>
          </w:p>
        </w:tc>
        <w:tc>
          <w:tcPr>
            <w:tcW w:w="804" w:type="pct"/>
            <w:shd w:val="clear" w:color="auto" w:fill="FFFFFF"/>
            <w:tcMar>
              <w:top w:w="0" w:type="dxa"/>
              <w:left w:w="67" w:type="dxa"/>
              <w:bottom w:w="0" w:type="dxa"/>
              <w:right w:w="67" w:type="dxa"/>
            </w:tcMar>
          </w:tcPr>
          <w:p w14:paraId="506DD38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12 (38.7%)</w:t>
            </w:r>
          </w:p>
        </w:tc>
        <w:tc>
          <w:tcPr>
            <w:tcW w:w="804" w:type="pct"/>
            <w:shd w:val="clear" w:color="auto" w:fill="FFFFFF"/>
            <w:tcMar>
              <w:top w:w="0" w:type="dxa"/>
              <w:left w:w="67" w:type="dxa"/>
              <w:bottom w:w="0" w:type="dxa"/>
              <w:right w:w="67" w:type="dxa"/>
            </w:tcMar>
          </w:tcPr>
          <w:p w14:paraId="20595004"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20 (64.5%)</w:t>
            </w:r>
          </w:p>
        </w:tc>
        <w:tc>
          <w:tcPr>
            <w:tcW w:w="804" w:type="pct"/>
            <w:tcBorders>
              <w:right w:val="single" w:sz="4" w:space="0" w:color="auto"/>
            </w:tcBorders>
            <w:shd w:val="clear" w:color="auto" w:fill="FFFFFF"/>
            <w:tcMar>
              <w:top w:w="0" w:type="dxa"/>
              <w:left w:w="67" w:type="dxa"/>
              <w:bottom w:w="0" w:type="dxa"/>
              <w:right w:w="67" w:type="dxa"/>
            </w:tcMar>
          </w:tcPr>
          <w:p w14:paraId="1D5F7F1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26 (83.9%)</w:t>
            </w:r>
          </w:p>
        </w:tc>
      </w:tr>
      <w:tr w:rsidR="00E07CDE" w:rsidRPr="00CD4C4F" w14:paraId="358D1220" w14:textId="77777777" w:rsidTr="00CD4C4F">
        <w:trPr>
          <w:cantSplit/>
          <w:jc w:val="center"/>
        </w:trPr>
        <w:tc>
          <w:tcPr>
            <w:tcW w:w="2587" w:type="pct"/>
            <w:tcBorders>
              <w:top w:val="nil"/>
              <w:left w:val="single" w:sz="4" w:space="0" w:color="auto"/>
              <w:bottom w:val="nil"/>
              <w:right w:val="nil"/>
            </w:tcBorders>
            <w:shd w:val="clear" w:color="auto" w:fill="FFFFFF"/>
            <w:tcMar>
              <w:top w:w="0" w:type="dxa"/>
              <w:left w:w="67" w:type="dxa"/>
              <w:bottom w:w="0" w:type="dxa"/>
              <w:right w:w="67" w:type="dxa"/>
            </w:tcMar>
            <w:hideMark/>
          </w:tcPr>
          <w:p w14:paraId="364ED7E2"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At least 5 residents observed in total with at least 3 hours of available data on each resident</w:t>
            </w:r>
          </w:p>
        </w:tc>
        <w:tc>
          <w:tcPr>
            <w:tcW w:w="804" w:type="pct"/>
            <w:shd w:val="clear" w:color="auto" w:fill="FFFFFF"/>
            <w:tcMar>
              <w:top w:w="0" w:type="dxa"/>
              <w:left w:w="67" w:type="dxa"/>
              <w:bottom w:w="0" w:type="dxa"/>
              <w:right w:w="67" w:type="dxa"/>
            </w:tcMar>
          </w:tcPr>
          <w:p w14:paraId="09BCD8CA" w14:textId="77777777" w:rsidR="00E07CDE" w:rsidRPr="00CD4C4F" w:rsidRDefault="00E07CDE" w:rsidP="00CD4C4F">
            <w:pPr>
              <w:spacing w:before="67" w:after="67" w:line="240" w:lineRule="auto"/>
              <w:jc w:val="right"/>
              <w:rPr>
                <w:rFonts w:eastAsia="Times New Roman"/>
                <w:color w:val="000000"/>
                <w:sz w:val="20"/>
                <w:szCs w:val="20"/>
              </w:rPr>
            </w:pPr>
          </w:p>
        </w:tc>
        <w:tc>
          <w:tcPr>
            <w:tcW w:w="804" w:type="pct"/>
            <w:shd w:val="clear" w:color="auto" w:fill="FFFFFF"/>
            <w:tcMar>
              <w:top w:w="0" w:type="dxa"/>
              <w:left w:w="67" w:type="dxa"/>
              <w:bottom w:w="0" w:type="dxa"/>
              <w:right w:w="67" w:type="dxa"/>
            </w:tcMar>
          </w:tcPr>
          <w:p w14:paraId="2CD56F23" w14:textId="77777777" w:rsidR="00E07CDE" w:rsidRPr="00CD4C4F" w:rsidRDefault="00E07CDE" w:rsidP="00CD4C4F">
            <w:pPr>
              <w:spacing w:before="67" w:after="67" w:line="240" w:lineRule="auto"/>
              <w:jc w:val="right"/>
              <w:rPr>
                <w:rFonts w:eastAsia="Times New Roman"/>
                <w:color w:val="000000"/>
                <w:sz w:val="20"/>
                <w:szCs w:val="20"/>
              </w:rPr>
            </w:pPr>
          </w:p>
        </w:tc>
        <w:tc>
          <w:tcPr>
            <w:tcW w:w="804" w:type="pct"/>
            <w:tcBorders>
              <w:right w:val="single" w:sz="4" w:space="0" w:color="auto"/>
            </w:tcBorders>
            <w:shd w:val="clear" w:color="auto" w:fill="FFFFFF"/>
            <w:tcMar>
              <w:top w:w="0" w:type="dxa"/>
              <w:left w:w="67" w:type="dxa"/>
              <w:bottom w:w="0" w:type="dxa"/>
              <w:right w:w="67" w:type="dxa"/>
            </w:tcMar>
          </w:tcPr>
          <w:p w14:paraId="13155C92"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50DDCA38" w14:textId="77777777" w:rsidTr="00CD4C4F">
        <w:trPr>
          <w:cantSplit/>
          <w:jc w:val="center"/>
        </w:trPr>
        <w:tc>
          <w:tcPr>
            <w:tcW w:w="2587" w:type="pct"/>
            <w:tcBorders>
              <w:top w:val="nil"/>
              <w:left w:val="single" w:sz="4" w:space="0" w:color="auto"/>
              <w:bottom w:val="nil"/>
              <w:right w:val="nil"/>
            </w:tcBorders>
            <w:shd w:val="clear" w:color="auto" w:fill="FFFFFF"/>
            <w:tcMar>
              <w:top w:w="0" w:type="dxa"/>
              <w:left w:w="67" w:type="dxa"/>
              <w:bottom w:w="0" w:type="dxa"/>
              <w:right w:w="67" w:type="dxa"/>
            </w:tcMar>
            <w:hideMark/>
          </w:tcPr>
          <w:p w14:paraId="7FFD1B3B"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Yes, completed fully</w:t>
            </w:r>
          </w:p>
        </w:tc>
        <w:tc>
          <w:tcPr>
            <w:tcW w:w="804" w:type="pct"/>
            <w:shd w:val="clear" w:color="auto" w:fill="FFFFFF"/>
            <w:tcMar>
              <w:top w:w="0" w:type="dxa"/>
              <w:left w:w="67" w:type="dxa"/>
              <w:bottom w:w="0" w:type="dxa"/>
              <w:right w:w="67" w:type="dxa"/>
            </w:tcMar>
          </w:tcPr>
          <w:p w14:paraId="2C0A9CD2"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 (6.5%)</w:t>
            </w:r>
          </w:p>
        </w:tc>
        <w:tc>
          <w:tcPr>
            <w:tcW w:w="804" w:type="pct"/>
            <w:shd w:val="clear" w:color="auto" w:fill="FFFFFF"/>
            <w:tcMar>
              <w:top w:w="0" w:type="dxa"/>
              <w:left w:w="67" w:type="dxa"/>
              <w:bottom w:w="0" w:type="dxa"/>
              <w:right w:w="67" w:type="dxa"/>
            </w:tcMar>
          </w:tcPr>
          <w:p w14:paraId="2E2EFDD4"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(12.9%)</w:t>
            </w:r>
          </w:p>
        </w:tc>
        <w:tc>
          <w:tcPr>
            <w:tcW w:w="804" w:type="pct"/>
            <w:tcBorders>
              <w:right w:val="single" w:sz="4" w:space="0" w:color="auto"/>
            </w:tcBorders>
            <w:shd w:val="clear" w:color="auto" w:fill="FFFFFF"/>
            <w:tcMar>
              <w:top w:w="0" w:type="dxa"/>
              <w:left w:w="67" w:type="dxa"/>
              <w:bottom w:w="0" w:type="dxa"/>
              <w:right w:w="67" w:type="dxa"/>
            </w:tcMar>
          </w:tcPr>
          <w:p w14:paraId="5BCC8A2D"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r>
      <w:tr w:rsidR="00E07CDE" w:rsidRPr="00CD4C4F" w14:paraId="5178816B" w14:textId="77777777" w:rsidTr="00CD4C4F">
        <w:trPr>
          <w:cantSplit/>
          <w:jc w:val="center"/>
        </w:trPr>
        <w:tc>
          <w:tcPr>
            <w:tcW w:w="2587" w:type="pct"/>
            <w:tcBorders>
              <w:top w:val="nil"/>
              <w:left w:val="single" w:sz="4" w:space="0" w:color="auto"/>
              <w:bottom w:val="nil"/>
              <w:right w:val="nil"/>
            </w:tcBorders>
            <w:shd w:val="clear" w:color="auto" w:fill="FFFFFF"/>
            <w:tcMar>
              <w:top w:w="0" w:type="dxa"/>
              <w:left w:w="67" w:type="dxa"/>
              <w:bottom w:w="0" w:type="dxa"/>
              <w:right w:w="67" w:type="dxa"/>
            </w:tcMar>
            <w:hideMark/>
          </w:tcPr>
          <w:p w14:paraId="67A3B96E"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Completed partially</w:t>
            </w:r>
          </w:p>
        </w:tc>
        <w:tc>
          <w:tcPr>
            <w:tcW w:w="804" w:type="pct"/>
            <w:shd w:val="clear" w:color="auto" w:fill="FFFFFF"/>
            <w:tcMar>
              <w:top w:w="0" w:type="dxa"/>
              <w:left w:w="67" w:type="dxa"/>
              <w:bottom w:w="0" w:type="dxa"/>
              <w:right w:w="67" w:type="dxa"/>
            </w:tcMar>
          </w:tcPr>
          <w:p w14:paraId="0F0DB12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16 (51.6%)</w:t>
            </w:r>
          </w:p>
        </w:tc>
        <w:tc>
          <w:tcPr>
            <w:tcW w:w="804" w:type="pct"/>
            <w:shd w:val="clear" w:color="auto" w:fill="FFFFFF"/>
            <w:tcMar>
              <w:top w:w="0" w:type="dxa"/>
              <w:left w:w="67" w:type="dxa"/>
              <w:bottom w:w="0" w:type="dxa"/>
              <w:right w:w="67" w:type="dxa"/>
            </w:tcMar>
          </w:tcPr>
          <w:p w14:paraId="1B5269E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7 (22.6%)</w:t>
            </w:r>
          </w:p>
        </w:tc>
        <w:tc>
          <w:tcPr>
            <w:tcW w:w="804" w:type="pct"/>
            <w:tcBorders>
              <w:right w:val="single" w:sz="4" w:space="0" w:color="auto"/>
            </w:tcBorders>
            <w:shd w:val="clear" w:color="auto" w:fill="FFFFFF"/>
            <w:tcMar>
              <w:top w:w="0" w:type="dxa"/>
              <w:left w:w="67" w:type="dxa"/>
              <w:bottom w:w="0" w:type="dxa"/>
              <w:right w:w="67" w:type="dxa"/>
            </w:tcMar>
          </w:tcPr>
          <w:p w14:paraId="43B6A8DA"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(12.9%)</w:t>
            </w:r>
          </w:p>
        </w:tc>
      </w:tr>
      <w:tr w:rsidR="00E07CDE" w:rsidRPr="00CD4C4F" w14:paraId="20BF7FB6" w14:textId="77777777" w:rsidTr="00CD4C4F">
        <w:trPr>
          <w:cantSplit/>
          <w:jc w:val="center"/>
        </w:trPr>
        <w:tc>
          <w:tcPr>
            <w:tcW w:w="2587" w:type="pct"/>
            <w:tcBorders>
              <w:top w:val="nil"/>
              <w:left w:val="single" w:sz="4" w:space="0" w:color="auto"/>
              <w:bottom w:val="nil"/>
              <w:right w:val="nil"/>
            </w:tcBorders>
            <w:shd w:val="clear" w:color="auto" w:fill="FFFFFF"/>
            <w:tcMar>
              <w:top w:w="0" w:type="dxa"/>
              <w:left w:w="67" w:type="dxa"/>
              <w:bottom w:w="0" w:type="dxa"/>
              <w:right w:w="67" w:type="dxa"/>
            </w:tcMar>
            <w:hideMark/>
          </w:tcPr>
          <w:p w14:paraId="1709D7FD"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Not completed</w:t>
            </w:r>
          </w:p>
        </w:tc>
        <w:tc>
          <w:tcPr>
            <w:tcW w:w="804" w:type="pct"/>
            <w:shd w:val="clear" w:color="auto" w:fill="FFFFFF"/>
            <w:tcMar>
              <w:top w:w="0" w:type="dxa"/>
              <w:left w:w="67" w:type="dxa"/>
              <w:bottom w:w="0" w:type="dxa"/>
              <w:right w:w="67" w:type="dxa"/>
            </w:tcMar>
          </w:tcPr>
          <w:p w14:paraId="6FAFD0E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13 (41.9%)</w:t>
            </w:r>
          </w:p>
        </w:tc>
        <w:tc>
          <w:tcPr>
            <w:tcW w:w="804" w:type="pct"/>
            <w:shd w:val="clear" w:color="auto" w:fill="FFFFFF"/>
            <w:tcMar>
              <w:top w:w="0" w:type="dxa"/>
              <w:left w:w="67" w:type="dxa"/>
              <w:bottom w:w="0" w:type="dxa"/>
              <w:right w:w="67" w:type="dxa"/>
            </w:tcMar>
          </w:tcPr>
          <w:p w14:paraId="46ED755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20 (64.5%)</w:t>
            </w:r>
          </w:p>
        </w:tc>
        <w:tc>
          <w:tcPr>
            <w:tcW w:w="804" w:type="pct"/>
            <w:tcBorders>
              <w:right w:val="single" w:sz="4" w:space="0" w:color="auto"/>
            </w:tcBorders>
            <w:shd w:val="clear" w:color="auto" w:fill="FFFFFF"/>
            <w:tcMar>
              <w:top w:w="0" w:type="dxa"/>
              <w:left w:w="67" w:type="dxa"/>
              <w:bottom w:w="0" w:type="dxa"/>
              <w:right w:w="67" w:type="dxa"/>
            </w:tcMar>
          </w:tcPr>
          <w:p w14:paraId="1EBBABEE"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26 (83.9%)</w:t>
            </w:r>
          </w:p>
        </w:tc>
      </w:tr>
      <w:tr w:rsidR="00E07CDE" w:rsidRPr="00CD4C4F" w14:paraId="7CD75E82" w14:textId="77777777" w:rsidTr="00CD4C4F">
        <w:trPr>
          <w:cantSplit/>
          <w:jc w:val="center"/>
        </w:trPr>
        <w:tc>
          <w:tcPr>
            <w:tcW w:w="2587" w:type="pct"/>
            <w:tcBorders>
              <w:top w:val="nil"/>
              <w:left w:val="single" w:sz="4" w:space="0" w:color="auto"/>
              <w:bottom w:val="nil"/>
              <w:right w:val="nil"/>
            </w:tcBorders>
            <w:shd w:val="clear" w:color="auto" w:fill="FFFFFF"/>
            <w:tcMar>
              <w:top w:w="0" w:type="dxa"/>
              <w:left w:w="67" w:type="dxa"/>
              <w:bottom w:w="0" w:type="dxa"/>
              <w:right w:w="67" w:type="dxa"/>
            </w:tcMar>
            <w:hideMark/>
          </w:tcPr>
          <w:p w14:paraId="6D933012"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Mappers using all 4 of the coding frames and making at least minimal qualitative notes</w:t>
            </w:r>
          </w:p>
        </w:tc>
        <w:tc>
          <w:tcPr>
            <w:tcW w:w="804" w:type="pct"/>
            <w:shd w:val="clear" w:color="auto" w:fill="FFFFFF"/>
            <w:tcMar>
              <w:top w:w="0" w:type="dxa"/>
              <w:left w:w="67" w:type="dxa"/>
              <w:bottom w:w="0" w:type="dxa"/>
              <w:right w:w="67" w:type="dxa"/>
            </w:tcMar>
          </w:tcPr>
          <w:p w14:paraId="42A82344" w14:textId="77777777" w:rsidR="00E07CDE" w:rsidRPr="00CD4C4F" w:rsidRDefault="00E07CDE" w:rsidP="00CD4C4F">
            <w:pPr>
              <w:spacing w:before="67" w:after="67" w:line="240" w:lineRule="auto"/>
              <w:jc w:val="right"/>
              <w:rPr>
                <w:rFonts w:eastAsia="Times New Roman"/>
                <w:color w:val="000000"/>
                <w:sz w:val="20"/>
                <w:szCs w:val="20"/>
              </w:rPr>
            </w:pPr>
          </w:p>
        </w:tc>
        <w:tc>
          <w:tcPr>
            <w:tcW w:w="804" w:type="pct"/>
            <w:shd w:val="clear" w:color="auto" w:fill="FFFFFF"/>
            <w:tcMar>
              <w:top w:w="0" w:type="dxa"/>
              <w:left w:w="67" w:type="dxa"/>
              <w:bottom w:w="0" w:type="dxa"/>
              <w:right w:w="67" w:type="dxa"/>
            </w:tcMar>
          </w:tcPr>
          <w:p w14:paraId="475DC3F1" w14:textId="77777777" w:rsidR="00E07CDE" w:rsidRPr="00CD4C4F" w:rsidRDefault="00E07CDE" w:rsidP="00CD4C4F">
            <w:pPr>
              <w:spacing w:before="67" w:after="67" w:line="240" w:lineRule="auto"/>
              <w:jc w:val="right"/>
              <w:rPr>
                <w:rFonts w:eastAsia="Times New Roman"/>
                <w:color w:val="000000"/>
                <w:sz w:val="20"/>
                <w:szCs w:val="20"/>
              </w:rPr>
            </w:pPr>
          </w:p>
        </w:tc>
        <w:tc>
          <w:tcPr>
            <w:tcW w:w="804" w:type="pct"/>
            <w:tcBorders>
              <w:right w:val="single" w:sz="4" w:space="0" w:color="auto"/>
            </w:tcBorders>
            <w:shd w:val="clear" w:color="auto" w:fill="FFFFFF"/>
            <w:tcMar>
              <w:top w:w="0" w:type="dxa"/>
              <w:left w:w="67" w:type="dxa"/>
              <w:bottom w:w="0" w:type="dxa"/>
              <w:right w:w="67" w:type="dxa"/>
            </w:tcMar>
          </w:tcPr>
          <w:p w14:paraId="7332BF07"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060701AF" w14:textId="77777777" w:rsidTr="00CD4C4F">
        <w:trPr>
          <w:cantSplit/>
          <w:jc w:val="center"/>
        </w:trPr>
        <w:tc>
          <w:tcPr>
            <w:tcW w:w="2587" w:type="pct"/>
            <w:tcBorders>
              <w:top w:val="nil"/>
              <w:left w:val="single" w:sz="4" w:space="0" w:color="auto"/>
              <w:bottom w:val="nil"/>
              <w:right w:val="nil"/>
            </w:tcBorders>
            <w:shd w:val="clear" w:color="auto" w:fill="FFFFFF"/>
            <w:tcMar>
              <w:top w:w="0" w:type="dxa"/>
              <w:left w:w="67" w:type="dxa"/>
              <w:bottom w:w="0" w:type="dxa"/>
              <w:right w:w="67" w:type="dxa"/>
            </w:tcMar>
            <w:hideMark/>
          </w:tcPr>
          <w:p w14:paraId="6D51A1E0"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Yes, completed fully</w:t>
            </w:r>
          </w:p>
        </w:tc>
        <w:tc>
          <w:tcPr>
            <w:tcW w:w="804" w:type="pct"/>
            <w:shd w:val="clear" w:color="auto" w:fill="FFFFFF"/>
            <w:tcMar>
              <w:top w:w="0" w:type="dxa"/>
              <w:left w:w="67" w:type="dxa"/>
              <w:bottom w:w="0" w:type="dxa"/>
              <w:right w:w="67" w:type="dxa"/>
            </w:tcMar>
          </w:tcPr>
          <w:p w14:paraId="6FBC09EE"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9 (29.0%)</w:t>
            </w:r>
          </w:p>
        </w:tc>
        <w:tc>
          <w:tcPr>
            <w:tcW w:w="804" w:type="pct"/>
            <w:shd w:val="clear" w:color="auto" w:fill="FFFFFF"/>
            <w:tcMar>
              <w:top w:w="0" w:type="dxa"/>
              <w:left w:w="67" w:type="dxa"/>
              <w:bottom w:w="0" w:type="dxa"/>
              <w:right w:w="67" w:type="dxa"/>
            </w:tcMar>
          </w:tcPr>
          <w:p w14:paraId="1BD5DD8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 (16.1%)</w:t>
            </w:r>
          </w:p>
        </w:tc>
        <w:tc>
          <w:tcPr>
            <w:tcW w:w="804" w:type="pct"/>
            <w:tcBorders>
              <w:right w:val="single" w:sz="4" w:space="0" w:color="auto"/>
            </w:tcBorders>
            <w:shd w:val="clear" w:color="auto" w:fill="FFFFFF"/>
            <w:tcMar>
              <w:top w:w="0" w:type="dxa"/>
              <w:left w:w="67" w:type="dxa"/>
              <w:bottom w:w="0" w:type="dxa"/>
              <w:right w:w="67" w:type="dxa"/>
            </w:tcMar>
          </w:tcPr>
          <w:p w14:paraId="76A07DC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 (6.5%)</w:t>
            </w:r>
          </w:p>
        </w:tc>
      </w:tr>
      <w:tr w:rsidR="00E07CDE" w:rsidRPr="00CD4C4F" w14:paraId="3CB5951D" w14:textId="77777777" w:rsidTr="00CD4C4F">
        <w:trPr>
          <w:cantSplit/>
          <w:jc w:val="center"/>
        </w:trPr>
        <w:tc>
          <w:tcPr>
            <w:tcW w:w="2587" w:type="pct"/>
            <w:tcBorders>
              <w:top w:val="nil"/>
              <w:left w:val="single" w:sz="4" w:space="0" w:color="auto"/>
              <w:bottom w:val="nil"/>
              <w:right w:val="nil"/>
            </w:tcBorders>
            <w:shd w:val="clear" w:color="auto" w:fill="FFFFFF"/>
            <w:tcMar>
              <w:top w:w="0" w:type="dxa"/>
              <w:left w:w="67" w:type="dxa"/>
              <w:bottom w:w="0" w:type="dxa"/>
              <w:right w:w="67" w:type="dxa"/>
            </w:tcMar>
            <w:hideMark/>
          </w:tcPr>
          <w:p w14:paraId="55D852BE"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Completed partially</w:t>
            </w:r>
          </w:p>
        </w:tc>
        <w:tc>
          <w:tcPr>
            <w:tcW w:w="804" w:type="pct"/>
            <w:shd w:val="clear" w:color="auto" w:fill="FFFFFF"/>
            <w:tcMar>
              <w:top w:w="0" w:type="dxa"/>
              <w:left w:w="67" w:type="dxa"/>
              <w:bottom w:w="0" w:type="dxa"/>
              <w:right w:w="67" w:type="dxa"/>
            </w:tcMar>
          </w:tcPr>
          <w:p w14:paraId="66EB1764"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9 (29.0%)</w:t>
            </w:r>
          </w:p>
        </w:tc>
        <w:tc>
          <w:tcPr>
            <w:tcW w:w="804" w:type="pct"/>
            <w:shd w:val="clear" w:color="auto" w:fill="FFFFFF"/>
            <w:tcMar>
              <w:top w:w="0" w:type="dxa"/>
              <w:left w:w="67" w:type="dxa"/>
              <w:bottom w:w="0" w:type="dxa"/>
              <w:right w:w="67" w:type="dxa"/>
            </w:tcMar>
          </w:tcPr>
          <w:p w14:paraId="63ED456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 (19.4%)</w:t>
            </w:r>
          </w:p>
        </w:tc>
        <w:tc>
          <w:tcPr>
            <w:tcW w:w="804" w:type="pct"/>
            <w:tcBorders>
              <w:right w:val="single" w:sz="4" w:space="0" w:color="auto"/>
            </w:tcBorders>
            <w:shd w:val="clear" w:color="auto" w:fill="FFFFFF"/>
            <w:tcMar>
              <w:top w:w="0" w:type="dxa"/>
              <w:left w:w="67" w:type="dxa"/>
              <w:bottom w:w="0" w:type="dxa"/>
              <w:right w:w="67" w:type="dxa"/>
            </w:tcMar>
          </w:tcPr>
          <w:p w14:paraId="208C2D6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 (9.7%)</w:t>
            </w:r>
          </w:p>
        </w:tc>
      </w:tr>
      <w:tr w:rsidR="00E07CDE" w:rsidRPr="00CD4C4F" w14:paraId="6199DC2B" w14:textId="77777777" w:rsidTr="00CD4C4F">
        <w:trPr>
          <w:cantSplit/>
          <w:jc w:val="center"/>
        </w:trPr>
        <w:tc>
          <w:tcPr>
            <w:tcW w:w="2587" w:type="pct"/>
            <w:tcBorders>
              <w:top w:val="nil"/>
              <w:left w:val="single" w:sz="4" w:space="0" w:color="auto"/>
              <w:bottom w:val="single" w:sz="4" w:space="0" w:color="auto"/>
              <w:right w:val="nil"/>
            </w:tcBorders>
            <w:shd w:val="clear" w:color="auto" w:fill="FFFFFF"/>
            <w:tcMar>
              <w:top w:w="0" w:type="dxa"/>
              <w:left w:w="67" w:type="dxa"/>
              <w:bottom w:w="0" w:type="dxa"/>
              <w:right w:w="67" w:type="dxa"/>
            </w:tcMar>
            <w:hideMark/>
          </w:tcPr>
          <w:p w14:paraId="1D266030" w14:textId="77777777" w:rsidR="00E07CDE" w:rsidRPr="00CD4C4F" w:rsidRDefault="00E07CDE" w:rsidP="00CD4C4F">
            <w:pPr>
              <w:keepNext/>
              <w:spacing w:before="67" w:after="67" w:line="240" w:lineRule="auto"/>
              <w:rPr>
                <w:rFonts w:eastAsia="Times New Roman"/>
                <w:color w:val="000000"/>
                <w:sz w:val="20"/>
                <w:szCs w:val="20"/>
              </w:rPr>
            </w:pPr>
            <w:r w:rsidRPr="00CD4C4F">
              <w:rPr>
                <w:rFonts w:eastAsia="Times New Roman"/>
                <w:color w:val="000000"/>
                <w:sz w:val="20"/>
                <w:szCs w:val="20"/>
              </w:rPr>
              <w:t>Not completed</w:t>
            </w:r>
          </w:p>
        </w:tc>
        <w:tc>
          <w:tcPr>
            <w:tcW w:w="804" w:type="pct"/>
            <w:tcBorders>
              <w:bottom w:val="single" w:sz="4" w:space="0" w:color="auto"/>
            </w:tcBorders>
            <w:shd w:val="clear" w:color="auto" w:fill="FFFFFF"/>
            <w:tcMar>
              <w:top w:w="0" w:type="dxa"/>
              <w:left w:w="67" w:type="dxa"/>
              <w:bottom w:w="0" w:type="dxa"/>
              <w:right w:w="67" w:type="dxa"/>
            </w:tcMar>
          </w:tcPr>
          <w:p w14:paraId="6444E56E"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13 (41.9%)</w:t>
            </w:r>
          </w:p>
        </w:tc>
        <w:tc>
          <w:tcPr>
            <w:tcW w:w="804" w:type="pct"/>
            <w:tcBorders>
              <w:bottom w:val="single" w:sz="4" w:space="0" w:color="auto"/>
            </w:tcBorders>
            <w:shd w:val="clear" w:color="auto" w:fill="FFFFFF"/>
            <w:tcMar>
              <w:top w:w="0" w:type="dxa"/>
              <w:left w:w="67" w:type="dxa"/>
              <w:bottom w:w="0" w:type="dxa"/>
              <w:right w:w="67" w:type="dxa"/>
            </w:tcMar>
          </w:tcPr>
          <w:p w14:paraId="42229E8D"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20 (64.5%)</w:t>
            </w:r>
          </w:p>
        </w:tc>
        <w:tc>
          <w:tcPr>
            <w:tcW w:w="804" w:type="pct"/>
            <w:tcBorders>
              <w:bottom w:val="single" w:sz="4" w:space="0" w:color="auto"/>
              <w:right w:val="single" w:sz="4" w:space="0" w:color="auto"/>
            </w:tcBorders>
            <w:shd w:val="clear" w:color="auto" w:fill="FFFFFF"/>
            <w:tcMar>
              <w:top w:w="0" w:type="dxa"/>
              <w:left w:w="67" w:type="dxa"/>
              <w:bottom w:w="0" w:type="dxa"/>
              <w:right w:w="67" w:type="dxa"/>
            </w:tcMar>
          </w:tcPr>
          <w:p w14:paraId="45296F26"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26 (83.9%)</w:t>
            </w:r>
          </w:p>
        </w:tc>
      </w:tr>
    </w:tbl>
    <w:p w14:paraId="66A055E1" w14:textId="77777777" w:rsidR="00E07CDE" w:rsidRPr="00563AD3" w:rsidRDefault="00E07CDE" w:rsidP="009B13F3">
      <w:pPr>
        <w:autoSpaceDE/>
        <w:autoSpaceDN/>
        <w:adjustRightInd/>
        <w:spacing w:before="120" w:after="0"/>
        <w:rPr>
          <w:rFonts w:eastAsia="Calibri"/>
          <w:sz w:val="24"/>
          <w:szCs w:val="24"/>
          <w:lang w:eastAsia="en-US"/>
        </w:rPr>
      </w:pPr>
    </w:p>
    <w:p w14:paraId="0402D3AB" w14:textId="77777777" w:rsidR="00E07CDE" w:rsidRPr="00563AD3" w:rsidRDefault="00E07CDE" w:rsidP="009B13F3">
      <w:pPr>
        <w:autoSpaceDE/>
        <w:autoSpaceDN/>
        <w:adjustRightInd/>
        <w:rPr>
          <w:rFonts w:eastAsia="Times New Roman"/>
          <w:u w:val="single"/>
          <w:lang w:eastAsia="en-US"/>
        </w:rPr>
      </w:pPr>
      <w:bookmarkStart w:id="288" w:name="_Toc500934961"/>
      <w:r w:rsidRPr="00563AD3">
        <w:rPr>
          <w:rFonts w:eastAsia="Times New Roman"/>
          <w:lang w:eastAsia="en-US"/>
        </w:rPr>
        <w:br w:type="page"/>
      </w:r>
    </w:p>
    <w:p w14:paraId="45482622" w14:textId="588511A5" w:rsidR="00E07CDE" w:rsidRPr="00563AD3" w:rsidRDefault="00E07CDE" w:rsidP="009B13F3">
      <w:pPr>
        <w:pStyle w:val="Heading4"/>
        <w:rPr>
          <w:rFonts w:eastAsia="Times New Roman"/>
          <w:lang w:eastAsia="en-US"/>
        </w:rPr>
      </w:pPr>
      <w:r w:rsidRPr="00563AD3">
        <w:rPr>
          <w:rFonts w:eastAsia="Times New Roman"/>
          <w:lang w:eastAsia="en-US"/>
        </w:rPr>
        <w:t>Feedback</w:t>
      </w:r>
      <w:bookmarkEnd w:id="288"/>
    </w:p>
    <w:p w14:paraId="7BEBB33A" w14:textId="07489283" w:rsidR="00E07CDE" w:rsidRPr="00563AD3" w:rsidRDefault="00E07CDE" w:rsidP="00CD4C4F">
      <w:pPr>
        <w:pStyle w:val="Tableheading"/>
        <w:rPr>
          <w:rFonts w:eastAsia="Calibri"/>
          <w:lang w:eastAsia="en-US"/>
        </w:rPr>
      </w:pPr>
      <w:bookmarkStart w:id="289" w:name="_Ref499133649"/>
      <w:bookmarkStart w:id="290" w:name="_Toc500935016"/>
      <w:bookmarkStart w:id="291" w:name="_Toc948234"/>
      <w:r w:rsidRPr="00563AD3">
        <w:rPr>
          <w:rFonts w:eastAsia="Calibri"/>
          <w:lang w:eastAsia="en-US"/>
        </w:rPr>
        <w:t xml:space="preserve">Table </w:t>
      </w:r>
      <w:bookmarkEnd w:id="289"/>
      <w:r w:rsidR="00B73A17">
        <w:rPr>
          <w:rFonts w:eastAsia="Calibri"/>
          <w:lang w:eastAsia="en-US"/>
        </w:rPr>
        <w:t>37</w:t>
      </w:r>
      <w:r w:rsidR="00B73A17" w:rsidRPr="00563AD3">
        <w:rPr>
          <w:rFonts w:eastAsia="Calibri"/>
          <w:lang w:eastAsia="en-US"/>
        </w:rPr>
        <w:t xml:space="preserve"> </w:t>
      </w:r>
      <w:r w:rsidRPr="00563AD3">
        <w:rPr>
          <w:rFonts w:eastAsia="Calibri"/>
          <w:lang w:eastAsia="en-US"/>
        </w:rPr>
        <w:t>Summary of feedback sessions as documented</w:t>
      </w:r>
      <w:bookmarkEnd w:id="290"/>
      <w:bookmarkEnd w:id="291"/>
    </w:p>
    <w:tbl>
      <w:tblPr>
        <w:tblW w:w="5000" w:type="pct"/>
        <w:jc w:val="center"/>
        <w:tblCellMar>
          <w:left w:w="0" w:type="dxa"/>
          <w:right w:w="0" w:type="dxa"/>
        </w:tblCellMar>
        <w:tblLook w:val="04A0" w:firstRow="1" w:lastRow="0" w:firstColumn="1" w:lastColumn="0" w:noHBand="0" w:noVBand="1"/>
      </w:tblPr>
      <w:tblGrid>
        <w:gridCol w:w="3997"/>
        <w:gridCol w:w="1672"/>
        <w:gridCol w:w="1672"/>
        <w:gridCol w:w="1675"/>
      </w:tblGrid>
      <w:tr w:rsidR="00E07CDE" w:rsidRPr="00CD4C4F" w14:paraId="02CC1157" w14:textId="77777777" w:rsidTr="00CD4C4F">
        <w:trPr>
          <w:cantSplit/>
          <w:tblHeader/>
          <w:jc w:val="center"/>
        </w:trPr>
        <w:tc>
          <w:tcPr>
            <w:tcW w:w="5000" w:type="pct"/>
            <w:gridSpan w:val="4"/>
            <w:tcBorders>
              <w:top w:val="single" w:sz="4" w:space="0" w:color="auto"/>
              <w:left w:val="single" w:sz="4" w:space="0" w:color="auto"/>
              <w:bottom w:val="nil"/>
              <w:right w:val="single" w:sz="4" w:space="0" w:color="auto"/>
            </w:tcBorders>
            <w:shd w:val="clear" w:color="auto" w:fill="FFFFFF"/>
            <w:tcMar>
              <w:top w:w="0" w:type="dxa"/>
              <w:left w:w="67" w:type="dxa"/>
              <w:bottom w:w="0" w:type="dxa"/>
              <w:right w:w="67" w:type="dxa"/>
            </w:tcMar>
            <w:vAlign w:val="bottom"/>
            <w:hideMark/>
          </w:tcPr>
          <w:p w14:paraId="1C479FD9" w14:textId="77777777" w:rsidR="00E07CDE" w:rsidRPr="00CD4C4F" w:rsidRDefault="00E07CDE" w:rsidP="00CD4C4F">
            <w:pPr>
              <w:keepNext/>
              <w:spacing w:before="67" w:after="67" w:line="240" w:lineRule="auto"/>
              <w:jc w:val="center"/>
              <w:rPr>
                <w:rFonts w:eastAsia="Times New Roman"/>
                <w:b/>
                <w:bCs/>
                <w:color w:val="000000"/>
                <w:sz w:val="20"/>
                <w:szCs w:val="20"/>
              </w:rPr>
            </w:pPr>
            <w:r w:rsidRPr="00CD4C4F">
              <w:rPr>
                <w:rFonts w:eastAsia="Times New Roman"/>
                <w:b/>
                <w:bCs/>
                <w:color w:val="000000"/>
                <w:sz w:val="20"/>
                <w:szCs w:val="20"/>
              </w:rPr>
              <w:t>Summary of feedback sessions by cycle</w:t>
            </w:r>
          </w:p>
        </w:tc>
      </w:tr>
      <w:tr w:rsidR="00E07CDE" w:rsidRPr="00CD4C4F" w14:paraId="03557413" w14:textId="77777777" w:rsidTr="00CD4C4F">
        <w:trPr>
          <w:cantSplit/>
          <w:tblHeader/>
          <w:jc w:val="center"/>
        </w:trPr>
        <w:tc>
          <w:tcPr>
            <w:tcW w:w="2217" w:type="pct"/>
            <w:tcBorders>
              <w:top w:val="nil"/>
              <w:left w:val="single" w:sz="4" w:space="0" w:color="auto"/>
              <w:bottom w:val="single" w:sz="4" w:space="0" w:color="000000"/>
              <w:right w:val="nil"/>
            </w:tcBorders>
            <w:shd w:val="clear" w:color="auto" w:fill="FFFFFF"/>
            <w:tcMar>
              <w:top w:w="0" w:type="dxa"/>
              <w:left w:w="67" w:type="dxa"/>
              <w:bottom w:w="0" w:type="dxa"/>
              <w:right w:w="67" w:type="dxa"/>
            </w:tcMar>
            <w:vAlign w:val="bottom"/>
          </w:tcPr>
          <w:p w14:paraId="69C1F159" w14:textId="77777777" w:rsidR="00E07CDE" w:rsidRPr="00CD4C4F" w:rsidRDefault="00E07CDE" w:rsidP="00CD4C4F">
            <w:pPr>
              <w:keepNext/>
              <w:spacing w:before="67" w:after="67" w:line="240" w:lineRule="auto"/>
              <w:rPr>
                <w:rFonts w:eastAsia="Times New Roman"/>
                <w:b/>
                <w:bCs/>
                <w:color w:val="000000"/>
                <w:sz w:val="20"/>
                <w:szCs w:val="20"/>
              </w:rPr>
            </w:pPr>
          </w:p>
        </w:tc>
        <w:tc>
          <w:tcPr>
            <w:tcW w:w="927" w:type="pct"/>
            <w:tcBorders>
              <w:top w:val="nil"/>
              <w:left w:val="nil"/>
              <w:bottom w:val="single" w:sz="4" w:space="0" w:color="000000"/>
              <w:right w:val="nil"/>
            </w:tcBorders>
            <w:shd w:val="clear" w:color="auto" w:fill="FFFFFF"/>
            <w:tcMar>
              <w:top w:w="0" w:type="dxa"/>
              <w:left w:w="67" w:type="dxa"/>
              <w:bottom w:w="0" w:type="dxa"/>
              <w:right w:w="67" w:type="dxa"/>
            </w:tcMar>
            <w:vAlign w:val="bottom"/>
          </w:tcPr>
          <w:p w14:paraId="5054CCC2"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1 (n=31)</w:t>
            </w:r>
          </w:p>
        </w:tc>
        <w:tc>
          <w:tcPr>
            <w:tcW w:w="927" w:type="pct"/>
            <w:tcBorders>
              <w:top w:val="nil"/>
              <w:left w:val="nil"/>
              <w:bottom w:val="single" w:sz="4" w:space="0" w:color="000000"/>
              <w:right w:val="nil"/>
            </w:tcBorders>
            <w:shd w:val="clear" w:color="auto" w:fill="FFFFFF"/>
            <w:tcMar>
              <w:top w:w="0" w:type="dxa"/>
              <w:left w:w="67" w:type="dxa"/>
              <w:bottom w:w="0" w:type="dxa"/>
              <w:right w:w="67" w:type="dxa"/>
            </w:tcMar>
            <w:vAlign w:val="bottom"/>
          </w:tcPr>
          <w:p w14:paraId="60400EC2"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2 (n=31)</w:t>
            </w:r>
          </w:p>
        </w:tc>
        <w:tc>
          <w:tcPr>
            <w:tcW w:w="929" w:type="pct"/>
            <w:tcBorders>
              <w:top w:val="nil"/>
              <w:left w:val="nil"/>
              <w:bottom w:val="single" w:sz="4" w:space="0" w:color="000000"/>
              <w:right w:val="single" w:sz="4" w:space="0" w:color="auto"/>
            </w:tcBorders>
            <w:shd w:val="clear" w:color="auto" w:fill="FFFFFF"/>
            <w:tcMar>
              <w:top w:w="0" w:type="dxa"/>
              <w:left w:w="67" w:type="dxa"/>
              <w:bottom w:w="0" w:type="dxa"/>
              <w:right w:w="67" w:type="dxa"/>
            </w:tcMar>
            <w:vAlign w:val="bottom"/>
          </w:tcPr>
          <w:p w14:paraId="148311FB"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3 (n=31)</w:t>
            </w:r>
          </w:p>
        </w:tc>
      </w:tr>
      <w:tr w:rsidR="00E07CDE" w:rsidRPr="00CD4C4F" w14:paraId="5CADD99B"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00529EA0"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Number of mappers participating in the feedback process</w:t>
            </w:r>
          </w:p>
        </w:tc>
        <w:tc>
          <w:tcPr>
            <w:tcW w:w="927" w:type="pct"/>
            <w:shd w:val="clear" w:color="auto" w:fill="FFFFFF"/>
            <w:tcMar>
              <w:top w:w="0" w:type="dxa"/>
              <w:left w:w="67" w:type="dxa"/>
              <w:bottom w:w="0" w:type="dxa"/>
              <w:right w:w="67" w:type="dxa"/>
            </w:tcMar>
          </w:tcPr>
          <w:p w14:paraId="7C9C098F" w14:textId="77777777" w:rsidR="00E07CDE" w:rsidRPr="00CD4C4F" w:rsidRDefault="00E07CDE" w:rsidP="00CD4C4F">
            <w:pPr>
              <w:spacing w:before="67" w:after="67" w:line="240" w:lineRule="auto"/>
              <w:jc w:val="right"/>
              <w:rPr>
                <w:rFonts w:eastAsia="Times New Roman"/>
                <w:color w:val="000000"/>
                <w:sz w:val="20"/>
                <w:szCs w:val="20"/>
              </w:rPr>
            </w:pPr>
          </w:p>
        </w:tc>
        <w:tc>
          <w:tcPr>
            <w:tcW w:w="927" w:type="pct"/>
            <w:shd w:val="clear" w:color="auto" w:fill="FFFFFF"/>
            <w:tcMar>
              <w:top w:w="0" w:type="dxa"/>
              <w:left w:w="67" w:type="dxa"/>
              <w:bottom w:w="0" w:type="dxa"/>
              <w:right w:w="67" w:type="dxa"/>
            </w:tcMar>
          </w:tcPr>
          <w:p w14:paraId="09279DF4" w14:textId="77777777" w:rsidR="00E07CDE" w:rsidRPr="00CD4C4F" w:rsidRDefault="00E07CDE" w:rsidP="00CD4C4F">
            <w:pPr>
              <w:spacing w:before="67" w:after="67" w:line="240" w:lineRule="auto"/>
              <w:jc w:val="right"/>
              <w:rPr>
                <w:rFonts w:eastAsia="Times New Roman"/>
                <w:color w:val="000000"/>
                <w:sz w:val="20"/>
                <w:szCs w:val="20"/>
              </w:rPr>
            </w:pPr>
          </w:p>
        </w:tc>
        <w:tc>
          <w:tcPr>
            <w:tcW w:w="929" w:type="pct"/>
            <w:tcBorders>
              <w:right w:val="single" w:sz="4" w:space="0" w:color="auto"/>
            </w:tcBorders>
            <w:shd w:val="clear" w:color="auto" w:fill="FFFFFF"/>
            <w:tcMar>
              <w:top w:w="0" w:type="dxa"/>
              <w:left w:w="67" w:type="dxa"/>
              <w:bottom w:w="0" w:type="dxa"/>
              <w:right w:w="67" w:type="dxa"/>
            </w:tcMar>
          </w:tcPr>
          <w:p w14:paraId="4FE343D3"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0236DD07"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1481F4FD"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1</w:t>
            </w:r>
          </w:p>
        </w:tc>
        <w:tc>
          <w:tcPr>
            <w:tcW w:w="927" w:type="pct"/>
            <w:shd w:val="clear" w:color="auto" w:fill="FFFFFF"/>
            <w:tcMar>
              <w:top w:w="0" w:type="dxa"/>
              <w:left w:w="67" w:type="dxa"/>
              <w:bottom w:w="0" w:type="dxa"/>
              <w:right w:w="67" w:type="dxa"/>
            </w:tcMar>
          </w:tcPr>
          <w:p w14:paraId="58A0540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c>
          <w:tcPr>
            <w:tcW w:w="927" w:type="pct"/>
            <w:shd w:val="clear" w:color="auto" w:fill="FFFFFF"/>
            <w:tcMar>
              <w:top w:w="0" w:type="dxa"/>
              <w:left w:w="67" w:type="dxa"/>
              <w:bottom w:w="0" w:type="dxa"/>
              <w:right w:w="67" w:type="dxa"/>
            </w:tcMar>
          </w:tcPr>
          <w:p w14:paraId="19C50470"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 (6.5%)</w:t>
            </w:r>
          </w:p>
        </w:tc>
        <w:tc>
          <w:tcPr>
            <w:tcW w:w="929" w:type="pct"/>
            <w:tcBorders>
              <w:right w:val="single" w:sz="4" w:space="0" w:color="auto"/>
            </w:tcBorders>
            <w:shd w:val="clear" w:color="auto" w:fill="FFFFFF"/>
            <w:tcMar>
              <w:top w:w="0" w:type="dxa"/>
              <w:left w:w="67" w:type="dxa"/>
              <w:bottom w:w="0" w:type="dxa"/>
              <w:right w:w="67" w:type="dxa"/>
            </w:tcMar>
          </w:tcPr>
          <w:p w14:paraId="3647F961"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0B36EBC8"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0DCA0068"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2</w:t>
            </w:r>
          </w:p>
        </w:tc>
        <w:tc>
          <w:tcPr>
            <w:tcW w:w="927" w:type="pct"/>
            <w:shd w:val="clear" w:color="auto" w:fill="FFFFFF"/>
            <w:tcMar>
              <w:top w:w="0" w:type="dxa"/>
              <w:left w:w="67" w:type="dxa"/>
              <w:bottom w:w="0" w:type="dxa"/>
              <w:right w:w="67" w:type="dxa"/>
            </w:tcMar>
          </w:tcPr>
          <w:p w14:paraId="197E455E"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13 (41.9%)</w:t>
            </w:r>
          </w:p>
        </w:tc>
        <w:tc>
          <w:tcPr>
            <w:tcW w:w="927" w:type="pct"/>
            <w:shd w:val="clear" w:color="auto" w:fill="FFFFFF"/>
            <w:tcMar>
              <w:top w:w="0" w:type="dxa"/>
              <w:left w:w="67" w:type="dxa"/>
              <w:bottom w:w="0" w:type="dxa"/>
              <w:right w:w="67" w:type="dxa"/>
            </w:tcMar>
          </w:tcPr>
          <w:p w14:paraId="1C37D86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7 (22.6%)</w:t>
            </w:r>
          </w:p>
        </w:tc>
        <w:tc>
          <w:tcPr>
            <w:tcW w:w="929" w:type="pct"/>
            <w:tcBorders>
              <w:right w:val="single" w:sz="4" w:space="0" w:color="auto"/>
            </w:tcBorders>
            <w:shd w:val="clear" w:color="auto" w:fill="FFFFFF"/>
            <w:tcMar>
              <w:top w:w="0" w:type="dxa"/>
              <w:left w:w="67" w:type="dxa"/>
              <w:bottom w:w="0" w:type="dxa"/>
              <w:right w:w="67" w:type="dxa"/>
            </w:tcMar>
          </w:tcPr>
          <w:p w14:paraId="2574C1AE"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 (9.7%)</w:t>
            </w:r>
          </w:p>
        </w:tc>
      </w:tr>
      <w:tr w:rsidR="00E07CDE" w:rsidRPr="00CD4C4F" w14:paraId="0B26467A"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55001AA4"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Missing</w:t>
            </w:r>
          </w:p>
        </w:tc>
        <w:tc>
          <w:tcPr>
            <w:tcW w:w="927" w:type="pct"/>
            <w:shd w:val="clear" w:color="auto" w:fill="FFFFFF"/>
            <w:tcMar>
              <w:top w:w="0" w:type="dxa"/>
              <w:left w:w="67" w:type="dxa"/>
              <w:bottom w:w="0" w:type="dxa"/>
              <w:right w:w="67" w:type="dxa"/>
            </w:tcMar>
          </w:tcPr>
          <w:p w14:paraId="000AEE42"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17 (54.8%)</w:t>
            </w:r>
          </w:p>
        </w:tc>
        <w:tc>
          <w:tcPr>
            <w:tcW w:w="927" w:type="pct"/>
            <w:shd w:val="clear" w:color="auto" w:fill="FFFFFF"/>
            <w:tcMar>
              <w:top w:w="0" w:type="dxa"/>
              <w:left w:w="67" w:type="dxa"/>
              <w:bottom w:w="0" w:type="dxa"/>
              <w:right w:w="67" w:type="dxa"/>
            </w:tcMar>
          </w:tcPr>
          <w:p w14:paraId="3E6303F0"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22 (71.0%)</w:t>
            </w:r>
          </w:p>
        </w:tc>
        <w:tc>
          <w:tcPr>
            <w:tcW w:w="929" w:type="pct"/>
            <w:tcBorders>
              <w:right w:val="single" w:sz="4" w:space="0" w:color="auto"/>
            </w:tcBorders>
            <w:shd w:val="clear" w:color="auto" w:fill="FFFFFF"/>
            <w:tcMar>
              <w:top w:w="0" w:type="dxa"/>
              <w:left w:w="67" w:type="dxa"/>
              <w:bottom w:w="0" w:type="dxa"/>
              <w:right w:w="67" w:type="dxa"/>
            </w:tcMar>
          </w:tcPr>
          <w:p w14:paraId="779ADD3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28 (90.3%)</w:t>
            </w:r>
          </w:p>
        </w:tc>
      </w:tr>
      <w:tr w:rsidR="00E07CDE" w:rsidRPr="00CD4C4F" w14:paraId="1323DBAA"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566A7D93"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Formal feedback sessions held N (%) Missing</w:t>
            </w:r>
          </w:p>
        </w:tc>
        <w:tc>
          <w:tcPr>
            <w:tcW w:w="927" w:type="pct"/>
            <w:shd w:val="clear" w:color="auto" w:fill="FFFFFF"/>
            <w:tcMar>
              <w:top w:w="0" w:type="dxa"/>
              <w:left w:w="67" w:type="dxa"/>
              <w:bottom w:w="0" w:type="dxa"/>
              <w:right w:w="67" w:type="dxa"/>
            </w:tcMar>
          </w:tcPr>
          <w:p w14:paraId="4E6066A3" w14:textId="77777777" w:rsidR="00E07CDE" w:rsidRPr="00CD4C4F" w:rsidRDefault="00E07CDE" w:rsidP="00CD4C4F">
            <w:pPr>
              <w:spacing w:before="67" w:after="67" w:line="240" w:lineRule="auto"/>
              <w:jc w:val="right"/>
              <w:rPr>
                <w:rFonts w:eastAsia="Times New Roman"/>
                <w:color w:val="000000"/>
                <w:sz w:val="20"/>
                <w:szCs w:val="20"/>
              </w:rPr>
            </w:pPr>
          </w:p>
        </w:tc>
        <w:tc>
          <w:tcPr>
            <w:tcW w:w="927" w:type="pct"/>
            <w:shd w:val="clear" w:color="auto" w:fill="FFFFFF"/>
            <w:tcMar>
              <w:top w:w="0" w:type="dxa"/>
              <w:left w:w="67" w:type="dxa"/>
              <w:bottom w:w="0" w:type="dxa"/>
              <w:right w:w="67" w:type="dxa"/>
            </w:tcMar>
          </w:tcPr>
          <w:p w14:paraId="634E6D2E" w14:textId="77777777" w:rsidR="00E07CDE" w:rsidRPr="00CD4C4F" w:rsidRDefault="00E07CDE" w:rsidP="00CD4C4F">
            <w:pPr>
              <w:spacing w:before="67" w:after="67" w:line="240" w:lineRule="auto"/>
              <w:jc w:val="right"/>
              <w:rPr>
                <w:rFonts w:eastAsia="Times New Roman"/>
                <w:color w:val="000000"/>
                <w:sz w:val="20"/>
                <w:szCs w:val="20"/>
              </w:rPr>
            </w:pPr>
          </w:p>
        </w:tc>
        <w:tc>
          <w:tcPr>
            <w:tcW w:w="929" w:type="pct"/>
            <w:tcBorders>
              <w:right w:val="single" w:sz="4" w:space="0" w:color="auto"/>
            </w:tcBorders>
            <w:shd w:val="clear" w:color="auto" w:fill="FFFFFF"/>
            <w:tcMar>
              <w:top w:w="0" w:type="dxa"/>
              <w:left w:w="67" w:type="dxa"/>
              <w:bottom w:w="0" w:type="dxa"/>
              <w:right w:w="67" w:type="dxa"/>
            </w:tcMar>
          </w:tcPr>
          <w:p w14:paraId="52BF621D"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5A53FACB"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61AEB62A"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 xml:space="preserve">Yes </w:t>
            </w:r>
          </w:p>
        </w:tc>
        <w:tc>
          <w:tcPr>
            <w:tcW w:w="927" w:type="pct"/>
            <w:shd w:val="clear" w:color="auto" w:fill="FFFFFF"/>
            <w:tcMar>
              <w:top w:w="0" w:type="dxa"/>
              <w:left w:w="67" w:type="dxa"/>
              <w:bottom w:w="0" w:type="dxa"/>
              <w:right w:w="67" w:type="dxa"/>
            </w:tcMar>
          </w:tcPr>
          <w:p w14:paraId="068F45F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12 (38.7%) 17</w:t>
            </w:r>
          </w:p>
        </w:tc>
        <w:tc>
          <w:tcPr>
            <w:tcW w:w="927" w:type="pct"/>
            <w:shd w:val="clear" w:color="auto" w:fill="FFFFFF"/>
            <w:tcMar>
              <w:top w:w="0" w:type="dxa"/>
              <w:left w:w="67" w:type="dxa"/>
              <w:bottom w:w="0" w:type="dxa"/>
              <w:right w:w="67" w:type="dxa"/>
            </w:tcMar>
          </w:tcPr>
          <w:p w14:paraId="417B22D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8 (25.8%) 21</w:t>
            </w:r>
          </w:p>
        </w:tc>
        <w:tc>
          <w:tcPr>
            <w:tcW w:w="929" w:type="pct"/>
            <w:tcBorders>
              <w:right w:val="single" w:sz="4" w:space="0" w:color="auto"/>
            </w:tcBorders>
            <w:shd w:val="clear" w:color="auto" w:fill="FFFFFF"/>
            <w:tcMar>
              <w:top w:w="0" w:type="dxa"/>
              <w:left w:w="67" w:type="dxa"/>
              <w:bottom w:w="0" w:type="dxa"/>
              <w:right w:w="67" w:type="dxa"/>
            </w:tcMar>
          </w:tcPr>
          <w:p w14:paraId="2BF4685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 (9.7%) 27</w:t>
            </w:r>
          </w:p>
        </w:tc>
      </w:tr>
      <w:tr w:rsidR="00E07CDE" w:rsidRPr="00CD4C4F" w14:paraId="673C2B76"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62C91D21"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No</w:t>
            </w:r>
          </w:p>
        </w:tc>
        <w:tc>
          <w:tcPr>
            <w:tcW w:w="927" w:type="pct"/>
            <w:shd w:val="clear" w:color="auto" w:fill="FFFFFF"/>
            <w:tcMar>
              <w:top w:w="0" w:type="dxa"/>
              <w:left w:w="67" w:type="dxa"/>
              <w:bottom w:w="0" w:type="dxa"/>
              <w:right w:w="67" w:type="dxa"/>
            </w:tcMar>
          </w:tcPr>
          <w:p w14:paraId="586F5D9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 (6.5%)</w:t>
            </w:r>
          </w:p>
        </w:tc>
        <w:tc>
          <w:tcPr>
            <w:tcW w:w="927" w:type="pct"/>
            <w:shd w:val="clear" w:color="auto" w:fill="FFFFFF"/>
            <w:tcMar>
              <w:top w:w="0" w:type="dxa"/>
              <w:left w:w="67" w:type="dxa"/>
              <w:bottom w:w="0" w:type="dxa"/>
              <w:right w:w="67" w:type="dxa"/>
            </w:tcMar>
          </w:tcPr>
          <w:p w14:paraId="43666B8E"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 (6.5%)</w:t>
            </w:r>
          </w:p>
        </w:tc>
        <w:tc>
          <w:tcPr>
            <w:tcW w:w="929" w:type="pct"/>
            <w:tcBorders>
              <w:right w:val="single" w:sz="4" w:space="0" w:color="auto"/>
            </w:tcBorders>
            <w:shd w:val="clear" w:color="auto" w:fill="FFFFFF"/>
            <w:tcMar>
              <w:top w:w="0" w:type="dxa"/>
              <w:left w:w="67" w:type="dxa"/>
              <w:bottom w:w="0" w:type="dxa"/>
              <w:right w:w="67" w:type="dxa"/>
            </w:tcMar>
          </w:tcPr>
          <w:p w14:paraId="4B39108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r>
      <w:tr w:rsidR="00E07CDE" w:rsidRPr="00CD4C4F" w14:paraId="47CB0419"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0A5C49F4"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Total number of formal feedback sessions</w:t>
            </w:r>
          </w:p>
        </w:tc>
        <w:tc>
          <w:tcPr>
            <w:tcW w:w="927" w:type="pct"/>
            <w:shd w:val="clear" w:color="auto" w:fill="FFFFFF"/>
            <w:tcMar>
              <w:top w:w="0" w:type="dxa"/>
              <w:left w:w="67" w:type="dxa"/>
              <w:bottom w:w="0" w:type="dxa"/>
              <w:right w:w="67" w:type="dxa"/>
            </w:tcMar>
          </w:tcPr>
          <w:p w14:paraId="118DC154" w14:textId="77777777" w:rsidR="00E07CDE" w:rsidRPr="00CD4C4F" w:rsidRDefault="00E07CDE" w:rsidP="00CD4C4F">
            <w:pPr>
              <w:spacing w:before="67" w:after="67" w:line="240" w:lineRule="auto"/>
              <w:jc w:val="right"/>
              <w:rPr>
                <w:rFonts w:eastAsia="Times New Roman"/>
                <w:color w:val="000000"/>
                <w:sz w:val="20"/>
                <w:szCs w:val="20"/>
              </w:rPr>
            </w:pPr>
          </w:p>
        </w:tc>
        <w:tc>
          <w:tcPr>
            <w:tcW w:w="927" w:type="pct"/>
            <w:shd w:val="clear" w:color="auto" w:fill="FFFFFF"/>
            <w:tcMar>
              <w:top w:w="0" w:type="dxa"/>
              <w:left w:w="67" w:type="dxa"/>
              <w:bottom w:w="0" w:type="dxa"/>
              <w:right w:w="67" w:type="dxa"/>
            </w:tcMar>
          </w:tcPr>
          <w:p w14:paraId="063E6306" w14:textId="77777777" w:rsidR="00E07CDE" w:rsidRPr="00CD4C4F" w:rsidRDefault="00E07CDE" w:rsidP="00CD4C4F">
            <w:pPr>
              <w:spacing w:before="67" w:after="67" w:line="240" w:lineRule="auto"/>
              <w:jc w:val="right"/>
              <w:rPr>
                <w:rFonts w:eastAsia="Times New Roman"/>
                <w:color w:val="000000"/>
                <w:sz w:val="20"/>
                <w:szCs w:val="20"/>
              </w:rPr>
            </w:pPr>
          </w:p>
        </w:tc>
        <w:tc>
          <w:tcPr>
            <w:tcW w:w="929" w:type="pct"/>
            <w:tcBorders>
              <w:right w:val="single" w:sz="4" w:space="0" w:color="auto"/>
            </w:tcBorders>
            <w:shd w:val="clear" w:color="auto" w:fill="FFFFFF"/>
            <w:tcMar>
              <w:top w:w="0" w:type="dxa"/>
              <w:left w:w="67" w:type="dxa"/>
              <w:bottom w:w="0" w:type="dxa"/>
              <w:right w:w="67" w:type="dxa"/>
            </w:tcMar>
          </w:tcPr>
          <w:p w14:paraId="226996CD"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41983551"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526913D0"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927" w:type="pct"/>
            <w:shd w:val="clear" w:color="auto" w:fill="FFFFFF"/>
            <w:tcMar>
              <w:top w:w="0" w:type="dxa"/>
              <w:left w:w="67" w:type="dxa"/>
              <w:bottom w:w="0" w:type="dxa"/>
              <w:right w:w="67" w:type="dxa"/>
            </w:tcMar>
          </w:tcPr>
          <w:p w14:paraId="2429FF8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 xml:space="preserve">1.8 (0.83) 19 </w:t>
            </w:r>
          </w:p>
        </w:tc>
        <w:tc>
          <w:tcPr>
            <w:tcW w:w="927" w:type="pct"/>
            <w:shd w:val="clear" w:color="auto" w:fill="FFFFFF"/>
            <w:tcMar>
              <w:top w:w="0" w:type="dxa"/>
              <w:left w:w="67" w:type="dxa"/>
              <w:bottom w:w="0" w:type="dxa"/>
              <w:right w:w="67" w:type="dxa"/>
            </w:tcMar>
          </w:tcPr>
          <w:p w14:paraId="7A3BFC1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1.4 (0.79) 24</w:t>
            </w:r>
          </w:p>
        </w:tc>
        <w:tc>
          <w:tcPr>
            <w:tcW w:w="929" w:type="pct"/>
            <w:tcBorders>
              <w:right w:val="single" w:sz="4" w:space="0" w:color="auto"/>
            </w:tcBorders>
            <w:shd w:val="clear" w:color="auto" w:fill="FFFFFF"/>
            <w:tcMar>
              <w:top w:w="0" w:type="dxa"/>
              <w:left w:w="67" w:type="dxa"/>
              <w:bottom w:w="0" w:type="dxa"/>
              <w:right w:w="67" w:type="dxa"/>
            </w:tcMar>
          </w:tcPr>
          <w:p w14:paraId="6A43AEDD"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1.0 (0.00) 28</w:t>
            </w:r>
          </w:p>
        </w:tc>
      </w:tr>
      <w:tr w:rsidR="00E07CDE" w:rsidRPr="00CD4C4F" w14:paraId="79373FA5"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074246E3"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27" w:type="pct"/>
            <w:shd w:val="clear" w:color="auto" w:fill="FFFFFF"/>
            <w:tcMar>
              <w:top w:w="0" w:type="dxa"/>
              <w:left w:w="67" w:type="dxa"/>
              <w:bottom w:w="0" w:type="dxa"/>
              <w:right w:w="67" w:type="dxa"/>
            </w:tcMar>
          </w:tcPr>
          <w:p w14:paraId="14A6198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 (1, 3)</w:t>
            </w:r>
          </w:p>
        </w:tc>
        <w:tc>
          <w:tcPr>
            <w:tcW w:w="927" w:type="pct"/>
            <w:shd w:val="clear" w:color="auto" w:fill="FFFFFF"/>
            <w:tcMar>
              <w:top w:w="0" w:type="dxa"/>
              <w:left w:w="67" w:type="dxa"/>
              <w:bottom w:w="0" w:type="dxa"/>
              <w:right w:w="67" w:type="dxa"/>
            </w:tcMar>
          </w:tcPr>
          <w:p w14:paraId="432D35B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(1, 3)</w:t>
            </w:r>
          </w:p>
        </w:tc>
        <w:tc>
          <w:tcPr>
            <w:tcW w:w="929" w:type="pct"/>
            <w:tcBorders>
              <w:right w:val="single" w:sz="4" w:space="0" w:color="auto"/>
            </w:tcBorders>
            <w:shd w:val="clear" w:color="auto" w:fill="FFFFFF"/>
            <w:tcMar>
              <w:top w:w="0" w:type="dxa"/>
              <w:left w:w="67" w:type="dxa"/>
              <w:bottom w:w="0" w:type="dxa"/>
              <w:right w:w="67" w:type="dxa"/>
            </w:tcMar>
          </w:tcPr>
          <w:p w14:paraId="38719A3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(1, 1)</w:t>
            </w:r>
          </w:p>
        </w:tc>
      </w:tr>
      <w:tr w:rsidR="00E07CDE" w:rsidRPr="00CD4C4F" w14:paraId="316446C1"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57919833"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Total length of formal feedback sessions (hours)</w:t>
            </w:r>
          </w:p>
        </w:tc>
        <w:tc>
          <w:tcPr>
            <w:tcW w:w="927" w:type="pct"/>
            <w:shd w:val="clear" w:color="auto" w:fill="FFFFFF"/>
            <w:tcMar>
              <w:top w:w="0" w:type="dxa"/>
              <w:left w:w="67" w:type="dxa"/>
              <w:bottom w:w="0" w:type="dxa"/>
              <w:right w:w="67" w:type="dxa"/>
            </w:tcMar>
          </w:tcPr>
          <w:p w14:paraId="0788AEBA" w14:textId="77777777" w:rsidR="00E07CDE" w:rsidRPr="00CD4C4F" w:rsidRDefault="00E07CDE" w:rsidP="00CD4C4F">
            <w:pPr>
              <w:spacing w:before="67" w:after="67" w:line="240" w:lineRule="auto"/>
              <w:jc w:val="right"/>
              <w:rPr>
                <w:rFonts w:eastAsia="Times New Roman"/>
                <w:color w:val="000000"/>
                <w:sz w:val="20"/>
                <w:szCs w:val="20"/>
              </w:rPr>
            </w:pPr>
          </w:p>
        </w:tc>
        <w:tc>
          <w:tcPr>
            <w:tcW w:w="927" w:type="pct"/>
            <w:shd w:val="clear" w:color="auto" w:fill="FFFFFF"/>
            <w:tcMar>
              <w:top w:w="0" w:type="dxa"/>
              <w:left w:w="67" w:type="dxa"/>
              <w:bottom w:w="0" w:type="dxa"/>
              <w:right w:w="67" w:type="dxa"/>
            </w:tcMar>
          </w:tcPr>
          <w:p w14:paraId="21A3D304" w14:textId="77777777" w:rsidR="00E07CDE" w:rsidRPr="00CD4C4F" w:rsidRDefault="00E07CDE" w:rsidP="00CD4C4F">
            <w:pPr>
              <w:spacing w:before="67" w:after="67" w:line="240" w:lineRule="auto"/>
              <w:jc w:val="right"/>
              <w:rPr>
                <w:rFonts w:eastAsia="Times New Roman"/>
                <w:color w:val="000000"/>
                <w:sz w:val="20"/>
                <w:szCs w:val="20"/>
              </w:rPr>
            </w:pPr>
          </w:p>
        </w:tc>
        <w:tc>
          <w:tcPr>
            <w:tcW w:w="929" w:type="pct"/>
            <w:tcBorders>
              <w:right w:val="single" w:sz="4" w:space="0" w:color="auto"/>
            </w:tcBorders>
            <w:shd w:val="clear" w:color="auto" w:fill="FFFFFF"/>
            <w:tcMar>
              <w:top w:w="0" w:type="dxa"/>
              <w:left w:w="67" w:type="dxa"/>
              <w:bottom w:w="0" w:type="dxa"/>
              <w:right w:w="67" w:type="dxa"/>
            </w:tcMar>
          </w:tcPr>
          <w:p w14:paraId="24E2F1D5"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188F362A"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6EFB33CD"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927" w:type="pct"/>
            <w:shd w:val="clear" w:color="auto" w:fill="FFFFFF"/>
            <w:tcMar>
              <w:top w:w="0" w:type="dxa"/>
              <w:left w:w="67" w:type="dxa"/>
              <w:bottom w:w="0" w:type="dxa"/>
              <w:right w:w="67" w:type="dxa"/>
            </w:tcMar>
          </w:tcPr>
          <w:p w14:paraId="35FF2992"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2.0 (2.26) 20</w:t>
            </w:r>
          </w:p>
        </w:tc>
        <w:tc>
          <w:tcPr>
            <w:tcW w:w="927" w:type="pct"/>
            <w:shd w:val="clear" w:color="auto" w:fill="FFFFFF"/>
            <w:tcMar>
              <w:top w:w="0" w:type="dxa"/>
              <w:left w:w="67" w:type="dxa"/>
              <w:bottom w:w="0" w:type="dxa"/>
              <w:right w:w="67" w:type="dxa"/>
            </w:tcMar>
          </w:tcPr>
          <w:p w14:paraId="18EAA7A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1.2 (0.67) 25</w:t>
            </w:r>
          </w:p>
        </w:tc>
        <w:tc>
          <w:tcPr>
            <w:tcW w:w="929" w:type="pct"/>
            <w:tcBorders>
              <w:right w:val="single" w:sz="4" w:space="0" w:color="auto"/>
            </w:tcBorders>
            <w:shd w:val="clear" w:color="auto" w:fill="FFFFFF"/>
            <w:tcMar>
              <w:top w:w="0" w:type="dxa"/>
              <w:left w:w="67" w:type="dxa"/>
              <w:bottom w:w="0" w:type="dxa"/>
              <w:right w:w="67" w:type="dxa"/>
            </w:tcMar>
          </w:tcPr>
          <w:p w14:paraId="7D2F3EF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0.8 (0.29) 28</w:t>
            </w:r>
          </w:p>
        </w:tc>
      </w:tr>
      <w:tr w:rsidR="00E07CDE" w:rsidRPr="00CD4C4F" w14:paraId="4B04D13C"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491DB828"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27" w:type="pct"/>
            <w:shd w:val="clear" w:color="auto" w:fill="FFFFFF"/>
            <w:tcMar>
              <w:top w:w="0" w:type="dxa"/>
              <w:left w:w="67" w:type="dxa"/>
              <w:bottom w:w="0" w:type="dxa"/>
              <w:right w:w="67" w:type="dxa"/>
            </w:tcMar>
          </w:tcPr>
          <w:p w14:paraId="142EBAA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1.2 (0.5, 8.4)</w:t>
            </w:r>
          </w:p>
        </w:tc>
        <w:tc>
          <w:tcPr>
            <w:tcW w:w="927" w:type="pct"/>
            <w:shd w:val="clear" w:color="auto" w:fill="FFFFFF"/>
            <w:tcMar>
              <w:top w:w="0" w:type="dxa"/>
              <w:left w:w="67" w:type="dxa"/>
              <w:bottom w:w="0" w:type="dxa"/>
              <w:right w:w="67" w:type="dxa"/>
            </w:tcMar>
          </w:tcPr>
          <w:p w14:paraId="5FBACC7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1.0 (0.5, 2.3)</w:t>
            </w:r>
          </w:p>
        </w:tc>
        <w:tc>
          <w:tcPr>
            <w:tcW w:w="929" w:type="pct"/>
            <w:tcBorders>
              <w:right w:val="single" w:sz="4" w:space="0" w:color="auto"/>
            </w:tcBorders>
            <w:shd w:val="clear" w:color="auto" w:fill="FFFFFF"/>
            <w:tcMar>
              <w:top w:w="0" w:type="dxa"/>
              <w:left w:w="67" w:type="dxa"/>
              <w:bottom w:w="0" w:type="dxa"/>
              <w:right w:w="67" w:type="dxa"/>
            </w:tcMar>
          </w:tcPr>
          <w:p w14:paraId="1C42D57D"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1.0 (0.5, 1.0)</w:t>
            </w:r>
          </w:p>
        </w:tc>
      </w:tr>
      <w:tr w:rsidR="00E07CDE" w:rsidRPr="00CD4C4F" w14:paraId="5FF5D279"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12DBC6D0"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N days between first and last feedback session (days)</w:t>
            </w:r>
          </w:p>
        </w:tc>
        <w:tc>
          <w:tcPr>
            <w:tcW w:w="927" w:type="pct"/>
            <w:shd w:val="clear" w:color="auto" w:fill="FFFFFF"/>
            <w:tcMar>
              <w:top w:w="0" w:type="dxa"/>
              <w:left w:w="67" w:type="dxa"/>
              <w:bottom w:w="0" w:type="dxa"/>
              <w:right w:w="67" w:type="dxa"/>
            </w:tcMar>
          </w:tcPr>
          <w:p w14:paraId="1466CF24" w14:textId="77777777" w:rsidR="00E07CDE" w:rsidRPr="00CD4C4F" w:rsidRDefault="00E07CDE" w:rsidP="00CD4C4F">
            <w:pPr>
              <w:spacing w:before="67" w:after="67" w:line="240" w:lineRule="auto"/>
              <w:jc w:val="right"/>
              <w:rPr>
                <w:rFonts w:eastAsia="Times New Roman"/>
                <w:color w:val="000000"/>
                <w:sz w:val="20"/>
                <w:szCs w:val="20"/>
              </w:rPr>
            </w:pPr>
          </w:p>
        </w:tc>
        <w:tc>
          <w:tcPr>
            <w:tcW w:w="927" w:type="pct"/>
            <w:shd w:val="clear" w:color="auto" w:fill="FFFFFF"/>
            <w:tcMar>
              <w:top w:w="0" w:type="dxa"/>
              <w:left w:w="67" w:type="dxa"/>
              <w:bottom w:w="0" w:type="dxa"/>
              <w:right w:w="67" w:type="dxa"/>
            </w:tcMar>
          </w:tcPr>
          <w:p w14:paraId="472546AF" w14:textId="77777777" w:rsidR="00E07CDE" w:rsidRPr="00CD4C4F" w:rsidRDefault="00E07CDE" w:rsidP="00CD4C4F">
            <w:pPr>
              <w:spacing w:before="67" w:after="67" w:line="240" w:lineRule="auto"/>
              <w:jc w:val="right"/>
              <w:rPr>
                <w:rFonts w:eastAsia="Times New Roman"/>
                <w:color w:val="000000"/>
                <w:sz w:val="20"/>
                <w:szCs w:val="20"/>
              </w:rPr>
            </w:pPr>
          </w:p>
        </w:tc>
        <w:tc>
          <w:tcPr>
            <w:tcW w:w="929" w:type="pct"/>
            <w:tcBorders>
              <w:right w:val="single" w:sz="4" w:space="0" w:color="auto"/>
            </w:tcBorders>
            <w:shd w:val="clear" w:color="auto" w:fill="FFFFFF"/>
            <w:tcMar>
              <w:top w:w="0" w:type="dxa"/>
              <w:left w:w="67" w:type="dxa"/>
              <w:bottom w:w="0" w:type="dxa"/>
              <w:right w:w="67" w:type="dxa"/>
            </w:tcMar>
          </w:tcPr>
          <w:p w14:paraId="7C1580A9"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04E21DD6"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74984831"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927" w:type="pct"/>
            <w:shd w:val="clear" w:color="auto" w:fill="FFFFFF"/>
            <w:tcMar>
              <w:top w:w="0" w:type="dxa"/>
              <w:left w:w="67" w:type="dxa"/>
              <w:bottom w:w="0" w:type="dxa"/>
              <w:right w:w="67" w:type="dxa"/>
            </w:tcMar>
          </w:tcPr>
          <w:p w14:paraId="111670A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2.8 (5.75) 19</w:t>
            </w:r>
          </w:p>
        </w:tc>
        <w:tc>
          <w:tcPr>
            <w:tcW w:w="927" w:type="pct"/>
            <w:shd w:val="clear" w:color="auto" w:fill="FFFFFF"/>
            <w:tcMar>
              <w:top w:w="0" w:type="dxa"/>
              <w:left w:w="67" w:type="dxa"/>
              <w:bottom w:w="0" w:type="dxa"/>
              <w:right w:w="67" w:type="dxa"/>
            </w:tcMar>
          </w:tcPr>
          <w:p w14:paraId="24EC32B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1.3 (2.98) 24</w:t>
            </w:r>
          </w:p>
        </w:tc>
        <w:tc>
          <w:tcPr>
            <w:tcW w:w="929" w:type="pct"/>
            <w:tcBorders>
              <w:right w:val="single" w:sz="4" w:space="0" w:color="auto"/>
            </w:tcBorders>
            <w:shd w:val="clear" w:color="auto" w:fill="FFFFFF"/>
            <w:tcMar>
              <w:top w:w="0" w:type="dxa"/>
              <w:left w:w="67" w:type="dxa"/>
              <w:bottom w:w="0" w:type="dxa"/>
              <w:right w:w="67" w:type="dxa"/>
            </w:tcMar>
          </w:tcPr>
          <w:p w14:paraId="1461BED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0.0 (0.00) 28</w:t>
            </w:r>
          </w:p>
        </w:tc>
      </w:tr>
      <w:tr w:rsidR="00E07CDE" w:rsidRPr="00CD4C4F" w14:paraId="4A8CDC62"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719F6046"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27" w:type="pct"/>
            <w:shd w:val="clear" w:color="auto" w:fill="FFFFFF"/>
            <w:tcMar>
              <w:top w:w="0" w:type="dxa"/>
              <w:left w:w="67" w:type="dxa"/>
              <w:bottom w:w="0" w:type="dxa"/>
              <w:right w:w="67" w:type="dxa"/>
            </w:tcMar>
          </w:tcPr>
          <w:p w14:paraId="0A3D4CDA"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0 (0, 20)</w:t>
            </w:r>
          </w:p>
        </w:tc>
        <w:tc>
          <w:tcPr>
            <w:tcW w:w="927" w:type="pct"/>
            <w:shd w:val="clear" w:color="auto" w:fill="FFFFFF"/>
            <w:tcMar>
              <w:top w:w="0" w:type="dxa"/>
              <w:left w:w="67" w:type="dxa"/>
              <w:bottom w:w="0" w:type="dxa"/>
              <w:right w:w="67" w:type="dxa"/>
            </w:tcMar>
          </w:tcPr>
          <w:p w14:paraId="6CB9FE9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0 (0, 8)</w:t>
            </w:r>
          </w:p>
        </w:tc>
        <w:tc>
          <w:tcPr>
            <w:tcW w:w="929" w:type="pct"/>
            <w:tcBorders>
              <w:right w:val="single" w:sz="4" w:space="0" w:color="auto"/>
            </w:tcBorders>
            <w:shd w:val="clear" w:color="auto" w:fill="FFFFFF"/>
            <w:tcMar>
              <w:top w:w="0" w:type="dxa"/>
              <w:left w:w="67" w:type="dxa"/>
              <w:bottom w:w="0" w:type="dxa"/>
              <w:right w:w="67" w:type="dxa"/>
            </w:tcMar>
          </w:tcPr>
          <w:p w14:paraId="3667E36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0 (0, 0)</w:t>
            </w:r>
          </w:p>
        </w:tc>
      </w:tr>
      <w:tr w:rsidR="00E07CDE" w:rsidRPr="00CD4C4F" w14:paraId="5B887754"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18EF8B3F"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Total number of staff attended formal feedback sessions</w:t>
            </w:r>
          </w:p>
        </w:tc>
        <w:tc>
          <w:tcPr>
            <w:tcW w:w="927" w:type="pct"/>
            <w:shd w:val="clear" w:color="auto" w:fill="FFFFFF"/>
            <w:tcMar>
              <w:top w:w="0" w:type="dxa"/>
              <w:left w:w="67" w:type="dxa"/>
              <w:bottom w:w="0" w:type="dxa"/>
              <w:right w:w="67" w:type="dxa"/>
            </w:tcMar>
          </w:tcPr>
          <w:p w14:paraId="38BDBC17" w14:textId="77777777" w:rsidR="00E07CDE" w:rsidRPr="00CD4C4F" w:rsidRDefault="00E07CDE" w:rsidP="00CD4C4F">
            <w:pPr>
              <w:spacing w:before="67" w:after="67" w:line="240" w:lineRule="auto"/>
              <w:jc w:val="right"/>
              <w:rPr>
                <w:rFonts w:eastAsia="Times New Roman"/>
                <w:color w:val="000000"/>
                <w:sz w:val="20"/>
                <w:szCs w:val="20"/>
              </w:rPr>
            </w:pPr>
          </w:p>
        </w:tc>
        <w:tc>
          <w:tcPr>
            <w:tcW w:w="927" w:type="pct"/>
            <w:shd w:val="clear" w:color="auto" w:fill="FFFFFF"/>
            <w:tcMar>
              <w:top w:w="0" w:type="dxa"/>
              <w:left w:w="67" w:type="dxa"/>
              <w:bottom w:w="0" w:type="dxa"/>
              <w:right w:w="67" w:type="dxa"/>
            </w:tcMar>
          </w:tcPr>
          <w:p w14:paraId="61E58DC7" w14:textId="77777777" w:rsidR="00E07CDE" w:rsidRPr="00CD4C4F" w:rsidRDefault="00E07CDE" w:rsidP="00CD4C4F">
            <w:pPr>
              <w:spacing w:before="67" w:after="67" w:line="240" w:lineRule="auto"/>
              <w:jc w:val="right"/>
              <w:rPr>
                <w:rFonts w:eastAsia="Times New Roman"/>
                <w:color w:val="000000"/>
                <w:sz w:val="20"/>
                <w:szCs w:val="20"/>
              </w:rPr>
            </w:pPr>
          </w:p>
        </w:tc>
        <w:tc>
          <w:tcPr>
            <w:tcW w:w="929" w:type="pct"/>
            <w:tcBorders>
              <w:right w:val="single" w:sz="4" w:space="0" w:color="auto"/>
            </w:tcBorders>
            <w:shd w:val="clear" w:color="auto" w:fill="FFFFFF"/>
            <w:tcMar>
              <w:top w:w="0" w:type="dxa"/>
              <w:left w:w="67" w:type="dxa"/>
              <w:bottom w:w="0" w:type="dxa"/>
              <w:right w:w="67" w:type="dxa"/>
            </w:tcMar>
          </w:tcPr>
          <w:p w14:paraId="3E7CF9D0"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153A3359"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1D56B865"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927" w:type="pct"/>
            <w:shd w:val="clear" w:color="auto" w:fill="FFFFFF"/>
            <w:tcMar>
              <w:top w:w="0" w:type="dxa"/>
              <w:left w:w="67" w:type="dxa"/>
              <w:bottom w:w="0" w:type="dxa"/>
              <w:right w:w="67" w:type="dxa"/>
            </w:tcMar>
          </w:tcPr>
          <w:p w14:paraId="22ECBD3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9.6 (4.56) 19</w:t>
            </w:r>
          </w:p>
        </w:tc>
        <w:tc>
          <w:tcPr>
            <w:tcW w:w="927" w:type="pct"/>
            <w:shd w:val="clear" w:color="auto" w:fill="FFFFFF"/>
            <w:tcMar>
              <w:top w:w="0" w:type="dxa"/>
              <w:left w:w="67" w:type="dxa"/>
              <w:bottom w:w="0" w:type="dxa"/>
              <w:right w:w="67" w:type="dxa"/>
            </w:tcMar>
          </w:tcPr>
          <w:p w14:paraId="6F243F4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12.3 (4.46) 25</w:t>
            </w:r>
          </w:p>
        </w:tc>
        <w:tc>
          <w:tcPr>
            <w:tcW w:w="929" w:type="pct"/>
            <w:tcBorders>
              <w:right w:val="single" w:sz="4" w:space="0" w:color="auto"/>
            </w:tcBorders>
            <w:shd w:val="clear" w:color="auto" w:fill="FFFFFF"/>
            <w:tcMar>
              <w:top w:w="0" w:type="dxa"/>
              <w:left w:w="67" w:type="dxa"/>
              <w:bottom w:w="0" w:type="dxa"/>
              <w:right w:w="67" w:type="dxa"/>
            </w:tcMar>
          </w:tcPr>
          <w:p w14:paraId="5C9D2FA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12.3 (4.51) 28</w:t>
            </w:r>
          </w:p>
        </w:tc>
      </w:tr>
      <w:tr w:rsidR="00E07CDE" w:rsidRPr="00CD4C4F" w14:paraId="79CEF288"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74D0A5B6"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27" w:type="pct"/>
            <w:shd w:val="clear" w:color="auto" w:fill="FFFFFF"/>
            <w:tcMar>
              <w:top w:w="0" w:type="dxa"/>
              <w:left w:w="67" w:type="dxa"/>
              <w:bottom w:w="0" w:type="dxa"/>
              <w:right w:w="67" w:type="dxa"/>
            </w:tcMar>
          </w:tcPr>
          <w:p w14:paraId="037222CB" w14:textId="3A61441E" w:rsidR="00E07CDE" w:rsidRPr="00CD4C4F" w:rsidRDefault="00CC0093"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9.0 (2, 17</w:t>
            </w:r>
            <w:r w:rsidR="00E07CDE" w:rsidRPr="00CD4C4F">
              <w:rPr>
                <w:rFonts w:eastAsia="Times New Roman"/>
                <w:color w:val="000000"/>
                <w:sz w:val="20"/>
                <w:szCs w:val="20"/>
              </w:rPr>
              <w:t>)</w:t>
            </w:r>
          </w:p>
        </w:tc>
        <w:tc>
          <w:tcPr>
            <w:tcW w:w="927" w:type="pct"/>
            <w:shd w:val="clear" w:color="auto" w:fill="FFFFFF"/>
            <w:tcMar>
              <w:top w:w="0" w:type="dxa"/>
              <w:left w:w="67" w:type="dxa"/>
              <w:bottom w:w="0" w:type="dxa"/>
              <w:right w:w="67" w:type="dxa"/>
            </w:tcMar>
          </w:tcPr>
          <w:p w14:paraId="4CAD79F8" w14:textId="3A14B575"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w:t>
            </w:r>
            <w:r w:rsidR="00CC0093" w:rsidRPr="00CD4C4F">
              <w:rPr>
                <w:rFonts w:eastAsia="Times New Roman"/>
                <w:color w:val="000000"/>
                <w:sz w:val="20"/>
                <w:szCs w:val="20"/>
              </w:rPr>
              <w:t>1.5 (7, 18</w:t>
            </w:r>
            <w:r w:rsidRPr="00CD4C4F">
              <w:rPr>
                <w:rFonts w:eastAsia="Times New Roman"/>
                <w:color w:val="000000"/>
                <w:sz w:val="20"/>
                <w:szCs w:val="20"/>
              </w:rPr>
              <w:t>)</w:t>
            </w:r>
          </w:p>
        </w:tc>
        <w:tc>
          <w:tcPr>
            <w:tcW w:w="929" w:type="pct"/>
            <w:tcBorders>
              <w:right w:val="single" w:sz="4" w:space="0" w:color="auto"/>
            </w:tcBorders>
            <w:shd w:val="clear" w:color="auto" w:fill="FFFFFF"/>
            <w:tcMar>
              <w:top w:w="0" w:type="dxa"/>
              <w:left w:w="67" w:type="dxa"/>
              <w:bottom w:w="0" w:type="dxa"/>
              <w:right w:w="67" w:type="dxa"/>
            </w:tcMar>
          </w:tcPr>
          <w:p w14:paraId="362D1016" w14:textId="26DC5BDE" w:rsidR="00E07CDE" w:rsidRPr="00CD4C4F" w:rsidRDefault="00CC0093"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12.0 (8, 17</w:t>
            </w:r>
            <w:r w:rsidR="00E07CDE" w:rsidRPr="00CD4C4F">
              <w:rPr>
                <w:rFonts w:eastAsia="Times New Roman"/>
                <w:color w:val="000000"/>
                <w:sz w:val="20"/>
                <w:szCs w:val="20"/>
              </w:rPr>
              <w:t>)</w:t>
            </w:r>
          </w:p>
        </w:tc>
      </w:tr>
      <w:tr w:rsidR="00E07CDE" w:rsidRPr="00CD4C4F" w14:paraId="5F4917CB"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133B43BF"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Total number of direct care staff attended formal feedback sessions</w:t>
            </w:r>
          </w:p>
        </w:tc>
        <w:tc>
          <w:tcPr>
            <w:tcW w:w="927" w:type="pct"/>
            <w:shd w:val="clear" w:color="auto" w:fill="FFFFFF"/>
            <w:tcMar>
              <w:top w:w="0" w:type="dxa"/>
              <w:left w:w="67" w:type="dxa"/>
              <w:bottom w:w="0" w:type="dxa"/>
              <w:right w:w="67" w:type="dxa"/>
            </w:tcMar>
          </w:tcPr>
          <w:p w14:paraId="63A29F12" w14:textId="77777777" w:rsidR="00E07CDE" w:rsidRPr="00CD4C4F" w:rsidRDefault="00E07CDE" w:rsidP="00CD4C4F">
            <w:pPr>
              <w:spacing w:before="67" w:after="67" w:line="240" w:lineRule="auto"/>
              <w:jc w:val="right"/>
              <w:rPr>
                <w:rFonts w:eastAsia="Times New Roman"/>
                <w:color w:val="000000"/>
                <w:sz w:val="20"/>
                <w:szCs w:val="20"/>
              </w:rPr>
            </w:pPr>
          </w:p>
        </w:tc>
        <w:tc>
          <w:tcPr>
            <w:tcW w:w="927" w:type="pct"/>
            <w:shd w:val="clear" w:color="auto" w:fill="FFFFFF"/>
            <w:tcMar>
              <w:top w:w="0" w:type="dxa"/>
              <w:left w:w="67" w:type="dxa"/>
              <w:bottom w:w="0" w:type="dxa"/>
              <w:right w:w="67" w:type="dxa"/>
            </w:tcMar>
          </w:tcPr>
          <w:p w14:paraId="70BD6794" w14:textId="77777777" w:rsidR="00E07CDE" w:rsidRPr="00CD4C4F" w:rsidRDefault="00E07CDE" w:rsidP="00CD4C4F">
            <w:pPr>
              <w:spacing w:before="67" w:after="67" w:line="240" w:lineRule="auto"/>
              <w:jc w:val="right"/>
              <w:rPr>
                <w:rFonts w:eastAsia="Times New Roman"/>
                <w:color w:val="000000"/>
                <w:sz w:val="20"/>
                <w:szCs w:val="20"/>
              </w:rPr>
            </w:pPr>
          </w:p>
        </w:tc>
        <w:tc>
          <w:tcPr>
            <w:tcW w:w="929" w:type="pct"/>
            <w:tcBorders>
              <w:right w:val="single" w:sz="4" w:space="0" w:color="auto"/>
            </w:tcBorders>
            <w:shd w:val="clear" w:color="auto" w:fill="FFFFFF"/>
            <w:tcMar>
              <w:top w:w="0" w:type="dxa"/>
              <w:left w:w="67" w:type="dxa"/>
              <w:bottom w:w="0" w:type="dxa"/>
              <w:right w:w="67" w:type="dxa"/>
            </w:tcMar>
          </w:tcPr>
          <w:p w14:paraId="2D3B8424"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3BA4106F" w14:textId="77777777" w:rsidTr="00CD4C4F">
        <w:trPr>
          <w:cantSplit/>
          <w:jc w:val="center"/>
        </w:trPr>
        <w:tc>
          <w:tcPr>
            <w:tcW w:w="2217" w:type="pct"/>
            <w:tcBorders>
              <w:top w:val="nil"/>
              <w:left w:val="single" w:sz="4" w:space="0" w:color="auto"/>
              <w:bottom w:val="nil"/>
              <w:right w:val="nil"/>
            </w:tcBorders>
            <w:shd w:val="clear" w:color="auto" w:fill="FFFFFF"/>
            <w:tcMar>
              <w:top w:w="0" w:type="dxa"/>
              <w:left w:w="67" w:type="dxa"/>
              <w:bottom w:w="0" w:type="dxa"/>
              <w:right w:w="67" w:type="dxa"/>
            </w:tcMar>
            <w:hideMark/>
          </w:tcPr>
          <w:p w14:paraId="1222A1DD"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927" w:type="pct"/>
            <w:shd w:val="clear" w:color="auto" w:fill="FFFFFF"/>
            <w:tcMar>
              <w:top w:w="0" w:type="dxa"/>
              <w:left w:w="67" w:type="dxa"/>
              <w:bottom w:w="0" w:type="dxa"/>
              <w:right w:w="67" w:type="dxa"/>
            </w:tcMar>
          </w:tcPr>
          <w:p w14:paraId="55A849F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8.0 (2.65) 28</w:t>
            </w:r>
          </w:p>
        </w:tc>
        <w:tc>
          <w:tcPr>
            <w:tcW w:w="927" w:type="pct"/>
            <w:shd w:val="clear" w:color="auto" w:fill="FFFFFF"/>
            <w:tcMar>
              <w:top w:w="0" w:type="dxa"/>
              <w:left w:w="67" w:type="dxa"/>
              <w:bottom w:w="0" w:type="dxa"/>
              <w:right w:w="67" w:type="dxa"/>
            </w:tcMar>
          </w:tcPr>
          <w:p w14:paraId="342A68CA"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8.5 (2.12) 29</w:t>
            </w:r>
          </w:p>
        </w:tc>
        <w:tc>
          <w:tcPr>
            <w:tcW w:w="929" w:type="pct"/>
            <w:tcBorders>
              <w:right w:val="single" w:sz="4" w:space="0" w:color="auto"/>
            </w:tcBorders>
            <w:shd w:val="clear" w:color="auto" w:fill="FFFFFF"/>
            <w:tcMar>
              <w:top w:w="0" w:type="dxa"/>
              <w:left w:w="67" w:type="dxa"/>
              <w:bottom w:w="0" w:type="dxa"/>
              <w:right w:w="67" w:type="dxa"/>
            </w:tcMar>
          </w:tcPr>
          <w:p w14:paraId="5A02E1FA"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12.0 (.) 30</w:t>
            </w:r>
          </w:p>
        </w:tc>
      </w:tr>
      <w:tr w:rsidR="00E07CDE" w:rsidRPr="00CD4C4F" w14:paraId="36EA6200" w14:textId="77777777" w:rsidTr="00CD4C4F">
        <w:trPr>
          <w:cantSplit/>
          <w:jc w:val="center"/>
        </w:trPr>
        <w:tc>
          <w:tcPr>
            <w:tcW w:w="2217" w:type="pct"/>
            <w:tcBorders>
              <w:top w:val="nil"/>
              <w:left w:val="single" w:sz="4" w:space="0" w:color="auto"/>
              <w:bottom w:val="single" w:sz="4" w:space="0" w:color="auto"/>
              <w:right w:val="nil"/>
            </w:tcBorders>
            <w:shd w:val="clear" w:color="auto" w:fill="FFFFFF"/>
            <w:tcMar>
              <w:top w:w="0" w:type="dxa"/>
              <w:left w:w="67" w:type="dxa"/>
              <w:bottom w:w="0" w:type="dxa"/>
              <w:right w:w="67" w:type="dxa"/>
            </w:tcMar>
            <w:hideMark/>
          </w:tcPr>
          <w:p w14:paraId="20173949" w14:textId="77777777" w:rsidR="00E07CDE" w:rsidRPr="00CD4C4F" w:rsidRDefault="00E07CDE" w:rsidP="00CD4C4F">
            <w:pPr>
              <w:keepNext/>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27" w:type="pct"/>
            <w:tcBorders>
              <w:bottom w:val="single" w:sz="4" w:space="0" w:color="auto"/>
            </w:tcBorders>
            <w:shd w:val="clear" w:color="auto" w:fill="FFFFFF"/>
            <w:tcMar>
              <w:top w:w="0" w:type="dxa"/>
              <w:left w:w="67" w:type="dxa"/>
              <w:bottom w:w="0" w:type="dxa"/>
              <w:right w:w="67" w:type="dxa"/>
            </w:tcMar>
          </w:tcPr>
          <w:p w14:paraId="35FD5985"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9 (5, 10)</w:t>
            </w:r>
          </w:p>
        </w:tc>
        <w:tc>
          <w:tcPr>
            <w:tcW w:w="927" w:type="pct"/>
            <w:tcBorders>
              <w:bottom w:val="single" w:sz="4" w:space="0" w:color="auto"/>
            </w:tcBorders>
            <w:shd w:val="clear" w:color="auto" w:fill="FFFFFF"/>
            <w:tcMar>
              <w:top w:w="0" w:type="dxa"/>
              <w:left w:w="67" w:type="dxa"/>
              <w:bottom w:w="0" w:type="dxa"/>
              <w:right w:w="67" w:type="dxa"/>
            </w:tcMar>
          </w:tcPr>
          <w:p w14:paraId="53601F67"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8.5 (7, 10)</w:t>
            </w:r>
          </w:p>
        </w:tc>
        <w:tc>
          <w:tcPr>
            <w:tcW w:w="929" w:type="pct"/>
            <w:tcBorders>
              <w:bottom w:val="single" w:sz="4" w:space="0" w:color="auto"/>
              <w:right w:val="single" w:sz="4" w:space="0" w:color="auto"/>
            </w:tcBorders>
            <w:shd w:val="clear" w:color="auto" w:fill="FFFFFF"/>
            <w:tcMar>
              <w:top w:w="0" w:type="dxa"/>
              <w:left w:w="67" w:type="dxa"/>
              <w:bottom w:w="0" w:type="dxa"/>
              <w:right w:w="67" w:type="dxa"/>
            </w:tcMar>
          </w:tcPr>
          <w:p w14:paraId="29A19553"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12 (12, 12)</w:t>
            </w:r>
          </w:p>
        </w:tc>
      </w:tr>
    </w:tbl>
    <w:p w14:paraId="58BE7377" w14:textId="77777777" w:rsidR="00E07CDE" w:rsidRPr="00563AD3" w:rsidRDefault="00E07CDE" w:rsidP="009B13F3">
      <w:pPr>
        <w:keepNext/>
        <w:autoSpaceDE/>
        <w:autoSpaceDN/>
        <w:adjustRightInd/>
        <w:spacing w:before="120" w:after="0"/>
        <w:rPr>
          <w:rFonts w:eastAsia="Calibri"/>
          <w:b/>
          <w:bCs/>
          <w:sz w:val="24"/>
          <w:szCs w:val="18"/>
          <w:lang w:eastAsia="en-US"/>
        </w:rPr>
      </w:pPr>
    </w:p>
    <w:p w14:paraId="3C3AA87F" w14:textId="77777777" w:rsidR="00E07CDE" w:rsidRPr="00563AD3" w:rsidRDefault="00E07CDE" w:rsidP="009B13F3">
      <w:pPr>
        <w:autoSpaceDE/>
        <w:autoSpaceDN/>
        <w:adjustRightInd/>
        <w:rPr>
          <w:rFonts w:eastAsia="Calibri"/>
          <w:b/>
          <w:bCs/>
          <w:sz w:val="24"/>
          <w:szCs w:val="18"/>
          <w:lang w:eastAsia="en-US"/>
        </w:rPr>
      </w:pPr>
      <w:bookmarkStart w:id="292" w:name="_Ref499133789"/>
      <w:bookmarkStart w:id="293" w:name="_Toc500935017"/>
      <w:r w:rsidRPr="00563AD3">
        <w:rPr>
          <w:rFonts w:eastAsia="Calibri"/>
          <w:b/>
          <w:bCs/>
          <w:sz w:val="24"/>
          <w:szCs w:val="18"/>
          <w:lang w:eastAsia="en-US"/>
        </w:rPr>
        <w:br w:type="page"/>
      </w:r>
    </w:p>
    <w:p w14:paraId="1D60716D" w14:textId="7D8F9111" w:rsidR="00E07CDE" w:rsidRPr="00563AD3" w:rsidRDefault="00E07CDE" w:rsidP="00CD4C4F">
      <w:pPr>
        <w:pStyle w:val="Tableheading"/>
        <w:rPr>
          <w:rFonts w:eastAsia="Calibri"/>
          <w:lang w:eastAsia="en-US"/>
        </w:rPr>
      </w:pPr>
      <w:bookmarkStart w:id="294" w:name="_Toc948235"/>
      <w:r w:rsidRPr="00563AD3">
        <w:rPr>
          <w:rFonts w:eastAsia="Calibri"/>
          <w:lang w:eastAsia="en-US"/>
        </w:rPr>
        <w:t xml:space="preserve">Table </w:t>
      </w:r>
      <w:bookmarkEnd w:id="292"/>
      <w:r w:rsidR="00B73A17">
        <w:rPr>
          <w:rFonts w:eastAsia="Calibri"/>
          <w:lang w:eastAsia="en-US"/>
        </w:rPr>
        <w:t>38</w:t>
      </w:r>
      <w:r w:rsidR="00B73A17" w:rsidRPr="00563AD3">
        <w:rPr>
          <w:rFonts w:eastAsia="Calibri"/>
          <w:lang w:eastAsia="en-US"/>
        </w:rPr>
        <w:t xml:space="preserve"> </w:t>
      </w:r>
      <w:r w:rsidRPr="00563AD3">
        <w:rPr>
          <w:rFonts w:eastAsia="Calibri"/>
          <w:lang w:eastAsia="en-US"/>
        </w:rPr>
        <w:t>Care home and residents feedback points</w:t>
      </w:r>
      <w:bookmarkEnd w:id="293"/>
      <w:bookmarkEnd w:id="294"/>
    </w:p>
    <w:tbl>
      <w:tblPr>
        <w:tblW w:w="5000" w:type="pct"/>
        <w:jc w:val="center"/>
        <w:tblCellMar>
          <w:left w:w="0" w:type="dxa"/>
          <w:right w:w="0" w:type="dxa"/>
        </w:tblCellMar>
        <w:tblLook w:val="04A0" w:firstRow="1" w:lastRow="0" w:firstColumn="1" w:lastColumn="0" w:noHBand="0" w:noVBand="1"/>
      </w:tblPr>
      <w:tblGrid>
        <w:gridCol w:w="3505"/>
        <w:gridCol w:w="1836"/>
        <w:gridCol w:w="1836"/>
        <w:gridCol w:w="1839"/>
      </w:tblGrid>
      <w:tr w:rsidR="00E07CDE" w:rsidRPr="00CD4C4F" w14:paraId="5A1CE5C9" w14:textId="77777777" w:rsidTr="00CD4C4F">
        <w:trPr>
          <w:cantSplit/>
          <w:tblHeader/>
          <w:jc w:val="center"/>
        </w:trPr>
        <w:tc>
          <w:tcPr>
            <w:tcW w:w="5000" w:type="pct"/>
            <w:gridSpan w:val="4"/>
            <w:tcBorders>
              <w:top w:val="single" w:sz="4" w:space="0" w:color="auto"/>
              <w:left w:val="single" w:sz="4" w:space="0" w:color="auto"/>
              <w:bottom w:val="nil"/>
              <w:right w:val="single" w:sz="4" w:space="0" w:color="auto"/>
            </w:tcBorders>
            <w:shd w:val="clear" w:color="auto" w:fill="FFFFFF"/>
            <w:tcMar>
              <w:top w:w="0" w:type="dxa"/>
              <w:left w:w="67" w:type="dxa"/>
              <w:bottom w:w="0" w:type="dxa"/>
              <w:right w:w="67" w:type="dxa"/>
            </w:tcMar>
            <w:vAlign w:val="bottom"/>
            <w:hideMark/>
          </w:tcPr>
          <w:p w14:paraId="17EC2A3B" w14:textId="77777777" w:rsidR="00E07CDE" w:rsidRPr="00CD4C4F" w:rsidRDefault="00E07CDE" w:rsidP="00CD4C4F">
            <w:pPr>
              <w:keepNext/>
              <w:spacing w:before="67" w:after="67" w:line="240" w:lineRule="auto"/>
              <w:jc w:val="center"/>
              <w:rPr>
                <w:rFonts w:eastAsia="Times New Roman"/>
                <w:b/>
                <w:bCs/>
                <w:color w:val="000000"/>
                <w:sz w:val="20"/>
                <w:szCs w:val="20"/>
              </w:rPr>
            </w:pPr>
            <w:r w:rsidRPr="00CD4C4F">
              <w:rPr>
                <w:rFonts w:eastAsia="Times New Roman"/>
                <w:b/>
                <w:bCs/>
                <w:color w:val="000000"/>
                <w:sz w:val="20"/>
                <w:szCs w:val="20"/>
              </w:rPr>
              <w:t>CH and residents feedback points by cycle</w:t>
            </w:r>
          </w:p>
        </w:tc>
      </w:tr>
      <w:tr w:rsidR="00E07CDE" w:rsidRPr="00CD4C4F" w14:paraId="447D89A6" w14:textId="77777777" w:rsidTr="00CD4C4F">
        <w:trPr>
          <w:cantSplit/>
          <w:tblHeader/>
          <w:jc w:val="center"/>
        </w:trPr>
        <w:tc>
          <w:tcPr>
            <w:tcW w:w="1944" w:type="pct"/>
            <w:tcBorders>
              <w:top w:val="nil"/>
              <w:left w:val="single" w:sz="4" w:space="0" w:color="auto"/>
              <w:bottom w:val="single" w:sz="4" w:space="0" w:color="000000"/>
              <w:right w:val="nil"/>
            </w:tcBorders>
            <w:shd w:val="clear" w:color="auto" w:fill="FFFFFF"/>
            <w:tcMar>
              <w:top w:w="0" w:type="dxa"/>
              <w:left w:w="67" w:type="dxa"/>
              <w:bottom w:w="0" w:type="dxa"/>
              <w:right w:w="67" w:type="dxa"/>
            </w:tcMar>
            <w:vAlign w:val="bottom"/>
          </w:tcPr>
          <w:p w14:paraId="21A82D62" w14:textId="77777777" w:rsidR="00E07CDE" w:rsidRPr="00CD4C4F" w:rsidRDefault="00E07CDE" w:rsidP="00CD4C4F">
            <w:pPr>
              <w:keepNext/>
              <w:spacing w:before="67" w:after="67" w:line="240" w:lineRule="auto"/>
              <w:rPr>
                <w:rFonts w:eastAsia="Times New Roman"/>
                <w:b/>
                <w:bCs/>
                <w:color w:val="000000"/>
                <w:sz w:val="20"/>
                <w:szCs w:val="20"/>
              </w:rPr>
            </w:pPr>
          </w:p>
        </w:tc>
        <w:tc>
          <w:tcPr>
            <w:tcW w:w="1018" w:type="pct"/>
            <w:tcBorders>
              <w:top w:val="nil"/>
              <w:left w:val="nil"/>
              <w:bottom w:val="single" w:sz="4" w:space="0" w:color="000000"/>
              <w:right w:val="nil"/>
            </w:tcBorders>
            <w:shd w:val="clear" w:color="auto" w:fill="FFFFFF"/>
            <w:tcMar>
              <w:top w:w="0" w:type="dxa"/>
              <w:left w:w="67" w:type="dxa"/>
              <w:bottom w:w="0" w:type="dxa"/>
              <w:right w:w="67" w:type="dxa"/>
            </w:tcMar>
            <w:vAlign w:val="bottom"/>
          </w:tcPr>
          <w:p w14:paraId="4BE1C884"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1 (n=31)</w:t>
            </w:r>
          </w:p>
        </w:tc>
        <w:tc>
          <w:tcPr>
            <w:tcW w:w="1018" w:type="pct"/>
            <w:tcBorders>
              <w:top w:val="nil"/>
              <w:left w:val="nil"/>
              <w:bottom w:val="single" w:sz="4" w:space="0" w:color="000000"/>
              <w:right w:val="nil"/>
            </w:tcBorders>
            <w:shd w:val="clear" w:color="auto" w:fill="FFFFFF"/>
            <w:tcMar>
              <w:top w:w="0" w:type="dxa"/>
              <w:left w:w="67" w:type="dxa"/>
              <w:bottom w:w="0" w:type="dxa"/>
              <w:right w:w="67" w:type="dxa"/>
            </w:tcMar>
            <w:vAlign w:val="bottom"/>
          </w:tcPr>
          <w:p w14:paraId="2FD64778"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2 (n=31)</w:t>
            </w:r>
          </w:p>
        </w:tc>
        <w:tc>
          <w:tcPr>
            <w:tcW w:w="1020" w:type="pct"/>
            <w:tcBorders>
              <w:top w:val="nil"/>
              <w:left w:val="nil"/>
              <w:bottom w:val="single" w:sz="4" w:space="0" w:color="000000"/>
              <w:right w:val="single" w:sz="4" w:space="0" w:color="auto"/>
            </w:tcBorders>
            <w:shd w:val="clear" w:color="auto" w:fill="FFFFFF"/>
            <w:tcMar>
              <w:top w:w="0" w:type="dxa"/>
              <w:left w:w="67" w:type="dxa"/>
              <w:bottom w:w="0" w:type="dxa"/>
              <w:right w:w="67" w:type="dxa"/>
            </w:tcMar>
            <w:vAlign w:val="bottom"/>
          </w:tcPr>
          <w:p w14:paraId="4A80A66D"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3 (n=31)</w:t>
            </w:r>
          </w:p>
        </w:tc>
      </w:tr>
      <w:tr w:rsidR="00E07CDE" w:rsidRPr="00CD4C4F" w14:paraId="38E3EF98"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hideMark/>
          </w:tcPr>
          <w:p w14:paraId="1F168E48"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N of care home feedback points</w:t>
            </w:r>
          </w:p>
        </w:tc>
        <w:tc>
          <w:tcPr>
            <w:tcW w:w="1018" w:type="pct"/>
            <w:shd w:val="clear" w:color="auto" w:fill="FFFFFF"/>
            <w:tcMar>
              <w:top w:w="0" w:type="dxa"/>
              <w:left w:w="67" w:type="dxa"/>
              <w:bottom w:w="0" w:type="dxa"/>
              <w:right w:w="67" w:type="dxa"/>
            </w:tcMar>
          </w:tcPr>
          <w:p w14:paraId="3F5D25FD"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shd w:val="clear" w:color="auto" w:fill="FFFFFF"/>
            <w:tcMar>
              <w:top w:w="0" w:type="dxa"/>
              <w:left w:w="67" w:type="dxa"/>
              <w:bottom w:w="0" w:type="dxa"/>
              <w:right w:w="67" w:type="dxa"/>
            </w:tcMar>
          </w:tcPr>
          <w:p w14:paraId="73873FD6" w14:textId="77777777" w:rsidR="00E07CDE" w:rsidRPr="00CD4C4F" w:rsidRDefault="00E07CDE" w:rsidP="00CD4C4F">
            <w:pPr>
              <w:spacing w:before="67" w:after="67" w:line="240" w:lineRule="auto"/>
              <w:jc w:val="right"/>
              <w:rPr>
                <w:rFonts w:eastAsia="Times New Roman"/>
                <w:color w:val="000000"/>
                <w:sz w:val="20"/>
                <w:szCs w:val="20"/>
              </w:rPr>
            </w:pP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26A8E849"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232B4B17"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hideMark/>
          </w:tcPr>
          <w:p w14:paraId="1B6B611A"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1018" w:type="pct"/>
            <w:shd w:val="clear" w:color="auto" w:fill="FFFFFF"/>
            <w:tcMar>
              <w:top w:w="0" w:type="dxa"/>
              <w:left w:w="67" w:type="dxa"/>
              <w:bottom w:w="0" w:type="dxa"/>
              <w:right w:w="67" w:type="dxa"/>
            </w:tcMar>
          </w:tcPr>
          <w:p w14:paraId="0178F5D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5.0 (3.06) 21</w:t>
            </w:r>
          </w:p>
        </w:tc>
        <w:tc>
          <w:tcPr>
            <w:tcW w:w="1018" w:type="pct"/>
            <w:shd w:val="clear" w:color="auto" w:fill="FFFFFF"/>
            <w:tcMar>
              <w:top w:w="0" w:type="dxa"/>
              <w:left w:w="67" w:type="dxa"/>
              <w:bottom w:w="0" w:type="dxa"/>
              <w:right w:w="67" w:type="dxa"/>
            </w:tcMar>
          </w:tcPr>
          <w:p w14:paraId="187C195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3.7 (1.21) 25</w:t>
            </w: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6BE3F49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6.0 (5.72) 27</w:t>
            </w:r>
          </w:p>
        </w:tc>
      </w:tr>
      <w:tr w:rsidR="00E07CDE" w:rsidRPr="00CD4C4F" w14:paraId="39CC5DB2"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hideMark/>
          </w:tcPr>
          <w:p w14:paraId="4EEC87BF"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1018" w:type="pct"/>
            <w:shd w:val="clear" w:color="auto" w:fill="FFFFFF"/>
            <w:tcMar>
              <w:top w:w="0" w:type="dxa"/>
              <w:left w:w="67" w:type="dxa"/>
              <w:bottom w:w="0" w:type="dxa"/>
              <w:right w:w="67" w:type="dxa"/>
            </w:tcMar>
          </w:tcPr>
          <w:p w14:paraId="632094C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4.5 (2, 13)</w:t>
            </w:r>
          </w:p>
        </w:tc>
        <w:tc>
          <w:tcPr>
            <w:tcW w:w="1018" w:type="pct"/>
            <w:shd w:val="clear" w:color="auto" w:fill="FFFFFF"/>
            <w:tcMar>
              <w:top w:w="0" w:type="dxa"/>
              <w:left w:w="67" w:type="dxa"/>
              <w:bottom w:w="0" w:type="dxa"/>
              <w:right w:w="67" w:type="dxa"/>
            </w:tcMar>
          </w:tcPr>
          <w:p w14:paraId="73F8BA2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 (3, 6)</w:t>
            </w: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280A9A40"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5.5 (0, 13)</w:t>
            </w:r>
          </w:p>
        </w:tc>
      </w:tr>
      <w:tr w:rsidR="00E07CDE" w:rsidRPr="00CD4C4F" w14:paraId="3A810DDF"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hideMark/>
          </w:tcPr>
          <w:p w14:paraId="70334456"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Total number of residents with feedback points</w:t>
            </w:r>
          </w:p>
        </w:tc>
        <w:tc>
          <w:tcPr>
            <w:tcW w:w="1018" w:type="pct"/>
            <w:shd w:val="clear" w:color="auto" w:fill="FFFFFF"/>
            <w:tcMar>
              <w:top w:w="0" w:type="dxa"/>
              <w:left w:w="67" w:type="dxa"/>
              <w:bottom w:w="0" w:type="dxa"/>
              <w:right w:w="67" w:type="dxa"/>
            </w:tcMar>
          </w:tcPr>
          <w:p w14:paraId="79D18CCD"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shd w:val="clear" w:color="auto" w:fill="FFFFFF"/>
            <w:tcMar>
              <w:top w:w="0" w:type="dxa"/>
              <w:left w:w="67" w:type="dxa"/>
              <w:bottom w:w="0" w:type="dxa"/>
              <w:right w:w="67" w:type="dxa"/>
            </w:tcMar>
          </w:tcPr>
          <w:p w14:paraId="77139486" w14:textId="77777777" w:rsidR="00E07CDE" w:rsidRPr="00CD4C4F" w:rsidRDefault="00E07CDE" w:rsidP="00CD4C4F">
            <w:pPr>
              <w:spacing w:before="67" w:after="67" w:line="240" w:lineRule="auto"/>
              <w:jc w:val="right"/>
              <w:rPr>
                <w:rFonts w:eastAsia="Times New Roman"/>
                <w:color w:val="000000"/>
                <w:sz w:val="20"/>
                <w:szCs w:val="20"/>
              </w:rPr>
            </w:pP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4535C2DA"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62486BE3"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hideMark/>
          </w:tcPr>
          <w:p w14:paraId="03FDF457"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1018" w:type="pct"/>
            <w:shd w:val="clear" w:color="auto" w:fill="FFFFFF"/>
            <w:tcMar>
              <w:top w:w="0" w:type="dxa"/>
              <w:left w:w="67" w:type="dxa"/>
              <w:bottom w:w="0" w:type="dxa"/>
              <w:right w:w="67" w:type="dxa"/>
            </w:tcMar>
          </w:tcPr>
          <w:p w14:paraId="4093564B"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4.4 (1.78) 19</w:t>
            </w:r>
          </w:p>
        </w:tc>
        <w:tc>
          <w:tcPr>
            <w:tcW w:w="1018" w:type="pct"/>
            <w:shd w:val="clear" w:color="auto" w:fill="FFFFFF"/>
            <w:tcMar>
              <w:top w:w="0" w:type="dxa"/>
              <w:left w:w="67" w:type="dxa"/>
              <w:bottom w:w="0" w:type="dxa"/>
              <w:right w:w="67" w:type="dxa"/>
            </w:tcMar>
          </w:tcPr>
          <w:p w14:paraId="6F6246E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4.2 (2.23) 25</w:t>
            </w: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2847B71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3.5 (1.73) 27</w:t>
            </w:r>
          </w:p>
        </w:tc>
      </w:tr>
      <w:tr w:rsidR="00E07CDE" w:rsidRPr="00CD4C4F" w14:paraId="44168AA7"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hideMark/>
          </w:tcPr>
          <w:p w14:paraId="0F5FBE95"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1018" w:type="pct"/>
            <w:shd w:val="clear" w:color="auto" w:fill="FFFFFF"/>
            <w:tcMar>
              <w:top w:w="0" w:type="dxa"/>
              <w:left w:w="67" w:type="dxa"/>
              <w:bottom w:w="0" w:type="dxa"/>
              <w:right w:w="67" w:type="dxa"/>
            </w:tcMar>
          </w:tcPr>
          <w:p w14:paraId="671F08C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4.5 (1, 7)</w:t>
            </w:r>
          </w:p>
        </w:tc>
        <w:tc>
          <w:tcPr>
            <w:tcW w:w="1018" w:type="pct"/>
            <w:shd w:val="clear" w:color="auto" w:fill="FFFFFF"/>
            <w:tcMar>
              <w:top w:w="0" w:type="dxa"/>
              <w:left w:w="67" w:type="dxa"/>
              <w:bottom w:w="0" w:type="dxa"/>
              <w:right w:w="67" w:type="dxa"/>
            </w:tcMar>
          </w:tcPr>
          <w:p w14:paraId="2CA1CD42"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 (1, 6)</w:t>
            </w: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564C3192"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(1, 5)</w:t>
            </w:r>
          </w:p>
        </w:tc>
      </w:tr>
      <w:tr w:rsidR="00E07CDE" w:rsidRPr="00CD4C4F" w14:paraId="64B6A7D8"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hideMark/>
          </w:tcPr>
          <w:p w14:paraId="2FD1EFA0"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Mean number of resident feedback points</w:t>
            </w:r>
          </w:p>
        </w:tc>
        <w:tc>
          <w:tcPr>
            <w:tcW w:w="1018" w:type="pct"/>
            <w:shd w:val="clear" w:color="auto" w:fill="FFFFFF"/>
            <w:tcMar>
              <w:top w:w="0" w:type="dxa"/>
              <w:left w:w="67" w:type="dxa"/>
              <w:bottom w:w="0" w:type="dxa"/>
              <w:right w:w="67" w:type="dxa"/>
            </w:tcMar>
          </w:tcPr>
          <w:p w14:paraId="23E2A77E"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shd w:val="clear" w:color="auto" w:fill="FFFFFF"/>
            <w:tcMar>
              <w:top w:w="0" w:type="dxa"/>
              <w:left w:w="67" w:type="dxa"/>
              <w:bottom w:w="0" w:type="dxa"/>
              <w:right w:w="67" w:type="dxa"/>
            </w:tcMar>
          </w:tcPr>
          <w:p w14:paraId="4940427F" w14:textId="77777777" w:rsidR="00E07CDE" w:rsidRPr="00CD4C4F" w:rsidRDefault="00E07CDE" w:rsidP="00CD4C4F">
            <w:pPr>
              <w:spacing w:before="67" w:after="67" w:line="240" w:lineRule="auto"/>
              <w:jc w:val="right"/>
              <w:rPr>
                <w:rFonts w:eastAsia="Times New Roman"/>
                <w:color w:val="000000"/>
                <w:sz w:val="20"/>
                <w:szCs w:val="20"/>
              </w:rPr>
            </w:pP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4143E50B"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5BDF7659"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hideMark/>
          </w:tcPr>
          <w:p w14:paraId="4E51E2EF"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1018" w:type="pct"/>
            <w:shd w:val="clear" w:color="auto" w:fill="FFFFFF"/>
            <w:tcMar>
              <w:top w:w="0" w:type="dxa"/>
              <w:left w:w="67" w:type="dxa"/>
              <w:bottom w:w="0" w:type="dxa"/>
              <w:right w:w="67" w:type="dxa"/>
            </w:tcMar>
          </w:tcPr>
          <w:p w14:paraId="367BC00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3.2 (2.12) 20</w:t>
            </w:r>
          </w:p>
        </w:tc>
        <w:tc>
          <w:tcPr>
            <w:tcW w:w="1018" w:type="pct"/>
            <w:shd w:val="clear" w:color="auto" w:fill="FFFFFF"/>
            <w:tcMar>
              <w:top w:w="0" w:type="dxa"/>
              <w:left w:w="67" w:type="dxa"/>
              <w:bottom w:w="0" w:type="dxa"/>
              <w:right w:w="67" w:type="dxa"/>
            </w:tcMar>
          </w:tcPr>
          <w:p w14:paraId="4482477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2.5 (0.93) 25</w:t>
            </w: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54FBD32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2.3 (0.96) 27</w:t>
            </w:r>
          </w:p>
        </w:tc>
      </w:tr>
      <w:tr w:rsidR="00E07CDE" w:rsidRPr="00CD4C4F" w14:paraId="2E6E1BBF"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hideMark/>
          </w:tcPr>
          <w:p w14:paraId="26CC1A9C" w14:textId="77777777" w:rsidR="00E07CDE" w:rsidRPr="00CD4C4F" w:rsidRDefault="00E07CDE" w:rsidP="00CD4C4F">
            <w:pPr>
              <w:keepNext/>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1018" w:type="pct"/>
            <w:shd w:val="clear" w:color="auto" w:fill="FFFFFF"/>
            <w:tcMar>
              <w:top w:w="0" w:type="dxa"/>
              <w:left w:w="67" w:type="dxa"/>
              <w:bottom w:w="0" w:type="dxa"/>
              <w:right w:w="67" w:type="dxa"/>
            </w:tcMar>
          </w:tcPr>
          <w:p w14:paraId="7F25AA2F"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2.8 (0.8, 7.8)</w:t>
            </w:r>
          </w:p>
        </w:tc>
        <w:tc>
          <w:tcPr>
            <w:tcW w:w="1018" w:type="pct"/>
            <w:shd w:val="clear" w:color="auto" w:fill="FFFFFF"/>
            <w:tcMar>
              <w:top w:w="0" w:type="dxa"/>
              <w:left w:w="67" w:type="dxa"/>
              <w:bottom w:w="0" w:type="dxa"/>
              <w:right w:w="67" w:type="dxa"/>
            </w:tcMar>
          </w:tcPr>
          <w:p w14:paraId="62FED345"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2.9 (1.0, 3.3)</w:t>
            </w: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64FBE431"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2.4 (1.3, 3.3)</w:t>
            </w:r>
          </w:p>
        </w:tc>
      </w:tr>
      <w:tr w:rsidR="00E07CDE" w:rsidRPr="00CD4C4F" w14:paraId="0CAAC2B3"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tcPr>
          <w:p w14:paraId="512B3019"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b/>
                <w:bCs/>
                <w:color w:val="000000"/>
                <w:sz w:val="20"/>
                <w:szCs w:val="20"/>
              </w:rPr>
              <w:t>% of achieved resident action plans set in previous cycle</w:t>
            </w:r>
          </w:p>
        </w:tc>
        <w:tc>
          <w:tcPr>
            <w:tcW w:w="1018" w:type="pct"/>
            <w:tcBorders>
              <w:top w:val="nil"/>
              <w:left w:val="nil"/>
              <w:bottom w:val="nil"/>
              <w:right w:val="nil"/>
            </w:tcBorders>
            <w:shd w:val="clear" w:color="auto" w:fill="FFFFFF"/>
            <w:tcMar>
              <w:top w:w="0" w:type="dxa"/>
              <w:left w:w="67" w:type="dxa"/>
              <w:bottom w:w="0" w:type="dxa"/>
              <w:right w:w="67" w:type="dxa"/>
            </w:tcMar>
          </w:tcPr>
          <w:p w14:paraId="00E11464"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nil"/>
            </w:tcBorders>
            <w:shd w:val="clear" w:color="auto" w:fill="FFFFFF"/>
            <w:tcMar>
              <w:top w:w="0" w:type="dxa"/>
              <w:left w:w="67" w:type="dxa"/>
              <w:bottom w:w="0" w:type="dxa"/>
              <w:right w:w="67" w:type="dxa"/>
            </w:tcMar>
          </w:tcPr>
          <w:p w14:paraId="55D7E39E" w14:textId="77777777" w:rsidR="00E07CDE" w:rsidRPr="00CD4C4F" w:rsidRDefault="00E07CDE" w:rsidP="00CD4C4F">
            <w:pPr>
              <w:spacing w:before="67" w:after="67" w:line="240" w:lineRule="auto"/>
              <w:jc w:val="right"/>
              <w:rPr>
                <w:rFonts w:eastAsia="Times New Roman"/>
                <w:b/>
                <w:color w:val="000000"/>
                <w:sz w:val="20"/>
                <w:szCs w:val="20"/>
              </w:rPr>
            </w:pPr>
            <w:r w:rsidRPr="00CD4C4F">
              <w:rPr>
                <w:rFonts w:eastAsia="Times New Roman"/>
                <w:b/>
                <w:color w:val="000000"/>
                <w:sz w:val="20"/>
                <w:szCs w:val="20"/>
              </w:rPr>
              <w:t>Cycle 1 to cycle 2</w:t>
            </w: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56441371" w14:textId="77777777" w:rsidR="00E07CDE" w:rsidRPr="00CD4C4F" w:rsidRDefault="00E07CDE" w:rsidP="00CD4C4F">
            <w:pPr>
              <w:spacing w:before="67" w:after="67" w:line="240" w:lineRule="auto"/>
              <w:jc w:val="right"/>
              <w:rPr>
                <w:rFonts w:eastAsia="Times New Roman"/>
                <w:b/>
                <w:color w:val="000000"/>
                <w:sz w:val="20"/>
                <w:szCs w:val="20"/>
              </w:rPr>
            </w:pPr>
            <w:r w:rsidRPr="00CD4C4F">
              <w:rPr>
                <w:rFonts w:eastAsia="Times New Roman"/>
                <w:b/>
                <w:color w:val="000000"/>
                <w:sz w:val="20"/>
                <w:szCs w:val="20"/>
              </w:rPr>
              <w:t>Cycle 2 to cycle 3</w:t>
            </w:r>
          </w:p>
        </w:tc>
      </w:tr>
      <w:tr w:rsidR="00E07CDE" w:rsidRPr="00CD4C4F" w14:paraId="5DC7D499"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tcPr>
          <w:p w14:paraId="0DFC0F0B"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1018" w:type="pct"/>
            <w:tcBorders>
              <w:top w:val="nil"/>
              <w:left w:val="nil"/>
              <w:bottom w:val="nil"/>
              <w:right w:val="nil"/>
            </w:tcBorders>
            <w:shd w:val="clear" w:color="auto" w:fill="FFFFFF"/>
            <w:tcMar>
              <w:top w:w="0" w:type="dxa"/>
              <w:left w:w="67" w:type="dxa"/>
              <w:bottom w:w="0" w:type="dxa"/>
              <w:right w:w="67" w:type="dxa"/>
            </w:tcMar>
          </w:tcPr>
          <w:p w14:paraId="19D9CD73"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nil"/>
            </w:tcBorders>
            <w:shd w:val="clear" w:color="auto" w:fill="FFFFFF"/>
            <w:tcMar>
              <w:top w:w="0" w:type="dxa"/>
              <w:left w:w="67" w:type="dxa"/>
              <w:bottom w:w="0" w:type="dxa"/>
              <w:right w:w="67" w:type="dxa"/>
            </w:tcMar>
          </w:tcPr>
          <w:p w14:paraId="53AB6DF2"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51.6 (41.75) 22</w:t>
            </w: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72A5CD74"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73.8 (43.38) 26</w:t>
            </w:r>
          </w:p>
        </w:tc>
      </w:tr>
      <w:tr w:rsidR="00E07CDE" w:rsidRPr="00CD4C4F" w14:paraId="74F3F769"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tcPr>
          <w:p w14:paraId="5633DC5B"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1018" w:type="pct"/>
            <w:tcBorders>
              <w:top w:val="nil"/>
              <w:left w:val="nil"/>
              <w:bottom w:val="nil"/>
              <w:right w:val="nil"/>
            </w:tcBorders>
            <w:shd w:val="clear" w:color="auto" w:fill="FFFFFF"/>
            <w:tcMar>
              <w:top w:w="0" w:type="dxa"/>
              <w:left w:w="67" w:type="dxa"/>
              <w:bottom w:w="0" w:type="dxa"/>
              <w:right w:w="67" w:type="dxa"/>
            </w:tcMar>
          </w:tcPr>
          <w:p w14:paraId="1E9962AE"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nil"/>
            </w:tcBorders>
            <w:shd w:val="clear" w:color="auto" w:fill="FFFFFF"/>
            <w:tcMar>
              <w:top w:w="0" w:type="dxa"/>
              <w:left w:w="67" w:type="dxa"/>
              <w:bottom w:w="0" w:type="dxa"/>
              <w:right w:w="67" w:type="dxa"/>
            </w:tcMar>
          </w:tcPr>
          <w:p w14:paraId="7D6B7BF5" w14:textId="3878C74B" w:rsidR="00E07CDE" w:rsidRPr="00CD4C4F" w:rsidRDefault="00CC0093"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64.7 (0, 100</w:t>
            </w:r>
            <w:r w:rsidR="00E07CDE" w:rsidRPr="00CD4C4F">
              <w:rPr>
                <w:rFonts w:eastAsia="Times New Roman"/>
                <w:color w:val="000000"/>
                <w:sz w:val="20"/>
                <w:szCs w:val="20"/>
              </w:rPr>
              <w:t>)</w:t>
            </w: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1F7F6289" w14:textId="20CF16D7" w:rsidR="00E07CDE" w:rsidRPr="00CD4C4F" w:rsidRDefault="00CC0093"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100.0 (0, 100</w:t>
            </w:r>
            <w:r w:rsidR="00E07CDE" w:rsidRPr="00CD4C4F">
              <w:rPr>
                <w:rFonts w:eastAsia="Times New Roman"/>
                <w:color w:val="000000"/>
                <w:sz w:val="20"/>
                <w:szCs w:val="20"/>
              </w:rPr>
              <w:t>)</w:t>
            </w:r>
          </w:p>
        </w:tc>
      </w:tr>
      <w:tr w:rsidR="00E07CDE" w:rsidRPr="00CD4C4F" w14:paraId="204A31D1"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tcPr>
          <w:p w14:paraId="4E676896"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b/>
                <w:bCs/>
                <w:color w:val="000000"/>
                <w:sz w:val="20"/>
                <w:szCs w:val="20"/>
              </w:rPr>
              <w:t>% of achieved CH action plans set in previous cycle</w:t>
            </w:r>
          </w:p>
        </w:tc>
        <w:tc>
          <w:tcPr>
            <w:tcW w:w="1018" w:type="pct"/>
            <w:tcBorders>
              <w:top w:val="nil"/>
              <w:left w:val="nil"/>
              <w:bottom w:val="nil"/>
              <w:right w:val="nil"/>
            </w:tcBorders>
            <w:shd w:val="clear" w:color="auto" w:fill="FFFFFF"/>
            <w:tcMar>
              <w:top w:w="0" w:type="dxa"/>
              <w:left w:w="67" w:type="dxa"/>
              <w:bottom w:w="0" w:type="dxa"/>
              <w:right w:w="67" w:type="dxa"/>
            </w:tcMar>
          </w:tcPr>
          <w:p w14:paraId="70241CA1"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nil"/>
            </w:tcBorders>
            <w:shd w:val="clear" w:color="auto" w:fill="FFFFFF"/>
            <w:tcMar>
              <w:top w:w="0" w:type="dxa"/>
              <w:left w:w="67" w:type="dxa"/>
              <w:bottom w:w="0" w:type="dxa"/>
              <w:right w:w="67" w:type="dxa"/>
            </w:tcMar>
          </w:tcPr>
          <w:p w14:paraId="346B3A09" w14:textId="77777777" w:rsidR="00E07CDE" w:rsidRPr="00CD4C4F" w:rsidRDefault="00E07CDE" w:rsidP="00CD4C4F">
            <w:pPr>
              <w:spacing w:before="67" w:after="67" w:line="240" w:lineRule="auto"/>
              <w:jc w:val="right"/>
              <w:rPr>
                <w:rFonts w:eastAsia="Times New Roman"/>
                <w:color w:val="000000"/>
                <w:sz w:val="20"/>
                <w:szCs w:val="20"/>
              </w:rPr>
            </w:pP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109E3454"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68D26561" w14:textId="77777777" w:rsidTr="00CD4C4F">
        <w:trPr>
          <w:cantSplit/>
          <w:jc w:val="center"/>
        </w:trPr>
        <w:tc>
          <w:tcPr>
            <w:tcW w:w="1944" w:type="pct"/>
            <w:tcBorders>
              <w:top w:val="nil"/>
              <w:left w:val="single" w:sz="4" w:space="0" w:color="auto"/>
              <w:bottom w:val="nil"/>
              <w:right w:val="nil"/>
            </w:tcBorders>
            <w:shd w:val="clear" w:color="auto" w:fill="FFFFFF"/>
            <w:tcMar>
              <w:top w:w="0" w:type="dxa"/>
              <w:left w:w="67" w:type="dxa"/>
              <w:bottom w:w="0" w:type="dxa"/>
              <w:right w:w="67" w:type="dxa"/>
            </w:tcMar>
          </w:tcPr>
          <w:p w14:paraId="5965D459"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 Missing</w:t>
            </w:r>
          </w:p>
        </w:tc>
        <w:tc>
          <w:tcPr>
            <w:tcW w:w="1018" w:type="pct"/>
            <w:tcBorders>
              <w:top w:val="nil"/>
              <w:left w:val="nil"/>
              <w:bottom w:val="nil"/>
              <w:right w:val="nil"/>
            </w:tcBorders>
            <w:shd w:val="clear" w:color="auto" w:fill="FFFFFF"/>
            <w:tcMar>
              <w:top w:w="0" w:type="dxa"/>
              <w:left w:w="67" w:type="dxa"/>
              <w:bottom w:w="0" w:type="dxa"/>
              <w:right w:w="67" w:type="dxa"/>
            </w:tcMar>
          </w:tcPr>
          <w:p w14:paraId="329047BA"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nil"/>
              <w:right w:val="nil"/>
            </w:tcBorders>
            <w:shd w:val="clear" w:color="auto" w:fill="FFFFFF"/>
            <w:tcMar>
              <w:top w:w="0" w:type="dxa"/>
              <w:left w:w="67" w:type="dxa"/>
              <w:bottom w:w="0" w:type="dxa"/>
              <w:right w:w="67" w:type="dxa"/>
            </w:tcMar>
          </w:tcPr>
          <w:p w14:paraId="641C8BE6"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54.8 (44.72) 22</w:t>
            </w:r>
          </w:p>
        </w:tc>
        <w:tc>
          <w:tcPr>
            <w:tcW w:w="1020" w:type="pct"/>
            <w:tcBorders>
              <w:top w:val="nil"/>
              <w:left w:val="nil"/>
              <w:bottom w:val="nil"/>
              <w:right w:val="single" w:sz="4" w:space="0" w:color="auto"/>
            </w:tcBorders>
            <w:shd w:val="clear" w:color="auto" w:fill="FFFFFF"/>
            <w:tcMar>
              <w:top w:w="0" w:type="dxa"/>
              <w:left w:w="67" w:type="dxa"/>
              <w:bottom w:w="0" w:type="dxa"/>
              <w:right w:w="67" w:type="dxa"/>
            </w:tcMar>
          </w:tcPr>
          <w:p w14:paraId="362FF4E2"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79.2 (25.00) 27</w:t>
            </w:r>
          </w:p>
        </w:tc>
      </w:tr>
      <w:tr w:rsidR="00E07CDE" w:rsidRPr="00CD4C4F" w14:paraId="34C2FD68" w14:textId="77777777" w:rsidTr="00CD4C4F">
        <w:trPr>
          <w:cantSplit/>
          <w:jc w:val="center"/>
        </w:trPr>
        <w:tc>
          <w:tcPr>
            <w:tcW w:w="1944" w:type="pct"/>
            <w:tcBorders>
              <w:top w:val="nil"/>
              <w:left w:val="single" w:sz="4" w:space="0" w:color="auto"/>
              <w:bottom w:val="single" w:sz="4" w:space="0" w:color="auto"/>
              <w:right w:val="nil"/>
            </w:tcBorders>
            <w:shd w:val="clear" w:color="auto" w:fill="FFFFFF"/>
            <w:tcMar>
              <w:top w:w="0" w:type="dxa"/>
              <w:left w:w="67" w:type="dxa"/>
              <w:bottom w:w="0" w:type="dxa"/>
              <w:right w:w="67" w:type="dxa"/>
            </w:tcMar>
          </w:tcPr>
          <w:p w14:paraId="6A882DED"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1018" w:type="pct"/>
            <w:tcBorders>
              <w:top w:val="nil"/>
              <w:left w:val="nil"/>
              <w:bottom w:val="single" w:sz="4" w:space="0" w:color="auto"/>
              <w:right w:val="nil"/>
            </w:tcBorders>
            <w:shd w:val="clear" w:color="auto" w:fill="FFFFFF"/>
            <w:tcMar>
              <w:top w:w="0" w:type="dxa"/>
              <w:left w:w="67" w:type="dxa"/>
              <w:bottom w:w="0" w:type="dxa"/>
              <w:right w:w="67" w:type="dxa"/>
            </w:tcMar>
          </w:tcPr>
          <w:p w14:paraId="0556C853" w14:textId="77777777" w:rsidR="00E07CDE" w:rsidRPr="00CD4C4F" w:rsidRDefault="00E07CDE" w:rsidP="00CD4C4F">
            <w:pPr>
              <w:spacing w:before="67" w:after="67" w:line="240" w:lineRule="auto"/>
              <w:jc w:val="right"/>
              <w:rPr>
                <w:rFonts w:eastAsia="Times New Roman"/>
                <w:color w:val="000000"/>
                <w:sz w:val="20"/>
                <w:szCs w:val="20"/>
              </w:rPr>
            </w:pPr>
          </w:p>
        </w:tc>
        <w:tc>
          <w:tcPr>
            <w:tcW w:w="1018" w:type="pct"/>
            <w:tcBorders>
              <w:top w:val="nil"/>
              <w:left w:val="nil"/>
              <w:bottom w:val="single" w:sz="4" w:space="0" w:color="auto"/>
              <w:right w:val="nil"/>
            </w:tcBorders>
            <w:shd w:val="clear" w:color="auto" w:fill="FFFFFF"/>
            <w:tcMar>
              <w:top w:w="0" w:type="dxa"/>
              <w:left w:w="67" w:type="dxa"/>
              <w:bottom w:w="0" w:type="dxa"/>
              <w:right w:w="67" w:type="dxa"/>
            </w:tcMar>
          </w:tcPr>
          <w:p w14:paraId="6D4FC8DA" w14:textId="68F79374" w:rsidR="00E07CDE" w:rsidRPr="00CD4C4F" w:rsidRDefault="00CC0093"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60.0 (0, 100</w:t>
            </w:r>
            <w:r w:rsidR="00E07CDE" w:rsidRPr="00CD4C4F">
              <w:rPr>
                <w:rFonts w:eastAsia="Times New Roman"/>
                <w:color w:val="000000"/>
                <w:sz w:val="20"/>
                <w:szCs w:val="20"/>
              </w:rPr>
              <w:t>)</w:t>
            </w:r>
          </w:p>
        </w:tc>
        <w:tc>
          <w:tcPr>
            <w:tcW w:w="1020" w:type="pct"/>
            <w:tcBorders>
              <w:top w:val="nil"/>
              <w:left w:val="nil"/>
              <w:bottom w:val="single" w:sz="4" w:space="0" w:color="auto"/>
              <w:right w:val="single" w:sz="4" w:space="0" w:color="auto"/>
            </w:tcBorders>
            <w:shd w:val="clear" w:color="auto" w:fill="FFFFFF"/>
            <w:tcMar>
              <w:top w:w="0" w:type="dxa"/>
              <w:left w:w="67" w:type="dxa"/>
              <w:bottom w:w="0" w:type="dxa"/>
              <w:right w:w="67" w:type="dxa"/>
            </w:tcMar>
          </w:tcPr>
          <w:p w14:paraId="28D955F2" w14:textId="5EAF7A55" w:rsidR="00E07CDE" w:rsidRPr="00CD4C4F" w:rsidRDefault="00CC0093"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83.3 (50, 100</w:t>
            </w:r>
            <w:r w:rsidR="00E07CDE" w:rsidRPr="00CD4C4F">
              <w:rPr>
                <w:rFonts w:eastAsia="Times New Roman"/>
                <w:color w:val="000000"/>
                <w:sz w:val="20"/>
                <w:szCs w:val="20"/>
              </w:rPr>
              <w:t>)</w:t>
            </w:r>
          </w:p>
        </w:tc>
      </w:tr>
    </w:tbl>
    <w:p w14:paraId="3780461D" w14:textId="77777777" w:rsidR="00E07CDE" w:rsidRPr="00563AD3" w:rsidRDefault="00E07CDE" w:rsidP="009B13F3">
      <w:pPr>
        <w:autoSpaceDE/>
        <w:autoSpaceDN/>
        <w:adjustRightInd/>
        <w:spacing w:before="120" w:after="0"/>
        <w:rPr>
          <w:rFonts w:eastAsia="Calibri"/>
          <w:sz w:val="24"/>
          <w:szCs w:val="24"/>
          <w:lang w:eastAsia="en-US"/>
        </w:rPr>
      </w:pPr>
    </w:p>
    <w:p w14:paraId="42A0D7B3" w14:textId="77777777" w:rsidR="00E07CDE" w:rsidRPr="00563AD3" w:rsidRDefault="00E07CDE" w:rsidP="009B13F3">
      <w:pPr>
        <w:autoSpaceDE/>
        <w:autoSpaceDN/>
        <w:adjustRightInd/>
        <w:rPr>
          <w:rFonts w:eastAsia="Times New Roman"/>
          <w:u w:val="single"/>
          <w:lang w:eastAsia="en-US"/>
        </w:rPr>
      </w:pPr>
      <w:bookmarkStart w:id="295" w:name="_Toc500934962"/>
      <w:r w:rsidRPr="00563AD3">
        <w:rPr>
          <w:rFonts w:eastAsia="Times New Roman"/>
          <w:lang w:eastAsia="en-US"/>
        </w:rPr>
        <w:br w:type="page"/>
      </w:r>
    </w:p>
    <w:p w14:paraId="4F0E9D60" w14:textId="1D5E3841" w:rsidR="00E07CDE" w:rsidRPr="00563AD3" w:rsidRDefault="00E07CDE" w:rsidP="009B13F3">
      <w:pPr>
        <w:pStyle w:val="Heading4"/>
        <w:rPr>
          <w:rFonts w:eastAsia="Times New Roman"/>
          <w:lang w:eastAsia="en-US"/>
        </w:rPr>
      </w:pPr>
      <w:r w:rsidRPr="00563AD3">
        <w:rPr>
          <w:rFonts w:eastAsia="Times New Roman"/>
          <w:lang w:eastAsia="en-US"/>
        </w:rPr>
        <w:t>Action planning</w:t>
      </w:r>
      <w:bookmarkEnd w:id="295"/>
    </w:p>
    <w:p w14:paraId="7EB859B7" w14:textId="00A297C0" w:rsidR="00E07CDE" w:rsidRPr="00563AD3" w:rsidRDefault="00E07CDE" w:rsidP="00CD4C4F">
      <w:pPr>
        <w:pStyle w:val="Tableheading"/>
        <w:rPr>
          <w:rFonts w:eastAsia="Calibri"/>
          <w:lang w:eastAsia="en-US"/>
        </w:rPr>
      </w:pPr>
      <w:bookmarkStart w:id="296" w:name="_Ref499134003"/>
      <w:bookmarkStart w:id="297" w:name="_Toc500935018"/>
      <w:bookmarkStart w:id="298" w:name="_Toc948236"/>
      <w:r w:rsidRPr="00563AD3">
        <w:rPr>
          <w:rFonts w:eastAsia="Calibri"/>
          <w:lang w:eastAsia="en-US"/>
        </w:rPr>
        <w:t xml:space="preserve">Table </w:t>
      </w:r>
      <w:bookmarkEnd w:id="296"/>
      <w:r w:rsidR="00B73A17">
        <w:rPr>
          <w:rFonts w:eastAsia="Calibri"/>
          <w:lang w:eastAsia="en-US"/>
        </w:rPr>
        <w:t>39</w:t>
      </w:r>
      <w:r w:rsidR="00B73A17" w:rsidRPr="00563AD3">
        <w:rPr>
          <w:rFonts w:eastAsia="Calibri"/>
          <w:noProof/>
          <w:lang w:eastAsia="en-US"/>
        </w:rPr>
        <w:t xml:space="preserve"> </w:t>
      </w:r>
      <w:r w:rsidRPr="00563AD3">
        <w:rPr>
          <w:rFonts w:eastAsia="Calibri"/>
          <w:noProof/>
          <w:lang w:eastAsia="en-US"/>
        </w:rPr>
        <w:t>Summary of action planning as documented</w:t>
      </w:r>
      <w:bookmarkEnd w:id="297"/>
      <w:bookmarkEnd w:id="298"/>
    </w:p>
    <w:tbl>
      <w:tblPr>
        <w:tblW w:w="5000" w:type="pct"/>
        <w:jc w:val="center"/>
        <w:tblCellMar>
          <w:left w:w="0" w:type="dxa"/>
          <w:right w:w="0" w:type="dxa"/>
        </w:tblCellMar>
        <w:tblLook w:val="04A0" w:firstRow="1" w:lastRow="0" w:firstColumn="1" w:lastColumn="0" w:noHBand="0" w:noVBand="1"/>
      </w:tblPr>
      <w:tblGrid>
        <w:gridCol w:w="4095"/>
        <w:gridCol w:w="1641"/>
        <w:gridCol w:w="1641"/>
        <w:gridCol w:w="1639"/>
      </w:tblGrid>
      <w:tr w:rsidR="00E07CDE" w:rsidRPr="00CD4C4F" w14:paraId="79F4D570" w14:textId="77777777" w:rsidTr="00CD4C4F">
        <w:trPr>
          <w:cantSplit/>
          <w:tblHeader/>
          <w:jc w:val="center"/>
        </w:trPr>
        <w:tc>
          <w:tcPr>
            <w:tcW w:w="5000" w:type="pct"/>
            <w:gridSpan w:val="4"/>
            <w:tcBorders>
              <w:top w:val="single" w:sz="4" w:space="0" w:color="auto"/>
              <w:left w:val="single" w:sz="4" w:space="0" w:color="auto"/>
              <w:bottom w:val="nil"/>
              <w:right w:val="single" w:sz="4" w:space="0" w:color="auto"/>
            </w:tcBorders>
            <w:shd w:val="clear" w:color="auto" w:fill="FFFFFF"/>
            <w:tcMar>
              <w:top w:w="0" w:type="dxa"/>
              <w:left w:w="67" w:type="dxa"/>
              <w:bottom w:w="0" w:type="dxa"/>
              <w:right w:w="67" w:type="dxa"/>
            </w:tcMar>
            <w:vAlign w:val="bottom"/>
            <w:hideMark/>
          </w:tcPr>
          <w:p w14:paraId="0156CCA0" w14:textId="77777777" w:rsidR="00E07CDE" w:rsidRPr="00CD4C4F" w:rsidRDefault="00E07CDE" w:rsidP="00CD4C4F">
            <w:pPr>
              <w:keepNext/>
              <w:spacing w:before="67" w:after="67" w:line="240" w:lineRule="auto"/>
              <w:jc w:val="center"/>
              <w:rPr>
                <w:rFonts w:eastAsia="Times New Roman"/>
                <w:b/>
                <w:bCs/>
                <w:color w:val="000000"/>
                <w:sz w:val="20"/>
                <w:szCs w:val="20"/>
              </w:rPr>
            </w:pPr>
            <w:r w:rsidRPr="00CD4C4F">
              <w:rPr>
                <w:rFonts w:eastAsia="Times New Roman"/>
                <w:b/>
                <w:bCs/>
                <w:color w:val="000000"/>
                <w:sz w:val="20"/>
                <w:szCs w:val="20"/>
              </w:rPr>
              <w:t>Action planning by cycle</w:t>
            </w:r>
          </w:p>
        </w:tc>
      </w:tr>
      <w:tr w:rsidR="00E07CDE" w:rsidRPr="00CD4C4F" w14:paraId="54B93B05" w14:textId="77777777" w:rsidTr="00CD4C4F">
        <w:trPr>
          <w:cantSplit/>
          <w:tblHeader/>
          <w:jc w:val="center"/>
        </w:trPr>
        <w:tc>
          <w:tcPr>
            <w:tcW w:w="2271" w:type="pct"/>
            <w:tcBorders>
              <w:top w:val="nil"/>
              <w:left w:val="single" w:sz="4" w:space="0" w:color="auto"/>
              <w:bottom w:val="single" w:sz="4" w:space="0" w:color="000000"/>
              <w:right w:val="nil"/>
            </w:tcBorders>
            <w:shd w:val="clear" w:color="auto" w:fill="FFFFFF"/>
            <w:tcMar>
              <w:top w:w="0" w:type="dxa"/>
              <w:left w:w="67" w:type="dxa"/>
              <w:bottom w:w="0" w:type="dxa"/>
              <w:right w:w="67" w:type="dxa"/>
            </w:tcMar>
            <w:vAlign w:val="bottom"/>
          </w:tcPr>
          <w:p w14:paraId="40AD162F" w14:textId="77777777" w:rsidR="00E07CDE" w:rsidRPr="00CD4C4F" w:rsidRDefault="00E07CDE" w:rsidP="00CD4C4F">
            <w:pPr>
              <w:keepNext/>
              <w:spacing w:before="67" w:after="67" w:line="240" w:lineRule="auto"/>
              <w:rPr>
                <w:rFonts w:eastAsia="Times New Roman"/>
                <w:b/>
                <w:bCs/>
                <w:color w:val="000000"/>
                <w:sz w:val="20"/>
                <w:szCs w:val="20"/>
              </w:rPr>
            </w:pPr>
          </w:p>
        </w:tc>
        <w:tc>
          <w:tcPr>
            <w:tcW w:w="910" w:type="pct"/>
            <w:tcBorders>
              <w:top w:val="nil"/>
              <w:left w:val="nil"/>
              <w:bottom w:val="single" w:sz="4" w:space="0" w:color="000000"/>
              <w:right w:val="nil"/>
            </w:tcBorders>
            <w:shd w:val="clear" w:color="auto" w:fill="FFFFFF"/>
            <w:tcMar>
              <w:top w:w="0" w:type="dxa"/>
              <w:left w:w="67" w:type="dxa"/>
              <w:bottom w:w="0" w:type="dxa"/>
              <w:right w:w="67" w:type="dxa"/>
            </w:tcMar>
            <w:vAlign w:val="bottom"/>
          </w:tcPr>
          <w:p w14:paraId="4B38EF0D"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1 (n=31)</w:t>
            </w:r>
          </w:p>
        </w:tc>
        <w:tc>
          <w:tcPr>
            <w:tcW w:w="910" w:type="pct"/>
            <w:tcBorders>
              <w:top w:val="nil"/>
              <w:left w:val="nil"/>
              <w:bottom w:val="single" w:sz="4" w:space="0" w:color="000000"/>
              <w:right w:val="nil"/>
            </w:tcBorders>
            <w:shd w:val="clear" w:color="auto" w:fill="FFFFFF"/>
            <w:tcMar>
              <w:top w:w="0" w:type="dxa"/>
              <w:left w:w="67" w:type="dxa"/>
              <w:bottom w:w="0" w:type="dxa"/>
              <w:right w:w="67" w:type="dxa"/>
            </w:tcMar>
            <w:vAlign w:val="bottom"/>
          </w:tcPr>
          <w:p w14:paraId="6237A7BA"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2 (n=31)</w:t>
            </w:r>
          </w:p>
        </w:tc>
        <w:tc>
          <w:tcPr>
            <w:tcW w:w="910" w:type="pct"/>
            <w:tcBorders>
              <w:top w:val="nil"/>
              <w:left w:val="nil"/>
              <w:bottom w:val="single" w:sz="4" w:space="0" w:color="000000"/>
              <w:right w:val="single" w:sz="4" w:space="0" w:color="auto"/>
            </w:tcBorders>
            <w:shd w:val="clear" w:color="auto" w:fill="FFFFFF"/>
            <w:tcMar>
              <w:top w:w="0" w:type="dxa"/>
              <w:left w:w="67" w:type="dxa"/>
              <w:bottom w:w="0" w:type="dxa"/>
              <w:right w:w="67" w:type="dxa"/>
            </w:tcMar>
            <w:vAlign w:val="bottom"/>
          </w:tcPr>
          <w:p w14:paraId="0C2A7AE4"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3 (n=31)</w:t>
            </w:r>
          </w:p>
        </w:tc>
      </w:tr>
      <w:tr w:rsidR="00E07CDE" w:rsidRPr="00CD4C4F" w14:paraId="606A54FC"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6119FF83"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 xml:space="preserve">Care home action plan received </w:t>
            </w:r>
            <w:r w:rsidRPr="00CD4C4F">
              <w:rPr>
                <w:rFonts w:eastAsia="Times New Roman"/>
                <w:bCs/>
                <w:color w:val="000000"/>
                <w:sz w:val="20"/>
                <w:szCs w:val="20"/>
              </w:rPr>
              <w:t>N (%) Missing</w:t>
            </w:r>
          </w:p>
        </w:tc>
        <w:tc>
          <w:tcPr>
            <w:tcW w:w="910" w:type="pct"/>
            <w:shd w:val="clear" w:color="auto" w:fill="FFFFFF"/>
            <w:tcMar>
              <w:top w:w="0" w:type="dxa"/>
              <w:left w:w="67" w:type="dxa"/>
              <w:bottom w:w="0" w:type="dxa"/>
              <w:right w:w="67" w:type="dxa"/>
            </w:tcMar>
          </w:tcPr>
          <w:p w14:paraId="3D6C367B" w14:textId="77777777" w:rsidR="00E07CDE" w:rsidRPr="00CD4C4F" w:rsidRDefault="00E07CDE" w:rsidP="00CD4C4F">
            <w:pPr>
              <w:spacing w:before="67" w:after="67" w:line="240" w:lineRule="auto"/>
              <w:jc w:val="right"/>
              <w:rPr>
                <w:rFonts w:eastAsia="Times New Roman"/>
                <w:color w:val="000000"/>
                <w:sz w:val="20"/>
                <w:szCs w:val="20"/>
              </w:rPr>
            </w:pPr>
          </w:p>
        </w:tc>
        <w:tc>
          <w:tcPr>
            <w:tcW w:w="910" w:type="pct"/>
            <w:shd w:val="clear" w:color="auto" w:fill="FFFFFF"/>
            <w:tcMar>
              <w:top w:w="0" w:type="dxa"/>
              <w:left w:w="67" w:type="dxa"/>
              <w:bottom w:w="0" w:type="dxa"/>
              <w:right w:w="67" w:type="dxa"/>
            </w:tcMar>
          </w:tcPr>
          <w:p w14:paraId="7B72EA1E" w14:textId="77777777" w:rsidR="00E07CDE" w:rsidRPr="00CD4C4F" w:rsidRDefault="00E07CDE" w:rsidP="00CD4C4F">
            <w:pPr>
              <w:spacing w:before="67" w:after="67" w:line="240" w:lineRule="auto"/>
              <w:jc w:val="right"/>
              <w:rPr>
                <w:rFonts w:eastAsia="Times New Roman"/>
                <w:color w:val="000000"/>
                <w:sz w:val="20"/>
                <w:szCs w:val="20"/>
              </w:rPr>
            </w:pPr>
          </w:p>
        </w:tc>
        <w:tc>
          <w:tcPr>
            <w:tcW w:w="910" w:type="pct"/>
            <w:tcBorders>
              <w:right w:val="single" w:sz="4" w:space="0" w:color="auto"/>
            </w:tcBorders>
            <w:shd w:val="clear" w:color="auto" w:fill="FFFFFF"/>
            <w:tcMar>
              <w:top w:w="0" w:type="dxa"/>
              <w:left w:w="67" w:type="dxa"/>
              <w:bottom w:w="0" w:type="dxa"/>
              <w:right w:w="67" w:type="dxa"/>
            </w:tcMar>
          </w:tcPr>
          <w:p w14:paraId="028C6E26"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40C190C5"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6A4B35B1"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Yes</w:t>
            </w:r>
          </w:p>
        </w:tc>
        <w:tc>
          <w:tcPr>
            <w:tcW w:w="910" w:type="pct"/>
            <w:shd w:val="clear" w:color="auto" w:fill="FFFFFF"/>
            <w:tcMar>
              <w:top w:w="0" w:type="dxa"/>
              <w:left w:w="67" w:type="dxa"/>
              <w:bottom w:w="0" w:type="dxa"/>
              <w:right w:w="67" w:type="dxa"/>
            </w:tcMar>
          </w:tcPr>
          <w:p w14:paraId="6257B89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13 (41.9%) 12</w:t>
            </w:r>
          </w:p>
        </w:tc>
        <w:tc>
          <w:tcPr>
            <w:tcW w:w="910" w:type="pct"/>
            <w:shd w:val="clear" w:color="auto" w:fill="FFFFFF"/>
            <w:tcMar>
              <w:top w:w="0" w:type="dxa"/>
              <w:left w:w="67" w:type="dxa"/>
              <w:bottom w:w="0" w:type="dxa"/>
              <w:right w:w="67" w:type="dxa"/>
            </w:tcMar>
          </w:tcPr>
          <w:p w14:paraId="5A516B4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 (19.4%) 20</w:t>
            </w:r>
          </w:p>
        </w:tc>
        <w:tc>
          <w:tcPr>
            <w:tcW w:w="910" w:type="pct"/>
            <w:tcBorders>
              <w:right w:val="single" w:sz="4" w:space="0" w:color="auto"/>
            </w:tcBorders>
            <w:shd w:val="clear" w:color="auto" w:fill="FFFFFF"/>
            <w:tcMar>
              <w:top w:w="0" w:type="dxa"/>
              <w:left w:w="67" w:type="dxa"/>
              <w:bottom w:w="0" w:type="dxa"/>
              <w:right w:w="67" w:type="dxa"/>
            </w:tcMar>
          </w:tcPr>
          <w:p w14:paraId="008D1DE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(12.9%) 26</w:t>
            </w:r>
          </w:p>
        </w:tc>
      </w:tr>
      <w:tr w:rsidR="00E07CDE" w:rsidRPr="00CD4C4F" w14:paraId="5AD541AE"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5CDBAB95"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No</w:t>
            </w:r>
          </w:p>
        </w:tc>
        <w:tc>
          <w:tcPr>
            <w:tcW w:w="910" w:type="pct"/>
            <w:shd w:val="clear" w:color="auto" w:fill="FFFFFF"/>
            <w:tcMar>
              <w:top w:w="0" w:type="dxa"/>
              <w:left w:w="67" w:type="dxa"/>
              <w:bottom w:w="0" w:type="dxa"/>
              <w:right w:w="67" w:type="dxa"/>
            </w:tcMar>
          </w:tcPr>
          <w:p w14:paraId="72526C8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 (19.4%)</w:t>
            </w:r>
          </w:p>
        </w:tc>
        <w:tc>
          <w:tcPr>
            <w:tcW w:w="910" w:type="pct"/>
            <w:shd w:val="clear" w:color="auto" w:fill="FFFFFF"/>
            <w:tcMar>
              <w:top w:w="0" w:type="dxa"/>
              <w:left w:w="67" w:type="dxa"/>
              <w:bottom w:w="0" w:type="dxa"/>
              <w:right w:w="67" w:type="dxa"/>
            </w:tcMar>
          </w:tcPr>
          <w:p w14:paraId="5F19C15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 (16.1%)</w:t>
            </w:r>
          </w:p>
        </w:tc>
        <w:tc>
          <w:tcPr>
            <w:tcW w:w="910" w:type="pct"/>
            <w:tcBorders>
              <w:right w:val="single" w:sz="4" w:space="0" w:color="auto"/>
            </w:tcBorders>
            <w:shd w:val="clear" w:color="auto" w:fill="FFFFFF"/>
            <w:tcMar>
              <w:top w:w="0" w:type="dxa"/>
              <w:left w:w="67" w:type="dxa"/>
              <w:bottom w:w="0" w:type="dxa"/>
              <w:right w:w="67" w:type="dxa"/>
            </w:tcMar>
          </w:tcPr>
          <w:p w14:paraId="7A1A37A2"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r>
      <w:tr w:rsidR="00E07CDE" w:rsidRPr="00CD4C4F" w14:paraId="2812D28F"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4245858E"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Number of care home action points</w:t>
            </w:r>
          </w:p>
        </w:tc>
        <w:tc>
          <w:tcPr>
            <w:tcW w:w="910" w:type="pct"/>
            <w:shd w:val="clear" w:color="auto" w:fill="FFFFFF"/>
            <w:tcMar>
              <w:top w:w="0" w:type="dxa"/>
              <w:left w:w="67" w:type="dxa"/>
              <w:bottom w:w="0" w:type="dxa"/>
              <w:right w:w="67" w:type="dxa"/>
            </w:tcMar>
          </w:tcPr>
          <w:p w14:paraId="00216E29" w14:textId="77777777" w:rsidR="00E07CDE" w:rsidRPr="00CD4C4F" w:rsidRDefault="00E07CDE" w:rsidP="00CD4C4F">
            <w:pPr>
              <w:spacing w:before="67" w:after="67" w:line="240" w:lineRule="auto"/>
              <w:jc w:val="right"/>
              <w:rPr>
                <w:rFonts w:eastAsia="Times New Roman"/>
                <w:color w:val="000000"/>
                <w:sz w:val="20"/>
                <w:szCs w:val="20"/>
              </w:rPr>
            </w:pPr>
          </w:p>
        </w:tc>
        <w:tc>
          <w:tcPr>
            <w:tcW w:w="910" w:type="pct"/>
            <w:shd w:val="clear" w:color="auto" w:fill="FFFFFF"/>
            <w:tcMar>
              <w:top w:w="0" w:type="dxa"/>
              <w:left w:w="67" w:type="dxa"/>
              <w:bottom w:w="0" w:type="dxa"/>
              <w:right w:w="67" w:type="dxa"/>
            </w:tcMar>
          </w:tcPr>
          <w:p w14:paraId="1D8BB8A5" w14:textId="77777777" w:rsidR="00E07CDE" w:rsidRPr="00CD4C4F" w:rsidRDefault="00E07CDE" w:rsidP="00CD4C4F">
            <w:pPr>
              <w:spacing w:before="67" w:after="67" w:line="240" w:lineRule="auto"/>
              <w:jc w:val="right"/>
              <w:rPr>
                <w:rFonts w:eastAsia="Times New Roman"/>
                <w:color w:val="000000"/>
                <w:sz w:val="20"/>
                <w:szCs w:val="20"/>
              </w:rPr>
            </w:pPr>
          </w:p>
        </w:tc>
        <w:tc>
          <w:tcPr>
            <w:tcW w:w="910" w:type="pct"/>
            <w:tcBorders>
              <w:right w:val="single" w:sz="4" w:space="0" w:color="auto"/>
            </w:tcBorders>
            <w:shd w:val="clear" w:color="auto" w:fill="FFFFFF"/>
            <w:tcMar>
              <w:top w:w="0" w:type="dxa"/>
              <w:left w:w="67" w:type="dxa"/>
              <w:bottom w:w="0" w:type="dxa"/>
              <w:right w:w="67" w:type="dxa"/>
            </w:tcMar>
          </w:tcPr>
          <w:p w14:paraId="143749B1"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04CE206E"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752487D2"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w:t>
            </w:r>
          </w:p>
        </w:tc>
        <w:tc>
          <w:tcPr>
            <w:tcW w:w="910" w:type="pct"/>
            <w:shd w:val="clear" w:color="auto" w:fill="FFFFFF"/>
            <w:tcMar>
              <w:top w:w="0" w:type="dxa"/>
              <w:left w:w="67" w:type="dxa"/>
              <w:bottom w:w="0" w:type="dxa"/>
              <w:right w:w="67" w:type="dxa"/>
            </w:tcMar>
          </w:tcPr>
          <w:p w14:paraId="157B7542"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4.9 (3.20) 18</w:t>
            </w:r>
          </w:p>
        </w:tc>
        <w:tc>
          <w:tcPr>
            <w:tcW w:w="910" w:type="pct"/>
            <w:shd w:val="clear" w:color="auto" w:fill="FFFFFF"/>
            <w:tcMar>
              <w:top w:w="0" w:type="dxa"/>
              <w:left w:w="67" w:type="dxa"/>
              <w:bottom w:w="0" w:type="dxa"/>
              <w:right w:w="67" w:type="dxa"/>
            </w:tcMar>
          </w:tcPr>
          <w:p w14:paraId="3C4E231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5.2 (4.83) 25</w:t>
            </w:r>
          </w:p>
        </w:tc>
        <w:tc>
          <w:tcPr>
            <w:tcW w:w="910" w:type="pct"/>
            <w:tcBorders>
              <w:right w:val="single" w:sz="4" w:space="0" w:color="auto"/>
            </w:tcBorders>
            <w:shd w:val="clear" w:color="auto" w:fill="FFFFFF"/>
            <w:tcMar>
              <w:top w:w="0" w:type="dxa"/>
              <w:left w:w="67" w:type="dxa"/>
              <w:bottom w:w="0" w:type="dxa"/>
              <w:right w:w="67" w:type="dxa"/>
            </w:tcMar>
          </w:tcPr>
          <w:p w14:paraId="1CA51973"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5.0 (2.16) 27</w:t>
            </w:r>
          </w:p>
        </w:tc>
      </w:tr>
      <w:tr w:rsidR="00E07CDE" w:rsidRPr="00CD4C4F" w14:paraId="44DC4FE5"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72BED2A8"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10" w:type="pct"/>
            <w:shd w:val="clear" w:color="auto" w:fill="FFFFFF"/>
            <w:tcMar>
              <w:top w:w="0" w:type="dxa"/>
              <w:left w:w="67" w:type="dxa"/>
              <w:bottom w:w="0" w:type="dxa"/>
              <w:right w:w="67" w:type="dxa"/>
            </w:tcMar>
          </w:tcPr>
          <w:p w14:paraId="1DA467CD"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(2, 14)</w:t>
            </w:r>
          </w:p>
        </w:tc>
        <w:tc>
          <w:tcPr>
            <w:tcW w:w="910" w:type="pct"/>
            <w:shd w:val="clear" w:color="auto" w:fill="FFFFFF"/>
            <w:tcMar>
              <w:top w:w="0" w:type="dxa"/>
              <w:left w:w="67" w:type="dxa"/>
              <w:bottom w:w="0" w:type="dxa"/>
              <w:right w:w="67" w:type="dxa"/>
            </w:tcMar>
          </w:tcPr>
          <w:p w14:paraId="472EE52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 (3, 15)</w:t>
            </w:r>
          </w:p>
        </w:tc>
        <w:tc>
          <w:tcPr>
            <w:tcW w:w="910" w:type="pct"/>
            <w:tcBorders>
              <w:right w:val="single" w:sz="4" w:space="0" w:color="auto"/>
            </w:tcBorders>
            <w:shd w:val="clear" w:color="auto" w:fill="FFFFFF"/>
            <w:tcMar>
              <w:top w:w="0" w:type="dxa"/>
              <w:left w:w="67" w:type="dxa"/>
              <w:bottom w:w="0" w:type="dxa"/>
              <w:right w:w="67" w:type="dxa"/>
            </w:tcMar>
          </w:tcPr>
          <w:p w14:paraId="6D1B2160"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4.5 (3, 8)</w:t>
            </w:r>
          </w:p>
        </w:tc>
      </w:tr>
      <w:tr w:rsidR="00E07CDE" w:rsidRPr="00CD4C4F" w14:paraId="45DFFB19"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52F1CCF2"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 xml:space="preserve">Resident action plans received </w:t>
            </w:r>
            <w:r w:rsidRPr="00CD4C4F">
              <w:rPr>
                <w:rFonts w:eastAsia="Times New Roman"/>
                <w:bCs/>
                <w:color w:val="000000"/>
                <w:sz w:val="20"/>
                <w:szCs w:val="20"/>
              </w:rPr>
              <w:t>N (%) Missing</w:t>
            </w:r>
          </w:p>
        </w:tc>
        <w:tc>
          <w:tcPr>
            <w:tcW w:w="910" w:type="pct"/>
            <w:shd w:val="clear" w:color="auto" w:fill="FFFFFF"/>
            <w:tcMar>
              <w:top w:w="0" w:type="dxa"/>
              <w:left w:w="67" w:type="dxa"/>
              <w:bottom w:w="0" w:type="dxa"/>
              <w:right w:w="67" w:type="dxa"/>
            </w:tcMar>
          </w:tcPr>
          <w:p w14:paraId="21504811" w14:textId="77777777" w:rsidR="00E07CDE" w:rsidRPr="00CD4C4F" w:rsidRDefault="00E07CDE" w:rsidP="00CD4C4F">
            <w:pPr>
              <w:spacing w:before="67" w:after="67" w:line="240" w:lineRule="auto"/>
              <w:jc w:val="right"/>
              <w:rPr>
                <w:rFonts w:eastAsia="Times New Roman"/>
                <w:color w:val="000000"/>
                <w:sz w:val="20"/>
                <w:szCs w:val="20"/>
              </w:rPr>
            </w:pPr>
          </w:p>
        </w:tc>
        <w:tc>
          <w:tcPr>
            <w:tcW w:w="910" w:type="pct"/>
            <w:shd w:val="clear" w:color="auto" w:fill="FFFFFF"/>
            <w:tcMar>
              <w:top w:w="0" w:type="dxa"/>
              <w:left w:w="67" w:type="dxa"/>
              <w:bottom w:w="0" w:type="dxa"/>
              <w:right w:w="67" w:type="dxa"/>
            </w:tcMar>
          </w:tcPr>
          <w:p w14:paraId="1FE97A16" w14:textId="77777777" w:rsidR="00E07CDE" w:rsidRPr="00CD4C4F" w:rsidRDefault="00E07CDE" w:rsidP="00CD4C4F">
            <w:pPr>
              <w:spacing w:before="67" w:after="67" w:line="240" w:lineRule="auto"/>
              <w:jc w:val="right"/>
              <w:rPr>
                <w:rFonts w:eastAsia="Times New Roman"/>
                <w:color w:val="000000"/>
                <w:sz w:val="20"/>
                <w:szCs w:val="20"/>
              </w:rPr>
            </w:pPr>
          </w:p>
        </w:tc>
        <w:tc>
          <w:tcPr>
            <w:tcW w:w="910" w:type="pct"/>
            <w:tcBorders>
              <w:right w:val="single" w:sz="4" w:space="0" w:color="auto"/>
            </w:tcBorders>
            <w:shd w:val="clear" w:color="auto" w:fill="FFFFFF"/>
            <w:tcMar>
              <w:top w:w="0" w:type="dxa"/>
              <w:left w:w="67" w:type="dxa"/>
              <w:bottom w:w="0" w:type="dxa"/>
              <w:right w:w="67" w:type="dxa"/>
            </w:tcMar>
          </w:tcPr>
          <w:p w14:paraId="5AFD6386"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32A26231"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3CB0CBBE"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Yes</w:t>
            </w:r>
          </w:p>
        </w:tc>
        <w:tc>
          <w:tcPr>
            <w:tcW w:w="910" w:type="pct"/>
            <w:shd w:val="clear" w:color="auto" w:fill="FFFFFF"/>
            <w:tcMar>
              <w:top w:w="0" w:type="dxa"/>
              <w:left w:w="67" w:type="dxa"/>
              <w:bottom w:w="0" w:type="dxa"/>
              <w:right w:w="67" w:type="dxa"/>
            </w:tcMar>
          </w:tcPr>
          <w:p w14:paraId="658513C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13 (41.9%) 12</w:t>
            </w:r>
          </w:p>
        </w:tc>
        <w:tc>
          <w:tcPr>
            <w:tcW w:w="910" w:type="pct"/>
            <w:shd w:val="clear" w:color="auto" w:fill="FFFFFF"/>
            <w:tcMar>
              <w:top w:w="0" w:type="dxa"/>
              <w:left w:w="67" w:type="dxa"/>
              <w:bottom w:w="0" w:type="dxa"/>
              <w:right w:w="67" w:type="dxa"/>
            </w:tcMar>
          </w:tcPr>
          <w:p w14:paraId="3D55D99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 (19.4%) 20</w:t>
            </w:r>
          </w:p>
        </w:tc>
        <w:tc>
          <w:tcPr>
            <w:tcW w:w="910" w:type="pct"/>
            <w:tcBorders>
              <w:right w:val="single" w:sz="4" w:space="0" w:color="auto"/>
            </w:tcBorders>
            <w:shd w:val="clear" w:color="auto" w:fill="FFFFFF"/>
            <w:tcMar>
              <w:top w:w="0" w:type="dxa"/>
              <w:left w:w="67" w:type="dxa"/>
              <w:bottom w:w="0" w:type="dxa"/>
              <w:right w:w="67" w:type="dxa"/>
            </w:tcMar>
          </w:tcPr>
          <w:p w14:paraId="21897D8E"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3 (9.7%) 26</w:t>
            </w:r>
          </w:p>
        </w:tc>
      </w:tr>
      <w:tr w:rsidR="00E07CDE" w:rsidRPr="00CD4C4F" w14:paraId="0011CF29"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1A9DAEB8"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No</w:t>
            </w:r>
          </w:p>
        </w:tc>
        <w:tc>
          <w:tcPr>
            <w:tcW w:w="910" w:type="pct"/>
            <w:shd w:val="clear" w:color="auto" w:fill="FFFFFF"/>
            <w:tcMar>
              <w:top w:w="0" w:type="dxa"/>
              <w:left w:w="67" w:type="dxa"/>
              <w:bottom w:w="0" w:type="dxa"/>
              <w:right w:w="67" w:type="dxa"/>
            </w:tcMar>
          </w:tcPr>
          <w:p w14:paraId="2E44962C"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 (19.4%)</w:t>
            </w:r>
          </w:p>
        </w:tc>
        <w:tc>
          <w:tcPr>
            <w:tcW w:w="910" w:type="pct"/>
            <w:shd w:val="clear" w:color="auto" w:fill="FFFFFF"/>
            <w:tcMar>
              <w:top w:w="0" w:type="dxa"/>
              <w:left w:w="67" w:type="dxa"/>
              <w:bottom w:w="0" w:type="dxa"/>
              <w:right w:w="67" w:type="dxa"/>
            </w:tcMar>
          </w:tcPr>
          <w:p w14:paraId="1841DAD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 (16.1%)</w:t>
            </w:r>
          </w:p>
        </w:tc>
        <w:tc>
          <w:tcPr>
            <w:tcW w:w="910" w:type="pct"/>
            <w:tcBorders>
              <w:right w:val="single" w:sz="4" w:space="0" w:color="auto"/>
            </w:tcBorders>
            <w:shd w:val="clear" w:color="auto" w:fill="FFFFFF"/>
            <w:tcMar>
              <w:top w:w="0" w:type="dxa"/>
              <w:left w:w="67" w:type="dxa"/>
              <w:bottom w:w="0" w:type="dxa"/>
              <w:right w:w="67" w:type="dxa"/>
            </w:tcMar>
          </w:tcPr>
          <w:p w14:paraId="3175678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 (6.5%)</w:t>
            </w:r>
          </w:p>
        </w:tc>
      </w:tr>
      <w:tr w:rsidR="00E07CDE" w:rsidRPr="00CD4C4F" w14:paraId="31C51C59"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464509F2"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Total number of residents with action points</w:t>
            </w:r>
          </w:p>
        </w:tc>
        <w:tc>
          <w:tcPr>
            <w:tcW w:w="910" w:type="pct"/>
            <w:shd w:val="clear" w:color="auto" w:fill="FFFFFF"/>
            <w:tcMar>
              <w:top w:w="0" w:type="dxa"/>
              <w:left w:w="67" w:type="dxa"/>
              <w:bottom w:w="0" w:type="dxa"/>
              <w:right w:w="67" w:type="dxa"/>
            </w:tcMar>
          </w:tcPr>
          <w:p w14:paraId="619B6FA4" w14:textId="77777777" w:rsidR="00E07CDE" w:rsidRPr="00CD4C4F" w:rsidRDefault="00E07CDE" w:rsidP="00CD4C4F">
            <w:pPr>
              <w:spacing w:before="67" w:after="67" w:line="240" w:lineRule="auto"/>
              <w:jc w:val="right"/>
              <w:rPr>
                <w:rFonts w:eastAsia="Times New Roman"/>
                <w:color w:val="000000"/>
                <w:sz w:val="20"/>
                <w:szCs w:val="20"/>
              </w:rPr>
            </w:pPr>
          </w:p>
        </w:tc>
        <w:tc>
          <w:tcPr>
            <w:tcW w:w="910" w:type="pct"/>
            <w:shd w:val="clear" w:color="auto" w:fill="FFFFFF"/>
            <w:tcMar>
              <w:top w:w="0" w:type="dxa"/>
              <w:left w:w="67" w:type="dxa"/>
              <w:bottom w:w="0" w:type="dxa"/>
              <w:right w:w="67" w:type="dxa"/>
            </w:tcMar>
          </w:tcPr>
          <w:p w14:paraId="2316CF2E" w14:textId="77777777" w:rsidR="00E07CDE" w:rsidRPr="00CD4C4F" w:rsidRDefault="00E07CDE" w:rsidP="00CD4C4F">
            <w:pPr>
              <w:spacing w:before="67" w:after="67" w:line="240" w:lineRule="auto"/>
              <w:jc w:val="right"/>
              <w:rPr>
                <w:rFonts w:eastAsia="Times New Roman"/>
                <w:color w:val="000000"/>
                <w:sz w:val="20"/>
                <w:szCs w:val="20"/>
              </w:rPr>
            </w:pPr>
          </w:p>
        </w:tc>
        <w:tc>
          <w:tcPr>
            <w:tcW w:w="910" w:type="pct"/>
            <w:tcBorders>
              <w:right w:val="single" w:sz="4" w:space="0" w:color="auto"/>
            </w:tcBorders>
            <w:shd w:val="clear" w:color="auto" w:fill="FFFFFF"/>
            <w:tcMar>
              <w:top w:w="0" w:type="dxa"/>
              <w:left w:w="67" w:type="dxa"/>
              <w:bottom w:w="0" w:type="dxa"/>
              <w:right w:w="67" w:type="dxa"/>
            </w:tcMar>
          </w:tcPr>
          <w:p w14:paraId="3D16E111"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5BBF0D08"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71DD4DA2"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w:t>
            </w:r>
          </w:p>
        </w:tc>
        <w:tc>
          <w:tcPr>
            <w:tcW w:w="910" w:type="pct"/>
            <w:shd w:val="clear" w:color="auto" w:fill="FFFFFF"/>
            <w:tcMar>
              <w:top w:w="0" w:type="dxa"/>
              <w:left w:w="67" w:type="dxa"/>
              <w:bottom w:w="0" w:type="dxa"/>
              <w:right w:w="67" w:type="dxa"/>
            </w:tcMar>
          </w:tcPr>
          <w:p w14:paraId="51F82EB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5.5 (1.85) 18</w:t>
            </w:r>
          </w:p>
        </w:tc>
        <w:tc>
          <w:tcPr>
            <w:tcW w:w="910" w:type="pct"/>
            <w:shd w:val="clear" w:color="auto" w:fill="FFFFFF"/>
            <w:tcMar>
              <w:top w:w="0" w:type="dxa"/>
              <w:left w:w="67" w:type="dxa"/>
              <w:bottom w:w="0" w:type="dxa"/>
              <w:right w:w="67" w:type="dxa"/>
            </w:tcMar>
          </w:tcPr>
          <w:p w14:paraId="392628A2"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5.8 (2.86) 25</w:t>
            </w:r>
          </w:p>
        </w:tc>
        <w:tc>
          <w:tcPr>
            <w:tcW w:w="910" w:type="pct"/>
            <w:tcBorders>
              <w:right w:val="single" w:sz="4" w:space="0" w:color="auto"/>
            </w:tcBorders>
            <w:shd w:val="clear" w:color="auto" w:fill="FFFFFF"/>
            <w:tcMar>
              <w:top w:w="0" w:type="dxa"/>
              <w:left w:w="67" w:type="dxa"/>
              <w:bottom w:w="0" w:type="dxa"/>
              <w:right w:w="67" w:type="dxa"/>
            </w:tcMar>
          </w:tcPr>
          <w:p w14:paraId="07F1A120"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4.7 (1.15)</w:t>
            </w:r>
          </w:p>
        </w:tc>
      </w:tr>
      <w:tr w:rsidR="00E07CDE" w:rsidRPr="00CD4C4F" w14:paraId="6C4181EE"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4B63E5E4"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10" w:type="pct"/>
            <w:shd w:val="clear" w:color="auto" w:fill="FFFFFF"/>
            <w:tcMar>
              <w:top w:w="0" w:type="dxa"/>
              <w:left w:w="67" w:type="dxa"/>
              <w:bottom w:w="0" w:type="dxa"/>
              <w:right w:w="67" w:type="dxa"/>
            </w:tcMar>
          </w:tcPr>
          <w:p w14:paraId="52772A94"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 (3, 8)</w:t>
            </w:r>
          </w:p>
        </w:tc>
        <w:tc>
          <w:tcPr>
            <w:tcW w:w="910" w:type="pct"/>
            <w:shd w:val="clear" w:color="auto" w:fill="FFFFFF"/>
            <w:tcMar>
              <w:top w:w="0" w:type="dxa"/>
              <w:left w:w="67" w:type="dxa"/>
              <w:bottom w:w="0" w:type="dxa"/>
              <w:right w:w="67" w:type="dxa"/>
            </w:tcMar>
          </w:tcPr>
          <w:p w14:paraId="40A945EF"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5.5 (2, 10)</w:t>
            </w:r>
          </w:p>
        </w:tc>
        <w:tc>
          <w:tcPr>
            <w:tcW w:w="910" w:type="pct"/>
            <w:tcBorders>
              <w:right w:val="single" w:sz="4" w:space="0" w:color="auto"/>
            </w:tcBorders>
            <w:shd w:val="clear" w:color="auto" w:fill="FFFFFF"/>
            <w:tcMar>
              <w:top w:w="0" w:type="dxa"/>
              <w:left w:w="67" w:type="dxa"/>
              <w:bottom w:w="0" w:type="dxa"/>
              <w:right w:w="67" w:type="dxa"/>
            </w:tcMar>
          </w:tcPr>
          <w:p w14:paraId="38ECB75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(4, 6)</w:t>
            </w:r>
          </w:p>
        </w:tc>
      </w:tr>
      <w:tr w:rsidR="00E07CDE" w:rsidRPr="00CD4C4F" w14:paraId="2B564318"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282269B2"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Mean number of resident action points</w:t>
            </w:r>
          </w:p>
        </w:tc>
        <w:tc>
          <w:tcPr>
            <w:tcW w:w="910" w:type="pct"/>
            <w:shd w:val="clear" w:color="auto" w:fill="FFFFFF"/>
            <w:tcMar>
              <w:top w:w="0" w:type="dxa"/>
              <w:left w:w="67" w:type="dxa"/>
              <w:bottom w:w="0" w:type="dxa"/>
              <w:right w:w="67" w:type="dxa"/>
            </w:tcMar>
          </w:tcPr>
          <w:p w14:paraId="4B3D8A3C" w14:textId="77777777" w:rsidR="00E07CDE" w:rsidRPr="00CD4C4F" w:rsidRDefault="00E07CDE" w:rsidP="00CD4C4F">
            <w:pPr>
              <w:spacing w:before="67" w:after="67" w:line="240" w:lineRule="auto"/>
              <w:jc w:val="right"/>
              <w:rPr>
                <w:rFonts w:eastAsia="Times New Roman"/>
                <w:color w:val="000000"/>
                <w:sz w:val="20"/>
                <w:szCs w:val="20"/>
              </w:rPr>
            </w:pPr>
          </w:p>
        </w:tc>
        <w:tc>
          <w:tcPr>
            <w:tcW w:w="910" w:type="pct"/>
            <w:shd w:val="clear" w:color="auto" w:fill="FFFFFF"/>
            <w:tcMar>
              <w:top w:w="0" w:type="dxa"/>
              <w:left w:w="67" w:type="dxa"/>
              <w:bottom w:w="0" w:type="dxa"/>
              <w:right w:w="67" w:type="dxa"/>
            </w:tcMar>
          </w:tcPr>
          <w:p w14:paraId="12ECFEF5" w14:textId="77777777" w:rsidR="00E07CDE" w:rsidRPr="00CD4C4F" w:rsidRDefault="00E07CDE" w:rsidP="00CD4C4F">
            <w:pPr>
              <w:spacing w:before="67" w:after="67" w:line="240" w:lineRule="auto"/>
              <w:jc w:val="right"/>
              <w:rPr>
                <w:rFonts w:eastAsia="Times New Roman"/>
                <w:color w:val="000000"/>
                <w:sz w:val="20"/>
                <w:szCs w:val="20"/>
              </w:rPr>
            </w:pPr>
          </w:p>
        </w:tc>
        <w:tc>
          <w:tcPr>
            <w:tcW w:w="910" w:type="pct"/>
            <w:tcBorders>
              <w:right w:val="single" w:sz="4" w:space="0" w:color="auto"/>
            </w:tcBorders>
            <w:shd w:val="clear" w:color="auto" w:fill="FFFFFF"/>
            <w:tcMar>
              <w:top w:w="0" w:type="dxa"/>
              <w:left w:w="67" w:type="dxa"/>
              <w:bottom w:w="0" w:type="dxa"/>
              <w:right w:w="67" w:type="dxa"/>
            </w:tcMar>
          </w:tcPr>
          <w:p w14:paraId="28FDCAB5"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4642EA51" w14:textId="77777777" w:rsidTr="00CD4C4F">
        <w:trPr>
          <w:cantSplit/>
          <w:jc w:val="center"/>
        </w:trPr>
        <w:tc>
          <w:tcPr>
            <w:tcW w:w="2271" w:type="pct"/>
            <w:tcBorders>
              <w:top w:val="nil"/>
              <w:left w:val="single" w:sz="4" w:space="0" w:color="auto"/>
              <w:bottom w:val="nil"/>
              <w:right w:val="nil"/>
            </w:tcBorders>
            <w:shd w:val="clear" w:color="auto" w:fill="FFFFFF"/>
            <w:tcMar>
              <w:top w:w="0" w:type="dxa"/>
              <w:left w:w="67" w:type="dxa"/>
              <w:bottom w:w="0" w:type="dxa"/>
              <w:right w:w="67" w:type="dxa"/>
            </w:tcMar>
            <w:hideMark/>
          </w:tcPr>
          <w:p w14:paraId="2758B22F"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Mean (SD)</w:t>
            </w:r>
          </w:p>
        </w:tc>
        <w:tc>
          <w:tcPr>
            <w:tcW w:w="910" w:type="pct"/>
            <w:shd w:val="clear" w:color="auto" w:fill="FFFFFF"/>
            <w:tcMar>
              <w:top w:w="0" w:type="dxa"/>
              <w:left w:w="67" w:type="dxa"/>
              <w:bottom w:w="0" w:type="dxa"/>
              <w:right w:w="67" w:type="dxa"/>
            </w:tcMar>
          </w:tcPr>
          <w:p w14:paraId="10B86CF9"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2.0 (1.95) 18</w:t>
            </w:r>
          </w:p>
        </w:tc>
        <w:tc>
          <w:tcPr>
            <w:tcW w:w="910" w:type="pct"/>
            <w:shd w:val="clear" w:color="auto" w:fill="FFFFFF"/>
            <w:tcMar>
              <w:top w:w="0" w:type="dxa"/>
              <w:left w:w="67" w:type="dxa"/>
              <w:bottom w:w="0" w:type="dxa"/>
              <w:right w:w="67" w:type="dxa"/>
            </w:tcMar>
          </w:tcPr>
          <w:p w14:paraId="0E39534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2.0 (1.24) 25</w:t>
            </w:r>
          </w:p>
        </w:tc>
        <w:tc>
          <w:tcPr>
            <w:tcW w:w="910" w:type="pct"/>
            <w:tcBorders>
              <w:right w:val="single" w:sz="4" w:space="0" w:color="auto"/>
            </w:tcBorders>
            <w:shd w:val="clear" w:color="auto" w:fill="FFFFFF"/>
            <w:tcMar>
              <w:top w:w="0" w:type="dxa"/>
              <w:left w:w="67" w:type="dxa"/>
              <w:bottom w:w="0" w:type="dxa"/>
              <w:right w:w="67" w:type="dxa"/>
            </w:tcMar>
          </w:tcPr>
          <w:p w14:paraId="483C242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1.8 (1.77) 28</w:t>
            </w:r>
          </w:p>
        </w:tc>
      </w:tr>
      <w:tr w:rsidR="00E07CDE" w:rsidRPr="00CD4C4F" w14:paraId="13A9732D" w14:textId="77777777" w:rsidTr="00CD4C4F">
        <w:trPr>
          <w:cantSplit/>
          <w:jc w:val="center"/>
        </w:trPr>
        <w:tc>
          <w:tcPr>
            <w:tcW w:w="2271" w:type="pct"/>
            <w:tcBorders>
              <w:top w:val="nil"/>
              <w:left w:val="single" w:sz="4" w:space="0" w:color="auto"/>
              <w:bottom w:val="single" w:sz="4" w:space="0" w:color="auto"/>
              <w:right w:val="nil"/>
            </w:tcBorders>
            <w:shd w:val="clear" w:color="auto" w:fill="FFFFFF"/>
            <w:tcMar>
              <w:top w:w="0" w:type="dxa"/>
              <w:left w:w="67" w:type="dxa"/>
              <w:bottom w:w="0" w:type="dxa"/>
              <w:right w:w="67" w:type="dxa"/>
            </w:tcMar>
            <w:hideMark/>
          </w:tcPr>
          <w:p w14:paraId="10240796" w14:textId="77777777" w:rsidR="00E07CDE" w:rsidRPr="00CD4C4F" w:rsidRDefault="00E07CDE" w:rsidP="00CD4C4F">
            <w:pPr>
              <w:keepNext/>
              <w:spacing w:before="67" w:after="67" w:line="240" w:lineRule="auto"/>
              <w:rPr>
                <w:rFonts w:eastAsia="Times New Roman"/>
                <w:color w:val="000000"/>
                <w:sz w:val="20"/>
                <w:szCs w:val="20"/>
              </w:rPr>
            </w:pPr>
            <w:r w:rsidRPr="00CD4C4F">
              <w:rPr>
                <w:rFonts w:eastAsia="Times New Roman"/>
                <w:color w:val="000000"/>
                <w:sz w:val="20"/>
                <w:szCs w:val="20"/>
              </w:rPr>
              <w:t>Median (Range)</w:t>
            </w:r>
          </w:p>
        </w:tc>
        <w:tc>
          <w:tcPr>
            <w:tcW w:w="910" w:type="pct"/>
            <w:tcBorders>
              <w:bottom w:val="single" w:sz="4" w:space="0" w:color="auto"/>
            </w:tcBorders>
            <w:shd w:val="clear" w:color="auto" w:fill="FFFFFF"/>
            <w:tcMar>
              <w:top w:w="0" w:type="dxa"/>
              <w:left w:w="67" w:type="dxa"/>
              <w:bottom w:w="0" w:type="dxa"/>
              <w:right w:w="67" w:type="dxa"/>
            </w:tcMar>
          </w:tcPr>
          <w:p w14:paraId="5143B705"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1.6 (0.1, 7.8)</w:t>
            </w:r>
          </w:p>
        </w:tc>
        <w:tc>
          <w:tcPr>
            <w:tcW w:w="910" w:type="pct"/>
            <w:tcBorders>
              <w:bottom w:val="single" w:sz="4" w:space="0" w:color="auto"/>
            </w:tcBorders>
            <w:shd w:val="clear" w:color="auto" w:fill="FFFFFF"/>
            <w:tcMar>
              <w:top w:w="0" w:type="dxa"/>
              <w:left w:w="67" w:type="dxa"/>
              <w:bottom w:w="0" w:type="dxa"/>
              <w:right w:w="67" w:type="dxa"/>
            </w:tcMar>
          </w:tcPr>
          <w:p w14:paraId="2DD11721"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2.2 (0.1, 3.3)</w:t>
            </w:r>
          </w:p>
        </w:tc>
        <w:tc>
          <w:tcPr>
            <w:tcW w:w="910" w:type="pct"/>
            <w:tcBorders>
              <w:bottom w:val="single" w:sz="4" w:space="0" w:color="auto"/>
              <w:right w:val="single" w:sz="4" w:space="0" w:color="auto"/>
            </w:tcBorders>
            <w:shd w:val="clear" w:color="auto" w:fill="FFFFFF"/>
            <w:tcMar>
              <w:top w:w="0" w:type="dxa"/>
              <w:left w:w="67" w:type="dxa"/>
              <w:bottom w:w="0" w:type="dxa"/>
              <w:right w:w="67" w:type="dxa"/>
            </w:tcMar>
          </w:tcPr>
          <w:p w14:paraId="49711E6F"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1.3 (0.3, 3.8)</w:t>
            </w:r>
          </w:p>
        </w:tc>
      </w:tr>
    </w:tbl>
    <w:p w14:paraId="66B43992" w14:textId="77777777" w:rsidR="00E07CDE" w:rsidRPr="00563AD3" w:rsidRDefault="00E07CDE" w:rsidP="009B13F3">
      <w:pPr>
        <w:autoSpaceDE/>
        <w:autoSpaceDN/>
        <w:adjustRightInd/>
        <w:spacing w:before="120" w:after="0"/>
        <w:rPr>
          <w:rFonts w:eastAsia="Calibri"/>
          <w:sz w:val="24"/>
          <w:szCs w:val="24"/>
          <w:lang w:eastAsia="en-US"/>
        </w:rPr>
      </w:pPr>
    </w:p>
    <w:p w14:paraId="2B118708" w14:textId="5109C038" w:rsidR="00E07CDE" w:rsidRPr="00563AD3" w:rsidRDefault="00E07CDE" w:rsidP="00CD4C4F">
      <w:pPr>
        <w:pStyle w:val="Tableheading"/>
        <w:rPr>
          <w:rFonts w:eastAsia="Calibri"/>
          <w:lang w:eastAsia="en-US"/>
        </w:rPr>
      </w:pPr>
      <w:bookmarkStart w:id="299" w:name="_Ref499134005"/>
      <w:bookmarkStart w:id="300" w:name="_Toc500935019"/>
      <w:bookmarkStart w:id="301" w:name="_Toc948237"/>
      <w:r w:rsidRPr="00563AD3">
        <w:rPr>
          <w:rFonts w:eastAsia="Calibri"/>
          <w:lang w:eastAsia="en-US"/>
        </w:rPr>
        <w:t xml:space="preserve">Table </w:t>
      </w:r>
      <w:bookmarkEnd w:id="299"/>
      <w:r w:rsidR="00B73A17">
        <w:rPr>
          <w:rFonts w:eastAsia="Calibri"/>
          <w:lang w:eastAsia="en-US"/>
        </w:rPr>
        <w:t>40</w:t>
      </w:r>
      <w:r w:rsidR="00B73A17" w:rsidRPr="00563AD3">
        <w:rPr>
          <w:rFonts w:eastAsia="Calibri"/>
          <w:lang w:eastAsia="en-US"/>
        </w:rPr>
        <w:t xml:space="preserve"> </w:t>
      </w:r>
      <w:r w:rsidRPr="00563AD3">
        <w:rPr>
          <w:rFonts w:eastAsia="Calibri"/>
          <w:lang w:eastAsia="en-US"/>
        </w:rPr>
        <w:t>Action planning quality</w:t>
      </w:r>
      <w:bookmarkEnd w:id="300"/>
      <w:bookmarkEnd w:id="301"/>
    </w:p>
    <w:tbl>
      <w:tblPr>
        <w:tblW w:w="5000" w:type="pct"/>
        <w:jc w:val="center"/>
        <w:tblCellMar>
          <w:left w:w="0" w:type="dxa"/>
          <w:right w:w="0" w:type="dxa"/>
        </w:tblCellMar>
        <w:tblLook w:val="04A0" w:firstRow="1" w:lastRow="0" w:firstColumn="1" w:lastColumn="0" w:noHBand="0" w:noVBand="1"/>
      </w:tblPr>
      <w:tblGrid>
        <w:gridCol w:w="4385"/>
        <w:gridCol w:w="1760"/>
        <w:gridCol w:w="1434"/>
        <w:gridCol w:w="1437"/>
      </w:tblGrid>
      <w:tr w:rsidR="00E07CDE" w:rsidRPr="00CD4C4F" w14:paraId="7EFB51BF" w14:textId="77777777" w:rsidTr="00CD4C4F">
        <w:trPr>
          <w:cantSplit/>
          <w:tblHeader/>
          <w:jc w:val="center"/>
        </w:trPr>
        <w:tc>
          <w:tcPr>
            <w:tcW w:w="5000" w:type="pct"/>
            <w:gridSpan w:val="4"/>
            <w:tcBorders>
              <w:top w:val="single" w:sz="4" w:space="0" w:color="auto"/>
              <w:left w:val="single" w:sz="4" w:space="0" w:color="auto"/>
              <w:bottom w:val="nil"/>
              <w:right w:val="single" w:sz="4" w:space="0" w:color="auto"/>
            </w:tcBorders>
            <w:shd w:val="clear" w:color="auto" w:fill="FFFFFF"/>
            <w:tcMar>
              <w:top w:w="0" w:type="dxa"/>
              <w:left w:w="67" w:type="dxa"/>
              <w:bottom w:w="0" w:type="dxa"/>
              <w:right w:w="67" w:type="dxa"/>
            </w:tcMar>
            <w:vAlign w:val="bottom"/>
            <w:hideMark/>
          </w:tcPr>
          <w:p w14:paraId="5A761472" w14:textId="77777777" w:rsidR="00E07CDE" w:rsidRPr="00CD4C4F" w:rsidRDefault="00E07CDE" w:rsidP="00CD4C4F">
            <w:pPr>
              <w:keepNext/>
              <w:spacing w:before="67" w:after="67" w:line="240" w:lineRule="auto"/>
              <w:jc w:val="center"/>
              <w:rPr>
                <w:rFonts w:eastAsia="Times New Roman"/>
                <w:b/>
                <w:bCs/>
                <w:color w:val="000000"/>
                <w:sz w:val="20"/>
                <w:szCs w:val="20"/>
              </w:rPr>
            </w:pPr>
            <w:r w:rsidRPr="00CD4C4F">
              <w:rPr>
                <w:rFonts w:eastAsia="Times New Roman"/>
                <w:b/>
                <w:bCs/>
                <w:color w:val="000000"/>
                <w:sz w:val="20"/>
                <w:szCs w:val="20"/>
              </w:rPr>
              <w:t>Action planning quality by cycle</w:t>
            </w:r>
          </w:p>
        </w:tc>
      </w:tr>
      <w:tr w:rsidR="00E07CDE" w:rsidRPr="00CD4C4F" w14:paraId="5A9CD34E" w14:textId="77777777" w:rsidTr="00CD4C4F">
        <w:trPr>
          <w:cantSplit/>
          <w:tblHeader/>
          <w:jc w:val="center"/>
        </w:trPr>
        <w:tc>
          <w:tcPr>
            <w:tcW w:w="2432" w:type="pct"/>
            <w:tcBorders>
              <w:top w:val="nil"/>
              <w:left w:val="single" w:sz="4" w:space="0" w:color="auto"/>
              <w:bottom w:val="single" w:sz="4" w:space="0" w:color="000000"/>
              <w:right w:val="nil"/>
            </w:tcBorders>
            <w:shd w:val="clear" w:color="auto" w:fill="FFFFFF"/>
            <w:tcMar>
              <w:top w:w="0" w:type="dxa"/>
              <w:left w:w="67" w:type="dxa"/>
              <w:bottom w:w="0" w:type="dxa"/>
              <w:right w:w="67" w:type="dxa"/>
            </w:tcMar>
            <w:vAlign w:val="bottom"/>
          </w:tcPr>
          <w:p w14:paraId="0A7C01A7" w14:textId="77777777" w:rsidR="00E07CDE" w:rsidRPr="00CD4C4F" w:rsidRDefault="00E07CDE" w:rsidP="00CD4C4F">
            <w:pPr>
              <w:keepNext/>
              <w:spacing w:before="67" w:after="67" w:line="240" w:lineRule="auto"/>
              <w:rPr>
                <w:rFonts w:eastAsia="Times New Roman"/>
                <w:b/>
                <w:bCs/>
                <w:color w:val="000000"/>
                <w:sz w:val="20"/>
                <w:szCs w:val="20"/>
              </w:rPr>
            </w:pPr>
            <w:r w:rsidRPr="00CD4C4F">
              <w:rPr>
                <w:rFonts w:eastAsia="Times New Roman"/>
                <w:bCs/>
                <w:color w:val="000000"/>
                <w:sz w:val="20"/>
                <w:szCs w:val="20"/>
              </w:rPr>
              <w:t>N (%) Missing</w:t>
            </w:r>
          </w:p>
        </w:tc>
        <w:tc>
          <w:tcPr>
            <w:tcW w:w="976" w:type="pct"/>
            <w:tcBorders>
              <w:top w:val="nil"/>
              <w:left w:val="nil"/>
              <w:bottom w:val="single" w:sz="4" w:space="0" w:color="000000"/>
              <w:right w:val="nil"/>
            </w:tcBorders>
            <w:shd w:val="clear" w:color="auto" w:fill="FFFFFF"/>
            <w:tcMar>
              <w:top w:w="0" w:type="dxa"/>
              <w:left w:w="67" w:type="dxa"/>
              <w:bottom w:w="0" w:type="dxa"/>
              <w:right w:w="67" w:type="dxa"/>
            </w:tcMar>
            <w:vAlign w:val="bottom"/>
          </w:tcPr>
          <w:p w14:paraId="5258217C"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1 (n=31)</w:t>
            </w:r>
          </w:p>
        </w:tc>
        <w:tc>
          <w:tcPr>
            <w:tcW w:w="795" w:type="pct"/>
            <w:tcBorders>
              <w:top w:val="nil"/>
              <w:left w:val="nil"/>
              <w:bottom w:val="single" w:sz="4" w:space="0" w:color="000000"/>
              <w:right w:val="nil"/>
            </w:tcBorders>
            <w:shd w:val="clear" w:color="auto" w:fill="FFFFFF"/>
            <w:tcMar>
              <w:top w:w="0" w:type="dxa"/>
              <w:left w:w="67" w:type="dxa"/>
              <w:bottom w:w="0" w:type="dxa"/>
              <w:right w:w="67" w:type="dxa"/>
            </w:tcMar>
            <w:vAlign w:val="bottom"/>
          </w:tcPr>
          <w:p w14:paraId="1A096645"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Times New Roman"/>
                <w:b/>
                <w:bCs/>
                <w:color w:val="000000"/>
                <w:sz w:val="20"/>
                <w:szCs w:val="20"/>
              </w:rPr>
              <w:t>Cycle 2 (n=31)</w:t>
            </w:r>
          </w:p>
        </w:tc>
        <w:tc>
          <w:tcPr>
            <w:tcW w:w="797" w:type="pct"/>
            <w:tcBorders>
              <w:top w:val="nil"/>
              <w:left w:val="nil"/>
              <w:bottom w:val="single" w:sz="4" w:space="0" w:color="000000"/>
              <w:right w:val="single" w:sz="4" w:space="0" w:color="auto"/>
            </w:tcBorders>
            <w:shd w:val="clear" w:color="auto" w:fill="FFFFFF"/>
            <w:tcMar>
              <w:top w:w="0" w:type="dxa"/>
              <w:left w:w="67" w:type="dxa"/>
              <w:bottom w:w="0" w:type="dxa"/>
              <w:right w:w="67" w:type="dxa"/>
            </w:tcMar>
            <w:vAlign w:val="bottom"/>
          </w:tcPr>
          <w:p w14:paraId="75A51ED5" w14:textId="77777777" w:rsidR="00E07CDE" w:rsidRPr="00CD4C4F" w:rsidRDefault="00E07CDE" w:rsidP="00CD4C4F">
            <w:pPr>
              <w:keepNext/>
              <w:spacing w:before="67" w:after="67" w:line="240" w:lineRule="auto"/>
              <w:jc w:val="right"/>
              <w:rPr>
                <w:rFonts w:eastAsia="Times New Roman"/>
                <w:b/>
                <w:bCs/>
                <w:color w:val="000000"/>
                <w:sz w:val="20"/>
                <w:szCs w:val="20"/>
              </w:rPr>
            </w:pPr>
            <w:r w:rsidRPr="00CD4C4F">
              <w:rPr>
                <w:rFonts w:eastAsia="Calibri"/>
                <w:b/>
                <w:bCs/>
                <w:color w:val="000000"/>
                <w:sz w:val="20"/>
                <w:szCs w:val="20"/>
                <w:lang w:eastAsia="en-US"/>
              </w:rPr>
              <w:t>Cycle 3  (n=31)</w:t>
            </w:r>
          </w:p>
        </w:tc>
      </w:tr>
      <w:tr w:rsidR="00E07CDE" w:rsidRPr="00CD4C4F" w14:paraId="412DF967" w14:textId="77777777" w:rsidTr="00CD4C4F">
        <w:trPr>
          <w:cantSplit/>
          <w:jc w:val="center"/>
        </w:trPr>
        <w:tc>
          <w:tcPr>
            <w:tcW w:w="2432" w:type="pct"/>
            <w:tcBorders>
              <w:top w:val="nil"/>
              <w:left w:val="single" w:sz="4" w:space="0" w:color="auto"/>
              <w:bottom w:val="nil"/>
              <w:right w:val="nil"/>
            </w:tcBorders>
            <w:shd w:val="clear" w:color="auto" w:fill="FFFFFF"/>
            <w:tcMar>
              <w:top w:w="0" w:type="dxa"/>
              <w:left w:w="67" w:type="dxa"/>
              <w:bottom w:w="0" w:type="dxa"/>
              <w:right w:w="67" w:type="dxa"/>
            </w:tcMar>
            <w:hideMark/>
          </w:tcPr>
          <w:p w14:paraId="4D632FFA" w14:textId="5353B152"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 xml:space="preserve">Standard </w:t>
            </w:r>
            <w:r w:rsidR="00921620" w:rsidRPr="00CD4C4F">
              <w:rPr>
                <w:rFonts w:eastAsia="Times New Roman"/>
                <w:b/>
                <w:bCs/>
                <w:color w:val="000000"/>
                <w:sz w:val="20"/>
                <w:szCs w:val="20"/>
              </w:rPr>
              <w:t>care home template</w:t>
            </w:r>
            <w:r w:rsidRPr="00CD4C4F">
              <w:rPr>
                <w:rFonts w:eastAsia="Times New Roman"/>
                <w:b/>
                <w:bCs/>
                <w:color w:val="000000"/>
                <w:sz w:val="20"/>
                <w:szCs w:val="20"/>
              </w:rPr>
              <w:t xml:space="preserve"> used </w:t>
            </w:r>
          </w:p>
        </w:tc>
        <w:tc>
          <w:tcPr>
            <w:tcW w:w="976" w:type="pct"/>
            <w:shd w:val="clear" w:color="auto" w:fill="FFFFFF"/>
            <w:tcMar>
              <w:top w:w="0" w:type="dxa"/>
              <w:left w:w="67" w:type="dxa"/>
              <w:bottom w:w="0" w:type="dxa"/>
              <w:right w:w="67" w:type="dxa"/>
            </w:tcMar>
          </w:tcPr>
          <w:p w14:paraId="71345F16" w14:textId="77777777" w:rsidR="00E07CDE" w:rsidRPr="00CD4C4F" w:rsidRDefault="00E07CDE" w:rsidP="00CD4C4F">
            <w:pPr>
              <w:spacing w:before="67" w:after="67" w:line="240" w:lineRule="auto"/>
              <w:jc w:val="right"/>
              <w:rPr>
                <w:rFonts w:eastAsia="Times New Roman"/>
                <w:color w:val="000000"/>
                <w:sz w:val="20"/>
                <w:szCs w:val="20"/>
              </w:rPr>
            </w:pPr>
          </w:p>
        </w:tc>
        <w:tc>
          <w:tcPr>
            <w:tcW w:w="795" w:type="pct"/>
            <w:shd w:val="clear" w:color="auto" w:fill="FFFFFF"/>
            <w:tcMar>
              <w:top w:w="0" w:type="dxa"/>
              <w:left w:w="67" w:type="dxa"/>
              <w:bottom w:w="0" w:type="dxa"/>
              <w:right w:w="67" w:type="dxa"/>
            </w:tcMar>
          </w:tcPr>
          <w:p w14:paraId="0130C3F6" w14:textId="77777777" w:rsidR="00E07CDE" w:rsidRPr="00CD4C4F" w:rsidRDefault="00E07CDE" w:rsidP="00CD4C4F">
            <w:pPr>
              <w:spacing w:before="67" w:after="67" w:line="240" w:lineRule="auto"/>
              <w:jc w:val="right"/>
              <w:rPr>
                <w:rFonts w:eastAsia="Times New Roman"/>
                <w:color w:val="000000"/>
                <w:sz w:val="20"/>
                <w:szCs w:val="20"/>
              </w:rPr>
            </w:pPr>
          </w:p>
        </w:tc>
        <w:tc>
          <w:tcPr>
            <w:tcW w:w="797" w:type="pct"/>
            <w:tcBorders>
              <w:right w:val="single" w:sz="4" w:space="0" w:color="auto"/>
            </w:tcBorders>
            <w:shd w:val="clear" w:color="auto" w:fill="FFFFFF"/>
            <w:tcMar>
              <w:top w:w="0" w:type="dxa"/>
              <w:left w:w="67" w:type="dxa"/>
              <w:bottom w:w="0" w:type="dxa"/>
              <w:right w:w="67" w:type="dxa"/>
            </w:tcMar>
          </w:tcPr>
          <w:p w14:paraId="46DA564F"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13E7BFA8" w14:textId="77777777" w:rsidTr="00CD4C4F">
        <w:trPr>
          <w:cantSplit/>
          <w:jc w:val="center"/>
        </w:trPr>
        <w:tc>
          <w:tcPr>
            <w:tcW w:w="2432" w:type="pct"/>
            <w:tcBorders>
              <w:top w:val="nil"/>
              <w:left w:val="single" w:sz="4" w:space="0" w:color="auto"/>
              <w:bottom w:val="nil"/>
              <w:right w:val="nil"/>
            </w:tcBorders>
            <w:shd w:val="clear" w:color="auto" w:fill="FFFFFF"/>
            <w:tcMar>
              <w:top w:w="0" w:type="dxa"/>
              <w:left w:w="67" w:type="dxa"/>
              <w:bottom w:w="0" w:type="dxa"/>
              <w:right w:w="67" w:type="dxa"/>
            </w:tcMar>
            <w:hideMark/>
          </w:tcPr>
          <w:p w14:paraId="1BC5CE85"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Yes</w:t>
            </w:r>
          </w:p>
        </w:tc>
        <w:tc>
          <w:tcPr>
            <w:tcW w:w="976" w:type="pct"/>
            <w:shd w:val="clear" w:color="auto" w:fill="FFFFFF"/>
            <w:tcMar>
              <w:top w:w="0" w:type="dxa"/>
              <w:left w:w="67" w:type="dxa"/>
              <w:bottom w:w="0" w:type="dxa"/>
              <w:right w:w="67" w:type="dxa"/>
            </w:tcMar>
          </w:tcPr>
          <w:p w14:paraId="0E907F97"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13 (41.9%) 18</w:t>
            </w:r>
          </w:p>
        </w:tc>
        <w:tc>
          <w:tcPr>
            <w:tcW w:w="795" w:type="pct"/>
            <w:shd w:val="clear" w:color="auto" w:fill="FFFFFF"/>
            <w:tcMar>
              <w:top w:w="0" w:type="dxa"/>
              <w:left w:w="67" w:type="dxa"/>
              <w:bottom w:w="0" w:type="dxa"/>
              <w:right w:w="67" w:type="dxa"/>
            </w:tcMar>
          </w:tcPr>
          <w:p w14:paraId="587B6AF8"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 (19.4%) 25</w:t>
            </w:r>
          </w:p>
        </w:tc>
        <w:tc>
          <w:tcPr>
            <w:tcW w:w="797" w:type="pct"/>
            <w:tcBorders>
              <w:right w:val="single" w:sz="4" w:space="0" w:color="auto"/>
            </w:tcBorders>
            <w:shd w:val="clear" w:color="auto" w:fill="FFFFFF"/>
            <w:tcMar>
              <w:top w:w="0" w:type="dxa"/>
              <w:left w:w="67" w:type="dxa"/>
              <w:bottom w:w="0" w:type="dxa"/>
              <w:right w:w="67" w:type="dxa"/>
            </w:tcMar>
          </w:tcPr>
          <w:p w14:paraId="11C37EE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Calibri"/>
                <w:color w:val="000000"/>
                <w:sz w:val="20"/>
                <w:szCs w:val="20"/>
                <w:lang w:eastAsia="en-US"/>
              </w:rPr>
              <w:t>3 (9.7%) 27</w:t>
            </w:r>
          </w:p>
        </w:tc>
      </w:tr>
      <w:tr w:rsidR="00E07CDE" w:rsidRPr="00CD4C4F" w14:paraId="1C49BE12" w14:textId="77777777" w:rsidTr="00CD4C4F">
        <w:trPr>
          <w:cantSplit/>
          <w:jc w:val="center"/>
        </w:trPr>
        <w:tc>
          <w:tcPr>
            <w:tcW w:w="2432" w:type="pct"/>
            <w:tcBorders>
              <w:top w:val="nil"/>
              <w:left w:val="single" w:sz="4" w:space="0" w:color="auto"/>
              <w:bottom w:val="nil"/>
              <w:right w:val="nil"/>
            </w:tcBorders>
            <w:shd w:val="clear" w:color="auto" w:fill="FFFFFF"/>
            <w:tcMar>
              <w:top w:w="0" w:type="dxa"/>
              <w:left w:w="67" w:type="dxa"/>
              <w:bottom w:w="0" w:type="dxa"/>
              <w:right w:w="67" w:type="dxa"/>
            </w:tcMar>
          </w:tcPr>
          <w:p w14:paraId="3CB046CE"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No</w:t>
            </w:r>
          </w:p>
        </w:tc>
        <w:tc>
          <w:tcPr>
            <w:tcW w:w="976" w:type="pct"/>
            <w:shd w:val="clear" w:color="auto" w:fill="FFFFFF"/>
            <w:tcMar>
              <w:top w:w="0" w:type="dxa"/>
              <w:left w:w="67" w:type="dxa"/>
              <w:bottom w:w="0" w:type="dxa"/>
              <w:right w:w="67" w:type="dxa"/>
            </w:tcMar>
          </w:tcPr>
          <w:p w14:paraId="51991E35" w14:textId="77777777" w:rsidR="00E07CDE" w:rsidRPr="00CD4C4F" w:rsidRDefault="00E07CDE" w:rsidP="00CD4C4F">
            <w:pPr>
              <w:spacing w:before="67" w:after="67" w:line="240" w:lineRule="auto"/>
              <w:jc w:val="right"/>
              <w:rPr>
                <w:rFonts w:eastAsia="Times New Roman"/>
                <w:color w:val="000000"/>
                <w:sz w:val="20"/>
                <w:szCs w:val="20"/>
              </w:rPr>
            </w:pPr>
          </w:p>
        </w:tc>
        <w:tc>
          <w:tcPr>
            <w:tcW w:w="795" w:type="pct"/>
            <w:shd w:val="clear" w:color="auto" w:fill="FFFFFF"/>
            <w:tcMar>
              <w:top w:w="0" w:type="dxa"/>
              <w:left w:w="67" w:type="dxa"/>
              <w:bottom w:w="0" w:type="dxa"/>
              <w:right w:w="67" w:type="dxa"/>
            </w:tcMar>
          </w:tcPr>
          <w:p w14:paraId="7A28BB21" w14:textId="77777777" w:rsidR="00E07CDE" w:rsidRPr="00CD4C4F" w:rsidRDefault="00E07CDE" w:rsidP="00CD4C4F">
            <w:pPr>
              <w:spacing w:before="67" w:after="67" w:line="240" w:lineRule="auto"/>
              <w:jc w:val="right"/>
              <w:rPr>
                <w:rFonts w:eastAsia="Times New Roman"/>
                <w:color w:val="000000"/>
                <w:sz w:val="20"/>
                <w:szCs w:val="20"/>
              </w:rPr>
            </w:pPr>
          </w:p>
        </w:tc>
        <w:tc>
          <w:tcPr>
            <w:tcW w:w="797" w:type="pct"/>
            <w:tcBorders>
              <w:right w:val="single" w:sz="4" w:space="0" w:color="auto"/>
            </w:tcBorders>
            <w:shd w:val="clear" w:color="auto" w:fill="FFFFFF"/>
            <w:tcMar>
              <w:top w:w="0" w:type="dxa"/>
              <w:left w:w="67" w:type="dxa"/>
              <w:bottom w:w="0" w:type="dxa"/>
              <w:right w:w="67" w:type="dxa"/>
            </w:tcMar>
          </w:tcPr>
          <w:p w14:paraId="079FE611" w14:textId="77777777" w:rsidR="00E07CDE" w:rsidRPr="00CD4C4F" w:rsidRDefault="00E07CDE" w:rsidP="00CD4C4F">
            <w:pPr>
              <w:spacing w:before="67" w:after="67" w:line="240" w:lineRule="auto"/>
              <w:jc w:val="right"/>
              <w:rPr>
                <w:rFonts w:eastAsia="Calibri"/>
                <w:color w:val="000000"/>
                <w:sz w:val="20"/>
                <w:szCs w:val="20"/>
                <w:lang w:eastAsia="en-US"/>
              </w:rPr>
            </w:pPr>
            <w:r w:rsidRPr="00CD4C4F">
              <w:rPr>
                <w:rFonts w:eastAsia="Calibri"/>
                <w:color w:val="000000"/>
                <w:sz w:val="20"/>
                <w:szCs w:val="20"/>
                <w:lang w:eastAsia="en-US"/>
              </w:rPr>
              <w:t>1 (3.2%)</w:t>
            </w:r>
          </w:p>
        </w:tc>
      </w:tr>
      <w:tr w:rsidR="00E07CDE" w:rsidRPr="00CD4C4F" w14:paraId="1C21A013" w14:textId="77777777" w:rsidTr="00CD4C4F">
        <w:trPr>
          <w:cantSplit/>
          <w:jc w:val="center"/>
        </w:trPr>
        <w:tc>
          <w:tcPr>
            <w:tcW w:w="2432" w:type="pct"/>
            <w:tcBorders>
              <w:top w:val="nil"/>
              <w:left w:val="single" w:sz="4" w:space="0" w:color="auto"/>
              <w:bottom w:val="nil"/>
              <w:right w:val="nil"/>
            </w:tcBorders>
            <w:shd w:val="clear" w:color="auto" w:fill="FFFFFF"/>
            <w:tcMar>
              <w:top w:w="0" w:type="dxa"/>
              <w:left w:w="67" w:type="dxa"/>
              <w:bottom w:w="0" w:type="dxa"/>
              <w:right w:w="67" w:type="dxa"/>
            </w:tcMar>
            <w:hideMark/>
          </w:tcPr>
          <w:p w14:paraId="540D6C3D" w14:textId="6159E172"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 xml:space="preserve">Standard resident </w:t>
            </w:r>
            <w:r w:rsidR="00921620" w:rsidRPr="00CD4C4F">
              <w:rPr>
                <w:rFonts w:eastAsia="Times New Roman"/>
                <w:b/>
                <w:bCs/>
                <w:color w:val="000000"/>
                <w:sz w:val="20"/>
                <w:szCs w:val="20"/>
              </w:rPr>
              <w:t>template</w:t>
            </w:r>
            <w:r w:rsidRPr="00CD4C4F">
              <w:rPr>
                <w:rFonts w:eastAsia="Times New Roman"/>
                <w:b/>
                <w:bCs/>
                <w:color w:val="000000"/>
                <w:sz w:val="20"/>
                <w:szCs w:val="20"/>
              </w:rPr>
              <w:t xml:space="preserve"> used </w:t>
            </w:r>
          </w:p>
        </w:tc>
        <w:tc>
          <w:tcPr>
            <w:tcW w:w="976" w:type="pct"/>
            <w:shd w:val="clear" w:color="auto" w:fill="FFFFFF"/>
            <w:tcMar>
              <w:top w:w="0" w:type="dxa"/>
              <w:left w:w="67" w:type="dxa"/>
              <w:bottom w:w="0" w:type="dxa"/>
              <w:right w:w="67" w:type="dxa"/>
            </w:tcMar>
          </w:tcPr>
          <w:p w14:paraId="21FE46BD" w14:textId="77777777" w:rsidR="00E07CDE" w:rsidRPr="00CD4C4F" w:rsidRDefault="00E07CDE" w:rsidP="00CD4C4F">
            <w:pPr>
              <w:spacing w:before="67" w:after="67" w:line="240" w:lineRule="auto"/>
              <w:jc w:val="right"/>
              <w:rPr>
                <w:rFonts w:eastAsia="Times New Roman"/>
                <w:color w:val="000000"/>
                <w:sz w:val="20"/>
                <w:szCs w:val="20"/>
              </w:rPr>
            </w:pPr>
          </w:p>
        </w:tc>
        <w:tc>
          <w:tcPr>
            <w:tcW w:w="795" w:type="pct"/>
            <w:shd w:val="clear" w:color="auto" w:fill="FFFFFF"/>
            <w:tcMar>
              <w:top w:w="0" w:type="dxa"/>
              <w:left w:w="67" w:type="dxa"/>
              <w:bottom w:w="0" w:type="dxa"/>
              <w:right w:w="67" w:type="dxa"/>
            </w:tcMar>
          </w:tcPr>
          <w:p w14:paraId="32EC8DB0" w14:textId="77777777" w:rsidR="00E07CDE" w:rsidRPr="00CD4C4F" w:rsidRDefault="00E07CDE" w:rsidP="00CD4C4F">
            <w:pPr>
              <w:spacing w:before="67" w:after="67" w:line="240" w:lineRule="auto"/>
              <w:jc w:val="right"/>
              <w:rPr>
                <w:rFonts w:eastAsia="Times New Roman"/>
                <w:color w:val="000000"/>
                <w:sz w:val="20"/>
                <w:szCs w:val="20"/>
              </w:rPr>
            </w:pPr>
          </w:p>
        </w:tc>
        <w:tc>
          <w:tcPr>
            <w:tcW w:w="797" w:type="pct"/>
            <w:tcBorders>
              <w:right w:val="single" w:sz="4" w:space="0" w:color="auto"/>
            </w:tcBorders>
            <w:shd w:val="clear" w:color="auto" w:fill="FFFFFF"/>
            <w:tcMar>
              <w:top w:w="0" w:type="dxa"/>
              <w:left w:w="67" w:type="dxa"/>
              <w:bottom w:w="0" w:type="dxa"/>
              <w:right w:w="67" w:type="dxa"/>
            </w:tcMar>
          </w:tcPr>
          <w:p w14:paraId="3804684A"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278DD80F" w14:textId="77777777" w:rsidTr="00CD4C4F">
        <w:trPr>
          <w:cantSplit/>
          <w:jc w:val="center"/>
        </w:trPr>
        <w:tc>
          <w:tcPr>
            <w:tcW w:w="2432" w:type="pct"/>
            <w:tcBorders>
              <w:top w:val="nil"/>
              <w:left w:val="single" w:sz="4" w:space="0" w:color="auto"/>
              <w:bottom w:val="nil"/>
              <w:right w:val="nil"/>
            </w:tcBorders>
            <w:shd w:val="clear" w:color="auto" w:fill="FFFFFF"/>
            <w:tcMar>
              <w:top w:w="0" w:type="dxa"/>
              <w:left w:w="67" w:type="dxa"/>
              <w:bottom w:w="0" w:type="dxa"/>
              <w:right w:w="67" w:type="dxa"/>
            </w:tcMar>
            <w:hideMark/>
          </w:tcPr>
          <w:p w14:paraId="5106AD6D"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Yes</w:t>
            </w:r>
          </w:p>
        </w:tc>
        <w:tc>
          <w:tcPr>
            <w:tcW w:w="976" w:type="pct"/>
            <w:shd w:val="clear" w:color="auto" w:fill="FFFFFF"/>
            <w:tcMar>
              <w:top w:w="0" w:type="dxa"/>
              <w:left w:w="67" w:type="dxa"/>
              <w:bottom w:w="0" w:type="dxa"/>
              <w:right w:w="67" w:type="dxa"/>
            </w:tcMar>
          </w:tcPr>
          <w:p w14:paraId="0838151A"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12 (38.7%) 18</w:t>
            </w:r>
          </w:p>
        </w:tc>
        <w:tc>
          <w:tcPr>
            <w:tcW w:w="795" w:type="pct"/>
            <w:shd w:val="clear" w:color="auto" w:fill="FFFFFF"/>
            <w:tcMar>
              <w:top w:w="0" w:type="dxa"/>
              <w:left w:w="67" w:type="dxa"/>
              <w:bottom w:w="0" w:type="dxa"/>
              <w:right w:w="67" w:type="dxa"/>
            </w:tcMar>
          </w:tcPr>
          <w:p w14:paraId="6A8E4C80"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6 (19.4%) 25</w:t>
            </w:r>
          </w:p>
        </w:tc>
        <w:tc>
          <w:tcPr>
            <w:tcW w:w="797" w:type="pct"/>
            <w:tcBorders>
              <w:right w:val="single" w:sz="4" w:space="0" w:color="auto"/>
            </w:tcBorders>
            <w:shd w:val="clear" w:color="auto" w:fill="FFFFFF"/>
            <w:tcMar>
              <w:top w:w="0" w:type="dxa"/>
              <w:left w:w="67" w:type="dxa"/>
              <w:bottom w:w="0" w:type="dxa"/>
              <w:right w:w="67" w:type="dxa"/>
            </w:tcMar>
          </w:tcPr>
          <w:p w14:paraId="7019C455"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Calibri"/>
                <w:color w:val="000000"/>
                <w:sz w:val="20"/>
                <w:szCs w:val="20"/>
                <w:lang w:eastAsia="en-US"/>
              </w:rPr>
              <w:t>2 (6.5%) 28</w:t>
            </w:r>
          </w:p>
        </w:tc>
      </w:tr>
      <w:tr w:rsidR="00E07CDE" w:rsidRPr="00CD4C4F" w14:paraId="7B4B1E0F" w14:textId="77777777" w:rsidTr="00CD4C4F">
        <w:trPr>
          <w:cantSplit/>
          <w:jc w:val="center"/>
        </w:trPr>
        <w:tc>
          <w:tcPr>
            <w:tcW w:w="2432" w:type="pct"/>
            <w:tcBorders>
              <w:top w:val="nil"/>
              <w:left w:val="single" w:sz="4" w:space="0" w:color="auto"/>
              <w:bottom w:val="nil"/>
              <w:right w:val="nil"/>
            </w:tcBorders>
            <w:shd w:val="clear" w:color="auto" w:fill="FFFFFF"/>
            <w:tcMar>
              <w:top w:w="0" w:type="dxa"/>
              <w:left w:w="67" w:type="dxa"/>
              <w:bottom w:w="0" w:type="dxa"/>
              <w:right w:w="67" w:type="dxa"/>
            </w:tcMar>
            <w:hideMark/>
          </w:tcPr>
          <w:p w14:paraId="07A66F93"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No</w:t>
            </w:r>
          </w:p>
        </w:tc>
        <w:tc>
          <w:tcPr>
            <w:tcW w:w="976" w:type="pct"/>
            <w:shd w:val="clear" w:color="auto" w:fill="FFFFFF"/>
            <w:tcMar>
              <w:top w:w="0" w:type="dxa"/>
              <w:left w:w="67" w:type="dxa"/>
              <w:bottom w:w="0" w:type="dxa"/>
              <w:right w:w="67" w:type="dxa"/>
            </w:tcMar>
          </w:tcPr>
          <w:p w14:paraId="17130FC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1 (3.2%)</w:t>
            </w:r>
          </w:p>
        </w:tc>
        <w:tc>
          <w:tcPr>
            <w:tcW w:w="795" w:type="pct"/>
            <w:shd w:val="clear" w:color="auto" w:fill="FFFFFF"/>
            <w:tcMar>
              <w:top w:w="0" w:type="dxa"/>
              <w:left w:w="67" w:type="dxa"/>
              <w:bottom w:w="0" w:type="dxa"/>
              <w:right w:w="67" w:type="dxa"/>
            </w:tcMar>
          </w:tcPr>
          <w:p w14:paraId="51501F2D" w14:textId="77777777" w:rsidR="00E07CDE" w:rsidRPr="00CD4C4F" w:rsidRDefault="00E07CDE" w:rsidP="00CD4C4F">
            <w:pPr>
              <w:spacing w:before="67" w:after="67" w:line="240" w:lineRule="auto"/>
              <w:jc w:val="right"/>
              <w:rPr>
                <w:rFonts w:eastAsia="Times New Roman"/>
                <w:color w:val="000000"/>
                <w:sz w:val="20"/>
                <w:szCs w:val="20"/>
              </w:rPr>
            </w:pPr>
          </w:p>
        </w:tc>
        <w:tc>
          <w:tcPr>
            <w:tcW w:w="797" w:type="pct"/>
            <w:tcBorders>
              <w:right w:val="single" w:sz="4" w:space="0" w:color="auto"/>
            </w:tcBorders>
            <w:shd w:val="clear" w:color="auto" w:fill="FFFFFF"/>
            <w:tcMar>
              <w:top w:w="0" w:type="dxa"/>
              <w:left w:w="67" w:type="dxa"/>
              <w:bottom w:w="0" w:type="dxa"/>
              <w:right w:w="67" w:type="dxa"/>
            </w:tcMar>
          </w:tcPr>
          <w:p w14:paraId="09C8E6CE"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Calibri"/>
                <w:color w:val="000000"/>
                <w:sz w:val="20"/>
                <w:szCs w:val="20"/>
                <w:lang w:eastAsia="en-US"/>
              </w:rPr>
              <w:t>1 (3.2%)</w:t>
            </w:r>
          </w:p>
        </w:tc>
      </w:tr>
      <w:tr w:rsidR="00E07CDE" w:rsidRPr="00CD4C4F" w14:paraId="7807C7F2" w14:textId="77777777" w:rsidTr="00CD4C4F">
        <w:trPr>
          <w:cantSplit/>
          <w:jc w:val="center"/>
        </w:trPr>
        <w:tc>
          <w:tcPr>
            <w:tcW w:w="2432" w:type="pct"/>
            <w:tcBorders>
              <w:top w:val="nil"/>
              <w:left w:val="single" w:sz="4" w:space="0" w:color="auto"/>
              <w:bottom w:val="nil"/>
              <w:right w:val="nil"/>
            </w:tcBorders>
            <w:shd w:val="clear" w:color="auto" w:fill="FFFFFF"/>
            <w:tcMar>
              <w:top w:w="0" w:type="dxa"/>
              <w:left w:w="67" w:type="dxa"/>
              <w:bottom w:w="0" w:type="dxa"/>
              <w:right w:w="67" w:type="dxa"/>
            </w:tcMar>
            <w:hideMark/>
          </w:tcPr>
          <w:p w14:paraId="0BCD329E" w14:textId="77777777" w:rsidR="00E07CDE" w:rsidRPr="00CD4C4F" w:rsidRDefault="00E07CDE" w:rsidP="00CD4C4F">
            <w:pPr>
              <w:spacing w:before="67" w:after="67" w:line="240" w:lineRule="auto"/>
              <w:rPr>
                <w:rFonts w:eastAsia="Times New Roman"/>
                <w:b/>
                <w:bCs/>
                <w:color w:val="000000"/>
                <w:sz w:val="20"/>
                <w:szCs w:val="20"/>
              </w:rPr>
            </w:pPr>
            <w:r w:rsidRPr="00CD4C4F">
              <w:rPr>
                <w:rFonts w:eastAsia="Times New Roman"/>
                <w:b/>
                <w:bCs/>
                <w:color w:val="000000"/>
                <w:sz w:val="20"/>
                <w:szCs w:val="20"/>
              </w:rPr>
              <w:t>At least one action point per observed resident</w:t>
            </w:r>
          </w:p>
        </w:tc>
        <w:tc>
          <w:tcPr>
            <w:tcW w:w="976" w:type="pct"/>
            <w:shd w:val="clear" w:color="auto" w:fill="FFFFFF"/>
            <w:tcMar>
              <w:top w:w="0" w:type="dxa"/>
              <w:left w:w="67" w:type="dxa"/>
              <w:bottom w:w="0" w:type="dxa"/>
              <w:right w:w="67" w:type="dxa"/>
            </w:tcMar>
          </w:tcPr>
          <w:p w14:paraId="5A1B92F7" w14:textId="77777777" w:rsidR="00E07CDE" w:rsidRPr="00CD4C4F" w:rsidRDefault="00E07CDE" w:rsidP="00CD4C4F">
            <w:pPr>
              <w:spacing w:before="67" w:after="67" w:line="240" w:lineRule="auto"/>
              <w:jc w:val="right"/>
              <w:rPr>
                <w:rFonts w:eastAsia="Times New Roman"/>
                <w:color w:val="000000"/>
                <w:sz w:val="20"/>
                <w:szCs w:val="20"/>
              </w:rPr>
            </w:pPr>
          </w:p>
        </w:tc>
        <w:tc>
          <w:tcPr>
            <w:tcW w:w="795" w:type="pct"/>
            <w:shd w:val="clear" w:color="auto" w:fill="FFFFFF"/>
            <w:tcMar>
              <w:top w:w="0" w:type="dxa"/>
              <w:left w:w="67" w:type="dxa"/>
              <w:bottom w:w="0" w:type="dxa"/>
              <w:right w:w="67" w:type="dxa"/>
            </w:tcMar>
          </w:tcPr>
          <w:p w14:paraId="6EE1F714" w14:textId="77777777" w:rsidR="00E07CDE" w:rsidRPr="00CD4C4F" w:rsidRDefault="00E07CDE" w:rsidP="00CD4C4F">
            <w:pPr>
              <w:spacing w:before="67" w:after="67" w:line="240" w:lineRule="auto"/>
              <w:jc w:val="right"/>
              <w:rPr>
                <w:rFonts w:eastAsia="Times New Roman"/>
                <w:color w:val="000000"/>
                <w:sz w:val="20"/>
                <w:szCs w:val="20"/>
              </w:rPr>
            </w:pPr>
          </w:p>
        </w:tc>
        <w:tc>
          <w:tcPr>
            <w:tcW w:w="797" w:type="pct"/>
            <w:tcBorders>
              <w:right w:val="single" w:sz="4" w:space="0" w:color="auto"/>
            </w:tcBorders>
            <w:shd w:val="clear" w:color="auto" w:fill="FFFFFF"/>
            <w:tcMar>
              <w:top w:w="0" w:type="dxa"/>
              <w:left w:w="67" w:type="dxa"/>
              <w:bottom w:w="0" w:type="dxa"/>
              <w:right w:w="67" w:type="dxa"/>
            </w:tcMar>
          </w:tcPr>
          <w:p w14:paraId="6DD0A2F0" w14:textId="77777777" w:rsidR="00E07CDE" w:rsidRPr="00CD4C4F" w:rsidRDefault="00E07CDE" w:rsidP="00CD4C4F">
            <w:pPr>
              <w:spacing w:before="67" w:after="67" w:line="240" w:lineRule="auto"/>
              <w:jc w:val="right"/>
              <w:rPr>
                <w:rFonts w:eastAsia="Times New Roman"/>
                <w:color w:val="000000"/>
                <w:sz w:val="20"/>
                <w:szCs w:val="20"/>
              </w:rPr>
            </w:pPr>
          </w:p>
        </w:tc>
      </w:tr>
      <w:tr w:rsidR="00E07CDE" w:rsidRPr="00CD4C4F" w14:paraId="57EE77F1" w14:textId="77777777" w:rsidTr="00CD4C4F">
        <w:trPr>
          <w:cantSplit/>
          <w:jc w:val="center"/>
        </w:trPr>
        <w:tc>
          <w:tcPr>
            <w:tcW w:w="2432" w:type="pct"/>
            <w:tcBorders>
              <w:top w:val="nil"/>
              <w:left w:val="single" w:sz="4" w:space="0" w:color="auto"/>
              <w:bottom w:val="nil"/>
              <w:right w:val="nil"/>
            </w:tcBorders>
            <w:shd w:val="clear" w:color="auto" w:fill="FFFFFF"/>
            <w:tcMar>
              <w:top w:w="0" w:type="dxa"/>
              <w:left w:w="67" w:type="dxa"/>
              <w:bottom w:w="0" w:type="dxa"/>
              <w:right w:w="67" w:type="dxa"/>
            </w:tcMar>
            <w:hideMark/>
          </w:tcPr>
          <w:p w14:paraId="5D8E8B5E" w14:textId="77777777" w:rsidR="00E07CDE" w:rsidRPr="00CD4C4F" w:rsidRDefault="00E07CDE" w:rsidP="00CD4C4F">
            <w:pPr>
              <w:spacing w:before="67" w:after="67" w:line="240" w:lineRule="auto"/>
              <w:rPr>
                <w:rFonts w:eastAsia="Times New Roman"/>
                <w:color w:val="000000"/>
                <w:sz w:val="20"/>
                <w:szCs w:val="20"/>
              </w:rPr>
            </w:pPr>
            <w:r w:rsidRPr="00CD4C4F">
              <w:rPr>
                <w:rFonts w:eastAsia="Times New Roman"/>
                <w:color w:val="000000"/>
                <w:sz w:val="20"/>
                <w:szCs w:val="20"/>
              </w:rPr>
              <w:t>Yes</w:t>
            </w:r>
          </w:p>
        </w:tc>
        <w:tc>
          <w:tcPr>
            <w:tcW w:w="976" w:type="pct"/>
            <w:shd w:val="clear" w:color="auto" w:fill="FFFFFF"/>
            <w:tcMar>
              <w:top w:w="0" w:type="dxa"/>
              <w:left w:w="67" w:type="dxa"/>
              <w:bottom w:w="0" w:type="dxa"/>
              <w:right w:w="67" w:type="dxa"/>
            </w:tcMar>
          </w:tcPr>
          <w:p w14:paraId="40858A1D"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5 (16.1%) 18</w:t>
            </w:r>
          </w:p>
        </w:tc>
        <w:tc>
          <w:tcPr>
            <w:tcW w:w="795" w:type="pct"/>
            <w:shd w:val="clear" w:color="auto" w:fill="FFFFFF"/>
            <w:tcMar>
              <w:top w:w="0" w:type="dxa"/>
              <w:left w:w="67" w:type="dxa"/>
              <w:bottom w:w="0" w:type="dxa"/>
              <w:right w:w="67" w:type="dxa"/>
            </w:tcMar>
          </w:tcPr>
          <w:p w14:paraId="5E1042C4"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Times New Roman"/>
                <w:color w:val="000000"/>
                <w:sz w:val="20"/>
                <w:szCs w:val="20"/>
              </w:rPr>
              <w:t>4 (12.9%) 25</w:t>
            </w:r>
          </w:p>
        </w:tc>
        <w:tc>
          <w:tcPr>
            <w:tcW w:w="797" w:type="pct"/>
            <w:tcBorders>
              <w:right w:val="single" w:sz="4" w:space="0" w:color="auto"/>
            </w:tcBorders>
            <w:shd w:val="clear" w:color="auto" w:fill="FFFFFF"/>
            <w:tcMar>
              <w:top w:w="0" w:type="dxa"/>
              <w:left w:w="67" w:type="dxa"/>
              <w:bottom w:w="0" w:type="dxa"/>
              <w:right w:w="67" w:type="dxa"/>
            </w:tcMar>
          </w:tcPr>
          <w:p w14:paraId="30DE36F1" w14:textId="77777777" w:rsidR="00E07CDE" w:rsidRPr="00CD4C4F" w:rsidRDefault="00E07CDE" w:rsidP="00CD4C4F">
            <w:pPr>
              <w:spacing w:before="67" w:after="67" w:line="240" w:lineRule="auto"/>
              <w:jc w:val="right"/>
              <w:rPr>
                <w:rFonts w:eastAsia="Times New Roman"/>
                <w:color w:val="000000"/>
                <w:sz w:val="20"/>
                <w:szCs w:val="20"/>
              </w:rPr>
            </w:pPr>
            <w:r w:rsidRPr="00CD4C4F">
              <w:rPr>
                <w:rFonts w:eastAsia="Calibri"/>
                <w:color w:val="000000"/>
                <w:sz w:val="20"/>
                <w:szCs w:val="20"/>
                <w:lang w:eastAsia="en-US"/>
              </w:rPr>
              <w:t>1 (3.2%) 28</w:t>
            </w:r>
          </w:p>
        </w:tc>
      </w:tr>
      <w:tr w:rsidR="00E07CDE" w:rsidRPr="00CD4C4F" w14:paraId="43ECFC5A" w14:textId="77777777" w:rsidTr="00CD4C4F">
        <w:trPr>
          <w:cantSplit/>
          <w:jc w:val="center"/>
        </w:trPr>
        <w:tc>
          <w:tcPr>
            <w:tcW w:w="2432" w:type="pct"/>
            <w:tcBorders>
              <w:top w:val="nil"/>
              <w:left w:val="single" w:sz="4" w:space="0" w:color="auto"/>
              <w:bottom w:val="single" w:sz="4" w:space="0" w:color="auto"/>
              <w:right w:val="nil"/>
            </w:tcBorders>
            <w:shd w:val="clear" w:color="auto" w:fill="FFFFFF"/>
            <w:tcMar>
              <w:top w:w="0" w:type="dxa"/>
              <w:left w:w="67" w:type="dxa"/>
              <w:bottom w:w="0" w:type="dxa"/>
              <w:right w:w="67" w:type="dxa"/>
            </w:tcMar>
            <w:hideMark/>
          </w:tcPr>
          <w:p w14:paraId="727C41D3" w14:textId="77777777" w:rsidR="00E07CDE" w:rsidRPr="00CD4C4F" w:rsidRDefault="00E07CDE" w:rsidP="00CD4C4F">
            <w:pPr>
              <w:keepNext/>
              <w:spacing w:before="67" w:after="67" w:line="240" w:lineRule="auto"/>
              <w:rPr>
                <w:rFonts w:eastAsia="Times New Roman"/>
                <w:color w:val="000000"/>
                <w:sz w:val="20"/>
                <w:szCs w:val="20"/>
              </w:rPr>
            </w:pPr>
            <w:r w:rsidRPr="00CD4C4F">
              <w:rPr>
                <w:rFonts w:eastAsia="Times New Roman"/>
                <w:color w:val="000000"/>
                <w:sz w:val="20"/>
                <w:szCs w:val="20"/>
              </w:rPr>
              <w:t>No</w:t>
            </w:r>
          </w:p>
        </w:tc>
        <w:tc>
          <w:tcPr>
            <w:tcW w:w="976" w:type="pct"/>
            <w:tcBorders>
              <w:bottom w:val="single" w:sz="4" w:space="0" w:color="auto"/>
            </w:tcBorders>
            <w:shd w:val="clear" w:color="auto" w:fill="FFFFFF"/>
            <w:tcMar>
              <w:top w:w="0" w:type="dxa"/>
              <w:left w:w="67" w:type="dxa"/>
              <w:bottom w:w="0" w:type="dxa"/>
              <w:right w:w="67" w:type="dxa"/>
            </w:tcMar>
          </w:tcPr>
          <w:p w14:paraId="23F61D5C"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8 (25.8%)</w:t>
            </w:r>
          </w:p>
        </w:tc>
        <w:tc>
          <w:tcPr>
            <w:tcW w:w="795" w:type="pct"/>
            <w:tcBorders>
              <w:bottom w:val="single" w:sz="4" w:space="0" w:color="auto"/>
            </w:tcBorders>
            <w:shd w:val="clear" w:color="auto" w:fill="FFFFFF"/>
            <w:tcMar>
              <w:top w:w="0" w:type="dxa"/>
              <w:left w:w="67" w:type="dxa"/>
              <w:bottom w:w="0" w:type="dxa"/>
              <w:right w:w="67" w:type="dxa"/>
            </w:tcMar>
          </w:tcPr>
          <w:p w14:paraId="33D126DE"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Times New Roman"/>
                <w:color w:val="000000"/>
                <w:sz w:val="20"/>
                <w:szCs w:val="20"/>
              </w:rPr>
              <w:t>2 (6.5%)</w:t>
            </w:r>
          </w:p>
        </w:tc>
        <w:tc>
          <w:tcPr>
            <w:tcW w:w="797" w:type="pct"/>
            <w:tcBorders>
              <w:bottom w:val="single" w:sz="4" w:space="0" w:color="auto"/>
              <w:right w:val="single" w:sz="4" w:space="0" w:color="auto"/>
            </w:tcBorders>
            <w:shd w:val="clear" w:color="auto" w:fill="FFFFFF"/>
            <w:tcMar>
              <w:top w:w="0" w:type="dxa"/>
              <w:left w:w="67" w:type="dxa"/>
              <w:bottom w:w="0" w:type="dxa"/>
              <w:right w:w="67" w:type="dxa"/>
            </w:tcMar>
          </w:tcPr>
          <w:p w14:paraId="79CCE152" w14:textId="77777777" w:rsidR="00E07CDE" w:rsidRPr="00CD4C4F" w:rsidRDefault="00E07CDE" w:rsidP="00CD4C4F">
            <w:pPr>
              <w:keepNext/>
              <w:spacing w:before="67" w:after="67" w:line="240" w:lineRule="auto"/>
              <w:jc w:val="right"/>
              <w:rPr>
                <w:rFonts w:eastAsia="Times New Roman"/>
                <w:color w:val="000000"/>
                <w:sz w:val="20"/>
                <w:szCs w:val="20"/>
              </w:rPr>
            </w:pPr>
            <w:r w:rsidRPr="00CD4C4F">
              <w:rPr>
                <w:rFonts w:eastAsia="Calibri"/>
                <w:color w:val="000000"/>
                <w:sz w:val="20"/>
                <w:szCs w:val="20"/>
                <w:lang w:eastAsia="en-US"/>
              </w:rPr>
              <w:t>2 (6.5%)</w:t>
            </w:r>
          </w:p>
        </w:tc>
      </w:tr>
    </w:tbl>
    <w:p w14:paraId="7599E262" w14:textId="77777777" w:rsidR="00E07CDE" w:rsidRPr="00563AD3" w:rsidRDefault="00E07CDE" w:rsidP="009B13F3">
      <w:pPr>
        <w:autoSpaceDE/>
        <w:autoSpaceDN/>
        <w:adjustRightInd/>
        <w:spacing w:before="120" w:after="0"/>
        <w:rPr>
          <w:rFonts w:eastAsia="Calibri"/>
          <w:sz w:val="24"/>
          <w:szCs w:val="24"/>
          <w:lang w:eastAsia="en-US"/>
        </w:rPr>
      </w:pPr>
    </w:p>
    <w:p w14:paraId="2B8EB3B4" w14:textId="40EF1CD6" w:rsidR="00E07CDE" w:rsidRPr="00563AD3" w:rsidRDefault="00E07CDE" w:rsidP="009B13F3">
      <w:pPr>
        <w:pStyle w:val="Heading3"/>
        <w:rPr>
          <w:rFonts w:eastAsia="Times New Roman"/>
          <w:lang w:eastAsia="en-US"/>
        </w:rPr>
      </w:pPr>
      <w:bookmarkStart w:id="302" w:name="_Toc525544067"/>
      <w:r w:rsidRPr="00563AD3">
        <w:rPr>
          <w:rFonts w:eastAsia="Times New Roman"/>
          <w:lang w:eastAsia="en-US"/>
        </w:rPr>
        <w:t>Resident deaths</w:t>
      </w:r>
      <w:bookmarkEnd w:id="302"/>
    </w:p>
    <w:p w14:paraId="1C90BBA9" w14:textId="2F0204BE" w:rsidR="00E07CDE" w:rsidRPr="00563AD3" w:rsidRDefault="00E07CDE" w:rsidP="00CD4C4F">
      <w:pPr>
        <w:pStyle w:val="Tableheading"/>
        <w:rPr>
          <w:rFonts w:eastAsia="Calibri"/>
          <w:lang w:eastAsia="en-US"/>
        </w:rPr>
      </w:pPr>
      <w:bookmarkStart w:id="303" w:name="_Toc948238"/>
      <w:r w:rsidRPr="00563AD3">
        <w:rPr>
          <w:rFonts w:eastAsia="Calibri"/>
          <w:lang w:eastAsia="en-US"/>
        </w:rPr>
        <w:t xml:space="preserve">Table </w:t>
      </w:r>
      <w:r w:rsidR="00B73A17">
        <w:rPr>
          <w:rFonts w:eastAsia="Calibri"/>
          <w:lang w:eastAsia="en-US"/>
        </w:rPr>
        <w:t>41</w:t>
      </w:r>
      <w:r w:rsidR="00B73A17" w:rsidRPr="00563AD3">
        <w:rPr>
          <w:rFonts w:eastAsia="Calibri"/>
          <w:lang w:eastAsia="en-US"/>
        </w:rPr>
        <w:t xml:space="preserve"> </w:t>
      </w:r>
      <w:r w:rsidRPr="00563AD3">
        <w:rPr>
          <w:rFonts w:eastAsia="Calibri"/>
          <w:lang w:eastAsia="en-US"/>
        </w:rPr>
        <w:t>Residents deaths by treatment arm</w:t>
      </w:r>
      <w:bookmarkEnd w:id="303"/>
    </w:p>
    <w:tbl>
      <w:tblPr>
        <w:tblW w:w="5000" w:type="pct"/>
        <w:jc w:val="center"/>
        <w:tblCellMar>
          <w:left w:w="0" w:type="dxa"/>
          <w:right w:w="0" w:type="dxa"/>
        </w:tblCellMar>
        <w:tblLook w:val="0000" w:firstRow="0" w:lastRow="0" w:firstColumn="0" w:lastColumn="0" w:noHBand="0" w:noVBand="0"/>
      </w:tblPr>
      <w:tblGrid>
        <w:gridCol w:w="3680"/>
        <w:gridCol w:w="1778"/>
        <w:gridCol w:w="1778"/>
        <w:gridCol w:w="1780"/>
      </w:tblGrid>
      <w:tr w:rsidR="00E07CDE" w:rsidRPr="00563AD3" w14:paraId="6D79B0CE" w14:textId="77777777" w:rsidTr="00CD4C4F">
        <w:trPr>
          <w:cantSplit/>
          <w:tblHeader/>
          <w:jc w:val="center"/>
        </w:trPr>
        <w:tc>
          <w:tcPr>
            <w:tcW w:w="5000" w:type="pct"/>
            <w:gridSpan w:val="4"/>
            <w:tcBorders>
              <w:top w:val="single" w:sz="4" w:space="0" w:color="auto"/>
              <w:left w:val="single" w:sz="4" w:space="0" w:color="auto"/>
              <w:bottom w:val="nil"/>
              <w:right w:val="single" w:sz="4" w:space="0" w:color="auto"/>
            </w:tcBorders>
            <w:shd w:val="clear" w:color="auto" w:fill="FFFFFF"/>
            <w:tcMar>
              <w:left w:w="67" w:type="dxa"/>
              <w:right w:w="67" w:type="dxa"/>
            </w:tcMar>
            <w:vAlign w:val="bottom"/>
          </w:tcPr>
          <w:p w14:paraId="777C0FDE" w14:textId="77777777" w:rsidR="00E07CDE" w:rsidRPr="00563AD3" w:rsidRDefault="00E07CDE" w:rsidP="00CD4C4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Residents deaths by treatment arm</w:t>
            </w:r>
          </w:p>
        </w:tc>
      </w:tr>
      <w:tr w:rsidR="00E07CDE" w:rsidRPr="00563AD3" w14:paraId="4CE24215" w14:textId="77777777" w:rsidTr="00CD4C4F">
        <w:trPr>
          <w:cantSplit/>
          <w:tblHeader/>
          <w:jc w:val="center"/>
        </w:trPr>
        <w:tc>
          <w:tcPr>
            <w:tcW w:w="2041" w:type="pct"/>
            <w:tcBorders>
              <w:top w:val="nil"/>
              <w:left w:val="single" w:sz="4" w:space="0" w:color="auto"/>
              <w:bottom w:val="single" w:sz="4" w:space="0" w:color="000000"/>
              <w:right w:val="nil"/>
            </w:tcBorders>
            <w:shd w:val="clear" w:color="auto" w:fill="FFFFFF"/>
            <w:tcMar>
              <w:left w:w="67" w:type="dxa"/>
              <w:right w:w="67" w:type="dxa"/>
            </w:tcMar>
            <w:vAlign w:val="bottom"/>
          </w:tcPr>
          <w:p w14:paraId="7080C419" w14:textId="77777777" w:rsidR="00E07CDE" w:rsidRPr="00563AD3" w:rsidRDefault="00E07CDE" w:rsidP="00CD4C4F">
            <w:pPr>
              <w:keepNext/>
              <w:spacing w:before="67" w:after="67" w:line="240" w:lineRule="auto"/>
              <w:rPr>
                <w:rFonts w:eastAsia="Times New Roman"/>
                <w:b/>
                <w:bCs/>
                <w:color w:val="000000"/>
                <w:sz w:val="20"/>
                <w:szCs w:val="20"/>
              </w:rPr>
            </w:pPr>
          </w:p>
        </w:tc>
        <w:tc>
          <w:tcPr>
            <w:tcW w:w="986" w:type="pct"/>
            <w:tcBorders>
              <w:top w:val="nil"/>
              <w:left w:val="nil"/>
              <w:bottom w:val="single" w:sz="4" w:space="0" w:color="000000"/>
              <w:right w:val="nil"/>
            </w:tcBorders>
            <w:shd w:val="clear" w:color="auto" w:fill="FFFFFF"/>
            <w:tcMar>
              <w:left w:w="67" w:type="dxa"/>
              <w:right w:w="67" w:type="dxa"/>
            </w:tcMar>
            <w:vAlign w:val="bottom"/>
          </w:tcPr>
          <w:p w14:paraId="16EFD744" w14:textId="77777777" w:rsidR="00E07CDE" w:rsidRPr="00563AD3" w:rsidRDefault="00E07CDE" w:rsidP="00CD4C4F">
            <w:pPr>
              <w:keepNext/>
              <w:spacing w:before="67" w:after="67" w:line="240" w:lineRule="auto"/>
              <w:jc w:val="right"/>
              <w:rPr>
                <w:rFonts w:eastAsia="Times New Roman"/>
                <w:b/>
                <w:bCs/>
                <w:color w:val="000000"/>
                <w:sz w:val="20"/>
                <w:szCs w:val="20"/>
              </w:rPr>
            </w:pPr>
            <w:r w:rsidRPr="00563AD3">
              <w:rPr>
                <w:rFonts w:eastAsia="Times New Roman"/>
                <w:b/>
                <w:bCs/>
                <w:color w:val="000000"/>
                <w:sz w:val="20"/>
                <w:szCs w:val="20"/>
              </w:rPr>
              <w:t>Control (n=308)</w:t>
            </w:r>
          </w:p>
        </w:tc>
        <w:tc>
          <w:tcPr>
            <w:tcW w:w="986" w:type="pct"/>
            <w:tcBorders>
              <w:top w:val="nil"/>
              <w:left w:val="nil"/>
              <w:bottom w:val="single" w:sz="4" w:space="0" w:color="000000"/>
              <w:right w:val="nil"/>
            </w:tcBorders>
            <w:shd w:val="clear" w:color="auto" w:fill="FFFFFF"/>
            <w:tcMar>
              <w:left w:w="67" w:type="dxa"/>
              <w:right w:w="67" w:type="dxa"/>
            </w:tcMar>
            <w:vAlign w:val="bottom"/>
          </w:tcPr>
          <w:p w14:paraId="0A21F9A3" w14:textId="77777777" w:rsidR="00E07CDE" w:rsidRPr="00563AD3" w:rsidRDefault="00E07CDE" w:rsidP="00CD4C4F">
            <w:pPr>
              <w:keepNext/>
              <w:spacing w:before="67" w:after="67" w:line="240" w:lineRule="auto"/>
              <w:jc w:val="right"/>
              <w:rPr>
                <w:rFonts w:eastAsia="Times New Roman"/>
                <w:b/>
                <w:bCs/>
                <w:color w:val="000000"/>
                <w:sz w:val="20"/>
                <w:szCs w:val="20"/>
              </w:rPr>
            </w:pPr>
            <w:r w:rsidRPr="00563AD3">
              <w:rPr>
                <w:rFonts w:eastAsia="Times New Roman"/>
                <w:b/>
                <w:bCs/>
                <w:color w:val="000000"/>
                <w:sz w:val="20"/>
                <w:szCs w:val="20"/>
              </w:rPr>
              <w:t>Intervention (n=418)</w:t>
            </w:r>
          </w:p>
        </w:tc>
        <w:tc>
          <w:tcPr>
            <w:tcW w:w="987" w:type="pct"/>
            <w:tcBorders>
              <w:top w:val="nil"/>
              <w:left w:val="nil"/>
              <w:bottom w:val="single" w:sz="4" w:space="0" w:color="000000"/>
              <w:right w:val="single" w:sz="4" w:space="0" w:color="auto"/>
            </w:tcBorders>
            <w:shd w:val="clear" w:color="auto" w:fill="FFFFFF"/>
            <w:tcMar>
              <w:left w:w="67" w:type="dxa"/>
              <w:right w:w="67" w:type="dxa"/>
            </w:tcMar>
            <w:vAlign w:val="bottom"/>
          </w:tcPr>
          <w:p w14:paraId="5472A2F4" w14:textId="77777777" w:rsidR="00E07CDE" w:rsidRPr="00563AD3" w:rsidRDefault="00E07CDE" w:rsidP="00CD4C4F">
            <w:pPr>
              <w:keepNext/>
              <w:spacing w:before="67" w:after="67" w:line="240" w:lineRule="auto"/>
              <w:jc w:val="right"/>
              <w:rPr>
                <w:rFonts w:eastAsia="Times New Roman"/>
                <w:b/>
                <w:bCs/>
                <w:color w:val="000000"/>
                <w:sz w:val="20"/>
                <w:szCs w:val="20"/>
              </w:rPr>
            </w:pPr>
            <w:r w:rsidRPr="00563AD3">
              <w:rPr>
                <w:rFonts w:eastAsia="Times New Roman"/>
                <w:b/>
                <w:bCs/>
                <w:color w:val="000000"/>
                <w:sz w:val="20"/>
                <w:szCs w:val="20"/>
              </w:rPr>
              <w:t>Total (n=726)</w:t>
            </w:r>
          </w:p>
        </w:tc>
      </w:tr>
      <w:tr w:rsidR="00E07CDE" w:rsidRPr="00563AD3" w14:paraId="6EF151DE" w14:textId="77777777" w:rsidTr="00CD4C4F">
        <w:trPr>
          <w:cantSplit/>
          <w:jc w:val="center"/>
        </w:trPr>
        <w:tc>
          <w:tcPr>
            <w:tcW w:w="2041" w:type="pct"/>
            <w:tcBorders>
              <w:top w:val="nil"/>
              <w:left w:val="single" w:sz="4" w:space="0" w:color="auto"/>
              <w:bottom w:val="nil"/>
              <w:right w:val="nil"/>
            </w:tcBorders>
            <w:shd w:val="clear" w:color="auto" w:fill="FFFFFF"/>
            <w:tcMar>
              <w:left w:w="67" w:type="dxa"/>
              <w:right w:w="67" w:type="dxa"/>
            </w:tcMar>
          </w:tcPr>
          <w:p w14:paraId="1F0DF87F" w14:textId="77777777" w:rsidR="00E07CDE" w:rsidRPr="00563AD3" w:rsidRDefault="00E07CDE" w:rsidP="00CD4C4F">
            <w:pPr>
              <w:spacing w:before="67" w:after="67" w:line="240" w:lineRule="auto"/>
              <w:rPr>
                <w:rFonts w:eastAsia="Times New Roman"/>
                <w:color w:val="000000"/>
                <w:sz w:val="20"/>
                <w:szCs w:val="20"/>
              </w:rPr>
            </w:pPr>
            <w:r w:rsidRPr="00563AD3">
              <w:rPr>
                <w:rFonts w:eastAsia="Times New Roman"/>
                <w:b/>
                <w:bCs/>
                <w:color w:val="000000"/>
                <w:sz w:val="20"/>
                <w:szCs w:val="20"/>
              </w:rPr>
              <w:t>Died</w:t>
            </w:r>
          </w:p>
        </w:tc>
        <w:tc>
          <w:tcPr>
            <w:tcW w:w="986" w:type="pct"/>
            <w:tcBorders>
              <w:top w:val="nil"/>
              <w:left w:val="nil"/>
              <w:bottom w:val="nil"/>
              <w:right w:val="nil"/>
            </w:tcBorders>
            <w:shd w:val="clear" w:color="auto" w:fill="FFFFFF"/>
            <w:tcMar>
              <w:left w:w="67" w:type="dxa"/>
              <w:right w:w="67" w:type="dxa"/>
            </w:tcMar>
          </w:tcPr>
          <w:p w14:paraId="7602E3F2" w14:textId="77777777" w:rsidR="00E07CDE" w:rsidRPr="00563AD3" w:rsidRDefault="00E07CDE" w:rsidP="00CD4C4F">
            <w:pPr>
              <w:spacing w:before="67" w:after="67" w:line="240" w:lineRule="auto"/>
              <w:jc w:val="right"/>
              <w:rPr>
                <w:rFonts w:eastAsia="Times New Roman"/>
                <w:color w:val="000000"/>
                <w:sz w:val="20"/>
                <w:szCs w:val="20"/>
              </w:rPr>
            </w:pPr>
            <w:r w:rsidRPr="00563AD3">
              <w:rPr>
                <w:rFonts w:eastAsia="Times New Roman"/>
                <w:color w:val="000000"/>
                <w:sz w:val="20"/>
                <w:szCs w:val="20"/>
              </w:rPr>
              <w:t>111 (36.0%)</w:t>
            </w:r>
          </w:p>
        </w:tc>
        <w:tc>
          <w:tcPr>
            <w:tcW w:w="986" w:type="pct"/>
            <w:tcBorders>
              <w:top w:val="nil"/>
              <w:left w:val="nil"/>
              <w:bottom w:val="nil"/>
              <w:right w:val="nil"/>
            </w:tcBorders>
            <w:shd w:val="clear" w:color="auto" w:fill="FFFFFF"/>
            <w:tcMar>
              <w:left w:w="67" w:type="dxa"/>
              <w:right w:w="67" w:type="dxa"/>
            </w:tcMar>
          </w:tcPr>
          <w:p w14:paraId="67EFA383" w14:textId="77777777" w:rsidR="00E07CDE" w:rsidRPr="00563AD3" w:rsidRDefault="00E07CDE" w:rsidP="00CD4C4F">
            <w:pPr>
              <w:spacing w:before="67" w:after="67" w:line="240" w:lineRule="auto"/>
              <w:jc w:val="right"/>
              <w:rPr>
                <w:rFonts w:eastAsia="Times New Roman"/>
                <w:color w:val="000000"/>
                <w:sz w:val="20"/>
                <w:szCs w:val="20"/>
              </w:rPr>
            </w:pPr>
            <w:r w:rsidRPr="00563AD3">
              <w:rPr>
                <w:rFonts w:eastAsia="Times New Roman"/>
                <w:color w:val="000000"/>
                <w:sz w:val="20"/>
                <w:szCs w:val="20"/>
              </w:rPr>
              <w:t>161 (38.5%)</w:t>
            </w:r>
          </w:p>
        </w:tc>
        <w:tc>
          <w:tcPr>
            <w:tcW w:w="987" w:type="pct"/>
            <w:tcBorders>
              <w:top w:val="nil"/>
              <w:left w:val="nil"/>
              <w:bottom w:val="nil"/>
              <w:right w:val="single" w:sz="4" w:space="0" w:color="auto"/>
            </w:tcBorders>
            <w:shd w:val="clear" w:color="auto" w:fill="FFFFFF"/>
            <w:tcMar>
              <w:left w:w="67" w:type="dxa"/>
              <w:right w:w="67" w:type="dxa"/>
            </w:tcMar>
          </w:tcPr>
          <w:p w14:paraId="6F60C84E" w14:textId="77777777" w:rsidR="00E07CDE" w:rsidRPr="00563AD3" w:rsidRDefault="00E07CDE" w:rsidP="00CD4C4F">
            <w:pPr>
              <w:spacing w:before="67" w:after="67" w:line="240" w:lineRule="auto"/>
              <w:jc w:val="right"/>
              <w:rPr>
                <w:rFonts w:eastAsia="Times New Roman"/>
                <w:color w:val="000000"/>
                <w:sz w:val="20"/>
                <w:szCs w:val="20"/>
              </w:rPr>
            </w:pPr>
            <w:r w:rsidRPr="00563AD3">
              <w:rPr>
                <w:rFonts w:eastAsia="Times New Roman"/>
                <w:color w:val="000000"/>
                <w:sz w:val="20"/>
                <w:szCs w:val="20"/>
              </w:rPr>
              <w:t>272 (37.5%)</w:t>
            </w:r>
          </w:p>
        </w:tc>
      </w:tr>
      <w:tr w:rsidR="00E07CDE" w:rsidRPr="00563AD3" w14:paraId="6C9D0107" w14:textId="77777777" w:rsidTr="00CD4C4F">
        <w:trPr>
          <w:cantSplit/>
          <w:jc w:val="center"/>
        </w:trPr>
        <w:tc>
          <w:tcPr>
            <w:tcW w:w="2041" w:type="pct"/>
            <w:tcBorders>
              <w:top w:val="nil"/>
              <w:left w:val="single" w:sz="4" w:space="0" w:color="auto"/>
              <w:bottom w:val="nil"/>
              <w:right w:val="nil"/>
            </w:tcBorders>
            <w:shd w:val="clear" w:color="auto" w:fill="FFFFFF"/>
            <w:tcMar>
              <w:left w:w="67" w:type="dxa"/>
              <w:right w:w="67" w:type="dxa"/>
            </w:tcMar>
          </w:tcPr>
          <w:p w14:paraId="3ADEA377" w14:textId="77777777" w:rsidR="00E07CDE" w:rsidRPr="00563AD3" w:rsidRDefault="00E07CDE" w:rsidP="00CD4C4F">
            <w:pPr>
              <w:spacing w:before="67" w:after="67" w:line="240" w:lineRule="auto"/>
              <w:rPr>
                <w:rFonts w:eastAsia="Times New Roman"/>
                <w:b/>
                <w:bCs/>
                <w:color w:val="000000"/>
                <w:sz w:val="20"/>
                <w:szCs w:val="20"/>
              </w:rPr>
            </w:pPr>
            <w:r w:rsidRPr="00563AD3">
              <w:rPr>
                <w:rFonts w:eastAsia="Times New Roman"/>
                <w:b/>
                <w:bCs/>
                <w:color w:val="000000"/>
                <w:sz w:val="20"/>
                <w:szCs w:val="20"/>
              </w:rPr>
              <w:t>Place of death</w:t>
            </w:r>
          </w:p>
        </w:tc>
        <w:tc>
          <w:tcPr>
            <w:tcW w:w="986" w:type="pct"/>
            <w:tcBorders>
              <w:top w:val="nil"/>
              <w:left w:val="nil"/>
              <w:bottom w:val="nil"/>
              <w:right w:val="nil"/>
            </w:tcBorders>
            <w:shd w:val="clear" w:color="auto" w:fill="FFFFFF"/>
            <w:tcMar>
              <w:left w:w="67" w:type="dxa"/>
              <w:right w:w="67" w:type="dxa"/>
            </w:tcMar>
          </w:tcPr>
          <w:p w14:paraId="0A31E2C7" w14:textId="77777777" w:rsidR="00E07CDE" w:rsidRPr="00563AD3" w:rsidRDefault="00E07CDE" w:rsidP="00CD4C4F">
            <w:pPr>
              <w:spacing w:before="67" w:after="67" w:line="240" w:lineRule="auto"/>
              <w:jc w:val="right"/>
              <w:rPr>
                <w:rFonts w:eastAsia="Times New Roman"/>
                <w:color w:val="000000"/>
                <w:sz w:val="20"/>
                <w:szCs w:val="20"/>
              </w:rPr>
            </w:pPr>
          </w:p>
        </w:tc>
        <w:tc>
          <w:tcPr>
            <w:tcW w:w="986" w:type="pct"/>
            <w:tcBorders>
              <w:top w:val="nil"/>
              <w:left w:val="nil"/>
              <w:bottom w:val="nil"/>
              <w:right w:val="nil"/>
            </w:tcBorders>
            <w:shd w:val="clear" w:color="auto" w:fill="FFFFFF"/>
            <w:tcMar>
              <w:left w:w="67" w:type="dxa"/>
              <w:right w:w="67" w:type="dxa"/>
            </w:tcMar>
          </w:tcPr>
          <w:p w14:paraId="36D597E7" w14:textId="77777777" w:rsidR="00E07CDE" w:rsidRPr="00563AD3" w:rsidRDefault="00E07CDE" w:rsidP="00CD4C4F">
            <w:pPr>
              <w:spacing w:before="67" w:after="67" w:line="240" w:lineRule="auto"/>
              <w:jc w:val="right"/>
              <w:rPr>
                <w:rFonts w:eastAsia="Times New Roman"/>
                <w:color w:val="000000"/>
                <w:sz w:val="20"/>
                <w:szCs w:val="20"/>
              </w:rPr>
            </w:pPr>
          </w:p>
        </w:tc>
        <w:tc>
          <w:tcPr>
            <w:tcW w:w="987" w:type="pct"/>
            <w:tcBorders>
              <w:top w:val="nil"/>
              <w:left w:val="nil"/>
              <w:bottom w:val="nil"/>
              <w:right w:val="single" w:sz="4" w:space="0" w:color="auto"/>
            </w:tcBorders>
            <w:shd w:val="clear" w:color="auto" w:fill="FFFFFF"/>
            <w:tcMar>
              <w:left w:w="67" w:type="dxa"/>
              <w:right w:w="67" w:type="dxa"/>
            </w:tcMar>
          </w:tcPr>
          <w:p w14:paraId="3B3147D1" w14:textId="77777777" w:rsidR="00E07CDE" w:rsidRPr="00563AD3" w:rsidRDefault="00E07CDE" w:rsidP="00CD4C4F">
            <w:pPr>
              <w:spacing w:before="67" w:after="67" w:line="240" w:lineRule="auto"/>
              <w:jc w:val="right"/>
              <w:rPr>
                <w:rFonts w:eastAsia="Times New Roman"/>
                <w:color w:val="000000"/>
                <w:sz w:val="20"/>
                <w:szCs w:val="20"/>
              </w:rPr>
            </w:pPr>
          </w:p>
        </w:tc>
      </w:tr>
      <w:tr w:rsidR="00E07CDE" w:rsidRPr="00563AD3" w14:paraId="6F2836A8" w14:textId="77777777" w:rsidTr="00CD4C4F">
        <w:trPr>
          <w:cantSplit/>
          <w:jc w:val="center"/>
        </w:trPr>
        <w:tc>
          <w:tcPr>
            <w:tcW w:w="2041" w:type="pct"/>
            <w:tcBorders>
              <w:top w:val="nil"/>
              <w:left w:val="single" w:sz="4" w:space="0" w:color="auto"/>
              <w:bottom w:val="nil"/>
              <w:right w:val="nil"/>
            </w:tcBorders>
            <w:shd w:val="clear" w:color="auto" w:fill="FFFFFF"/>
            <w:tcMar>
              <w:left w:w="67" w:type="dxa"/>
              <w:right w:w="67" w:type="dxa"/>
            </w:tcMar>
          </w:tcPr>
          <w:p w14:paraId="5E3D5D28" w14:textId="77777777" w:rsidR="00E07CDE" w:rsidRPr="00563AD3" w:rsidRDefault="00E07CDE" w:rsidP="00CD4C4F">
            <w:pPr>
              <w:spacing w:before="67" w:after="67" w:line="240" w:lineRule="auto"/>
              <w:rPr>
                <w:rFonts w:eastAsia="Times New Roman"/>
                <w:color w:val="000000"/>
                <w:sz w:val="20"/>
                <w:szCs w:val="20"/>
              </w:rPr>
            </w:pPr>
            <w:r w:rsidRPr="00563AD3">
              <w:rPr>
                <w:rFonts w:eastAsia="Times New Roman"/>
                <w:color w:val="000000"/>
                <w:sz w:val="20"/>
                <w:szCs w:val="20"/>
              </w:rPr>
              <w:t>Care home</w:t>
            </w:r>
          </w:p>
        </w:tc>
        <w:tc>
          <w:tcPr>
            <w:tcW w:w="986" w:type="pct"/>
            <w:tcBorders>
              <w:top w:val="nil"/>
              <w:left w:val="nil"/>
              <w:bottom w:val="nil"/>
              <w:right w:val="nil"/>
            </w:tcBorders>
            <w:shd w:val="clear" w:color="auto" w:fill="FFFFFF"/>
            <w:tcMar>
              <w:left w:w="67" w:type="dxa"/>
              <w:right w:w="67" w:type="dxa"/>
            </w:tcMar>
          </w:tcPr>
          <w:p w14:paraId="732BABDC" w14:textId="77777777" w:rsidR="00E07CDE" w:rsidRPr="00563AD3" w:rsidRDefault="00E07CDE" w:rsidP="00CD4C4F">
            <w:pPr>
              <w:spacing w:before="67" w:after="67" w:line="240" w:lineRule="auto"/>
              <w:jc w:val="right"/>
              <w:rPr>
                <w:rFonts w:eastAsia="Times New Roman"/>
                <w:color w:val="000000"/>
                <w:sz w:val="20"/>
                <w:szCs w:val="20"/>
              </w:rPr>
            </w:pPr>
            <w:r w:rsidRPr="00563AD3">
              <w:rPr>
                <w:rFonts w:eastAsia="Times New Roman"/>
                <w:color w:val="000000"/>
                <w:sz w:val="20"/>
                <w:szCs w:val="20"/>
              </w:rPr>
              <w:t>89 (80.2%)</w:t>
            </w:r>
          </w:p>
        </w:tc>
        <w:tc>
          <w:tcPr>
            <w:tcW w:w="986" w:type="pct"/>
            <w:tcBorders>
              <w:top w:val="nil"/>
              <w:left w:val="nil"/>
              <w:bottom w:val="nil"/>
              <w:right w:val="nil"/>
            </w:tcBorders>
            <w:shd w:val="clear" w:color="auto" w:fill="FFFFFF"/>
            <w:tcMar>
              <w:left w:w="67" w:type="dxa"/>
              <w:right w:w="67" w:type="dxa"/>
            </w:tcMar>
          </w:tcPr>
          <w:p w14:paraId="6D6CF913" w14:textId="77777777" w:rsidR="00E07CDE" w:rsidRPr="00563AD3" w:rsidRDefault="00E07CDE" w:rsidP="00CD4C4F">
            <w:pPr>
              <w:spacing w:before="67" w:after="67" w:line="240" w:lineRule="auto"/>
              <w:jc w:val="right"/>
              <w:rPr>
                <w:rFonts w:eastAsia="Times New Roman"/>
                <w:color w:val="000000"/>
                <w:sz w:val="20"/>
                <w:szCs w:val="20"/>
              </w:rPr>
            </w:pPr>
            <w:r w:rsidRPr="00563AD3">
              <w:rPr>
                <w:rFonts w:eastAsia="Times New Roman"/>
                <w:color w:val="000000"/>
                <w:sz w:val="20"/>
                <w:szCs w:val="20"/>
              </w:rPr>
              <w:t>135 (83.9%)</w:t>
            </w:r>
          </w:p>
        </w:tc>
        <w:tc>
          <w:tcPr>
            <w:tcW w:w="987" w:type="pct"/>
            <w:tcBorders>
              <w:top w:val="nil"/>
              <w:left w:val="nil"/>
              <w:bottom w:val="nil"/>
              <w:right w:val="single" w:sz="4" w:space="0" w:color="auto"/>
            </w:tcBorders>
            <w:shd w:val="clear" w:color="auto" w:fill="FFFFFF"/>
            <w:tcMar>
              <w:left w:w="67" w:type="dxa"/>
              <w:right w:w="67" w:type="dxa"/>
            </w:tcMar>
          </w:tcPr>
          <w:p w14:paraId="089C4C4F" w14:textId="77777777" w:rsidR="00E07CDE" w:rsidRPr="00563AD3" w:rsidRDefault="00E07CDE" w:rsidP="00CD4C4F">
            <w:pPr>
              <w:spacing w:before="67" w:after="67" w:line="240" w:lineRule="auto"/>
              <w:jc w:val="right"/>
              <w:rPr>
                <w:rFonts w:eastAsia="Times New Roman"/>
                <w:color w:val="000000"/>
                <w:sz w:val="20"/>
                <w:szCs w:val="20"/>
              </w:rPr>
            </w:pPr>
            <w:r w:rsidRPr="00563AD3">
              <w:rPr>
                <w:rFonts w:eastAsia="Times New Roman"/>
                <w:color w:val="000000"/>
                <w:sz w:val="20"/>
                <w:szCs w:val="20"/>
              </w:rPr>
              <w:t>224 (82.4%)</w:t>
            </w:r>
          </w:p>
        </w:tc>
      </w:tr>
      <w:tr w:rsidR="00E07CDE" w:rsidRPr="00563AD3" w14:paraId="4DE6E261" w14:textId="77777777" w:rsidTr="00CD4C4F">
        <w:trPr>
          <w:cantSplit/>
          <w:jc w:val="center"/>
        </w:trPr>
        <w:tc>
          <w:tcPr>
            <w:tcW w:w="2041" w:type="pct"/>
            <w:tcBorders>
              <w:top w:val="nil"/>
              <w:left w:val="single" w:sz="4" w:space="0" w:color="auto"/>
              <w:bottom w:val="nil"/>
              <w:right w:val="nil"/>
            </w:tcBorders>
            <w:shd w:val="clear" w:color="auto" w:fill="FFFFFF"/>
            <w:tcMar>
              <w:left w:w="67" w:type="dxa"/>
              <w:right w:w="67" w:type="dxa"/>
            </w:tcMar>
          </w:tcPr>
          <w:p w14:paraId="74C5C191" w14:textId="77777777" w:rsidR="00E07CDE" w:rsidRPr="00563AD3" w:rsidRDefault="00E07CDE" w:rsidP="00CD4C4F">
            <w:pPr>
              <w:spacing w:before="67" w:after="67" w:line="240" w:lineRule="auto"/>
              <w:rPr>
                <w:rFonts w:eastAsia="Times New Roman"/>
                <w:color w:val="000000"/>
                <w:sz w:val="20"/>
                <w:szCs w:val="20"/>
              </w:rPr>
            </w:pPr>
            <w:r w:rsidRPr="00563AD3">
              <w:rPr>
                <w:rFonts w:eastAsia="Times New Roman"/>
                <w:color w:val="000000"/>
                <w:sz w:val="20"/>
                <w:szCs w:val="20"/>
              </w:rPr>
              <w:t>Hospital</w:t>
            </w:r>
          </w:p>
        </w:tc>
        <w:tc>
          <w:tcPr>
            <w:tcW w:w="986" w:type="pct"/>
            <w:tcBorders>
              <w:top w:val="nil"/>
              <w:left w:val="nil"/>
              <w:bottom w:val="nil"/>
              <w:right w:val="nil"/>
            </w:tcBorders>
            <w:shd w:val="clear" w:color="auto" w:fill="FFFFFF"/>
            <w:tcMar>
              <w:left w:w="67" w:type="dxa"/>
              <w:right w:w="67" w:type="dxa"/>
            </w:tcMar>
          </w:tcPr>
          <w:p w14:paraId="619FBF4D" w14:textId="77777777" w:rsidR="00E07CDE" w:rsidRPr="00563AD3" w:rsidRDefault="00E07CDE" w:rsidP="00CD4C4F">
            <w:pPr>
              <w:spacing w:before="67" w:after="67" w:line="240" w:lineRule="auto"/>
              <w:jc w:val="right"/>
              <w:rPr>
                <w:rFonts w:eastAsia="Times New Roman"/>
                <w:color w:val="000000"/>
                <w:sz w:val="20"/>
                <w:szCs w:val="20"/>
              </w:rPr>
            </w:pPr>
            <w:r w:rsidRPr="00563AD3">
              <w:rPr>
                <w:rFonts w:eastAsia="Times New Roman"/>
                <w:color w:val="000000"/>
                <w:sz w:val="20"/>
                <w:szCs w:val="20"/>
              </w:rPr>
              <w:t>22 (19.8%)</w:t>
            </w:r>
          </w:p>
        </w:tc>
        <w:tc>
          <w:tcPr>
            <w:tcW w:w="986" w:type="pct"/>
            <w:tcBorders>
              <w:top w:val="nil"/>
              <w:left w:val="nil"/>
              <w:bottom w:val="nil"/>
              <w:right w:val="nil"/>
            </w:tcBorders>
            <w:shd w:val="clear" w:color="auto" w:fill="FFFFFF"/>
            <w:tcMar>
              <w:left w:w="67" w:type="dxa"/>
              <w:right w:w="67" w:type="dxa"/>
            </w:tcMar>
          </w:tcPr>
          <w:p w14:paraId="487ACEE7" w14:textId="77777777" w:rsidR="00E07CDE" w:rsidRPr="00563AD3" w:rsidRDefault="00E07CDE" w:rsidP="00CD4C4F">
            <w:pPr>
              <w:spacing w:before="67" w:after="67" w:line="240" w:lineRule="auto"/>
              <w:jc w:val="right"/>
              <w:rPr>
                <w:rFonts w:eastAsia="Times New Roman"/>
                <w:color w:val="000000"/>
                <w:sz w:val="20"/>
                <w:szCs w:val="20"/>
              </w:rPr>
            </w:pPr>
            <w:r w:rsidRPr="00563AD3">
              <w:rPr>
                <w:rFonts w:eastAsia="Times New Roman"/>
                <w:color w:val="000000"/>
                <w:sz w:val="20"/>
                <w:szCs w:val="20"/>
              </w:rPr>
              <w:t>26 (16.1%)</w:t>
            </w:r>
          </w:p>
        </w:tc>
        <w:tc>
          <w:tcPr>
            <w:tcW w:w="987" w:type="pct"/>
            <w:tcBorders>
              <w:top w:val="nil"/>
              <w:left w:val="nil"/>
              <w:bottom w:val="nil"/>
              <w:right w:val="single" w:sz="4" w:space="0" w:color="auto"/>
            </w:tcBorders>
            <w:shd w:val="clear" w:color="auto" w:fill="FFFFFF"/>
            <w:tcMar>
              <w:left w:w="67" w:type="dxa"/>
              <w:right w:w="67" w:type="dxa"/>
            </w:tcMar>
          </w:tcPr>
          <w:p w14:paraId="2A605D45" w14:textId="77777777" w:rsidR="00E07CDE" w:rsidRPr="00563AD3" w:rsidRDefault="00E07CDE" w:rsidP="00CD4C4F">
            <w:pPr>
              <w:spacing w:before="67" w:after="67" w:line="240" w:lineRule="auto"/>
              <w:jc w:val="right"/>
              <w:rPr>
                <w:rFonts w:eastAsia="Times New Roman"/>
                <w:color w:val="000000"/>
                <w:sz w:val="20"/>
                <w:szCs w:val="20"/>
              </w:rPr>
            </w:pPr>
            <w:r w:rsidRPr="00563AD3">
              <w:rPr>
                <w:rFonts w:eastAsia="Times New Roman"/>
                <w:color w:val="000000"/>
                <w:sz w:val="20"/>
                <w:szCs w:val="20"/>
              </w:rPr>
              <w:t>48 (17.6%)</w:t>
            </w:r>
          </w:p>
        </w:tc>
      </w:tr>
      <w:tr w:rsidR="00E07CDE" w:rsidRPr="00563AD3" w14:paraId="11F9A02B" w14:textId="77777777" w:rsidTr="00CD4C4F">
        <w:trPr>
          <w:cantSplit/>
          <w:jc w:val="center"/>
        </w:trPr>
        <w:tc>
          <w:tcPr>
            <w:tcW w:w="2041" w:type="pct"/>
            <w:tcBorders>
              <w:top w:val="nil"/>
              <w:left w:val="single" w:sz="4" w:space="0" w:color="auto"/>
              <w:bottom w:val="nil"/>
              <w:right w:val="nil"/>
            </w:tcBorders>
            <w:shd w:val="clear" w:color="auto" w:fill="FFFFFF"/>
            <w:tcMar>
              <w:left w:w="67" w:type="dxa"/>
              <w:right w:w="67" w:type="dxa"/>
            </w:tcMar>
          </w:tcPr>
          <w:p w14:paraId="2D877390" w14:textId="25BD6961" w:rsidR="00E07CDE" w:rsidRPr="00563AD3" w:rsidRDefault="00E07CDE" w:rsidP="00CD4C4F">
            <w:pPr>
              <w:spacing w:before="67" w:after="67" w:line="240" w:lineRule="auto"/>
              <w:rPr>
                <w:rFonts w:eastAsia="Times New Roman"/>
                <w:b/>
                <w:bCs/>
                <w:color w:val="000000"/>
                <w:sz w:val="20"/>
                <w:szCs w:val="20"/>
              </w:rPr>
            </w:pPr>
            <w:r w:rsidRPr="00563AD3">
              <w:rPr>
                <w:rFonts w:eastAsia="Times New Roman"/>
                <w:b/>
                <w:bCs/>
                <w:color w:val="000000"/>
                <w:sz w:val="20"/>
                <w:szCs w:val="20"/>
              </w:rPr>
              <w:t>Average proportion of deaths per CH at 16</w:t>
            </w:r>
            <w:r w:rsidR="00B80810">
              <w:rPr>
                <w:rFonts w:eastAsia="Times New Roman"/>
                <w:b/>
                <w:bCs/>
                <w:color w:val="000000"/>
                <w:sz w:val="20"/>
                <w:szCs w:val="20"/>
              </w:rPr>
              <w:t>-months</w:t>
            </w:r>
          </w:p>
        </w:tc>
        <w:tc>
          <w:tcPr>
            <w:tcW w:w="986" w:type="pct"/>
            <w:tcBorders>
              <w:top w:val="nil"/>
              <w:left w:val="nil"/>
              <w:bottom w:val="nil"/>
              <w:right w:val="nil"/>
            </w:tcBorders>
            <w:shd w:val="clear" w:color="auto" w:fill="FFFFFF"/>
            <w:tcMar>
              <w:left w:w="67" w:type="dxa"/>
              <w:right w:w="67" w:type="dxa"/>
            </w:tcMar>
          </w:tcPr>
          <w:p w14:paraId="40692A5D" w14:textId="77777777" w:rsidR="00E07CDE" w:rsidRPr="00563AD3" w:rsidRDefault="00E07CDE" w:rsidP="00CD4C4F">
            <w:pPr>
              <w:spacing w:before="67" w:after="67" w:line="240" w:lineRule="auto"/>
              <w:jc w:val="right"/>
              <w:rPr>
                <w:rFonts w:eastAsia="Times New Roman"/>
                <w:color w:val="000000"/>
                <w:sz w:val="20"/>
                <w:szCs w:val="20"/>
              </w:rPr>
            </w:pPr>
          </w:p>
        </w:tc>
        <w:tc>
          <w:tcPr>
            <w:tcW w:w="986" w:type="pct"/>
            <w:tcBorders>
              <w:top w:val="nil"/>
              <w:left w:val="nil"/>
              <w:bottom w:val="nil"/>
              <w:right w:val="nil"/>
            </w:tcBorders>
            <w:shd w:val="clear" w:color="auto" w:fill="FFFFFF"/>
            <w:tcMar>
              <w:left w:w="67" w:type="dxa"/>
              <w:right w:w="67" w:type="dxa"/>
            </w:tcMar>
          </w:tcPr>
          <w:p w14:paraId="1D8AFD77" w14:textId="77777777" w:rsidR="00E07CDE" w:rsidRPr="00563AD3" w:rsidRDefault="00E07CDE" w:rsidP="00CD4C4F">
            <w:pPr>
              <w:spacing w:before="67" w:after="67" w:line="240" w:lineRule="auto"/>
              <w:jc w:val="right"/>
              <w:rPr>
                <w:rFonts w:eastAsia="Times New Roman"/>
                <w:color w:val="000000"/>
                <w:sz w:val="20"/>
                <w:szCs w:val="20"/>
              </w:rPr>
            </w:pPr>
          </w:p>
        </w:tc>
        <w:tc>
          <w:tcPr>
            <w:tcW w:w="987" w:type="pct"/>
            <w:tcBorders>
              <w:top w:val="nil"/>
              <w:left w:val="nil"/>
              <w:bottom w:val="nil"/>
              <w:right w:val="single" w:sz="4" w:space="0" w:color="auto"/>
            </w:tcBorders>
            <w:shd w:val="clear" w:color="auto" w:fill="FFFFFF"/>
            <w:tcMar>
              <w:left w:w="67" w:type="dxa"/>
              <w:right w:w="67" w:type="dxa"/>
            </w:tcMar>
          </w:tcPr>
          <w:p w14:paraId="782A833C" w14:textId="77777777" w:rsidR="00E07CDE" w:rsidRPr="00563AD3" w:rsidRDefault="00E07CDE" w:rsidP="00CD4C4F">
            <w:pPr>
              <w:spacing w:before="67" w:after="67" w:line="240" w:lineRule="auto"/>
              <w:jc w:val="right"/>
              <w:rPr>
                <w:rFonts w:eastAsia="Times New Roman"/>
                <w:color w:val="000000"/>
                <w:sz w:val="20"/>
                <w:szCs w:val="20"/>
              </w:rPr>
            </w:pPr>
          </w:p>
        </w:tc>
      </w:tr>
      <w:tr w:rsidR="00E07CDE" w:rsidRPr="00563AD3" w14:paraId="345BD711" w14:textId="77777777" w:rsidTr="00CD4C4F">
        <w:trPr>
          <w:cantSplit/>
          <w:jc w:val="center"/>
        </w:trPr>
        <w:tc>
          <w:tcPr>
            <w:tcW w:w="2041" w:type="pct"/>
            <w:tcBorders>
              <w:top w:val="nil"/>
              <w:left w:val="single" w:sz="4" w:space="0" w:color="auto"/>
              <w:bottom w:val="nil"/>
              <w:right w:val="nil"/>
            </w:tcBorders>
            <w:shd w:val="clear" w:color="auto" w:fill="FFFFFF"/>
            <w:tcMar>
              <w:left w:w="67" w:type="dxa"/>
              <w:right w:w="67" w:type="dxa"/>
            </w:tcMar>
          </w:tcPr>
          <w:p w14:paraId="30823F67" w14:textId="77777777" w:rsidR="00E07CDE" w:rsidRPr="00563AD3" w:rsidRDefault="00E07CDE" w:rsidP="00CD4C4F">
            <w:pPr>
              <w:spacing w:before="67" w:after="67" w:line="240" w:lineRule="auto"/>
              <w:rPr>
                <w:rFonts w:eastAsia="Times New Roman"/>
                <w:color w:val="000000"/>
                <w:sz w:val="20"/>
                <w:szCs w:val="20"/>
              </w:rPr>
            </w:pPr>
            <w:r w:rsidRPr="00563AD3">
              <w:rPr>
                <w:rFonts w:eastAsia="Times New Roman"/>
                <w:color w:val="000000"/>
                <w:sz w:val="20"/>
                <w:szCs w:val="20"/>
              </w:rPr>
              <w:t>Mean (SD)</w:t>
            </w:r>
          </w:p>
        </w:tc>
        <w:tc>
          <w:tcPr>
            <w:tcW w:w="986" w:type="pct"/>
            <w:tcBorders>
              <w:top w:val="nil"/>
              <w:left w:val="nil"/>
              <w:bottom w:val="nil"/>
              <w:right w:val="nil"/>
            </w:tcBorders>
            <w:shd w:val="clear" w:color="auto" w:fill="FFFFFF"/>
            <w:tcMar>
              <w:left w:w="67" w:type="dxa"/>
              <w:right w:w="67" w:type="dxa"/>
            </w:tcMar>
          </w:tcPr>
          <w:p w14:paraId="0FC72B96" w14:textId="77777777" w:rsidR="00E07CDE" w:rsidRPr="00563AD3" w:rsidRDefault="00E07CDE" w:rsidP="00CD4C4F">
            <w:pPr>
              <w:spacing w:before="67" w:after="67" w:line="240" w:lineRule="auto"/>
              <w:jc w:val="right"/>
              <w:rPr>
                <w:rFonts w:eastAsia="Times New Roman"/>
                <w:color w:val="000000"/>
                <w:sz w:val="20"/>
                <w:szCs w:val="20"/>
              </w:rPr>
            </w:pPr>
            <w:r w:rsidRPr="00563AD3">
              <w:rPr>
                <w:rFonts w:eastAsia="Times New Roman"/>
                <w:color w:val="000000"/>
                <w:sz w:val="20"/>
                <w:szCs w:val="20"/>
              </w:rPr>
              <w:t>0.36 (0.123)</w:t>
            </w:r>
          </w:p>
        </w:tc>
        <w:tc>
          <w:tcPr>
            <w:tcW w:w="986" w:type="pct"/>
            <w:tcBorders>
              <w:top w:val="nil"/>
              <w:left w:val="nil"/>
              <w:bottom w:val="nil"/>
              <w:right w:val="nil"/>
            </w:tcBorders>
            <w:shd w:val="clear" w:color="auto" w:fill="FFFFFF"/>
            <w:tcMar>
              <w:left w:w="67" w:type="dxa"/>
              <w:right w:w="67" w:type="dxa"/>
            </w:tcMar>
          </w:tcPr>
          <w:p w14:paraId="66DFD2CF" w14:textId="77777777" w:rsidR="00E07CDE" w:rsidRPr="00563AD3" w:rsidRDefault="00E07CDE" w:rsidP="00CD4C4F">
            <w:pPr>
              <w:spacing w:before="67" w:after="67" w:line="240" w:lineRule="auto"/>
              <w:jc w:val="right"/>
              <w:rPr>
                <w:rFonts w:eastAsia="Times New Roman"/>
                <w:color w:val="000000"/>
                <w:sz w:val="20"/>
                <w:szCs w:val="20"/>
              </w:rPr>
            </w:pPr>
            <w:r w:rsidRPr="00563AD3">
              <w:rPr>
                <w:rFonts w:eastAsia="Times New Roman"/>
                <w:color w:val="000000"/>
                <w:sz w:val="20"/>
                <w:szCs w:val="20"/>
              </w:rPr>
              <w:t>0.39 (0.140)</w:t>
            </w:r>
          </w:p>
        </w:tc>
        <w:tc>
          <w:tcPr>
            <w:tcW w:w="987" w:type="pct"/>
            <w:tcBorders>
              <w:top w:val="nil"/>
              <w:left w:val="nil"/>
              <w:bottom w:val="nil"/>
              <w:right w:val="single" w:sz="4" w:space="0" w:color="auto"/>
            </w:tcBorders>
            <w:shd w:val="clear" w:color="auto" w:fill="FFFFFF"/>
            <w:tcMar>
              <w:left w:w="67" w:type="dxa"/>
              <w:right w:w="67" w:type="dxa"/>
            </w:tcMar>
          </w:tcPr>
          <w:p w14:paraId="33A74DAE" w14:textId="77777777" w:rsidR="00E07CDE" w:rsidRPr="00563AD3" w:rsidRDefault="00E07CDE" w:rsidP="00CD4C4F">
            <w:pPr>
              <w:spacing w:before="67" w:after="67" w:line="240" w:lineRule="auto"/>
              <w:jc w:val="right"/>
              <w:rPr>
                <w:rFonts w:eastAsia="Times New Roman"/>
                <w:color w:val="000000"/>
                <w:sz w:val="20"/>
                <w:szCs w:val="20"/>
              </w:rPr>
            </w:pPr>
            <w:r w:rsidRPr="00563AD3">
              <w:rPr>
                <w:rFonts w:eastAsia="Times New Roman"/>
                <w:color w:val="000000"/>
                <w:sz w:val="20"/>
                <w:szCs w:val="20"/>
              </w:rPr>
              <w:t>0.37 (0.134)</w:t>
            </w:r>
          </w:p>
        </w:tc>
      </w:tr>
      <w:tr w:rsidR="00E07CDE" w:rsidRPr="00563AD3" w14:paraId="6D5335C0" w14:textId="77777777" w:rsidTr="00CD4C4F">
        <w:trPr>
          <w:cantSplit/>
          <w:jc w:val="center"/>
        </w:trPr>
        <w:tc>
          <w:tcPr>
            <w:tcW w:w="2041" w:type="pct"/>
            <w:tcBorders>
              <w:top w:val="nil"/>
              <w:left w:val="single" w:sz="4" w:space="0" w:color="auto"/>
              <w:bottom w:val="single" w:sz="4" w:space="0" w:color="auto"/>
              <w:right w:val="nil"/>
            </w:tcBorders>
            <w:shd w:val="clear" w:color="auto" w:fill="FFFFFF"/>
            <w:tcMar>
              <w:left w:w="67" w:type="dxa"/>
              <w:right w:w="67" w:type="dxa"/>
            </w:tcMar>
          </w:tcPr>
          <w:p w14:paraId="42566C43" w14:textId="77777777" w:rsidR="00E07CDE" w:rsidRPr="00563AD3" w:rsidRDefault="00E07CDE" w:rsidP="00CD4C4F">
            <w:pPr>
              <w:keepNext/>
              <w:spacing w:before="67" w:after="67" w:line="240" w:lineRule="auto"/>
              <w:rPr>
                <w:rFonts w:eastAsia="Times New Roman"/>
                <w:color w:val="000000"/>
                <w:sz w:val="20"/>
                <w:szCs w:val="20"/>
              </w:rPr>
            </w:pPr>
            <w:r w:rsidRPr="00563AD3">
              <w:rPr>
                <w:rFonts w:eastAsia="Times New Roman"/>
                <w:color w:val="000000"/>
                <w:sz w:val="20"/>
                <w:szCs w:val="20"/>
              </w:rPr>
              <w:t>Median (Range)</w:t>
            </w:r>
          </w:p>
        </w:tc>
        <w:tc>
          <w:tcPr>
            <w:tcW w:w="986" w:type="pct"/>
            <w:tcBorders>
              <w:top w:val="nil"/>
              <w:left w:val="nil"/>
              <w:bottom w:val="single" w:sz="4" w:space="0" w:color="auto"/>
              <w:right w:val="nil"/>
            </w:tcBorders>
            <w:shd w:val="clear" w:color="auto" w:fill="FFFFFF"/>
            <w:tcMar>
              <w:left w:w="67" w:type="dxa"/>
              <w:right w:w="67" w:type="dxa"/>
            </w:tcMar>
          </w:tcPr>
          <w:p w14:paraId="08840BF4" w14:textId="77777777" w:rsidR="00E07CDE" w:rsidRPr="00563AD3" w:rsidRDefault="00E07CDE" w:rsidP="00CD4C4F">
            <w:pPr>
              <w:keepNext/>
              <w:spacing w:before="67" w:after="67" w:line="240" w:lineRule="auto"/>
              <w:jc w:val="right"/>
              <w:rPr>
                <w:rFonts w:eastAsia="Times New Roman"/>
                <w:color w:val="000000"/>
                <w:sz w:val="20"/>
                <w:szCs w:val="20"/>
              </w:rPr>
            </w:pPr>
            <w:r w:rsidRPr="00563AD3">
              <w:rPr>
                <w:rFonts w:eastAsia="Times New Roman"/>
                <w:color w:val="000000"/>
                <w:sz w:val="20"/>
                <w:szCs w:val="20"/>
              </w:rPr>
              <w:t>0.41 (0.07, 0.60)</w:t>
            </w:r>
          </w:p>
        </w:tc>
        <w:tc>
          <w:tcPr>
            <w:tcW w:w="986" w:type="pct"/>
            <w:tcBorders>
              <w:top w:val="nil"/>
              <w:left w:val="nil"/>
              <w:bottom w:val="single" w:sz="4" w:space="0" w:color="auto"/>
              <w:right w:val="nil"/>
            </w:tcBorders>
            <w:shd w:val="clear" w:color="auto" w:fill="FFFFFF"/>
            <w:tcMar>
              <w:left w:w="67" w:type="dxa"/>
              <w:right w:w="67" w:type="dxa"/>
            </w:tcMar>
          </w:tcPr>
          <w:p w14:paraId="4CCB394D" w14:textId="77777777" w:rsidR="00E07CDE" w:rsidRPr="00563AD3" w:rsidRDefault="00E07CDE" w:rsidP="00CD4C4F">
            <w:pPr>
              <w:keepNext/>
              <w:spacing w:before="67" w:after="67" w:line="240" w:lineRule="auto"/>
              <w:jc w:val="right"/>
              <w:rPr>
                <w:rFonts w:eastAsia="Times New Roman"/>
                <w:color w:val="000000"/>
                <w:sz w:val="20"/>
                <w:szCs w:val="20"/>
              </w:rPr>
            </w:pPr>
            <w:r w:rsidRPr="00563AD3">
              <w:rPr>
                <w:rFonts w:eastAsia="Times New Roman"/>
                <w:color w:val="000000"/>
                <w:sz w:val="20"/>
                <w:szCs w:val="20"/>
              </w:rPr>
              <w:t>0.36 (0.10, 0.75)</w:t>
            </w:r>
          </w:p>
        </w:tc>
        <w:tc>
          <w:tcPr>
            <w:tcW w:w="987" w:type="pct"/>
            <w:tcBorders>
              <w:top w:val="nil"/>
              <w:left w:val="nil"/>
              <w:bottom w:val="single" w:sz="4" w:space="0" w:color="auto"/>
              <w:right w:val="single" w:sz="4" w:space="0" w:color="auto"/>
            </w:tcBorders>
            <w:shd w:val="clear" w:color="auto" w:fill="FFFFFF"/>
            <w:tcMar>
              <w:left w:w="67" w:type="dxa"/>
              <w:right w:w="67" w:type="dxa"/>
            </w:tcMar>
          </w:tcPr>
          <w:p w14:paraId="2B621883" w14:textId="77777777" w:rsidR="00E07CDE" w:rsidRPr="00563AD3" w:rsidRDefault="00E07CDE" w:rsidP="00CD4C4F">
            <w:pPr>
              <w:keepNext/>
              <w:spacing w:before="67" w:after="67" w:line="240" w:lineRule="auto"/>
              <w:jc w:val="right"/>
              <w:rPr>
                <w:rFonts w:eastAsia="Times New Roman"/>
                <w:color w:val="000000"/>
                <w:sz w:val="20"/>
                <w:szCs w:val="20"/>
              </w:rPr>
            </w:pPr>
            <w:r w:rsidRPr="00563AD3">
              <w:rPr>
                <w:rFonts w:eastAsia="Times New Roman"/>
                <w:color w:val="000000"/>
                <w:sz w:val="20"/>
                <w:szCs w:val="20"/>
              </w:rPr>
              <w:t>0.36 (0.07, 0.75)</w:t>
            </w:r>
          </w:p>
        </w:tc>
      </w:tr>
    </w:tbl>
    <w:p w14:paraId="2C41F0A0" w14:textId="77777777" w:rsidR="00E07CDE" w:rsidRPr="00563AD3" w:rsidRDefault="00E07CDE" w:rsidP="009B13F3">
      <w:pPr>
        <w:autoSpaceDE/>
        <w:autoSpaceDN/>
        <w:adjustRightInd/>
        <w:spacing w:after="200"/>
        <w:rPr>
          <w:rFonts w:eastAsia="Times New Roman"/>
          <w:b/>
          <w:bCs/>
          <w:sz w:val="36"/>
          <w:szCs w:val="28"/>
          <w:lang w:eastAsia="en-US"/>
        </w:rPr>
      </w:pPr>
      <w:bookmarkStart w:id="304" w:name="_Toc500934951"/>
      <w:bookmarkEnd w:id="266"/>
      <w:r w:rsidRPr="00563AD3">
        <w:rPr>
          <w:rFonts w:eastAsia="Calibri"/>
          <w:sz w:val="24"/>
          <w:szCs w:val="24"/>
          <w:lang w:eastAsia="en-US"/>
        </w:rPr>
        <w:br w:type="page"/>
      </w:r>
    </w:p>
    <w:bookmarkEnd w:id="304"/>
    <w:p w14:paraId="78B8F6EC" w14:textId="77777777" w:rsidR="00E07CDE" w:rsidRPr="00563AD3" w:rsidRDefault="00E07CDE" w:rsidP="009B13F3">
      <w:pPr>
        <w:autoSpaceDE/>
        <w:autoSpaceDN/>
        <w:adjustRightInd/>
        <w:spacing w:before="120" w:after="0"/>
        <w:rPr>
          <w:rFonts w:eastAsia="Calibri"/>
          <w:sz w:val="24"/>
          <w:szCs w:val="24"/>
          <w:lang w:eastAsia="en-US"/>
        </w:rPr>
        <w:sectPr w:rsidR="00E07CDE" w:rsidRPr="00563AD3" w:rsidSect="00D15FEF">
          <w:pgSz w:w="11906" w:h="16838"/>
          <w:pgMar w:top="1440" w:right="1440" w:bottom="1440" w:left="1440" w:header="708" w:footer="708" w:gutter="0"/>
          <w:cols w:space="708"/>
          <w:docGrid w:linePitch="360"/>
        </w:sectPr>
      </w:pPr>
    </w:p>
    <w:p w14:paraId="6AE5C2E7" w14:textId="77777777" w:rsidR="00E07CDE" w:rsidRPr="00563AD3" w:rsidRDefault="00E07CDE" w:rsidP="009B13F3">
      <w:pPr>
        <w:pStyle w:val="Heading3"/>
        <w:rPr>
          <w:rFonts w:eastAsia="Times New Roman"/>
          <w:lang w:eastAsia="en-US"/>
        </w:rPr>
      </w:pPr>
      <w:bookmarkStart w:id="305" w:name="_Toc500934952"/>
      <w:bookmarkStart w:id="306" w:name="_Toc525544068"/>
      <w:r w:rsidRPr="00563AD3">
        <w:rPr>
          <w:rFonts w:eastAsia="Times New Roman"/>
          <w:lang w:eastAsia="en-US"/>
        </w:rPr>
        <w:t>Outcomes</w:t>
      </w:r>
      <w:bookmarkEnd w:id="305"/>
      <w:bookmarkEnd w:id="306"/>
    </w:p>
    <w:p w14:paraId="0B730BD6" w14:textId="77777777" w:rsidR="00E07CDE" w:rsidRDefault="00E07CDE" w:rsidP="009B13F3">
      <w:pPr>
        <w:pStyle w:val="Heading4"/>
        <w:rPr>
          <w:rFonts w:eastAsia="Times New Roman"/>
          <w:lang w:eastAsia="en-US"/>
        </w:rPr>
      </w:pPr>
      <w:bookmarkStart w:id="307" w:name="_Toc500934953"/>
      <w:r w:rsidRPr="00563AD3">
        <w:rPr>
          <w:rFonts w:eastAsia="Times New Roman"/>
          <w:lang w:eastAsia="en-US"/>
        </w:rPr>
        <w:t>Residents</w:t>
      </w:r>
      <w:bookmarkEnd w:id="307"/>
    </w:p>
    <w:p w14:paraId="1DB15109" w14:textId="43555764" w:rsidR="00F01889" w:rsidRDefault="00F01889" w:rsidP="00CD4C4F">
      <w:pPr>
        <w:pStyle w:val="Tableheading"/>
        <w:rPr>
          <w:lang w:eastAsia="en-US"/>
        </w:rPr>
      </w:pPr>
      <w:bookmarkStart w:id="308" w:name="_Toc948239"/>
      <w:r>
        <w:rPr>
          <w:lang w:eastAsia="en-US"/>
        </w:rPr>
        <w:t xml:space="preserve">Table </w:t>
      </w:r>
      <w:r w:rsidR="00F02609">
        <w:rPr>
          <w:lang w:eastAsia="en-US"/>
        </w:rPr>
        <w:t>42</w:t>
      </w:r>
      <w:r>
        <w:rPr>
          <w:lang w:eastAsia="en-US"/>
        </w:rPr>
        <w:t xml:space="preserve"> </w:t>
      </w:r>
      <w:r w:rsidR="00044E54">
        <w:rPr>
          <w:lang w:eastAsia="en-US"/>
        </w:rPr>
        <w:t>Unadjusted o</w:t>
      </w:r>
      <w:r>
        <w:rPr>
          <w:lang w:eastAsia="en-US"/>
        </w:rPr>
        <w:t xml:space="preserve">bservational CMAI and PAS summaries </w:t>
      </w:r>
      <w:r w:rsidR="00044E54">
        <w:rPr>
          <w:lang w:eastAsia="en-US"/>
        </w:rPr>
        <w:t>by time-point – closed cohort</w:t>
      </w:r>
      <w:bookmarkEnd w:id="308"/>
    </w:p>
    <w:tbl>
      <w:tblPr>
        <w:tblW w:w="5157" w:type="pct"/>
        <w:jc w:val="center"/>
        <w:tblCellMar>
          <w:left w:w="0" w:type="dxa"/>
          <w:right w:w="0" w:type="dxa"/>
        </w:tblCellMar>
        <w:tblLook w:val="0000" w:firstRow="0" w:lastRow="0" w:firstColumn="0" w:lastColumn="0" w:noHBand="0" w:noVBand="0"/>
      </w:tblPr>
      <w:tblGrid>
        <w:gridCol w:w="3251"/>
        <w:gridCol w:w="1949"/>
        <w:gridCol w:w="2165"/>
        <w:gridCol w:w="2001"/>
        <w:gridCol w:w="1681"/>
        <w:gridCol w:w="1679"/>
        <w:gridCol w:w="1670"/>
      </w:tblGrid>
      <w:tr w:rsidR="00044E54" w:rsidRPr="006748D8" w14:paraId="31BD3DAB" w14:textId="77777777" w:rsidTr="006D6035">
        <w:trPr>
          <w:cantSplit/>
          <w:tblHeader/>
          <w:jc w:val="center"/>
        </w:trPr>
        <w:tc>
          <w:tcPr>
            <w:tcW w:w="5000" w:type="pct"/>
            <w:gridSpan w:val="7"/>
            <w:tcBorders>
              <w:top w:val="single" w:sz="4" w:space="0" w:color="auto"/>
            </w:tcBorders>
            <w:shd w:val="clear" w:color="auto" w:fill="FFFFFF"/>
            <w:tcMar>
              <w:left w:w="67" w:type="dxa"/>
              <w:right w:w="67" w:type="dxa"/>
            </w:tcMar>
            <w:vAlign w:val="bottom"/>
          </w:tcPr>
          <w:p w14:paraId="0CEB1625" w14:textId="00463214" w:rsidR="00044E54" w:rsidRPr="006748D8" w:rsidRDefault="00044E54" w:rsidP="004E43F1">
            <w:pPr>
              <w:keepNext/>
              <w:spacing w:after="0"/>
              <w:jc w:val="center"/>
              <w:rPr>
                <w:rFonts w:eastAsia="Times New Roman"/>
                <w:b/>
                <w:bCs/>
                <w:color w:val="000000"/>
                <w:sz w:val="18"/>
                <w:szCs w:val="18"/>
              </w:rPr>
            </w:pPr>
            <w:r w:rsidRPr="006748D8">
              <w:rPr>
                <w:rFonts w:eastAsia="Times New Roman"/>
                <w:b/>
                <w:bCs/>
                <w:color w:val="000000"/>
                <w:sz w:val="18"/>
                <w:szCs w:val="18"/>
              </w:rPr>
              <w:t>Unadjusted CMAI-O</w:t>
            </w:r>
            <w:r w:rsidRPr="006748D8">
              <w:rPr>
                <w:rFonts w:eastAsia="Times New Roman"/>
                <w:b/>
                <w:bCs/>
                <w:color w:val="000000"/>
                <w:sz w:val="18"/>
                <w:szCs w:val="18"/>
                <w:vertAlign w:val="superscript"/>
              </w:rPr>
              <w:t>1</w:t>
            </w:r>
            <w:r w:rsidRPr="006748D8">
              <w:rPr>
                <w:rFonts w:eastAsia="Times New Roman"/>
                <w:b/>
                <w:bCs/>
                <w:color w:val="000000"/>
                <w:sz w:val="18"/>
                <w:szCs w:val="18"/>
              </w:rPr>
              <w:t xml:space="preserve"> and PAS</w:t>
            </w:r>
            <w:r w:rsidRPr="006748D8">
              <w:rPr>
                <w:rFonts w:eastAsia="Times New Roman"/>
                <w:b/>
                <w:bCs/>
                <w:color w:val="000000"/>
                <w:sz w:val="18"/>
                <w:szCs w:val="18"/>
                <w:vertAlign w:val="superscript"/>
              </w:rPr>
              <w:t>2</w:t>
            </w:r>
            <w:r w:rsidRPr="006748D8">
              <w:rPr>
                <w:rFonts w:eastAsia="Times New Roman"/>
                <w:b/>
                <w:bCs/>
                <w:color w:val="000000"/>
                <w:sz w:val="18"/>
                <w:szCs w:val="18"/>
              </w:rPr>
              <w:t xml:space="preserve"> scores by time-point</w:t>
            </w:r>
            <w:r>
              <w:rPr>
                <w:rFonts w:eastAsia="Times New Roman"/>
                <w:b/>
                <w:bCs/>
                <w:color w:val="000000"/>
                <w:sz w:val="18"/>
                <w:szCs w:val="18"/>
              </w:rPr>
              <w:t xml:space="preserve"> – closed cohort</w:t>
            </w:r>
          </w:p>
        </w:tc>
      </w:tr>
      <w:tr w:rsidR="00044E54" w:rsidRPr="006748D8" w14:paraId="3C7E0165" w14:textId="77777777" w:rsidTr="006D6035">
        <w:trPr>
          <w:cantSplit/>
          <w:tblHeader/>
          <w:jc w:val="center"/>
        </w:trPr>
        <w:tc>
          <w:tcPr>
            <w:tcW w:w="1129" w:type="pct"/>
            <w:tcBorders>
              <w:right w:val="nil"/>
            </w:tcBorders>
            <w:shd w:val="clear" w:color="auto" w:fill="FFFFFF"/>
            <w:tcMar>
              <w:left w:w="67" w:type="dxa"/>
              <w:right w:w="67" w:type="dxa"/>
            </w:tcMar>
            <w:vAlign w:val="bottom"/>
          </w:tcPr>
          <w:p w14:paraId="43F393C0" w14:textId="77777777" w:rsidR="00044E54" w:rsidRPr="006748D8" w:rsidRDefault="00044E54" w:rsidP="006D6035">
            <w:pPr>
              <w:keepNext/>
              <w:spacing w:after="0"/>
              <w:rPr>
                <w:rFonts w:eastAsia="Times New Roman"/>
                <w:bCs/>
                <w:color w:val="000000"/>
                <w:sz w:val="18"/>
                <w:szCs w:val="18"/>
              </w:rPr>
            </w:pPr>
          </w:p>
        </w:tc>
        <w:tc>
          <w:tcPr>
            <w:tcW w:w="2124" w:type="pct"/>
            <w:gridSpan w:val="3"/>
            <w:tcBorders>
              <w:left w:val="nil"/>
              <w:right w:val="nil"/>
            </w:tcBorders>
            <w:shd w:val="clear" w:color="auto" w:fill="FFFFFF"/>
            <w:tcMar>
              <w:left w:w="67" w:type="dxa"/>
              <w:right w:w="67" w:type="dxa"/>
            </w:tcMar>
            <w:vAlign w:val="bottom"/>
          </w:tcPr>
          <w:p w14:paraId="7278034A" w14:textId="77777777" w:rsidR="00044E54" w:rsidRPr="006748D8" w:rsidRDefault="00044E54" w:rsidP="006D6035">
            <w:pPr>
              <w:keepNext/>
              <w:spacing w:after="0"/>
              <w:jc w:val="center"/>
              <w:rPr>
                <w:rFonts w:eastAsia="Times New Roman"/>
                <w:b/>
                <w:bCs/>
                <w:color w:val="000000"/>
                <w:sz w:val="18"/>
                <w:szCs w:val="18"/>
              </w:rPr>
            </w:pPr>
            <w:r w:rsidRPr="006748D8">
              <w:rPr>
                <w:rFonts w:eastAsia="Times New Roman"/>
                <w:b/>
                <w:bCs/>
                <w:color w:val="000000"/>
                <w:sz w:val="18"/>
                <w:szCs w:val="18"/>
              </w:rPr>
              <w:t xml:space="preserve">AM </w:t>
            </w:r>
          </w:p>
        </w:tc>
        <w:tc>
          <w:tcPr>
            <w:tcW w:w="1747" w:type="pct"/>
            <w:gridSpan w:val="3"/>
            <w:tcBorders>
              <w:left w:val="nil"/>
            </w:tcBorders>
            <w:shd w:val="clear" w:color="auto" w:fill="FFFFFF"/>
          </w:tcPr>
          <w:p w14:paraId="01232639" w14:textId="77777777" w:rsidR="00044E54" w:rsidRPr="006748D8" w:rsidRDefault="00044E54" w:rsidP="006D6035">
            <w:pPr>
              <w:keepNext/>
              <w:spacing w:after="0"/>
              <w:jc w:val="center"/>
              <w:rPr>
                <w:rFonts w:eastAsia="Times New Roman"/>
                <w:b/>
                <w:bCs/>
                <w:color w:val="000000"/>
                <w:sz w:val="18"/>
                <w:szCs w:val="18"/>
              </w:rPr>
            </w:pPr>
            <w:r w:rsidRPr="006748D8">
              <w:rPr>
                <w:rFonts w:eastAsia="Times New Roman"/>
                <w:b/>
                <w:bCs/>
                <w:color w:val="000000"/>
                <w:sz w:val="18"/>
                <w:szCs w:val="18"/>
              </w:rPr>
              <w:t xml:space="preserve">PM </w:t>
            </w:r>
          </w:p>
        </w:tc>
      </w:tr>
      <w:tr w:rsidR="00044E54" w:rsidRPr="006748D8" w14:paraId="63AFDF88" w14:textId="77777777" w:rsidTr="006D6035">
        <w:trPr>
          <w:cantSplit/>
          <w:tblHeader/>
          <w:jc w:val="center"/>
        </w:trPr>
        <w:tc>
          <w:tcPr>
            <w:tcW w:w="1129" w:type="pct"/>
            <w:tcBorders>
              <w:bottom w:val="single" w:sz="4" w:space="0" w:color="000000"/>
              <w:right w:val="nil"/>
            </w:tcBorders>
            <w:shd w:val="clear" w:color="auto" w:fill="FFFFFF"/>
            <w:tcMar>
              <w:left w:w="67" w:type="dxa"/>
              <w:right w:w="67" w:type="dxa"/>
            </w:tcMar>
            <w:vAlign w:val="bottom"/>
          </w:tcPr>
          <w:p w14:paraId="49084B5F" w14:textId="77777777" w:rsidR="00044E54" w:rsidRPr="006748D8" w:rsidRDefault="00044E54" w:rsidP="006D6035">
            <w:pPr>
              <w:keepNext/>
              <w:spacing w:after="0"/>
              <w:rPr>
                <w:rFonts w:eastAsia="Times New Roman"/>
                <w:bCs/>
                <w:color w:val="000000"/>
                <w:sz w:val="18"/>
                <w:szCs w:val="18"/>
              </w:rPr>
            </w:pPr>
          </w:p>
        </w:tc>
        <w:tc>
          <w:tcPr>
            <w:tcW w:w="3871" w:type="pct"/>
            <w:gridSpan w:val="6"/>
            <w:tcBorders>
              <w:left w:val="nil"/>
              <w:bottom w:val="single" w:sz="4" w:space="0" w:color="000000"/>
            </w:tcBorders>
            <w:shd w:val="clear" w:color="auto" w:fill="FFFFFF"/>
            <w:tcMar>
              <w:left w:w="67" w:type="dxa"/>
              <w:right w:w="67" w:type="dxa"/>
            </w:tcMar>
            <w:vAlign w:val="bottom"/>
          </w:tcPr>
          <w:p w14:paraId="5E404BFC" w14:textId="77777777" w:rsidR="00044E54" w:rsidRPr="006748D8" w:rsidRDefault="00044E54" w:rsidP="006D6035">
            <w:pPr>
              <w:keepNext/>
              <w:spacing w:after="0"/>
              <w:jc w:val="center"/>
              <w:rPr>
                <w:rFonts w:eastAsia="Times New Roman"/>
                <w:b/>
                <w:bCs/>
                <w:color w:val="000000"/>
                <w:sz w:val="18"/>
                <w:szCs w:val="18"/>
              </w:rPr>
            </w:pPr>
            <w:r w:rsidRPr="006748D8">
              <w:rPr>
                <w:rFonts w:eastAsia="Times New Roman"/>
                <w:b/>
                <w:bCs/>
                <w:color w:val="000000"/>
                <w:sz w:val="18"/>
                <w:szCs w:val="18"/>
              </w:rPr>
              <w:t>Closed-cohort</w:t>
            </w:r>
          </w:p>
        </w:tc>
      </w:tr>
      <w:tr w:rsidR="00044E54" w:rsidRPr="006748D8" w14:paraId="4CBC265F" w14:textId="77777777" w:rsidTr="006D6035">
        <w:trPr>
          <w:cantSplit/>
          <w:tblHeader/>
          <w:jc w:val="center"/>
        </w:trPr>
        <w:tc>
          <w:tcPr>
            <w:tcW w:w="1129" w:type="pct"/>
            <w:tcBorders>
              <w:top w:val="single" w:sz="4" w:space="0" w:color="auto"/>
              <w:bottom w:val="single" w:sz="4" w:space="0" w:color="000000"/>
              <w:right w:val="nil"/>
            </w:tcBorders>
            <w:shd w:val="clear" w:color="auto" w:fill="FFFFFF"/>
            <w:tcMar>
              <w:left w:w="67" w:type="dxa"/>
              <w:right w:w="67" w:type="dxa"/>
            </w:tcMar>
            <w:vAlign w:val="bottom"/>
          </w:tcPr>
          <w:p w14:paraId="6D1F4E34" w14:textId="77777777" w:rsidR="00044E54" w:rsidRPr="006748D8" w:rsidRDefault="00044E54" w:rsidP="006D6035">
            <w:pPr>
              <w:keepNext/>
              <w:spacing w:after="0"/>
              <w:rPr>
                <w:rFonts w:eastAsia="Times New Roman"/>
                <w:bCs/>
                <w:color w:val="000000"/>
                <w:sz w:val="18"/>
                <w:szCs w:val="18"/>
              </w:rPr>
            </w:pPr>
            <w:r w:rsidRPr="006748D8">
              <w:rPr>
                <w:rFonts w:eastAsia="Times New Roman"/>
                <w:bCs/>
                <w:color w:val="000000"/>
                <w:sz w:val="18"/>
                <w:szCs w:val="18"/>
              </w:rPr>
              <w:t>Mean (SD) N completed</w:t>
            </w:r>
          </w:p>
        </w:tc>
        <w:tc>
          <w:tcPr>
            <w:tcW w:w="677" w:type="pct"/>
            <w:tcBorders>
              <w:top w:val="single" w:sz="4" w:space="0" w:color="auto"/>
              <w:left w:val="nil"/>
              <w:bottom w:val="single" w:sz="4" w:space="0" w:color="000000"/>
              <w:right w:val="nil"/>
            </w:tcBorders>
            <w:shd w:val="clear" w:color="auto" w:fill="FFFFFF"/>
            <w:tcMar>
              <w:left w:w="67" w:type="dxa"/>
              <w:right w:w="67" w:type="dxa"/>
            </w:tcMar>
            <w:vAlign w:val="bottom"/>
          </w:tcPr>
          <w:p w14:paraId="65080D03" w14:textId="77777777" w:rsidR="00044E54" w:rsidRPr="006748D8" w:rsidRDefault="00044E54" w:rsidP="006D6035">
            <w:pPr>
              <w:keepNext/>
              <w:spacing w:after="0"/>
              <w:jc w:val="right"/>
              <w:rPr>
                <w:rFonts w:eastAsia="Times New Roman"/>
                <w:b/>
                <w:bCs/>
                <w:color w:val="000000"/>
                <w:sz w:val="18"/>
                <w:szCs w:val="18"/>
              </w:rPr>
            </w:pPr>
            <w:r w:rsidRPr="006748D8">
              <w:rPr>
                <w:rFonts w:eastAsia="Times New Roman"/>
                <w:b/>
                <w:bCs/>
                <w:color w:val="000000"/>
                <w:sz w:val="18"/>
                <w:szCs w:val="18"/>
              </w:rPr>
              <w:t>Control</w:t>
            </w:r>
            <w:r w:rsidRPr="006748D8">
              <w:rPr>
                <w:rFonts w:eastAsia="Times New Roman"/>
                <w:b/>
                <w:bCs/>
                <w:color w:val="000000"/>
                <w:sz w:val="18"/>
                <w:szCs w:val="18"/>
              </w:rPr>
              <w:br/>
              <w:t>(n = 308)</w:t>
            </w:r>
          </w:p>
        </w:tc>
        <w:tc>
          <w:tcPr>
            <w:tcW w:w="752" w:type="pct"/>
            <w:tcBorders>
              <w:top w:val="single" w:sz="4" w:space="0" w:color="auto"/>
              <w:left w:val="nil"/>
              <w:bottom w:val="single" w:sz="4" w:space="0" w:color="000000"/>
              <w:right w:val="nil"/>
            </w:tcBorders>
            <w:shd w:val="clear" w:color="auto" w:fill="FFFFFF"/>
            <w:tcMar>
              <w:left w:w="67" w:type="dxa"/>
              <w:right w:w="67" w:type="dxa"/>
            </w:tcMar>
            <w:vAlign w:val="bottom"/>
          </w:tcPr>
          <w:p w14:paraId="00E80A21" w14:textId="77777777" w:rsidR="00044E54" w:rsidRPr="006748D8" w:rsidRDefault="00044E54" w:rsidP="006D6035">
            <w:pPr>
              <w:keepNext/>
              <w:spacing w:after="0"/>
              <w:jc w:val="right"/>
              <w:rPr>
                <w:rFonts w:eastAsia="Times New Roman"/>
                <w:b/>
                <w:bCs/>
                <w:color w:val="000000"/>
                <w:sz w:val="18"/>
                <w:szCs w:val="18"/>
              </w:rPr>
            </w:pPr>
            <w:r w:rsidRPr="006748D8">
              <w:rPr>
                <w:rFonts w:eastAsia="Times New Roman"/>
                <w:b/>
                <w:bCs/>
                <w:color w:val="000000"/>
                <w:sz w:val="18"/>
                <w:szCs w:val="18"/>
              </w:rPr>
              <w:t>Intervention</w:t>
            </w:r>
            <w:r w:rsidRPr="006748D8">
              <w:rPr>
                <w:rFonts w:eastAsia="Times New Roman"/>
                <w:b/>
                <w:bCs/>
                <w:color w:val="000000"/>
                <w:sz w:val="18"/>
                <w:szCs w:val="18"/>
              </w:rPr>
              <w:br/>
              <w:t>(n = 418)</w:t>
            </w:r>
          </w:p>
        </w:tc>
        <w:tc>
          <w:tcPr>
            <w:tcW w:w="695" w:type="pct"/>
            <w:tcBorders>
              <w:top w:val="single" w:sz="4" w:space="0" w:color="auto"/>
              <w:left w:val="nil"/>
              <w:bottom w:val="single" w:sz="4" w:space="0" w:color="000000"/>
            </w:tcBorders>
            <w:shd w:val="clear" w:color="auto" w:fill="FFFFFF"/>
            <w:tcMar>
              <w:left w:w="67" w:type="dxa"/>
              <w:right w:w="67" w:type="dxa"/>
            </w:tcMar>
            <w:vAlign w:val="bottom"/>
          </w:tcPr>
          <w:p w14:paraId="60D945E4" w14:textId="77777777" w:rsidR="00044E54" w:rsidRPr="006748D8" w:rsidRDefault="00044E54" w:rsidP="006D6035">
            <w:pPr>
              <w:keepNext/>
              <w:spacing w:after="0"/>
              <w:jc w:val="right"/>
              <w:rPr>
                <w:rFonts w:eastAsia="Times New Roman"/>
                <w:b/>
                <w:bCs/>
                <w:color w:val="000000"/>
                <w:sz w:val="18"/>
                <w:szCs w:val="18"/>
              </w:rPr>
            </w:pPr>
            <w:r w:rsidRPr="006748D8">
              <w:rPr>
                <w:rFonts w:eastAsia="Times New Roman"/>
                <w:b/>
                <w:bCs/>
                <w:color w:val="000000"/>
                <w:sz w:val="18"/>
                <w:szCs w:val="18"/>
              </w:rPr>
              <w:t>Total</w:t>
            </w:r>
            <w:r w:rsidRPr="006748D8">
              <w:rPr>
                <w:rFonts w:eastAsia="Times New Roman"/>
                <w:b/>
                <w:bCs/>
                <w:color w:val="000000"/>
                <w:sz w:val="18"/>
                <w:szCs w:val="18"/>
              </w:rPr>
              <w:br/>
              <w:t>(n = 726)</w:t>
            </w:r>
          </w:p>
        </w:tc>
        <w:tc>
          <w:tcPr>
            <w:tcW w:w="584" w:type="pct"/>
            <w:tcBorders>
              <w:top w:val="single" w:sz="4" w:space="0" w:color="auto"/>
              <w:left w:val="nil"/>
              <w:bottom w:val="single" w:sz="4" w:space="0" w:color="000000"/>
              <w:right w:val="nil"/>
            </w:tcBorders>
            <w:shd w:val="clear" w:color="auto" w:fill="FFFFFF"/>
            <w:vAlign w:val="bottom"/>
          </w:tcPr>
          <w:p w14:paraId="0A5B149F" w14:textId="77777777" w:rsidR="00044E54" w:rsidRPr="006748D8" w:rsidRDefault="00044E54" w:rsidP="006D6035">
            <w:pPr>
              <w:keepNext/>
              <w:spacing w:after="0"/>
              <w:jc w:val="right"/>
              <w:rPr>
                <w:rFonts w:eastAsia="Times New Roman"/>
                <w:b/>
                <w:bCs/>
                <w:color w:val="000000"/>
                <w:sz w:val="18"/>
                <w:szCs w:val="18"/>
              </w:rPr>
            </w:pPr>
            <w:r w:rsidRPr="006748D8">
              <w:rPr>
                <w:rFonts w:eastAsia="Times New Roman"/>
                <w:b/>
                <w:bCs/>
                <w:color w:val="000000"/>
                <w:sz w:val="18"/>
                <w:szCs w:val="18"/>
              </w:rPr>
              <w:t>Control</w:t>
            </w:r>
            <w:r w:rsidRPr="006748D8">
              <w:rPr>
                <w:rFonts w:eastAsia="Times New Roman"/>
                <w:b/>
                <w:bCs/>
                <w:color w:val="000000"/>
                <w:sz w:val="18"/>
                <w:szCs w:val="18"/>
              </w:rPr>
              <w:br/>
              <w:t>(n = 308)</w:t>
            </w:r>
          </w:p>
        </w:tc>
        <w:tc>
          <w:tcPr>
            <w:tcW w:w="583" w:type="pct"/>
            <w:tcBorders>
              <w:top w:val="single" w:sz="4" w:space="0" w:color="auto"/>
              <w:left w:val="nil"/>
              <w:bottom w:val="single" w:sz="4" w:space="0" w:color="000000"/>
              <w:right w:val="nil"/>
            </w:tcBorders>
            <w:shd w:val="clear" w:color="auto" w:fill="FFFFFF"/>
            <w:vAlign w:val="bottom"/>
          </w:tcPr>
          <w:p w14:paraId="6332E011" w14:textId="77777777" w:rsidR="00044E54" w:rsidRPr="006748D8" w:rsidRDefault="00044E54" w:rsidP="006D6035">
            <w:pPr>
              <w:keepNext/>
              <w:spacing w:after="0"/>
              <w:jc w:val="right"/>
              <w:rPr>
                <w:rFonts w:eastAsia="Times New Roman"/>
                <w:b/>
                <w:bCs/>
                <w:color w:val="000000"/>
                <w:sz w:val="18"/>
                <w:szCs w:val="18"/>
              </w:rPr>
            </w:pPr>
            <w:r w:rsidRPr="006748D8">
              <w:rPr>
                <w:rFonts w:eastAsia="Times New Roman"/>
                <w:b/>
                <w:bCs/>
                <w:color w:val="000000"/>
                <w:sz w:val="18"/>
                <w:szCs w:val="18"/>
              </w:rPr>
              <w:t>Intervention</w:t>
            </w:r>
            <w:r w:rsidRPr="006748D8">
              <w:rPr>
                <w:rFonts w:eastAsia="Times New Roman"/>
                <w:b/>
                <w:bCs/>
                <w:color w:val="000000"/>
                <w:sz w:val="18"/>
                <w:szCs w:val="18"/>
              </w:rPr>
              <w:br/>
              <w:t>(n = 418)</w:t>
            </w:r>
          </w:p>
        </w:tc>
        <w:tc>
          <w:tcPr>
            <w:tcW w:w="580" w:type="pct"/>
            <w:tcBorders>
              <w:top w:val="single" w:sz="4" w:space="0" w:color="auto"/>
              <w:left w:val="nil"/>
              <w:bottom w:val="single" w:sz="4" w:space="0" w:color="000000"/>
            </w:tcBorders>
            <w:shd w:val="clear" w:color="auto" w:fill="FFFFFF"/>
            <w:vAlign w:val="bottom"/>
          </w:tcPr>
          <w:p w14:paraId="31CAD0E1" w14:textId="77777777" w:rsidR="00044E54" w:rsidRPr="006748D8" w:rsidRDefault="00044E54" w:rsidP="006D6035">
            <w:pPr>
              <w:keepNext/>
              <w:spacing w:after="0"/>
              <w:jc w:val="right"/>
              <w:rPr>
                <w:rFonts w:eastAsia="Times New Roman"/>
                <w:b/>
                <w:bCs/>
                <w:color w:val="000000"/>
                <w:sz w:val="18"/>
                <w:szCs w:val="18"/>
              </w:rPr>
            </w:pPr>
            <w:r w:rsidRPr="006748D8">
              <w:rPr>
                <w:rFonts w:eastAsia="Times New Roman"/>
                <w:b/>
                <w:bCs/>
                <w:color w:val="000000"/>
                <w:sz w:val="18"/>
                <w:szCs w:val="18"/>
              </w:rPr>
              <w:t>Total</w:t>
            </w:r>
            <w:r w:rsidRPr="006748D8">
              <w:rPr>
                <w:rFonts w:eastAsia="Times New Roman"/>
                <w:b/>
                <w:bCs/>
                <w:color w:val="000000"/>
                <w:sz w:val="18"/>
                <w:szCs w:val="18"/>
              </w:rPr>
              <w:br/>
              <w:t>(n = 726)</w:t>
            </w:r>
          </w:p>
        </w:tc>
      </w:tr>
      <w:tr w:rsidR="00044E54" w:rsidRPr="006748D8" w14:paraId="78EB0957" w14:textId="77777777" w:rsidTr="006D6035">
        <w:trPr>
          <w:cantSplit/>
          <w:jc w:val="center"/>
        </w:trPr>
        <w:tc>
          <w:tcPr>
            <w:tcW w:w="1129" w:type="pct"/>
            <w:tcBorders>
              <w:top w:val="nil"/>
              <w:right w:val="nil"/>
            </w:tcBorders>
            <w:shd w:val="clear" w:color="auto" w:fill="FFFFFF"/>
            <w:tcMar>
              <w:left w:w="67" w:type="dxa"/>
              <w:right w:w="67" w:type="dxa"/>
            </w:tcMar>
          </w:tcPr>
          <w:p w14:paraId="6918F429" w14:textId="77777777" w:rsidR="00044E54" w:rsidRPr="006748D8" w:rsidRDefault="00044E54" w:rsidP="006D6035">
            <w:pPr>
              <w:spacing w:after="0"/>
              <w:rPr>
                <w:rFonts w:eastAsia="Times New Roman"/>
                <w:bCs/>
                <w:color w:val="000000"/>
                <w:sz w:val="18"/>
                <w:szCs w:val="18"/>
              </w:rPr>
            </w:pPr>
            <w:r w:rsidRPr="006748D8">
              <w:rPr>
                <w:rFonts w:eastAsia="Times New Roman"/>
                <w:b/>
                <w:bCs/>
                <w:color w:val="000000"/>
                <w:sz w:val="18"/>
                <w:szCs w:val="18"/>
              </w:rPr>
              <w:t>Baseline CMAI-O Total Score</w:t>
            </w:r>
            <w:r w:rsidRPr="006748D8">
              <w:rPr>
                <w:rFonts w:eastAsia="Times New Roman"/>
                <w:bCs/>
                <w:color w:val="000000"/>
                <w:sz w:val="18"/>
                <w:szCs w:val="18"/>
              </w:rPr>
              <w:t xml:space="preserve">                          </w:t>
            </w:r>
          </w:p>
        </w:tc>
        <w:tc>
          <w:tcPr>
            <w:tcW w:w="677" w:type="pct"/>
            <w:tcBorders>
              <w:top w:val="nil"/>
              <w:left w:val="nil"/>
              <w:bottom w:val="nil"/>
              <w:right w:val="nil"/>
            </w:tcBorders>
            <w:shd w:val="clear" w:color="auto" w:fill="FFFFFF"/>
            <w:tcMar>
              <w:left w:w="67" w:type="dxa"/>
              <w:right w:w="67" w:type="dxa"/>
            </w:tcMar>
          </w:tcPr>
          <w:p w14:paraId="7D5BA713" w14:textId="77777777" w:rsidR="00044E54" w:rsidRPr="006748D8" w:rsidRDefault="00044E54" w:rsidP="006D6035">
            <w:pPr>
              <w:spacing w:after="0"/>
              <w:jc w:val="right"/>
              <w:rPr>
                <w:rFonts w:eastAsia="Times New Roman"/>
                <w:b/>
                <w:color w:val="000000"/>
                <w:sz w:val="18"/>
                <w:szCs w:val="18"/>
              </w:rPr>
            </w:pPr>
            <w:r w:rsidRPr="006748D8">
              <w:rPr>
                <w:rFonts w:eastAsia="Times New Roman"/>
                <w:b/>
                <w:color w:val="000000"/>
                <w:sz w:val="18"/>
                <w:szCs w:val="18"/>
              </w:rPr>
              <w:t>31.1 (3.1)  184</w:t>
            </w:r>
          </w:p>
        </w:tc>
        <w:tc>
          <w:tcPr>
            <w:tcW w:w="752" w:type="pct"/>
            <w:tcBorders>
              <w:top w:val="nil"/>
              <w:left w:val="nil"/>
              <w:bottom w:val="nil"/>
              <w:right w:val="nil"/>
            </w:tcBorders>
            <w:shd w:val="clear" w:color="auto" w:fill="FFFFFF"/>
            <w:tcMar>
              <w:left w:w="67" w:type="dxa"/>
              <w:right w:w="67" w:type="dxa"/>
            </w:tcMar>
          </w:tcPr>
          <w:p w14:paraId="40259078" w14:textId="77777777" w:rsidR="00044E54" w:rsidRPr="006748D8" w:rsidRDefault="00044E54" w:rsidP="006D6035">
            <w:pPr>
              <w:spacing w:after="0"/>
              <w:jc w:val="right"/>
              <w:rPr>
                <w:rFonts w:eastAsia="Times New Roman"/>
                <w:b/>
                <w:color w:val="000000"/>
                <w:sz w:val="18"/>
                <w:szCs w:val="18"/>
              </w:rPr>
            </w:pPr>
            <w:r w:rsidRPr="006748D8">
              <w:rPr>
                <w:rFonts w:eastAsia="Times New Roman"/>
                <w:b/>
                <w:color w:val="000000"/>
                <w:sz w:val="18"/>
                <w:szCs w:val="18"/>
              </w:rPr>
              <w:t>30.5 (2.7)  266</w:t>
            </w:r>
          </w:p>
        </w:tc>
        <w:tc>
          <w:tcPr>
            <w:tcW w:w="695" w:type="pct"/>
            <w:tcBorders>
              <w:top w:val="nil"/>
              <w:left w:val="nil"/>
              <w:bottom w:val="nil"/>
            </w:tcBorders>
            <w:shd w:val="clear" w:color="auto" w:fill="FFFFFF"/>
            <w:tcMar>
              <w:left w:w="67" w:type="dxa"/>
              <w:right w:w="67" w:type="dxa"/>
            </w:tcMar>
          </w:tcPr>
          <w:p w14:paraId="7C241C23" w14:textId="77777777" w:rsidR="00044E54" w:rsidRPr="006748D8" w:rsidRDefault="00044E54" w:rsidP="006D6035">
            <w:pPr>
              <w:spacing w:after="0"/>
              <w:jc w:val="right"/>
              <w:rPr>
                <w:rFonts w:eastAsia="Times New Roman"/>
                <w:b/>
                <w:color w:val="000000"/>
                <w:sz w:val="18"/>
                <w:szCs w:val="18"/>
              </w:rPr>
            </w:pPr>
            <w:r w:rsidRPr="006748D8">
              <w:rPr>
                <w:rFonts w:eastAsia="Times New Roman"/>
                <w:b/>
                <w:color w:val="000000"/>
                <w:sz w:val="18"/>
                <w:szCs w:val="18"/>
              </w:rPr>
              <w:t>30.8 (2.9)  450</w:t>
            </w:r>
          </w:p>
        </w:tc>
        <w:tc>
          <w:tcPr>
            <w:tcW w:w="584" w:type="pct"/>
            <w:tcBorders>
              <w:top w:val="nil"/>
              <w:left w:val="nil"/>
              <w:bottom w:val="nil"/>
              <w:right w:val="nil"/>
            </w:tcBorders>
            <w:shd w:val="clear" w:color="auto" w:fill="FFFFFF"/>
          </w:tcPr>
          <w:p w14:paraId="10587509" w14:textId="77777777" w:rsidR="00044E54" w:rsidRPr="006748D8" w:rsidRDefault="00044E54" w:rsidP="006D6035">
            <w:pPr>
              <w:spacing w:after="0"/>
              <w:jc w:val="right"/>
              <w:rPr>
                <w:rFonts w:eastAsia="Times New Roman"/>
                <w:b/>
                <w:color w:val="000000"/>
                <w:sz w:val="18"/>
                <w:szCs w:val="18"/>
              </w:rPr>
            </w:pPr>
            <w:r w:rsidRPr="006748D8">
              <w:rPr>
                <w:rFonts w:eastAsia="Times New Roman"/>
                <w:b/>
                <w:color w:val="000000"/>
                <w:sz w:val="18"/>
                <w:szCs w:val="18"/>
              </w:rPr>
              <w:t>32.0 (3.7)  198</w:t>
            </w:r>
          </w:p>
        </w:tc>
        <w:tc>
          <w:tcPr>
            <w:tcW w:w="583" w:type="pct"/>
            <w:tcBorders>
              <w:top w:val="nil"/>
              <w:left w:val="nil"/>
              <w:bottom w:val="nil"/>
              <w:right w:val="nil"/>
            </w:tcBorders>
            <w:shd w:val="clear" w:color="auto" w:fill="FFFFFF"/>
          </w:tcPr>
          <w:p w14:paraId="2C8E99BC" w14:textId="77777777" w:rsidR="00044E54" w:rsidRPr="006748D8" w:rsidRDefault="00044E54" w:rsidP="006D6035">
            <w:pPr>
              <w:spacing w:after="0"/>
              <w:jc w:val="right"/>
              <w:rPr>
                <w:rFonts w:eastAsia="Times New Roman"/>
                <w:b/>
                <w:color w:val="000000"/>
                <w:sz w:val="18"/>
                <w:szCs w:val="18"/>
              </w:rPr>
            </w:pPr>
            <w:r w:rsidRPr="006748D8">
              <w:rPr>
                <w:rFonts w:eastAsia="Times New Roman"/>
                <w:b/>
                <w:color w:val="000000"/>
                <w:sz w:val="18"/>
                <w:szCs w:val="18"/>
              </w:rPr>
              <w:t>31.5 (3.8)  272</w:t>
            </w:r>
          </w:p>
        </w:tc>
        <w:tc>
          <w:tcPr>
            <w:tcW w:w="580" w:type="pct"/>
            <w:tcBorders>
              <w:top w:val="nil"/>
              <w:left w:val="nil"/>
              <w:bottom w:val="nil"/>
            </w:tcBorders>
            <w:shd w:val="clear" w:color="auto" w:fill="FFFFFF"/>
          </w:tcPr>
          <w:p w14:paraId="75AC955D" w14:textId="77777777" w:rsidR="00044E54" w:rsidRPr="006748D8" w:rsidRDefault="00044E54" w:rsidP="006D6035">
            <w:pPr>
              <w:spacing w:after="0"/>
              <w:jc w:val="right"/>
              <w:rPr>
                <w:rFonts w:eastAsia="Times New Roman"/>
                <w:b/>
                <w:color w:val="000000"/>
                <w:sz w:val="18"/>
                <w:szCs w:val="18"/>
              </w:rPr>
            </w:pPr>
            <w:r w:rsidRPr="006748D8">
              <w:rPr>
                <w:rFonts w:eastAsia="Times New Roman"/>
                <w:b/>
                <w:color w:val="000000"/>
                <w:sz w:val="18"/>
                <w:szCs w:val="18"/>
              </w:rPr>
              <w:t>31.7 (3.8)  470</w:t>
            </w:r>
          </w:p>
        </w:tc>
      </w:tr>
      <w:tr w:rsidR="00044E54" w:rsidRPr="006748D8" w14:paraId="3B52E383" w14:textId="77777777" w:rsidTr="006D6035">
        <w:trPr>
          <w:cantSplit/>
          <w:jc w:val="center"/>
        </w:trPr>
        <w:tc>
          <w:tcPr>
            <w:tcW w:w="1129" w:type="pct"/>
            <w:tcBorders>
              <w:top w:val="nil"/>
              <w:right w:val="nil"/>
            </w:tcBorders>
            <w:shd w:val="clear" w:color="auto" w:fill="FFFFFF"/>
            <w:tcMar>
              <w:left w:w="67" w:type="dxa"/>
              <w:right w:w="67" w:type="dxa"/>
            </w:tcMar>
          </w:tcPr>
          <w:p w14:paraId="6BD258D9" w14:textId="77777777" w:rsidR="00044E54" w:rsidRPr="006748D8" w:rsidRDefault="00044E54" w:rsidP="006D6035">
            <w:pPr>
              <w:spacing w:after="0"/>
              <w:rPr>
                <w:rFonts w:eastAsia="Times New Roman"/>
                <w:color w:val="000000"/>
                <w:sz w:val="18"/>
                <w:szCs w:val="18"/>
              </w:rPr>
            </w:pPr>
            <w:r w:rsidRPr="006748D8">
              <w:rPr>
                <w:rFonts w:eastAsia="Times New Roman"/>
                <w:b/>
                <w:bCs/>
                <w:color w:val="000000"/>
                <w:sz w:val="18"/>
                <w:szCs w:val="18"/>
              </w:rPr>
              <w:t xml:space="preserve">Subscales: </w:t>
            </w:r>
            <w:r w:rsidRPr="006748D8">
              <w:rPr>
                <w:rFonts w:eastAsia="Times New Roman"/>
                <w:color w:val="000000"/>
                <w:sz w:val="18"/>
                <w:szCs w:val="18"/>
              </w:rPr>
              <w:t>Aggressive behaviour</w:t>
            </w:r>
          </w:p>
        </w:tc>
        <w:tc>
          <w:tcPr>
            <w:tcW w:w="677" w:type="pct"/>
            <w:tcBorders>
              <w:top w:val="nil"/>
              <w:left w:val="nil"/>
              <w:bottom w:val="nil"/>
              <w:right w:val="nil"/>
            </w:tcBorders>
            <w:shd w:val="clear" w:color="auto" w:fill="FFFFFF"/>
            <w:tcMar>
              <w:left w:w="67" w:type="dxa"/>
              <w:right w:w="67" w:type="dxa"/>
            </w:tcMar>
          </w:tcPr>
          <w:p w14:paraId="7FA75B9D"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9.2 (0.6)  185</w:t>
            </w:r>
          </w:p>
        </w:tc>
        <w:tc>
          <w:tcPr>
            <w:tcW w:w="752" w:type="pct"/>
            <w:tcBorders>
              <w:top w:val="nil"/>
              <w:left w:val="nil"/>
              <w:bottom w:val="nil"/>
              <w:right w:val="nil"/>
            </w:tcBorders>
            <w:shd w:val="clear" w:color="auto" w:fill="FFFFFF"/>
            <w:tcMar>
              <w:left w:w="67" w:type="dxa"/>
              <w:right w:w="67" w:type="dxa"/>
            </w:tcMar>
          </w:tcPr>
          <w:p w14:paraId="52728DB2"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9.1 (0.5)  266</w:t>
            </w:r>
          </w:p>
        </w:tc>
        <w:tc>
          <w:tcPr>
            <w:tcW w:w="695" w:type="pct"/>
            <w:tcBorders>
              <w:top w:val="nil"/>
              <w:left w:val="nil"/>
              <w:bottom w:val="nil"/>
            </w:tcBorders>
            <w:shd w:val="clear" w:color="auto" w:fill="FFFFFF"/>
            <w:tcMar>
              <w:left w:w="67" w:type="dxa"/>
              <w:right w:w="67" w:type="dxa"/>
            </w:tcMar>
          </w:tcPr>
          <w:p w14:paraId="0FB2C2A7"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9.1 (0.6)  451</w:t>
            </w:r>
          </w:p>
        </w:tc>
        <w:tc>
          <w:tcPr>
            <w:tcW w:w="584" w:type="pct"/>
            <w:tcBorders>
              <w:top w:val="nil"/>
              <w:left w:val="nil"/>
              <w:bottom w:val="nil"/>
              <w:right w:val="nil"/>
            </w:tcBorders>
            <w:shd w:val="clear" w:color="auto" w:fill="FFFFFF"/>
          </w:tcPr>
          <w:p w14:paraId="57E2441A"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9.4 (1.1)  198</w:t>
            </w:r>
          </w:p>
        </w:tc>
        <w:tc>
          <w:tcPr>
            <w:tcW w:w="583" w:type="pct"/>
            <w:tcBorders>
              <w:top w:val="nil"/>
              <w:left w:val="nil"/>
              <w:bottom w:val="nil"/>
              <w:right w:val="nil"/>
            </w:tcBorders>
            <w:shd w:val="clear" w:color="auto" w:fill="FFFFFF"/>
          </w:tcPr>
          <w:p w14:paraId="1E5B8592"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9.3 (1.0)  272</w:t>
            </w:r>
          </w:p>
        </w:tc>
        <w:tc>
          <w:tcPr>
            <w:tcW w:w="580" w:type="pct"/>
            <w:tcBorders>
              <w:top w:val="nil"/>
              <w:left w:val="nil"/>
              <w:bottom w:val="nil"/>
            </w:tcBorders>
            <w:shd w:val="clear" w:color="auto" w:fill="FFFFFF"/>
          </w:tcPr>
          <w:p w14:paraId="381FE9A3"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9.3 (1.1)  470</w:t>
            </w:r>
          </w:p>
        </w:tc>
      </w:tr>
      <w:tr w:rsidR="00044E54" w:rsidRPr="006748D8" w14:paraId="6CE3CE8D" w14:textId="77777777" w:rsidTr="006D6035">
        <w:trPr>
          <w:cantSplit/>
          <w:jc w:val="center"/>
        </w:trPr>
        <w:tc>
          <w:tcPr>
            <w:tcW w:w="1129" w:type="pct"/>
            <w:tcBorders>
              <w:top w:val="nil"/>
              <w:right w:val="nil"/>
            </w:tcBorders>
            <w:shd w:val="clear" w:color="auto" w:fill="FFFFFF"/>
            <w:tcMar>
              <w:left w:w="67" w:type="dxa"/>
              <w:right w:w="67" w:type="dxa"/>
            </w:tcMar>
          </w:tcPr>
          <w:p w14:paraId="75EEF57F" w14:textId="77777777" w:rsidR="00044E54" w:rsidRPr="006748D8" w:rsidRDefault="00044E54" w:rsidP="006D6035">
            <w:pPr>
              <w:spacing w:after="0"/>
              <w:rPr>
                <w:rFonts w:eastAsia="Times New Roman"/>
                <w:color w:val="000000"/>
                <w:sz w:val="18"/>
                <w:szCs w:val="18"/>
              </w:rPr>
            </w:pPr>
            <w:r w:rsidRPr="006748D8">
              <w:rPr>
                <w:rFonts w:eastAsia="Times New Roman"/>
                <w:color w:val="000000"/>
                <w:sz w:val="18"/>
                <w:szCs w:val="18"/>
              </w:rPr>
              <w:t xml:space="preserve">                   Physically non-aggressive</w:t>
            </w:r>
          </w:p>
        </w:tc>
        <w:tc>
          <w:tcPr>
            <w:tcW w:w="677" w:type="pct"/>
            <w:tcBorders>
              <w:top w:val="nil"/>
              <w:left w:val="nil"/>
              <w:bottom w:val="nil"/>
              <w:right w:val="nil"/>
            </w:tcBorders>
            <w:shd w:val="clear" w:color="auto" w:fill="FFFFFF"/>
            <w:tcMar>
              <w:left w:w="67" w:type="dxa"/>
              <w:right w:w="67" w:type="dxa"/>
            </w:tcMar>
          </w:tcPr>
          <w:p w14:paraId="6B4D1254"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7.2 (1.8)  184</w:t>
            </w:r>
          </w:p>
        </w:tc>
        <w:tc>
          <w:tcPr>
            <w:tcW w:w="752" w:type="pct"/>
            <w:tcBorders>
              <w:top w:val="nil"/>
              <w:left w:val="nil"/>
              <w:bottom w:val="nil"/>
              <w:right w:val="nil"/>
            </w:tcBorders>
            <w:shd w:val="clear" w:color="auto" w:fill="FFFFFF"/>
            <w:tcMar>
              <w:left w:w="67" w:type="dxa"/>
              <w:right w:w="67" w:type="dxa"/>
            </w:tcMar>
          </w:tcPr>
          <w:p w14:paraId="06C510D6"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6.9 (1.7)  265</w:t>
            </w:r>
          </w:p>
        </w:tc>
        <w:tc>
          <w:tcPr>
            <w:tcW w:w="695" w:type="pct"/>
            <w:tcBorders>
              <w:top w:val="nil"/>
              <w:left w:val="nil"/>
              <w:bottom w:val="nil"/>
            </w:tcBorders>
            <w:shd w:val="clear" w:color="auto" w:fill="FFFFFF"/>
            <w:tcMar>
              <w:left w:w="67" w:type="dxa"/>
              <w:right w:w="67" w:type="dxa"/>
            </w:tcMar>
          </w:tcPr>
          <w:p w14:paraId="5123A002"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7.0 (1.8)  449</w:t>
            </w:r>
          </w:p>
        </w:tc>
        <w:tc>
          <w:tcPr>
            <w:tcW w:w="584" w:type="pct"/>
            <w:tcBorders>
              <w:top w:val="nil"/>
              <w:left w:val="nil"/>
              <w:bottom w:val="nil"/>
              <w:right w:val="nil"/>
            </w:tcBorders>
            <w:shd w:val="clear" w:color="auto" w:fill="FFFFFF"/>
          </w:tcPr>
          <w:p w14:paraId="5EBE4464"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7.6 (2.1)  198</w:t>
            </w:r>
          </w:p>
        </w:tc>
        <w:tc>
          <w:tcPr>
            <w:tcW w:w="583" w:type="pct"/>
            <w:tcBorders>
              <w:top w:val="nil"/>
              <w:left w:val="nil"/>
              <w:bottom w:val="nil"/>
              <w:right w:val="nil"/>
            </w:tcBorders>
            <w:shd w:val="clear" w:color="auto" w:fill="FFFFFF"/>
          </w:tcPr>
          <w:p w14:paraId="44529E19"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7.3 (2.0)  272</w:t>
            </w:r>
          </w:p>
        </w:tc>
        <w:tc>
          <w:tcPr>
            <w:tcW w:w="580" w:type="pct"/>
            <w:tcBorders>
              <w:top w:val="nil"/>
              <w:left w:val="nil"/>
              <w:bottom w:val="nil"/>
            </w:tcBorders>
            <w:shd w:val="clear" w:color="auto" w:fill="FFFFFF"/>
          </w:tcPr>
          <w:p w14:paraId="308802E5"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7.4 (2.0)  470</w:t>
            </w:r>
          </w:p>
        </w:tc>
      </w:tr>
      <w:tr w:rsidR="00044E54" w:rsidRPr="006748D8" w14:paraId="7C170652" w14:textId="77777777" w:rsidTr="006D6035">
        <w:trPr>
          <w:cantSplit/>
          <w:jc w:val="center"/>
        </w:trPr>
        <w:tc>
          <w:tcPr>
            <w:tcW w:w="1129" w:type="pct"/>
            <w:tcBorders>
              <w:top w:val="nil"/>
              <w:right w:val="nil"/>
            </w:tcBorders>
            <w:shd w:val="clear" w:color="auto" w:fill="FFFFFF"/>
            <w:tcMar>
              <w:left w:w="67" w:type="dxa"/>
              <w:right w:w="67" w:type="dxa"/>
            </w:tcMar>
          </w:tcPr>
          <w:p w14:paraId="7A77DC5F" w14:textId="77777777" w:rsidR="00044E54" w:rsidRPr="006748D8" w:rsidRDefault="00044E54" w:rsidP="006D6035">
            <w:pPr>
              <w:spacing w:after="0"/>
              <w:rPr>
                <w:rFonts w:eastAsia="Times New Roman"/>
                <w:color w:val="000000"/>
                <w:sz w:val="18"/>
                <w:szCs w:val="18"/>
              </w:rPr>
            </w:pPr>
            <w:r w:rsidRPr="006748D8">
              <w:rPr>
                <w:rFonts w:eastAsia="Times New Roman"/>
                <w:color w:val="000000"/>
                <w:sz w:val="18"/>
                <w:szCs w:val="18"/>
              </w:rPr>
              <w:t xml:space="preserve">                   Verbally agitated</w:t>
            </w:r>
          </w:p>
        </w:tc>
        <w:tc>
          <w:tcPr>
            <w:tcW w:w="677" w:type="pct"/>
            <w:tcBorders>
              <w:top w:val="nil"/>
              <w:left w:val="nil"/>
              <w:bottom w:val="nil"/>
              <w:right w:val="nil"/>
            </w:tcBorders>
            <w:shd w:val="clear" w:color="auto" w:fill="FFFFFF"/>
            <w:tcMar>
              <w:left w:w="67" w:type="dxa"/>
              <w:right w:w="67" w:type="dxa"/>
            </w:tcMar>
          </w:tcPr>
          <w:p w14:paraId="634E311B"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5.5 (1.3)  184</w:t>
            </w:r>
          </w:p>
        </w:tc>
        <w:tc>
          <w:tcPr>
            <w:tcW w:w="752" w:type="pct"/>
            <w:tcBorders>
              <w:top w:val="nil"/>
              <w:left w:val="nil"/>
              <w:right w:val="nil"/>
            </w:tcBorders>
            <w:shd w:val="clear" w:color="auto" w:fill="FFFFFF"/>
            <w:tcMar>
              <w:left w:w="67" w:type="dxa"/>
              <w:right w:w="67" w:type="dxa"/>
            </w:tcMar>
          </w:tcPr>
          <w:p w14:paraId="49BEB7BE"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5.3 (0.9)  266</w:t>
            </w:r>
          </w:p>
        </w:tc>
        <w:tc>
          <w:tcPr>
            <w:tcW w:w="695" w:type="pct"/>
            <w:tcBorders>
              <w:top w:val="nil"/>
              <w:left w:val="nil"/>
            </w:tcBorders>
            <w:shd w:val="clear" w:color="auto" w:fill="FFFFFF"/>
            <w:tcMar>
              <w:left w:w="67" w:type="dxa"/>
              <w:right w:w="67" w:type="dxa"/>
            </w:tcMar>
          </w:tcPr>
          <w:p w14:paraId="349BD32F"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5.4 (1.1)  450</w:t>
            </w:r>
          </w:p>
        </w:tc>
        <w:tc>
          <w:tcPr>
            <w:tcW w:w="584" w:type="pct"/>
            <w:tcBorders>
              <w:top w:val="nil"/>
              <w:left w:val="nil"/>
              <w:right w:val="nil"/>
            </w:tcBorders>
            <w:shd w:val="clear" w:color="auto" w:fill="FFFFFF"/>
          </w:tcPr>
          <w:p w14:paraId="59017FC6"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5.6 (1.4)  198</w:t>
            </w:r>
          </w:p>
        </w:tc>
        <w:tc>
          <w:tcPr>
            <w:tcW w:w="583" w:type="pct"/>
            <w:tcBorders>
              <w:top w:val="nil"/>
              <w:left w:val="nil"/>
              <w:right w:val="nil"/>
            </w:tcBorders>
            <w:shd w:val="clear" w:color="auto" w:fill="FFFFFF"/>
          </w:tcPr>
          <w:p w14:paraId="298FB6A2"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5.6 (1.6)  272</w:t>
            </w:r>
          </w:p>
        </w:tc>
        <w:tc>
          <w:tcPr>
            <w:tcW w:w="580" w:type="pct"/>
            <w:tcBorders>
              <w:top w:val="nil"/>
              <w:left w:val="nil"/>
            </w:tcBorders>
            <w:shd w:val="clear" w:color="auto" w:fill="FFFFFF"/>
          </w:tcPr>
          <w:p w14:paraId="095E2751" w14:textId="77777777" w:rsidR="00044E54" w:rsidRPr="006748D8" w:rsidRDefault="00044E54" w:rsidP="006D6035">
            <w:pPr>
              <w:spacing w:after="0"/>
              <w:jc w:val="right"/>
              <w:rPr>
                <w:rFonts w:eastAsia="Times New Roman"/>
                <w:color w:val="000000"/>
                <w:sz w:val="18"/>
                <w:szCs w:val="18"/>
              </w:rPr>
            </w:pPr>
            <w:r w:rsidRPr="006748D8">
              <w:rPr>
                <w:rFonts w:eastAsia="Times New Roman"/>
                <w:color w:val="000000"/>
                <w:sz w:val="18"/>
                <w:szCs w:val="18"/>
              </w:rPr>
              <w:t>5.6 (1.6)  470</w:t>
            </w:r>
          </w:p>
        </w:tc>
      </w:tr>
      <w:tr w:rsidR="00044E54" w:rsidRPr="006748D8" w14:paraId="797768DB" w14:textId="77777777" w:rsidTr="006D6035">
        <w:trPr>
          <w:cantSplit/>
          <w:jc w:val="center"/>
        </w:trPr>
        <w:tc>
          <w:tcPr>
            <w:tcW w:w="1129" w:type="pct"/>
            <w:tcBorders>
              <w:top w:val="nil"/>
              <w:bottom w:val="single" w:sz="4" w:space="0" w:color="auto"/>
              <w:right w:val="nil"/>
            </w:tcBorders>
            <w:shd w:val="clear" w:color="auto" w:fill="FFFFFF"/>
            <w:tcMar>
              <w:left w:w="67" w:type="dxa"/>
              <w:right w:w="67" w:type="dxa"/>
            </w:tcMar>
          </w:tcPr>
          <w:p w14:paraId="1A5A64F6" w14:textId="77777777" w:rsidR="00044E54" w:rsidRPr="006748D8" w:rsidRDefault="00044E54" w:rsidP="006D6035">
            <w:pPr>
              <w:keepNext/>
              <w:spacing w:after="0"/>
              <w:rPr>
                <w:rFonts w:eastAsia="Times New Roman"/>
                <w:color w:val="000000"/>
                <w:sz w:val="18"/>
                <w:szCs w:val="18"/>
              </w:rPr>
            </w:pPr>
            <w:r w:rsidRPr="006748D8">
              <w:rPr>
                <w:rFonts w:eastAsia="Times New Roman"/>
                <w:color w:val="000000"/>
                <w:sz w:val="18"/>
                <w:szCs w:val="18"/>
              </w:rPr>
              <w:t xml:space="preserve">                   Other</w:t>
            </w:r>
          </w:p>
        </w:tc>
        <w:tc>
          <w:tcPr>
            <w:tcW w:w="677" w:type="pct"/>
            <w:tcBorders>
              <w:top w:val="nil"/>
              <w:left w:val="nil"/>
              <w:bottom w:val="single" w:sz="4" w:space="0" w:color="auto"/>
              <w:right w:val="nil"/>
            </w:tcBorders>
            <w:shd w:val="clear" w:color="auto" w:fill="FFFFFF"/>
            <w:tcMar>
              <w:left w:w="67" w:type="dxa"/>
              <w:right w:w="67" w:type="dxa"/>
            </w:tcMar>
          </w:tcPr>
          <w:p w14:paraId="18DFFDDF"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9.3 (0.9)  184</w:t>
            </w:r>
          </w:p>
        </w:tc>
        <w:tc>
          <w:tcPr>
            <w:tcW w:w="752" w:type="pct"/>
            <w:tcBorders>
              <w:top w:val="nil"/>
              <w:left w:val="nil"/>
              <w:bottom w:val="single" w:sz="4" w:space="0" w:color="auto"/>
              <w:right w:val="nil"/>
            </w:tcBorders>
            <w:shd w:val="clear" w:color="auto" w:fill="FFFFFF"/>
            <w:tcMar>
              <w:left w:w="67" w:type="dxa"/>
              <w:right w:w="67" w:type="dxa"/>
            </w:tcMar>
          </w:tcPr>
          <w:p w14:paraId="641B18F2"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9.2 (0.7)  266</w:t>
            </w:r>
          </w:p>
        </w:tc>
        <w:tc>
          <w:tcPr>
            <w:tcW w:w="695" w:type="pct"/>
            <w:tcBorders>
              <w:top w:val="nil"/>
              <w:left w:val="nil"/>
              <w:bottom w:val="single" w:sz="4" w:space="0" w:color="auto"/>
            </w:tcBorders>
            <w:shd w:val="clear" w:color="auto" w:fill="FFFFFF"/>
            <w:tcMar>
              <w:left w:w="67" w:type="dxa"/>
              <w:right w:w="67" w:type="dxa"/>
            </w:tcMar>
          </w:tcPr>
          <w:p w14:paraId="7E98D9F2"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9.2 (0.8)  450</w:t>
            </w:r>
          </w:p>
        </w:tc>
        <w:tc>
          <w:tcPr>
            <w:tcW w:w="584" w:type="pct"/>
            <w:tcBorders>
              <w:top w:val="nil"/>
              <w:left w:val="nil"/>
              <w:bottom w:val="single" w:sz="4" w:space="0" w:color="auto"/>
              <w:right w:val="nil"/>
            </w:tcBorders>
            <w:shd w:val="clear" w:color="auto" w:fill="FFFFFF"/>
          </w:tcPr>
          <w:p w14:paraId="48EE178B"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9.4 (1.1)  198</w:t>
            </w:r>
          </w:p>
        </w:tc>
        <w:tc>
          <w:tcPr>
            <w:tcW w:w="583" w:type="pct"/>
            <w:tcBorders>
              <w:top w:val="nil"/>
              <w:left w:val="nil"/>
              <w:bottom w:val="single" w:sz="4" w:space="0" w:color="auto"/>
              <w:right w:val="nil"/>
            </w:tcBorders>
            <w:shd w:val="clear" w:color="auto" w:fill="FFFFFF"/>
          </w:tcPr>
          <w:p w14:paraId="710A086F"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9.3 (0.8)  272</w:t>
            </w:r>
          </w:p>
        </w:tc>
        <w:tc>
          <w:tcPr>
            <w:tcW w:w="580" w:type="pct"/>
            <w:tcBorders>
              <w:top w:val="nil"/>
              <w:left w:val="nil"/>
              <w:bottom w:val="single" w:sz="4" w:space="0" w:color="auto"/>
            </w:tcBorders>
            <w:shd w:val="clear" w:color="auto" w:fill="FFFFFF"/>
          </w:tcPr>
          <w:p w14:paraId="28F27B78"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9.3 (0.9)  470</w:t>
            </w:r>
          </w:p>
        </w:tc>
      </w:tr>
      <w:tr w:rsidR="00044E54" w:rsidRPr="006748D8" w14:paraId="5E8F23D9" w14:textId="77777777" w:rsidTr="006D6035">
        <w:trPr>
          <w:cantSplit/>
          <w:jc w:val="center"/>
        </w:trPr>
        <w:tc>
          <w:tcPr>
            <w:tcW w:w="1129" w:type="pct"/>
            <w:tcBorders>
              <w:top w:val="nil"/>
              <w:bottom w:val="nil"/>
              <w:right w:val="nil"/>
            </w:tcBorders>
            <w:shd w:val="clear" w:color="auto" w:fill="FFFFFF"/>
            <w:tcMar>
              <w:left w:w="67" w:type="dxa"/>
              <w:right w:w="67" w:type="dxa"/>
            </w:tcMar>
          </w:tcPr>
          <w:p w14:paraId="74FE9796" w14:textId="77777777" w:rsidR="00044E54" w:rsidRPr="006748D8" w:rsidRDefault="00044E54" w:rsidP="006D6035">
            <w:pPr>
              <w:keepNext/>
              <w:spacing w:after="0"/>
              <w:rPr>
                <w:rFonts w:eastAsia="Times New Roman"/>
                <w:color w:val="000000"/>
                <w:sz w:val="18"/>
                <w:szCs w:val="18"/>
              </w:rPr>
            </w:pPr>
            <w:r w:rsidRPr="006748D8">
              <w:rPr>
                <w:rFonts w:eastAsia="Times New Roman"/>
                <w:b/>
                <w:bCs/>
                <w:color w:val="000000"/>
                <w:sz w:val="18"/>
                <w:szCs w:val="18"/>
              </w:rPr>
              <w:t>6-months CMAI-O Total Score</w:t>
            </w:r>
            <w:r w:rsidRPr="006748D8">
              <w:rPr>
                <w:rFonts w:eastAsia="Times New Roman"/>
                <w:bCs/>
                <w:color w:val="000000"/>
                <w:sz w:val="18"/>
                <w:szCs w:val="18"/>
              </w:rPr>
              <w:t xml:space="preserve">                          </w:t>
            </w:r>
          </w:p>
        </w:tc>
        <w:tc>
          <w:tcPr>
            <w:tcW w:w="677" w:type="pct"/>
            <w:tcBorders>
              <w:top w:val="nil"/>
              <w:left w:val="nil"/>
              <w:bottom w:val="nil"/>
              <w:right w:val="nil"/>
            </w:tcBorders>
            <w:shd w:val="clear" w:color="auto" w:fill="FFFFFF"/>
            <w:tcMar>
              <w:left w:w="67" w:type="dxa"/>
              <w:right w:w="67" w:type="dxa"/>
            </w:tcMar>
          </w:tcPr>
          <w:p w14:paraId="660A4369" w14:textId="77777777" w:rsidR="00044E54" w:rsidRPr="006748D8" w:rsidRDefault="00044E54" w:rsidP="006D6035">
            <w:pPr>
              <w:keepNext/>
              <w:spacing w:after="0"/>
              <w:jc w:val="right"/>
              <w:rPr>
                <w:rFonts w:eastAsia="Times New Roman"/>
                <w:b/>
                <w:color w:val="000000"/>
                <w:sz w:val="18"/>
                <w:szCs w:val="18"/>
              </w:rPr>
            </w:pPr>
            <w:r w:rsidRPr="006748D8">
              <w:rPr>
                <w:rFonts w:eastAsia="Times New Roman"/>
                <w:b/>
                <w:color w:val="000000"/>
                <w:sz w:val="18"/>
                <w:szCs w:val="18"/>
              </w:rPr>
              <w:t>31.1 (4)  159</w:t>
            </w:r>
          </w:p>
        </w:tc>
        <w:tc>
          <w:tcPr>
            <w:tcW w:w="752" w:type="pct"/>
            <w:tcBorders>
              <w:top w:val="single" w:sz="4" w:space="0" w:color="auto"/>
              <w:left w:val="nil"/>
              <w:bottom w:val="nil"/>
              <w:right w:val="nil"/>
            </w:tcBorders>
            <w:shd w:val="clear" w:color="auto" w:fill="FFFFFF"/>
            <w:tcMar>
              <w:left w:w="67" w:type="dxa"/>
              <w:right w:w="67" w:type="dxa"/>
            </w:tcMar>
          </w:tcPr>
          <w:p w14:paraId="32C8FEF8" w14:textId="77777777" w:rsidR="00044E54" w:rsidRPr="006748D8" w:rsidRDefault="00044E54" w:rsidP="006D6035">
            <w:pPr>
              <w:keepNext/>
              <w:spacing w:after="0"/>
              <w:jc w:val="right"/>
              <w:rPr>
                <w:rFonts w:eastAsia="Times New Roman"/>
                <w:b/>
                <w:color w:val="000000"/>
                <w:sz w:val="18"/>
                <w:szCs w:val="18"/>
              </w:rPr>
            </w:pPr>
            <w:r w:rsidRPr="006748D8">
              <w:rPr>
                <w:rFonts w:eastAsia="Times New Roman"/>
                <w:b/>
                <w:color w:val="000000"/>
                <w:sz w:val="18"/>
                <w:szCs w:val="18"/>
              </w:rPr>
              <w:t>31.3 (3.6)  209</w:t>
            </w:r>
          </w:p>
        </w:tc>
        <w:tc>
          <w:tcPr>
            <w:tcW w:w="695" w:type="pct"/>
            <w:tcBorders>
              <w:top w:val="single" w:sz="4" w:space="0" w:color="auto"/>
              <w:left w:val="nil"/>
              <w:bottom w:val="nil"/>
            </w:tcBorders>
            <w:shd w:val="clear" w:color="auto" w:fill="FFFFFF"/>
            <w:tcMar>
              <w:left w:w="67" w:type="dxa"/>
              <w:right w:w="67" w:type="dxa"/>
            </w:tcMar>
          </w:tcPr>
          <w:p w14:paraId="63EA322E" w14:textId="77777777" w:rsidR="00044E54" w:rsidRPr="006748D8" w:rsidRDefault="00044E54" w:rsidP="006D6035">
            <w:pPr>
              <w:keepNext/>
              <w:spacing w:after="0"/>
              <w:jc w:val="right"/>
              <w:rPr>
                <w:rFonts w:eastAsia="Times New Roman"/>
                <w:b/>
                <w:color w:val="000000"/>
                <w:sz w:val="18"/>
                <w:szCs w:val="18"/>
              </w:rPr>
            </w:pPr>
            <w:r w:rsidRPr="006748D8">
              <w:rPr>
                <w:rFonts w:eastAsia="Times New Roman"/>
                <w:b/>
                <w:color w:val="000000"/>
                <w:sz w:val="18"/>
                <w:szCs w:val="18"/>
              </w:rPr>
              <w:t>31.2 (3.8)  368</w:t>
            </w:r>
          </w:p>
        </w:tc>
        <w:tc>
          <w:tcPr>
            <w:tcW w:w="584" w:type="pct"/>
            <w:tcBorders>
              <w:top w:val="single" w:sz="4" w:space="0" w:color="auto"/>
              <w:left w:val="nil"/>
              <w:bottom w:val="nil"/>
              <w:right w:val="nil"/>
            </w:tcBorders>
            <w:shd w:val="clear" w:color="auto" w:fill="FFFFFF"/>
          </w:tcPr>
          <w:p w14:paraId="2A93F07E" w14:textId="77777777" w:rsidR="00044E54" w:rsidRPr="006748D8" w:rsidRDefault="00044E54" w:rsidP="006D6035">
            <w:pPr>
              <w:keepNext/>
              <w:spacing w:after="0"/>
              <w:jc w:val="right"/>
              <w:rPr>
                <w:rFonts w:eastAsia="Times New Roman"/>
                <w:b/>
                <w:color w:val="000000"/>
                <w:sz w:val="18"/>
                <w:szCs w:val="18"/>
              </w:rPr>
            </w:pPr>
            <w:r w:rsidRPr="006748D8">
              <w:rPr>
                <w:rFonts w:eastAsia="Times New Roman"/>
                <w:b/>
                <w:color w:val="000000"/>
                <w:sz w:val="18"/>
                <w:szCs w:val="18"/>
              </w:rPr>
              <w:t>31.6 (3.6)  151</w:t>
            </w:r>
          </w:p>
        </w:tc>
        <w:tc>
          <w:tcPr>
            <w:tcW w:w="583" w:type="pct"/>
            <w:tcBorders>
              <w:top w:val="single" w:sz="4" w:space="0" w:color="auto"/>
              <w:left w:val="nil"/>
              <w:bottom w:val="nil"/>
              <w:right w:val="nil"/>
            </w:tcBorders>
            <w:shd w:val="clear" w:color="auto" w:fill="FFFFFF"/>
          </w:tcPr>
          <w:p w14:paraId="087DED31" w14:textId="77777777" w:rsidR="00044E54" w:rsidRPr="006748D8" w:rsidRDefault="00044E54" w:rsidP="006D6035">
            <w:pPr>
              <w:keepNext/>
              <w:spacing w:after="0"/>
              <w:jc w:val="right"/>
              <w:rPr>
                <w:rFonts w:eastAsia="Times New Roman"/>
                <w:b/>
                <w:color w:val="000000"/>
                <w:sz w:val="18"/>
                <w:szCs w:val="18"/>
              </w:rPr>
            </w:pPr>
            <w:r w:rsidRPr="006748D8">
              <w:rPr>
                <w:rFonts w:eastAsia="Times New Roman"/>
                <w:b/>
                <w:color w:val="000000"/>
                <w:sz w:val="18"/>
                <w:szCs w:val="18"/>
              </w:rPr>
              <w:t>32.0 (3.9)  206</w:t>
            </w:r>
          </w:p>
        </w:tc>
        <w:tc>
          <w:tcPr>
            <w:tcW w:w="580" w:type="pct"/>
            <w:tcBorders>
              <w:top w:val="single" w:sz="4" w:space="0" w:color="auto"/>
              <w:left w:val="nil"/>
              <w:bottom w:val="nil"/>
            </w:tcBorders>
            <w:shd w:val="clear" w:color="auto" w:fill="FFFFFF"/>
          </w:tcPr>
          <w:p w14:paraId="620114FD" w14:textId="77777777" w:rsidR="00044E54" w:rsidRPr="006748D8" w:rsidRDefault="00044E54" w:rsidP="006D6035">
            <w:pPr>
              <w:keepNext/>
              <w:spacing w:after="0"/>
              <w:jc w:val="right"/>
              <w:rPr>
                <w:rFonts w:eastAsia="Times New Roman"/>
                <w:b/>
                <w:color w:val="000000"/>
                <w:sz w:val="18"/>
                <w:szCs w:val="18"/>
              </w:rPr>
            </w:pPr>
            <w:r w:rsidRPr="006748D8">
              <w:rPr>
                <w:rFonts w:eastAsia="Times New Roman"/>
                <w:b/>
                <w:color w:val="000000"/>
                <w:sz w:val="18"/>
                <w:szCs w:val="18"/>
              </w:rPr>
              <w:t>31.8 (3.8)  357</w:t>
            </w:r>
          </w:p>
        </w:tc>
      </w:tr>
      <w:tr w:rsidR="00044E54" w:rsidRPr="006748D8" w14:paraId="24A3AC41" w14:textId="77777777" w:rsidTr="006D6035">
        <w:trPr>
          <w:cantSplit/>
          <w:jc w:val="center"/>
        </w:trPr>
        <w:tc>
          <w:tcPr>
            <w:tcW w:w="1129" w:type="pct"/>
            <w:tcBorders>
              <w:top w:val="nil"/>
              <w:bottom w:val="nil"/>
              <w:right w:val="nil"/>
            </w:tcBorders>
            <w:shd w:val="clear" w:color="auto" w:fill="FFFFFF"/>
            <w:tcMar>
              <w:left w:w="67" w:type="dxa"/>
              <w:right w:w="67" w:type="dxa"/>
            </w:tcMar>
          </w:tcPr>
          <w:p w14:paraId="345F11ED" w14:textId="77777777" w:rsidR="00044E54" w:rsidRPr="006748D8" w:rsidRDefault="00044E54" w:rsidP="006D6035">
            <w:pPr>
              <w:keepNext/>
              <w:spacing w:after="0"/>
              <w:rPr>
                <w:rFonts w:eastAsia="Times New Roman"/>
                <w:color w:val="000000"/>
                <w:sz w:val="18"/>
                <w:szCs w:val="18"/>
              </w:rPr>
            </w:pPr>
            <w:r w:rsidRPr="006748D8">
              <w:rPr>
                <w:rFonts w:eastAsia="Times New Roman"/>
                <w:b/>
                <w:bCs/>
                <w:color w:val="000000"/>
                <w:sz w:val="18"/>
                <w:szCs w:val="18"/>
              </w:rPr>
              <w:t xml:space="preserve">Subscales: </w:t>
            </w:r>
            <w:r w:rsidRPr="006748D8">
              <w:rPr>
                <w:rFonts w:eastAsia="Times New Roman"/>
                <w:color w:val="000000"/>
                <w:sz w:val="18"/>
                <w:szCs w:val="18"/>
              </w:rPr>
              <w:t>Aggressive behaviour</w:t>
            </w:r>
          </w:p>
        </w:tc>
        <w:tc>
          <w:tcPr>
            <w:tcW w:w="677" w:type="pct"/>
            <w:tcBorders>
              <w:top w:val="nil"/>
              <w:left w:val="nil"/>
              <w:bottom w:val="nil"/>
              <w:right w:val="nil"/>
            </w:tcBorders>
            <w:shd w:val="clear" w:color="auto" w:fill="FFFFFF"/>
            <w:tcMar>
              <w:left w:w="67" w:type="dxa"/>
              <w:right w:w="67" w:type="dxa"/>
            </w:tcMar>
          </w:tcPr>
          <w:p w14:paraId="3E3F7F9F"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9.3 (1.0)  159</w:t>
            </w:r>
          </w:p>
        </w:tc>
        <w:tc>
          <w:tcPr>
            <w:tcW w:w="752" w:type="pct"/>
            <w:tcBorders>
              <w:top w:val="nil"/>
              <w:left w:val="nil"/>
              <w:bottom w:val="nil"/>
              <w:right w:val="nil"/>
            </w:tcBorders>
            <w:shd w:val="clear" w:color="auto" w:fill="FFFFFF"/>
            <w:tcMar>
              <w:left w:w="67" w:type="dxa"/>
              <w:right w:w="67" w:type="dxa"/>
            </w:tcMar>
          </w:tcPr>
          <w:p w14:paraId="250FDE64"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9.2 (0.6)  209</w:t>
            </w:r>
          </w:p>
        </w:tc>
        <w:tc>
          <w:tcPr>
            <w:tcW w:w="695" w:type="pct"/>
            <w:tcBorders>
              <w:top w:val="nil"/>
              <w:left w:val="nil"/>
              <w:bottom w:val="nil"/>
            </w:tcBorders>
            <w:shd w:val="clear" w:color="auto" w:fill="FFFFFF"/>
            <w:tcMar>
              <w:left w:w="67" w:type="dxa"/>
              <w:right w:w="67" w:type="dxa"/>
            </w:tcMar>
          </w:tcPr>
          <w:p w14:paraId="6CD35DD2"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9.2 (0.8)  368</w:t>
            </w:r>
          </w:p>
        </w:tc>
        <w:tc>
          <w:tcPr>
            <w:tcW w:w="584" w:type="pct"/>
            <w:tcBorders>
              <w:top w:val="nil"/>
              <w:left w:val="nil"/>
              <w:bottom w:val="nil"/>
              <w:right w:val="nil"/>
            </w:tcBorders>
            <w:shd w:val="clear" w:color="auto" w:fill="FFFFFF"/>
          </w:tcPr>
          <w:p w14:paraId="03C323AD"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9.3 (0.9)  151</w:t>
            </w:r>
          </w:p>
        </w:tc>
        <w:tc>
          <w:tcPr>
            <w:tcW w:w="583" w:type="pct"/>
            <w:tcBorders>
              <w:top w:val="nil"/>
              <w:left w:val="nil"/>
              <w:bottom w:val="nil"/>
              <w:right w:val="nil"/>
            </w:tcBorders>
            <w:shd w:val="clear" w:color="auto" w:fill="FFFFFF"/>
          </w:tcPr>
          <w:p w14:paraId="703C43FD"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9.3 (0.8)  206</w:t>
            </w:r>
          </w:p>
        </w:tc>
        <w:tc>
          <w:tcPr>
            <w:tcW w:w="580" w:type="pct"/>
            <w:tcBorders>
              <w:top w:val="nil"/>
              <w:left w:val="nil"/>
              <w:bottom w:val="nil"/>
            </w:tcBorders>
            <w:shd w:val="clear" w:color="auto" w:fill="FFFFFF"/>
          </w:tcPr>
          <w:p w14:paraId="53093E30"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9.3 (0.9)  357</w:t>
            </w:r>
          </w:p>
        </w:tc>
      </w:tr>
      <w:tr w:rsidR="00044E54" w:rsidRPr="006748D8" w14:paraId="58D2112A" w14:textId="77777777" w:rsidTr="006D6035">
        <w:trPr>
          <w:cantSplit/>
          <w:jc w:val="center"/>
        </w:trPr>
        <w:tc>
          <w:tcPr>
            <w:tcW w:w="1129" w:type="pct"/>
            <w:tcBorders>
              <w:top w:val="nil"/>
              <w:bottom w:val="nil"/>
              <w:right w:val="nil"/>
            </w:tcBorders>
            <w:shd w:val="clear" w:color="auto" w:fill="FFFFFF"/>
            <w:tcMar>
              <w:left w:w="67" w:type="dxa"/>
              <w:right w:w="67" w:type="dxa"/>
            </w:tcMar>
          </w:tcPr>
          <w:p w14:paraId="3613F3E9" w14:textId="77777777" w:rsidR="00044E54" w:rsidRPr="006748D8" w:rsidRDefault="00044E54" w:rsidP="006D6035">
            <w:pPr>
              <w:keepNext/>
              <w:spacing w:after="0"/>
              <w:rPr>
                <w:rFonts w:eastAsia="Times New Roman"/>
                <w:color w:val="000000"/>
                <w:sz w:val="18"/>
                <w:szCs w:val="18"/>
              </w:rPr>
            </w:pPr>
            <w:r w:rsidRPr="006748D8">
              <w:rPr>
                <w:rFonts w:eastAsia="Times New Roman"/>
                <w:color w:val="000000"/>
                <w:sz w:val="18"/>
                <w:szCs w:val="18"/>
              </w:rPr>
              <w:t xml:space="preserve">                   Physically non-aggressive</w:t>
            </w:r>
          </w:p>
        </w:tc>
        <w:tc>
          <w:tcPr>
            <w:tcW w:w="677" w:type="pct"/>
            <w:tcBorders>
              <w:top w:val="nil"/>
              <w:left w:val="nil"/>
              <w:bottom w:val="nil"/>
              <w:right w:val="nil"/>
            </w:tcBorders>
            <w:shd w:val="clear" w:color="auto" w:fill="FFFFFF"/>
            <w:tcMar>
              <w:left w:w="67" w:type="dxa"/>
              <w:right w:w="67" w:type="dxa"/>
            </w:tcMar>
          </w:tcPr>
          <w:p w14:paraId="3680F142"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6.8 (1.8)  159</w:t>
            </w:r>
          </w:p>
        </w:tc>
        <w:tc>
          <w:tcPr>
            <w:tcW w:w="752" w:type="pct"/>
            <w:tcBorders>
              <w:top w:val="nil"/>
              <w:left w:val="nil"/>
              <w:bottom w:val="nil"/>
              <w:right w:val="nil"/>
            </w:tcBorders>
            <w:shd w:val="clear" w:color="auto" w:fill="FFFFFF"/>
            <w:tcMar>
              <w:left w:w="67" w:type="dxa"/>
              <w:right w:w="67" w:type="dxa"/>
            </w:tcMar>
          </w:tcPr>
          <w:p w14:paraId="0BB452FC"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6.9 (1.8)  209</w:t>
            </w:r>
          </w:p>
        </w:tc>
        <w:tc>
          <w:tcPr>
            <w:tcW w:w="695" w:type="pct"/>
            <w:tcBorders>
              <w:top w:val="nil"/>
              <w:left w:val="nil"/>
              <w:bottom w:val="nil"/>
            </w:tcBorders>
            <w:shd w:val="clear" w:color="auto" w:fill="FFFFFF"/>
            <w:tcMar>
              <w:left w:w="67" w:type="dxa"/>
              <w:right w:w="67" w:type="dxa"/>
            </w:tcMar>
          </w:tcPr>
          <w:p w14:paraId="1FE05781"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6.9 (1.8)  368</w:t>
            </w:r>
          </w:p>
        </w:tc>
        <w:tc>
          <w:tcPr>
            <w:tcW w:w="584" w:type="pct"/>
            <w:tcBorders>
              <w:top w:val="nil"/>
              <w:left w:val="nil"/>
              <w:bottom w:val="nil"/>
              <w:right w:val="nil"/>
            </w:tcBorders>
            <w:shd w:val="clear" w:color="auto" w:fill="FFFFFF"/>
          </w:tcPr>
          <w:p w14:paraId="7C89AE0D"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7.1 (2.0)  151</w:t>
            </w:r>
          </w:p>
        </w:tc>
        <w:tc>
          <w:tcPr>
            <w:tcW w:w="583" w:type="pct"/>
            <w:tcBorders>
              <w:top w:val="nil"/>
              <w:left w:val="nil"/>
              <w:bottom w:val="nil"/>
              <w:right w:val="nil"/>
            </w:tcBorders>
            <w:shd w:val="clear" w:color="auto" w:fill="FFFFFF"/>
          </w:tcPr>
          <w:p w14:paraId="48E71FC9"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7.4 (2.0)  206</w:t>
            </w:r>
          </w:p>
        </w:tc>
        <w:tc>
          <w:tcPr>
            <w:tcW w:w="580" w:type="pct"/>
            <w:tcBorders>
              <w:top w:val="nil"/>
              <w:left w:val="nil"/>
              <w:bottom w:val="nil"/>
            </w:tcBorders>
            <w:shd w:val="clear" w:color="auto" w:fill="FFFFFF"/>
          </w:tcPr>
          <w:p w14:paraId="65BB2D9F"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7.3 (2.0)  357</w:t>
            </w:r>
          </w:p>
        </w:tc>
      </w:tr>
      <w:tr w:rsidR="00044E54" w:rsidRPr="006748D8" w14:paraId="5C676CD8" w14:textId="77777777" w:rsidTr="006D6035">
        <w:trPr>
          <w:cantSplit/>
          <w:jc w:val="center"/>
        </w:trPr>
        <w:tc>
          <w:tcPr>
            <w:tcW w:w="1129" w:type="pct"/>
            <w:tcBorders>
              <w:top w:val="nil"/>
              <w:bottom w:val="nil"/>
              <w:right w:val="nil"/>
            </w:tcBorders>
            <w:shd w:val="clear" w:color="auto" w:fill="FFFFFF"/>
            <w:tcMar>
              <w:left w:w="67" w:type="dxa"/>
              <w:right w:w="67" w:type="dxa"/>
            </w:tcMar>
          </w:tcPr>
          <w:p w14:paraId="0DE96163" w14:textId="77777777" w:rsidR="00044E54" w:rsidRPr="006748D8" w:rsidRDefault="00044E54" w:rsidP="006D6035">
            <w:pPr>
              <w:keepNext/>
              <w:spacing w:after="0"/>
              <w:rPr>
                <w:rFonts w:eastAsia="Times New Roman"/>
                <w:color w:val="000000"/>
                <w:sz w:val="18"/>
                <w:szCs w:val="18"/>
              </w:rPr>
            </w:pPr>
            <w:r w:rsidRPr="006748D8">
              <w:rPr>
                <w:rFonts w:eastAsia="Times New Roman"/>
                <w:color w:val="000000"/>
                <w:sz w:val="18"/>
                <w:szCs w:val="18"/>
              </w:rPr>
              <w:t xml:space="preserve">                   Verbally agitated</w:t>
            </w:r>
          </w:p>
        </w:tc>
        <w:tc>
          <w:tcPr>
            <w:tcW w:w="677" w:type="pct"/>
            <w:tcBorders>
              <w:top w:val="nil"/>
              <w:left w:val="nil"/>
              <w:bottom w:val="nil"/>
              <w:right w:val="nil"/>
            </w:tcBorders>
            <w:shd w:val="clear" w:color="auto" w:fill="FFFFFF"/>
            <w:tcMar>
              <w:left w:w="67" w:type="dxa"/>
              <w:right w:w="67" w:type="dxa"/>
            </w:tcMar>
          </w:tcPr>
          <w:p w14:paraId="4D49C05F"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5.7 (1.7)  159</w:t>
            </w:r>
          </w:p>
        </w:tc>
        <w:tc>
          <w:tcPr>
            <w:tcW w:w="752" w:type="pct"/>
            <w:tcBorders>
              <w:top w:val="nil"/>
              <w:left w:val="nil"/>
              <w:right w:val="nil"/>
            </w:tcBorders>
            <w:shd w:val="clear" w:color="auto" w:fill="FFFFFF"/>
            <w:tcMar>
              <w:left w:w="67" w:type="dxa"/>
              <w:right w:w="67" w:type="dxa"/>
            </w:tcMar>
          </w:tcPr>
          <w:p w14:paraId="2165D933"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5.6 (1.7)  209</w:t>
            </w:r>
          </w:p>
        </w:tc>
        <w:tc>
          <w:tcPr>
            <w:tcW w:w="695" w:type="pct"/>
            <w:tcBorders>
              <w:top w:val="nil"/>
              <w:left w:val="nil"/>
            </w:tcBorders>
            <w:shd w:val="clear" w:color="auto" w:fill="FFFFFF"/>
            <w:tcMar>
              <w:left w:w="67" w:type="dxa"/>
              <w:right w:w="67" w:type="dxa"/>
            </w:tcMar>
          </w:tcPr>
          <w:p w14:paraId="5B4A4774"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5.6 (1.7)  368</w:t>
            </w:r>
          </w:p>
        </w:tc>
        <w:tc>
          <w:tcPr>
            <w:tcW w:w="584" w:type="pct"/>
            <w:tcBorders>
              <w:top w:val="nil"/>
              <w:left w:val="nil"/>
              <w:right w:val="nil"/>
            </w:tcBorders>
            <w:shd w:val="clear" w:color="auto" w:fill="FFFFFF"/>
          </w:tcPr>
          <w:p w14:paraId="4BA40362"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5.8 (1.7)  151</w:t>
            </w:r>
          </w:p>
        </w:tc>
        <w:tc>
          <w:tcPr>
            <w:tcW w:w="583" w:type="pct"/>
            <w:tcBorders>
              <w:top w:val="nil"/>
              <w:left w:val="nil"/>
              <w:right w:val="nil"/>
            </w:tcBorders>
            <w:shd w:val="clear" w:color="auto" w:fill="FFFFFF"/>
          </w:tcPr>
          <w:p w14:paraId="6E22A310"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5.8 (1.9)  206</w:t>
            </w:r>
          </w:p>
        </w:tc>
        <w:tc>
          <w:tcPr>
            <w:tcW w:w="580" w:type="pct"/>
            <w:tcBorders>
              <w:top w:val="nil"/>
              <w:left w:val="nil"/>
            </w:tcBorders>
            <w:shd w:val="clear" w:color="auto" w:fill="FFFFFF"/>
          </w:tcPr>
          <w:p w14:paraId="41D67C32"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5.8 (1.8)  357</w:t>
            </w:r>
          </w:p>
        </w:tc>
      </w:tr>
      <w:tr w:rsidR="00044E54" w:rsidRPr="006748D8" w14:paraId="659F4D11" w14:textId="77777777" w:rsidTr="006D6035">
        <w:trPr>
          <w:cantSplit/>
          <w:jc w:val="center"/>
        </w:trPr>
        <w:tc>
          <w:tcPr>
            <w:tcW w:w="1129" w:type="pct"/>
            <w:tcBorders>
              <w:top w:val="nil"/>
              <w:bottom w:val="single" w:sz="4" w:space="0" w:color="auto"/>
              <w:right w:val="nil"/>
            </w:tcBorders>
            <w:shd w:val="clear" w:color="auto" w:fill="FFFFFF"/>
            <w:tcMar>
              <w:left w:w="67" w:type="dxa"/>
              <w:right w:w="67" w:type="dxa"/>
            </w:tcMar>
          </w:tcPr>
          <w:p w14:paraId="06C77CC7" w14:textId="77777777" w:rsidR="00044E54" w:rsidRPr="006748D8" w:rsidRDefault="00044E54" w:rsidP="006D6035">
            <w:pPr>
              <w:keepNext/>
              <w:spacing w:after="0"/>
              <w:rPr>
                <w:rFonts w:eastAsia="Times New Roman"/>
                <w:color w:val="000000"/>
                <w:sz w:val="18"/>
                <w:szCs w:val="18"/>
              </w:rPr>
            </w:pPr>
            <w:r w:rsidRPr="006748D8">
              <w:rPr>
                <w:rFonts w:eastAsia="Times New Roman"/>
                <w:color w:val="000000"/>
                <w:sz w:val="18"/>
                <w:szCs w:val="18"/>
              </w:rPr>
              <w:t xml:space="preserve">                   Other</w:t>
            </w:r>
          </w:p>
        </w:tc>
        <w:tc>
          <w:tcPr>
            <w:tcW w:w="677" w:type="pct"/>
            <w:tcBorders>
              <w:top w:val="nil"/>
              <w:left w:val="nil"/>
              <w:bottom w:val="single" w:sz="4" w:space="0" w:color="auto"/>
              <w:right w:val="nil"/>
            </w:tcBorders>
            <w:shd w:val="clear" w:color="auto" w:fill="FFFFFF"/>
            <w:tcMar>
              <w:left w:w="67" w:type="dxa"/>
              <w:right w:w="67" w:type="dxa"/>
            </w:tcMar>
          </w:tcPr>
          <w:p w14:paraId="2E0A9DC2"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9.4 (1.0)  159</w:t>
            </w:r>
          </w:p>
        </w:tc>
        <w:tc>
          <w:tcPr>
            <w:tcW w:w="752" w:type="pct"/>
            <w:tcBorders>
              <w:top w:val="nil"/>
              <w:left w:val="nil"/>
              <w:bottom w:val="single" w:sz="4" w:space="0" w:color="auto"/>
              <w:right w:val="nil"/>
            </w:tcBorders>
            <w:shd w:val="clear" w:color="auto" w:fill="FFFFFF"/>
            <w:tcMar>
              <w:left w:w="67" w:type="dxa"/>
              <w:right w:w="67" w:type="dxa"/>
            </w:tcMar>
          </w:tcPr>
          <w:p w14:paraId="6852EF8B"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9.6 (1.2)  209</w:t>
            </w:r>
          </w:p>
        </w:tc>
        <w:tc>
          <w:tcPr>
            <w:tcW w:w="695" w:type="pct"/>
            <w:tcBorders>
              <w:top w:val="nil"/>
              <w:left w:val="nil"/>
              <w:bottom w:val="single" w:sz="4" w:space="0" w:color="auto"/>
            </w:tcBorders>
            <w:shd w:val="clear" w:color="auto" w:fill="FFFFFF"/>
            <w:tcMar>
              <w:left w:w="67" w:type="dxa"/>
              <w:right w:w="67" w:type="dxa"/>
            </w:tcMar>
          </w:tcPr>
          <w:p w14:paraId="50BCA00E"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9.5 (1.1)  368</w:t>
            </w:r>
          </w:p>
        </w:tc>
        <w:tc>
          <w:tcPr>
            <w:tcW w:w="584" w:type="pct"/>
            <w:tcBorders>
              <w:top w:val="nil"/>
              <w:left w:val="nil"/>
              <w:bottom w:val="single" w:sz="4" w:space="0" w:color="auto"/>
              <w:right w:val="nil"/>
            </w:tcBorders>
            <w:shd w:val="clear" w:color="auto" w:fill="FFFFFF"/>
          </w:tcPr>
          <w:p w14:paraId="6F551CE3"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9.4 (1.0)  151</w:t>
            </w:r>
          </w:p>
        </w:tc>
        <w:tc>
          <w:tcPr>
            <w:tcW w:w="583" w:type="pct"/>
            <w:tcBorders>
              <w:top w:val="nil"/>
              <w:left w:val="nil"/>
              <w:bottom w:val="single" w:sz="4" w:space="0" w:color="auto"/>
              <w:right w:val="nil"/>
            </w:tcBorders>
            <w:shd w:val="clear" w:color="auto" w:fill="FFFFFF"/>
          </w:tcPr>
          <w:p w14:paraId="2F422E92"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9.5 (1.1)  206</w:t>
            </w:r>
          </w:p>
        </w:tc>
        <w:tc>
          <w:tcPr>
            <w:tcW w:w="580" w:type="pct"/>
            <w:tcBorders>
              <w:top w:val="nil"/>
              <w:left w:val="nil"/>
              <w:bottom w:val="single" w:sz="4" w:space="0" w:color="auto"/>
            </w:tcBorders>
            <w:shd w:val="clear" w:color="auto" w:fill="FFFFFF"/>
          </w:tcPr>
          <w:p w14:paraId="1901657E"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9.5 (1.1)  357</w:t>
            </w:r>
          </w:p>
        </w:tc>
      </w:tr>
      <w:tr w:rsidR="00044E54" w:rsidRPr="006748D8" w14:paraId="7E080C2A" w14:textId="77777777" w:rsidTr="006D6035">
        <w:trPr>
          <w:cantSplit/>
          <w:jc w:val="center"/>
        </w:trPr>
        <w:tc>
          <w:tcPr>
            <w:tcW w:w="1129" w:type="pct"/>
            <w:tcBorders>
              <w:top w:val="nil"/>
              <w:bottom w:val="nil"/>
              <w:right w:val="nil"/>
            </w:tcBorders>
            <w:shd w:val="clear" w:color="auto" w:fill="FFFFFF"/>
            <w:tcMar>
              <w:left w:w="67" w:type="dxa"/>
              <w:right w:w="67" w:type="dxa"/>
            </w:tcMar>
          </w:tcPr>
          <w:p w14:paraId="2B5C6B28" w14:textId="77777777" w:rsidR="00044E54" w:rsidRPr="006748D8" w:rsidRDefault="00044E54" w:rsidP="006D6035">
            <w:pPr>
              <w:keepNext/>
              <w:spacing w:after="0"/>
              <w:rPr>
                <w:rFonts w:eastAsia="Times New Roman"/>
                <w:color w:val="000000"/>
                <w:sz w:val="18"/>
                <w:szCs w:val="18"/>
              </w:rPr>
            </w:pPr>
            <w:r w:rsidRPr="006748D8">
              <w:rPr>
                <w:rFonts w:eastAsia="Times New Roman"/>
                <w:b/>
                <w:bCs/>
                <w:color w:val="000000"/>
                <w:sz w:val="18"/>
                <w:szCs w:val="18"/>
              </w:rPr>
              <w:t>16-months CMAI-O Total Score</w:t>
            </w:r>
            <w:r w:rsidRPr="006748D8">
              <w:rPr>
                <w:rFonts w:eastAsia="Times New Roman"/>
                <w:bCs/>
                <w:color w:val="000000"/>
                <w:sz w:val="18"/>
                <w:szCs w:val="18"/>
              </w:rPr>
              <w:t xml:space="preserve">                          </w:t>
            </w:r>
          </w:p>
        </w:tc>
        <w:tc>
          <w:tcPr>
            <w:tcW w:w="677" w:type="pct"/>
            <w:tcBorders>
              <w:top w:val="nil"/>
              <w:left w:val="nil"/>
              <w:bottom w:val="nil"/>
              <w:right w:val="nil"/>
            </w:tcBorders>
            <w:shd w:val="clear" w:color="auto" w:fill="FFFFFF"/>
            <w:tcMar>
              <w:left w:w="67" w:type="dxa"/>
              <w:right w:w="67" w:type="dxa"/>
            </w:tcMar>
          </w:tcPr>
          <w:p w14:paraId="1387992D" w14:textId="77777777" w:rsidR="00044E54" w:rsidRPr="006748D8" w:rsidRDefault="00044E54" w:rsidP="006D6035">
            <w:pPr>
              <w:keepNext/>
              <w:spacing w:after="0"/>
              <w:jc w:val="right"/>
              <w:rPr>
                <w:rFonts w:eastAsia="Times New Roman"/>
                <w:b/>
                <w:color w:val="000000"/>
                <w:sz w:val="18"/>
                <w:szCs w:val="18"/>
              </w:rPr>
            </w:pPr>
            <w:r w:rsidRPr="006748D8">
              <w:rPr>
                <w:rFonts w:eastAsia="Times New Roman"/>
                <w:b/>
                <w:color w:val="000000"/>
                <w:sz w:val="18"/>
                <w:szCs w:val="18"/>
              </w:rPr>
              <w:t>31.2 (3.8)  102</w:t>
            </w:r>
          </w:p>
        </w:tc>
        <w:tc>
          <w:tcPr>
            <w:tcW w:w="752" w:type="pct"/>
            <w:tcBorders>
              <w:top w:val="single" w:sz="4" w:space="0" w:color="auto"/>
              <w:left w:val="nil"/>
              <w:bottom w:val="nil"/>
              <w:right w:val="nil"/>
            </w:tcBorders>
            <w:shd w:val="clear" w:color="auto" w:fill="FFFFFF"/>
            <w:tcMar>
              <w:left w:w="67" w:type="dxa"/>
              <w:right w:w="67" w:type="dxa"/>
            </w:tcMar>
          </w:tcPr>
          <w:p w14:paraId="540C1D4D" w14:textId="77777777" w:rsidR="00044E54" w:rsidRPr="006748D8" w:rsidRDefault="00044E54" w:rsidP="006D6035">
            <w:pPr>
              <w:keepNext/>
              <w:spacing w:after="0"/>
              <w:jc w:val="right"/>
              <w:rPr>
                <w:rFonts w:eastAsia="Times New Roman"/>
                <w:b/>
                <w:color w:val="000000"/>
                <w:sz w:val="18"/>
                <w:szCs w:val="18"/>
              </w:rPr>
            </w:pPr>
            <w:r w:rsidRPr="006748D8">
              <w:rPr>
                <w:rFonts w:eastAsia="Times New Roman"/>
                <w:b/>
                <w:color w:val="000000"/>
                <w:sz w:val="18"/>
                <w:szCs w:val="18"/>
              </w:rPr>
              <w:t>30.4 (3.2)  129</w:t>
            </w:r>
          </w:p>
        </w:tc>
        <w:tc>
          <w:tcPr>
            <w:tcW w:w="695" w:type="pct"/>
            <w:tcBorders>
              <w:top w:val="single" w:sz="4" w:space="0" w:color="auto"/>
              <w:left w:val="nil"/>
              <w:bottom w:val="nil"/>
            </w:tcBorders>
            <w:shd w:val="clear" w:color="auto" w:fill="FFFFFF"/>
            <w:tcMar>
              <w:left w:w="67" w:type="dxa"/>
              <w:right w:w="67" w:type="dxa"/>
            </w:tcMar>
          </w:tcPr>
          <w:p w14:paraId="6FCCF786" w14:textId="77777777" w:rsidR="00044E54" w:rsidRPr="006748D8" w:rsidRDefault="00044E54" w:rsidP="006D6035">
            <w:pPr>
              <w:keepNext/>
              <w:spacing w:after="0"/>
              <w:jc w:val="right"/>
              <w:rPr>
                <w:rFonts w:eastAsia="Times New Roman"/>
                <w:b/>
                <w:color w:val="000000"/>
                <w:sz w:val="18"/>
                <w:szCs w:val="18"/>
              </w:rPr>
            </w:pPr>
            <w:r w:rsidRPr="006748D8">
              <w:rPr>
                <w:rFonts w:eastAsia="Times New Roman"/>
                <w:b/>
                <w:color w:val="000000"/>
                <w:sz w:val="18"/>
                <w:szCs w:val="18"/>
              </w:rPr>
              <w:t>30.7 (3.5)  231</w:t>
            </w:r>
          </w:p>
        </w:tc>
        <w:tc>
          <w:tcPr>
            <w:tcW w:w="584" w:type="pct"/>
            <w:tcBorders>
              <w:top w:val="single" w:sz="4" w:space="0" w:color="auto"/>
              <w:left w:val="nil"/>
              <w:bottom w:val="nil"/>
              <w:right w:val="nil"/>
            </w:tcBorders>
            <w:shd w:val="clear" w:color="auto" w:fill="FFFFFF"/>
          </w:tcPr>
          <w:p w14:paraId="2540C6BE" w14:textId="77777777" w:rsidR="00044E54" w:rsidRPr="006748D8" w:rsidRDefault="00044E54" w:rsidP="006D6035">
            <w:pPr>
              <w:keepNext/>
              <w:spacing w:after="0"/>
              <w:jc w:val="right"/>
              <w:rPr>
                <w:rFonts w:eastAsia="Times New Roman"/>
                <w:b/>
                <w:color w:val="000000"/>
                <w:sz w:val="18"/>
                <w:szCs w:val="18"/>
              </w:rPr>
            </w:pPr>
            <w:r w:rsidRPr="006748D8">
              <w:rPr>
                <w:rFonts w:eastAsia="Times New Roman"/>
                <w:b/>
                <w:color w:val="000000"/>
                <w:sz w:val="18"/>
                <w:szCs w:val="18"/>
              </w:rPr>
              <w:t>31.3 (4.1)  97</w:t>
            </w:r>
          </w:p>
        </w:tc>
        <w:tc>
          <w:tcPr>
            <w:tcW w:w="583" w:type="pct"/>
            <w:tcBorders>
              <w:top w:val="single" w:sz="4" w:space="0" w:color="auto"/>
              <w:left w:val="nil"/>
              <w:bottom w:val="nil"/>
              <w:right w:val="nil"/>
            </w:tcBorders>
            <w:shd w:val="clear" w:color="auto" w:fill="FFFFFF"/>
          </w:tcPr>
          <w:p w14:paraId="411532A0" w14:textId="77777777" w:rsidR="00044E54" w:rsidRPr="006748D8" w:rsidRDefault="00044E54" w:rsidP="006D6035">
            <w:pPr>
              <w:keepNext/>
              <w:spacing w:after="0"/>
              <w:jc w:val="right"/>
              <w:rPr>
                <w:rFonts w:eastAsia="Times New Roman"/>
                <w:b/>
                <w:color w:val="000000"/>
                <w:sz w:val="18"/>
                <w:szCs w:val="18"/>
              </w:rPr>
            </w:pPr>
            <w:r w:rsidRPr="006748D8">
              <w:rPr>
                <w:rFonts w:eastAsia="Times New Roman"/>
                <w:b/>
                <w:color w:val="000000"/>
                <w:sz w:val="18"/>
                <w:szCs w:val="18"/>
              </w:rPr>
              <w:t>31 (3.9)  124</w:t>
            </w:r>
          </w:p>
        </w:tc>
        <w:tc>
          <w:tcPr>
            <w:tcW w:w="580" w:type="pct"/>
            <w:tcBorders>
              <w:top w:val="single" w:sz="4" w:space="0" w:color="auto"/>
              <w:left w:val="nil"/>
              <w:bottom w:val="nil"/>
            </w:tcBorders>
            <w:shd w:val="clear" w:color="auto" w:fill="FFFFFF"/>
          </w:tcPr>
          <w:p w14:paraId="65440887" w14:textId="77777777" w:rsidR="00044E54" w:rsidRPr="006748D8" w:rsidRDefault="00044E54" w:rsidP="006D6035">
            <w:pPr>
              <w:keepNext/>
              <w:spacing w:after="0"/>
              <w:jc w:val="right"/>
              <w:rPr>
                <w:rFonts w:eastAsia="Times New Roman"/>
                <w:b/>
                <w:color w:val="000000"/>
                <w:sz w:val="18"/>
                <w:szCs w:val="18"/>
              </w:rPr>
            </w:pPr>
            <w:r w:rsidRPr="006748D8">
              <w:rPr>
                <w:rFonts w:eastAsia="Times New Roman"/>
                <w:b/>
                <w:color w:val="000000"/>
                <w:sz w:val="18"/>
                <w:szCs w:val="18"/>
              </w:rPr>
              <w:t>31.1 (4.0)  221</w:t>
            </w:r>
          </w:p>
        </w:tc>
      </w:tr>
      <w:tr w:rsidR="00044E54" w:rsidRPr="006748D8" w14:paraId="17321DA0" w14:textId="77777777" w:rsidTr="006D6035">
        <w:trPr>
          <w:cantSplit/>
          <w:jc w:val="center"/>
        </w:trPr>
        <w:tc>
          <w:tcPr>
            <w:tcW w:w="1129" w:type="pct"/>
            <w:tcBorders>
              <w:top w:val="nil"/>
              <w:bottom w:val="nil"/>
              <w:right w:val="nil"/>
            </w:tcBorders>
            <w:shd w:val="clear" w:color="auto" w:fill="FFFFFF"/>
            <w:tcMar>
              <w:left w:w="67" w:type="dxa"/>
              <w:right w:w="67" w:type="dxa"/>
            </w:tcMar>
          </w:tcPr>
          <w:p w14:paraId="15C7A165" w14:textId="77777777" w:rsidR="00044E54" w:rsidRPr="006748D8" w:rsidRDefault="00044E54" w:rsidP="006D6035">
            <w:pPr>
              <w:keepNext/>
              <w:spacing w:after="0"/>
              <w:rPr>
                <w:rFonts w:eastAsia="Times New Roman"/>
                <w:color w:val="000000"/>
                <w:sz w:val="18"/>
                <w:szCs w:val="18"/>
              </w:rPr>
            </w:pPr>
            <w:r w:rsidRPr="006748D8">
              <w:rPr>
                <w:rFonts w:eastAsia="Times New Roman"/>
                <w:b/>
                <w:bCs/>
                <w:color w:val="000000"/>
                <w:sz w:val="18"/>
                <w:szCs w:val="18"/>
              </w:rPr>
              <w:t xml:space="preserve">Subscales: </w:t>
            </w:r>
            <w:r w:rsidRPr="006748D8">
              <w:rPr>
                <w:rFonts w:eastAsia="Times New Roman"/>
                <w:color w:val="000000"/>
                <w:sz w:val="18"/>
                <w:szCs w:val="18"/>
              </w:rPr>
              <w:t>Aggressive behaviour</w:t>
            </w:r>
          </w:p>
        </w:tc>
        <w:tc>
          <w:tcPr>
            <w:tcW w:w="677" w:type="pct"/>
            <w:tcBorders>
              <w:top w:val="nil"/>
              <w:left w:val="nil"/>
              <w:bottom w:val="nil"/>
              <w:right w:val="nil"/>
            </w:tcBorders>
            <w:shd w:val="clear" w:color="auto" w:fill="FFFFFF"/>
            <w:tcMar>
              <w:left w:w="67" w:type="dxa"/>
              <w:right w:w="67" w:type="dxa"/>
            </w:tcMar>
          </w:tcPr>
          <w:p w14:paraId="2687562B"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9.3 (1.1)  102</w:t>
            </w:r>
          </w:p>
        </w:tc>
        <w:tc>
          <w:tcPr>
            <w:tcW w:w="752" w:type="pct"/>
            <w:tcBorders>
              <w:top w:val="nil"/>
              <w:left w:val="nil"/>
              <w:bottom w:val="nil"/>
              <w:right w:val="nil"/>
            </w:tcBorders>
            <w:shd w:val="clear" w:color="auto" w:fill="FFFFFF"/>
            <w:tcMar>
              <w:left w:w="67" w:type="dxa"/>
              <w:right w:w="67" w:type="dxa"/>
            </w:tcMar>
          </w:tcPr>
          <w:p w14:paraId="3101651F"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9.3 (1.0)  129</w:t>
            </w:r>
          </w:p>
        </w:tc>
        <w:tc>
          <w:tcPr>
            <w:tcW w:w="695" w:type="pct"/>
            <w:tcBorders>
              <w:top w:val="nil"/>
              <w:left w:val="nil"/>
              <w:bottom w:val="nil"/>
            </w:tcBorders>
            <w:shd w:val="clear" w:color="auto" w:fill="FFFFFF"/>
            <w:tcMar>
              <w:left w:w="67" w:type="dxa"/>
              <w:right w:w="67" w:type="dxa"/>
            </w:tcMar>
          </w:tcPr>
          <w:p w14:paraId="1D912444"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9.3 (1.0)  231</w:t>
            </w:r>
          </w:p>
        </w:tc>
        <w:tc>
          <w:tcPr>
            <w:tcW w:w="584" w:type="pct"/>
            <w:tcBorders>
              <w:top w:val="nil"/>
              <w:left w:val="nil"/>
              <w:bottom w:val="nil"/>
              <w:right w:val="nil"/>
            </w:tcBorders>
            <w:shd w:val="clear" w:color="auto" w:fill="FFFFFF"/>
          </w:tcPr>
          <w:p w14:paraId="6428FB8C"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9.3 (1.2)  97</w:t>
            </w:r>
          </w:p>
        </w:tc>
        <w:tc>
          <w:tcPr>
            <w:tcW w:w="583" w:type="pct"/>
            <w:tcBorders>
              <w:top w:val="nil"/>
              <w:left w:val="nil"/>
              <w:bottom w:val="nil"/>
              <w:right w:val="nil"/>
            </w:tcBorders>
            <w:shd w:val="clear" w:color="auto" w:fill="FFFFFF"/>
          </w:tcPr>
          <w:p w14:paraId="13472891"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9.4 (1.3)  124</w:t>
            </w:r>
          </w:p>
        </w:tc>
        <w:tc>
          <w:tcPr>
            <w:tcW w:w="580" w:type="pct"/>
            <w:tcBorders>
              <w:top w:val="nil"/>
              <w:left w:val="nil"/>
              <w:bottom w:val="nil"/>
            </w:tcBorders>
            <w:shd w:val="clear" w:color="auto" w:fill="FFFFFF"/>
          </w:tcPr>
          <w:p w14:paraId="2BEBFC13"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9.4 (1.3)  221</w:t>
            </w:r>
          </w:p>
        </w:tc>
      </w:tr>
      <w:tr w:rsidR="00044E54" w:rsidRPr="006748D8" w14:paraId="7A3CAA96" w14:textId="77777777" w:rsidTr="006D6035">
        <w:trPr>
          <w:cantSplit/>
          <w:jc w:val="center"/>
        </w:trPr>
        <w:tc>
          <w:tcPr>
            <w:tcW w:w="1129" w:type="pct"/>
            <w:tcBorders>
              <w:top w:val="nil"/>
              <w:bottom w:val="nil"/>
              <w:right w:val="nil"/>
            </w:tcBorders>
            <w:shd w:val="clear" w:color="auto" w:fill="FFFFFF"/>
            <w:tcMar>
              <w:left w:w="67" w:type="dxa"/>
              <w:right w:w="67" w:type="dxa"/>
            </w:tcMar>
          </w:tcPr>
          <w:p w14:paraId="78A749DB" w14:textId="77777777" w:rsidR="00044E54" w:rsidRPr="006748D8" w:rsidRDefault="00044E54" w:rsidP="006D6035">
            <w:pPr>
              <w:keepNext/>
              <w:spacing w:after="0"/>
              <w:rPr>
                <w:rFonts w:eastAsia="Times New Roman"/>
                <w:color w:val="000000"/>
                <w:sz w:val="18"/>
                <w:szCs w:val="18"/>
              </w:rPr>
            </w:pPr>
            <w:r w:rsidRPr="006748D8">
              <w:rPr>
                <w:rFonts w:eastAsia="Times New Roman"/>
                <w:color w:val="000000"/>
                <w:sz w:val="18"/>
                <w:szCs w:val="18"/>
              </w:rPr>
              <w:t xml:space="preserve">                   Physically non-aggressive</w:t>
            </w:r>
          </w:p>
        </w:tc>
        <w:tc>
          <w:tcPr>
            <w:tcW w:w="677" w:type="pct"/>
            <w:tcBorders>
              <w:top w:val="nil"/>
              <w:left w:val="nil"/>
              <w:bottom w:val="nil"/>
              <w:right w:val="nil"/>
            </w:tcBorders>
            <w:shd w:val="clear" w:color="auto" w:fill="FFFFFF"/>
            <w:tcMar>
              <w:left w:w="67" w:type="dxa"/>
              <w:right w:w="67" w:type="dxa"/>
            </w:tcMar>
          </w:tcPr>
          <w:p w14:paraId="44C94261"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6.7 (1.5)  102</w:t>
            </w:r>
          </w:p>
        </w:tc>
        <w:tc>
          <w:tcPr>
            <w:tcW w:w="752" w:type="pct"/>
            <w:tcBorders>
              <w:top w:val="nil"/>
              <w:left w:val="nil"/>
              <w:bottom w:val="nil"/>
              <w:right w:val="nil"/>
            </w:tcBorders>
            <w:shd w:val="clear" w:color="auto" w:fill="FFFFFF"/>
            <w:tcMar>
              <w:left w:w="67" w:type="dxa"/>
              <w:right w:w="67" w:type="dxa"/>
            </w:tcMar>
          </w:tcPr>
          <w:p w14:paraId="78046BC3"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6.5 (1.5)  129</w:t>
            </w:r>
          </w:p>
        </w:tc>
        <w:tc>
          <w:tcPr>
            <w:tcW w:w="695" w:type="pct"/>
            <w:tcBorders>
              <w:top w:val="nil"/>
              <w:left w:val="nil"/>
              <w:bottom w:val="nil"/>
            </w:tcBorders>
            <w:shd w:val="clear" w:color="auto" w:fill="FFFFFF"/>
            <w:tcMar>
              <w:left w:w="67" w:type="dxa"/>
              <w:right w:w="67" w:type="dxa"/>
            </w:tcMar>
          </w:tcPr>
          <w:p w14:paraId="5CA70097"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6.6 (1.5)  231</w:t>
            </w:r>
          </w:p>
        </w:tc>
        <w:tc>
          <w:tcPr>
            <w:tcW w:w="584" w:type="pct"/>
            <w:tcBorders>
              <w:top w:val="nil"/>
              <w:left w:val="nil"/>
              <w:bottom w:val="nil"/>
              <w:right w:val="nil"/>
            </w:tcBorders>
            <w:shd w:val="clear" w:color="auto" w:fill="FFFFFF"/>
          </w:tcPr>
          <w:p w14:paraId="0DCE784D"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6.8 (1.5)  97</w:t>
            </w:r>
          </w:p>
        </w:tc>
        <w:tc>
          <w:tcPr>
            <w:tcW w:w="583" w:type="pct"/>
            <w:tcBorders>
              <w:top w:val="nil"/>
              <w:left w:val="nil"/>
              <w:bottom w:val="nil"/>
              <w:right w:val="nil"/>
            </w:tcBorders>
            <w:shd w:val="clear" w:color="auto" w:fill="FFFFFF"/>
          </w:tcPr>
          <w:p w14:paraId="44E9D479"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6.7 (1.9)  124</w:t>
            </w:r>
          </w:p>
        </w:tc>
        <w:tc>
          <w:tcPr>
            <w:tcW w:w="580" w:type="pct"/>
            <w:tcBorders>
              <w:top w:val="nil"/>
              <w:left w:val="nil"/>
              <w:bottom w:val="nil"/>
            </w:tcBorders>
            <w:shd w:val="clear" w:color="auto" w:fill="FFFFFF"/>
          </w:tcPr>
          <w:p w14:paraId="59891021"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6.8 (1.8)  221</w:t>
            </w:r>
          </w:p>
        </w:tc>
      </w:tr>
      <w:tr w:rsidR="00044E54" w:rsidRPr="006748D8" w14:paraId="0835A24A" w14:textId="77777777" w:rsidTr="006D6035">
        <w:trPr>
          <w:cantSplit/>
          <w:jc w:val="center"/>
        </w:trPr>
        <w:tc>
          <w:tcPr>
            <w:tcW w:w="1129" w:type="pct"/>
            <w:tcBorders>
              <w:top w:val="nil"/>
              <w:right w:val="nil"/>
            </w:tcBorders>
            <w:shd w:val="clear" w:color="auto" w:fill="FFFFFF"/>
            <w:tcMar>
              <w:left w:w="67" w:type="dxa"/>
              <w:right w:w="67" w:type="dxa"/>
            </w:tcMar>
          </w:tcPr>
          <w:p w14:paraId="04692C37" w14:textId="77777777" w:rsidR="00044E54" w:rsidRPr="006748D8" w:rsidRDefault="00044E54" w:rsidP="006D6035">
            <w:pPr>
              <w:keepNext/>
              <w:spacing w:after="0"/>
              <w:rPr>
                <w:rFonts w:eastAsia="Times New Roman"/>
                <w:color w:val="000000"/>
                <w:sz w:val="18"/>
                <w:szCs w:val="18"/>
              </w:rPr>
            </w:pPr>
            <w:r w:rsidRPr="006748D8">
              <w:rPr>
                <w:rFonts w:eastAsia="Times New Roman"/>
                <w:color w:val="000000"/>
                <w:sz w:val="18"/>
                <w:szCs w:val="18"/>
              </w:rPr>
              <w:t xml:space="preserve">                   Verbally agitated</w:t>
            </w:r>
          </w:p>
        </w:tc>
        <w:tc>
          <w:tcPr>
            <w:tcW w:w="677" w:type="pct"/>
            <w:tcBorders>
              <w:top w:val="nil"/>
              <w:left w:val="nil"/>
              <w:right w:val="nil"/>
            </w:tcBorders>
            <w:shd w:val="clear" w:color="auto" w:fill="FFFFFF"/>
            <w:tcMar>
              <w:left w:w="67" w:type="dxa"/>
              <w:right w:w="67" w:type="dxa"/>
            </w:tcMar>
          </w:tcPr>
          <w:p w14:paraId="51D1E6DD"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5.8 (2.2)  102</w:t>
            </w:r>
          </w:p>
        </w:tc>
        <w:tc>
          <w:tcPr>
            <w:tcW w:w="752" w:type="pct"/>
            <w:tcBorders>
              <w:top w:val="nil"/>
              <w:left w:val="nil"/>
              <w:right w:val="nil"/>
            </w:tcBorders>
            <w:shd w:val="clear" w:color="auto" w:fill="FFFFFF"/>
            <w:tcMar>
              <w:left w:w="67" w:type="dxa"/>
              <w:right w:w="67" w:type="dxa"/>
            </w:tcMar>
          </w:tcPr>
          <w:p w14:paraId="7C927E8E"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5.4 (1.4)  129</w:t>
            </w:r>
          </w:p>
        </w:tc>
        <w:tc>
          <w:tcPr>
            <w:tcW w:w="695" w:type="pct"/>
            <w:tcBorders>
              <w:top w:val="nil"/>
              <w:left w:val="nil"/>
            </w:tcBorders>
            <w:shd w:val="clear" w:color="auto" w:fill="FFFFFF"/>
            <w:tcMar>
              <w:left w:w="67" w:type="dxa"/>
              <w:right w:w="67" w:type="dxa"/>
            </w:tcMar>
          </w:tcPr>
          <w:p w14:paraId="1B0DF85D"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5.6 (1.8)  231</w:t>
            </w:r>
          </w:p>
        </w:tc>
        <w:tc>
          <w:tcPr>
            <w:tcW w:w="584" w:type="pct"/>
            <w:tcBorders>
              <w:top w:val="nil"/>
              <w:left w:val="nil"/>
              <w:right w:val="nil"/>
            </w:tcBorders>
            <w:shd w:val="clear" w:color="auto" w:fill="FFFFFF"/>
          </w:tcPr>
          <w:p w14:paraId="01FDB51F"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5.8 (2.0)  97</w:t>
            </w:r>
          </w:p>
        </w:tc>
        <w:tc>
          <w:tcPr>
            <w:tcW w:w="583" w:type="pct"/>
            <w:tcBorders>
              <w:top w:val="nil"/>
              <w:left w:val="nil"/>
              <w:right w:val="nil"/>
            </w:tcBorders>
            <w:shd w:val="clear" w:color="auto" w:fill="FFFFFF"/>
          </w:tcPr>
          <w:p w14:paraId="7D1A159D"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5.5 (1.5)  124</w:t>
            </w:r>
          </w:p>
        </w:tc>
        <w:tc>
          <w:tcPr>
            <w:tcW w:w="580" w:type="pct"/>
            <w:tcBorders>
              <w:top w:val="nil"/>
              <w:left w:val="nil"/>
            </w:tcBorders>
            <w:shd w:val="clear" w:color="auto" w:fill="FFFFFF"/>
          </w:tcPr>
          <w:p w14:paraId="6CBC2072"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5.6 (1.7)  221</w:t>
            </w:r>
          </w:p>
        </w:tc>
      </w:tr>
      <w:tr w:rsidR="00044E54" w:rsidRPr="006748D8" w14:paraId="6C6D61DF" w14:textId="77777777" w:rsidTr="006D6035">
        <w:trPr>
          <w:cantSplit/>
          <w:jc w:val="center"/>
        </w:trPr>
        <w:tc>
          <w:tcPr>
            <w:tcW w:w="1129" w:type="pct"/>
            <w:tcBorders>
              <w:top w:val="nil"/>
              <w:bottom w:val="single" w:sz="4" w:space="0" w:color="auto"/>
              <w:right w:val="nil"/>
            </w:tcBorders>
            <w:shd w:val="clear" w:color="auto" w:fill="FFFFFF"/>
            <w:tcMar>
              <w:left w:w="67" w:type="dxa"/>
              <w:right w:w="67" w:type="dxa"/>
            </w:tcMar>
          </w:tcPr>
          <w:p w14:paraId="0C9FA184" w14:textId="77777777" w:rsidR="00044E54" w:rsidRPr="006748D8" w:rsidRDefault="00044E54" w:rsidP="006D6035">
            <w:pPr>
              <w:keepNext/>
              <w:spacing w:after="0"/>
              <w:rPr>
                <w:rFonts w:eastAsia="Times New Roman"/>
                <w:color w:val="000000"/>
                <w:sz w:val="18"/>
                <w:szCs w:val="18"/>
              </w:rPr>
            </w:pPr>
            <w:r w:rsidRPr="006748D8">
              <w:rPr>
                <w:rFonts w:eastAsia="Times New Roman"/>
                <w:color w:val="000000"/>
                <w:sz w:val="18"/>
                <w:szCs w:val="18"/>
              </w:rPr>
              <w:t xml:space="preserve">                   Other</w:t>
            </w:r>
          </w:p>
        </w:tc>
        <w:tc>
          <w:tcPr>
            <w:tcW w:w="677" w:type="pct"/>
            <w:tcBorders>
              <w:top w:val="nil"/>
              <w:left w:val="nil"/>
              <w:bottom w:val="single" w:sz="4" w:space="0" w:color="auto"/>
              <w:right w:val="nil"/>
            </w:tcBorders>
            <w:shd w:val="clear" w:color="auto" w:fill="FFFFFF"/>
            <w:tcMar>
              <w:left w:w="67" w:type="dxa"/>
              <w:right w:w="67" w:type="dxa"/>
            </w:tcMar>
          </w:tcPr>
          <w:p w14:paraId="6303F402"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9.4 (1.0)  102</w:t>
            </w:r>
          </w:p>
        </w:tc>
        <w:tc>
          <w:tcPr>
            <w:tcW w:w="752" w:type="pct"/>
            <w:tcBorders>
              <w:top w:val="nil"/>
              <w:left w:val="nil"/>
              <w:bottom w:val="single" w:sz="4" w:space="0" w:color="auto"/>
              <w:right w:val="nil"/>
            </w:tcBorders>
            <w:shd w:val="clear" w:color="auto" w:fill="FFFFFF"/>
            <w:tcMar>
              <w:left w:w="67" w:type="dxa"/>
              <w:right w:w="67" w:type="dxa"/>
            </w:tcMar>
          </w:tcPr>
          <w:p w14:paraId="29B4CD44"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9.2 (0.7)  129</w:t>
            </w:r>
          </w:p>
        </w:tc>
        <w:tc>
          <w:tcPr>
            <w:tcW w:w="695" w:type="pct"/>
            <w:tcBorders>
              <w:top w:val="nil"/>
              <w:left w:val="nil"/>
              <w:bottom w:val="single" w:sz="4" w:space="0" w:color="auto"/>
            </w:tcBorders>
            <w:shd w:val="clear" w:color="auto" w:fill="FFFFFF"/>
            <w:tcMar>
              <w:left w:w="67" w:type="dxa"/>
              <w:right w:w="67" w:type="dxa"/>
            </w:tcMar>
          </w:tcPr>
          <w:p w14:paraId="183369B2"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9.3 (0.8)  231</w:t>
            </w:r>
          </w:p>
        </w:tc>
        <w:tc>
          <w:tcPr>
            <w:tcW w:w="584" w:type="pct"/>
            <w:tcBorders>
              <w:top w:val="nil"/>
              <w:left w:val="nil"/>
              <w:bottom w:val="single" w:sz="4" w:space="0" w:color="auto"/>
              <w:right w:val="nil"/>
            </w:tcBorders>
            <w:shd w:val="clear" w:color="auto" w:fill="FFFFFF"/>
          </w:tcPr>
          <w:p w14:paraId="076A89CA"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9.4 (1.0)  97</w:t>
            </w:r>
          </w:p>
        </w:tc>
        <w:tc>
          <w:tcPr>
            <w:tcW w:w="583" w:type="pct"/>
            <w:tcBorders>
              <w:top w:val="nil"/>
              <w:left w:val="nil"/>
              <w:bottom w:val="single" w:sz="4" w:space="0" w:color="auto"/>
              <w:right w:val="nil"/>
            </w:tcBorders>
            <w:shd w:val="clear" w:color="auto" w:fill="FFFFFF"/>
          </w:tcPr>
          <w:p w14:paraId="1D34BFBC"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9.3 (1.0)  124</w:t>
            </w:r>
          </w:p>
        </w:tc>
        <w:tc>
          <w:tcPr>
            <w:tcW w:w="580" w:type="pct"/>
            <w:tcBorders>
              <w:top w:val="nil"/>
              <w:left w:val="nil"/>
              <w:bottom w:val="single" w:sz="4" w:space="0" w:color="auto"/>
            </w:tcBorders>
            <w:shd w:val="clear" w:color="auto" w:fill="FFFFFF"/>
          </w:tcPr>
          <w:p w14:paraId="0BAC4F5D" w14:textId="77777777" w:rsidR="00044E54" w:rsidRPr="006748D8" w:rsidRDefault="00044E54" w:rsidP="006D6035">
            <w:pPr>
              <w:keepNext/>
              <w:spacing w:after="0"/>
              <w:jc w:val="right"/>
              <w:rPr>
                <w:rFonts w:eastAsia="Times New Roman"/>
                <w:color w:val="000000"/>
                <w:sz w:val="18"/>
                <w:szCs w:val="18"/>
              </w:rPr>
            </w:pPr>
            <w:r w:rsidRPr="006748D8">
              <w:rPr>
                <w:rFonts w:eastAsia="Times New Roman"/>
                <w:color w:val="000000"/>
                <w:sz w:val="18"/>
                <w:szCs w:val="18"/>
              </w:rPr>
              <w:t>9.4 (1.0)  221</w:t>
            </w:r>
          </w:p>
        </w:tc>
      </w:tr>
      <w:tr w:rsidR="00044E54" w:rsidRPr="006748D8" w14:paraId="35356F61" w14:textId="77777777" w:rsidTr="006D6035">
        <w:trPr>
          <w:cantSplit/>
          <w:jc w:val="center"/>
        </w:trPr>
        <w:tc>
          <w:tcPr>
            <w:tcW w:w="1129" w:type="pct"/>
            <w:tcBorders>
              <w:top w:val="single" w:sz="4" w:space="0" w:color="auto"/>
              <w:right w:val="nil"/>
            </w:tcBorders>
            <w:shd w:val="clear" w:color="auto" w:fill="FFFFFF"/>
            <w:tcMar>
              <w:left w:w="67" w:type="dxa"/>
              <w:right w:w="67" w:type="dxa"/>
            </w:tcMar>
          </w:tcPr>
          <w:p w14:paraId="3B50A5F7" w14:textId="77777777" w:rsidR="00044E54" w:rsidRPr="006748D8" w:rsidRDefault="00044E54" w:rsidP="006D6035">
            <w:pPr>
              <w:keepNext/>
              <w:spacing w:after="0"/>
              <w:rPr>
                <w:rFonts w:eastAsia="Times New Roman"/>
                <w:b/>
                <w:bCs/>
                <w:color w:val="000000"/>
                <w:sz w:val="18"/>
                <w:szCs w:val="18"/>
              </w:rPr>
            </w:pPr>
            <w:r w:rsidRPr="006748D8">
              <w:rPr>
                <w:rFonts w:eastAsia="Times New Roman"/>
                <w:b/>
                <w:color w:val="000000"/>
                <w:sz w:val="18"/>
                <w:szCs w:val="18"/>
              </w:rPr>
              <w:t>Baseline PAS score</w:t>
            </w:r>
          </w:p>
        </w:tc>
        <w:tc>
          <w:tcPr>
            <w:tcW w:w="677" w:type="pct"/>
            <w:tcBorders>
              <w:top w:val="single" w:sz="4" w:space="0" w:color="auto"/>
              <w:left w:val="nil"/>
              <w:right w:val="nil"/>
            </w:tcBorders>
            <w:shd w:val="clear" w:color="auto" w:fill="FFFFFF"/>
            <w:tcMar>
              <w:left w:w="67" w:type="dxa"/>
              <w:right w:w="67" w:type="dxa"/>
            </w:tcMar>
          </w:tcPr>
          <w:p w14:paraId="1FFBDB9C" w14:textId="77777777" w:rsidR="00044E54" w:rsidRPr="006748D8" w:rsidRDefault="00044E54" w:rsidP="006D6035">
            <w:pPr>
              <w:keepNext/>
              <w:spacing w:after="0"/>
              <w:jc w:val="right"/>
              <w:rPr>
                <w:rFonts w:eastAsia="Calibri"/>
                <w:color w:val="000000"/>
                <w:sz w:val="18"/>
                <w:szCs w:val="18"/>
                <w:lang w:eastAsia="en-US"/>
              </w:rPr>
            </w:pPr>
            <w:r w:rsidRPr="006748D8">
              <w:rPr>
                <w:rFonts w:eastAsia="Calibri"/>
                <w:color w:val="000000"/>
                <w:sz w:val="18"/>
                <w:szCs w:val="18"/>
                <w:lang w:eastAsia="en-US"/>
              </w:rPr>
              <w:t>1.0 (1.5)  185</w:t>
            </w:r>
          </w:p>
        </w:tc>
        <w:tc>
          <w:tcPr>
            <w:tcW w:w="752" w:type="pct"/>
            <w:tcBorders>
              <w:top w:val="single" w:sz="4" w:space="0" w:color="auto"/>
              <w:left w:val="nil"/>
              <w:right w:val="nil"/>
            </w:tcBorders>
            <w:shd w:val="clear" w:color="auto" w:fill="FFFFFF"/>
            <w:tcMar>
              <w:left w:w="67" w:type="dxa"/>
              <w:right w:w="67" w:type="dxa"/>
            </w:tcMar>
          </w:tcPr>
          <w:p w14:paraId="1C24B236" w14:textId="77777777" w:rsidR="00044E54" w:rsidRPr="006748D8" w:rsidRDefault="00044E54" w:rsidP="006D6035">
            <w:pPr>
              <w:keepNext/>
              <w:spacing w:after="0"/>
              <w:jc w:val="right"/>
              <w:rPr>
                <w:rFonts w:eastAsia="Calibri"/>
                <w:color w:val="000000"/>
                <w:sz w:val="18"/>
                <w:szCs w:val="18"/>
                <w:lang w:eastAsia="en-US"/>
              </w:rPr>
            </w:pPr>
            <w:r w:rsidRPr="006748D8">
              <w:rPr>
                <w:rFonts w:eastAsia="Calibri"/>
                <w:color w:val="000000"/>
                <w:sz w:val="18"/>
                <w:szCs w:val="18"/>
                <w:lang w:eastAsia="en-US"/>
              </w:rPr>
              <w:t>0.8 (1.5)  266</w:t>
            </w:r>
          </w:p>
        </w:tc>
        <w:tc>
          <w:tcPr>
            <w:tcW w:w="695" w:type="pct"/>
            <w:tcBorders>
              <w:top w:val="single" w:sz="4" w:space="0" w:color="auto"/>
              <w:left w:val="nil"/>
            </w:tcBorders>
            <w:shd w:val="clear" w:color="auto" w:fill="FFFFFF"/>
            <w:tcMar>
              <w:left w:w="67" w:type="dxa"/>
              <w:right w:w="67" w:type="dxa"/>
            </w:tcMar>
          </w:tcPr>
          <w:p w14:paraId="46D5807B" w14:textId="77777777" w:rsidR="00044E54" w:rsidRPr="006748D8" w:rsidRDefault="00044E54" w:rsidP="006D6035">
            <w:pPr>
              <w:keepNext/>
              <w:spacing w:after="0"/>
              <w:jc w:val="right"/>
              <w:rPr>
                <w:rFonts w:eastAsia="Calibri"/>
                <w:color w:val="000000"/>
                <w:sz w:val="18"/>
                <w:szCs w:val="18"/>
                <w:lang w:eastAsia="en-US"/>
              </w:rPr>
            </w:pPr>
            <w:r w:rsidRPr="006748D8">
              <w:rPr>
                <w:rFonts w:eastAsia="Calibri"/>
                <w:color w:val="000000"/>
                <w:sz w:val="18"/>
                <w:szCs w:val="18"/>
                <w:lang w:eastAsia="en-US"/>
              </w:rPr>
              <w:t>0.8 (1.5)  451</w:t>
            </w:r>
          </w:p>
        </w:tc>
        <w:tc>
          <w:tcPr>
            <w:tcW w:w="584" w:type="pct"/>
            <w:tcBorders>
              <w:top w:val="single" w:sz="4" w:space="0" w:color="auto"/>
              <w:left w:val="nil"/>
              <w:right w:val="nil"/>
            </w:tcBorders>
            <w:shd w:val="clear" w:color="auto" w:fill="FFFFFF"/>
          </w:tcPr>
          <w:p w14:paraId="07AED7BD" w14:textId="77777777" w:rsidR="00044E54" w:rsidRPr="006748D8" w:rsidRDefault="00044E54" w:rsidP="006D6035">
            <w:pPr>
              <w:keepNext/>
              <w:spacing w:after="0"/>
              <w:jc w:val="right"/>
              <w:rPr>
                <w:rFonts w:eastAsia="Calibri"/>
                <w:color w:val="000000"/>
                <w:sz w:val="18"/>
                <w:szCs w:val="18"/>
                <w:lang w:eastAsia="en-US"/>
              </w:rPr>
            </w:pPr>
            <w:r w:rsidRPr="006748D8">
              <w:rPr>
                <w:rFonts w:eastAsia="Calibri"/>
                <w:color w:val="000000"/>
                <w:sz w:val="18"/>
                <w:szCs w:val="18"/>
                <w:lang w:eastAsia="en-US"/>
              </w:rPr>
              <w:t>1.3 (1.6)  197</w:t>
            </w:r>
          </w:p>
        </w:tc>
        <w:tc>
          <w:tcPr>
            <w:tcW w:w="583" w:type="pct"/>
            <w:tcBorders>
              <w:top w:val="single" w:sz="4" w:space="0" w:color="auto"/>
              <w:left w:val="nil"/>
              <w:right w:val="nil"/>
            </w:tcBorders>
            <w:shd w:val="clear" w:color="auto" w:fill="FFFFFF"/>
          </w:tcPr>
          <w:p w14:paraId="59971419" w14:textId="77777777" w:rsidR="00044E54" w:rsidRPr="006748D8" w:rsidRDefault="00044E54" w:rsidP="006D6035">
            <w:pPr>
              <w:keepNext/>
              <w:spacing w:after="0"/>
              <w:jc w:val="right"/>
              <w:rPr>
                <w:rFonts w:eastAsia="Calibri"/>
                <w:color w:val="000000"/>
                <w:sz w:val="18"/>
                <w:szCs w:val="18"/>
                <w:lang w:eastAsia="en-US"/>
              </w:rPr>
            </w:pPr>
            <w:r w:rsidRPr="006748D8">
              <w:rPr>
                <w:rFonts w:eastAsia="Calibri"/>
                <w:color w:val="000000"/>
                <w:sz w:val="18"/>
                <w:szCs w:val="18"/>
                <w:lang w:eastAsia="en-US"/>
              </w:rPr>
              <w:t>1.3 (2.2)  271</w:t>
            </w:r>
          </w:p>
        </w:tc>
        <w:tc>
          <w:tcPr>
            <w:tcW w:w="580" w:type="pct"/>
            <w:tcBorders>
              <w:top w:val="single" w:sz="4" w:space="0" w:color="auto"/>
              <w:left w:val="nil"/>
            </w:tcBorders>
            <w:shd w:val="clear" w:color="auto" w:fill="FFFFFF"/>
          </w:tcPr>
          <w:p w14:paraId="13EAE3E4" w14:textId="77777777" w:rsidR="00044E54" w:rsidRPr="006748D8" w:rsidRDefault="00044E54" w:rsidP="006D6035">
            <w:pPr>
              <w:keepNext/>
              <w:spacing w:after="0"/>
              <w:jc w:val="right"/>
              <w:rPr>
                <w:rFonts w:eastAsia="Calibri"/>
                <w:color w:val="000000"/>
                <w:sz w:val="18"/>
                <w:szCs w:val="18"/>
                <w:lang w:eastAsia="en-US"/>
              </w:rPr>
            </w:pPr>
            <w:r w:rsidRPr="006748D8">
              <w:rPr>
                <w:rFonts w:eastAsia="Calibri"/>
                <w:color w:val="000000"/>
                <w:sz w:val="18"/>
                <w:szCs w:val="18"/>
                <w:lang w:eastAsia="en-US"/>
              </w:rPr>
              <w:t>1.3 (2.0)  468</w:t>
            </w:r>
          </w:p>
        </w:tc>
      </w:tr>
      <w:tr w:rsidR="00044E54" w:rsidRPr="006748D8" w14:paraId="2047AC25" w14:textId="77777777" w:rsidTr="006D6035">
        <w:trPr>
          <w:cantSplit/>
          <w:jc w:val="center"/>
        </w:trPr>
        <w:tc>
          <w:tcPr>
            <w:tcW w:w="1129" w:type="pct"/>
            <w:tcBorders>
              <w:top w:val="nil"/>
              <w:right w:val="nil"/>
            </w:tcBorders>
            <w:shd w:val="clear" w:color="auto" w:fill="FFFFFF"/>
            <w:tcMar>
              <w:left w:w="67" w:type="dxa"/>
              <w:right w:w="67" w:type="dxa"/>
            </w:tcMar>
          </w:tcPr>
          <w:p w14:paraId="5DFEB600" w14:textId="77777777" w:rsidR="00044E54" w:rsidRPr="006748D8" w:rsidRDefault="00044E54" w:rsidP="006D6035">
            <w:pPr>
              <w:keepNext/>
              <w:spacing w:after="0"/>
              <w:rPr>
                <w:rFonts w:eastAsia="Times New Roman"/>
                <w:b/>
                <w:bCs/>
                <w:color w:val="000000"/>
                <w:sz w:val="18"/>
                <w:szCs w:val="18"/>
              </w:rPr>
            </w:pPr>
            <w:r w:rsidRPr="006748D8">
              <w:rPr>
                <w:rFonts w:eastAsia="Times New Roman"/>
                <w:b/>
                <w:color w:val="000000"/>
                <w:sz w:val="18"/>
                <w:szCs w:val="18"/>
              </w:rPr>
              <w:t>6-months PAS score</w:t>
            </w:r>
          </w:p>
        </w:tc>
        <w:tc>
          <w:tcPr>
            <w:tcW w:w="677" w:type="pct"/>
            <w:tcBorders>
              <w:top w:val="nil"/>
              <w:left w:val="nil"/>
              <w:right w:val="nil"/>
            </w:tcBorders>
            <w:shd w:val="clear" w:color="auto" w:fill="FFFFFF"/>
            <w:tcMar>
              <w:left w:w="67" w:type="dxa"/>
              <w:right w:w="67" w:type="dxa"/>
            </w:tcMar>
          </w:tcPr>
          <w:p w14:paraId="0F990F12" w14:textId="77777777" w:rsidR="00044E54" w:rsidRPr="006748D8" w:rsidRDefault="00044E54" w:rsidP="006D6035">
            <w:pPr>
              <w:keepNext/>
              <w:spacing w:after="0"/>
              <w:jc w:val="right"/>
              <w:rPr>
                <w:rFonts w:eastAsia="Calibri"/>
                <w:color w:val="000000"/>
                <w:sz w:val="18"/>
                <w:szCs w:val="18"/>
                <w:lang w:eastAsia="en-US"/>
              </w:rPr>
            </w:pPr>
            <w:r w:rsidRPr="006748D8">
              <w:rPr>
                <w:rFonts w:eastAsia="Calibri"/>
                <w:color w:val="000000"/>
                <w:sz w:val="18"/>
                <w:szCs w:val="18"/>
                <w:lang w:eastAsia="en-US"/>
              </w:rPr>
              <w:t>0.9 (1.9)  159</w:t>
            </w:r>
          </w:p>
        </w:tc>
        <w:tc>
          <w:tcPr>
            <w:tcW w:w="752" w:type="pct"/>
            <w:tcBorders>
              <w:top w:val="nil"/>
              <w:left w:val="nil"/>
              <w:right w:val="nil"/>
            </w:tcBorders>
            <w:shd w:val="clear" w:color="auto" w:fill="FFFFFF"/>
            <w:tcMar>
              <w:left w:w="67" w:type="dxa"/>
              <w:right w:w="67" w:type="dxa"/>
            </w:tcMar>
          </w:tcPr>
          <w:p w14:paraId="7DE3DCAF" w14:textId="77777777" w:rsidR="00044E54" w:rsidRPr="006748D8" w:rsidRDefault="00044E54" w:rsidP="006D6035">
            <w:pPr>
              <w:keepNext/>
              <w:spacing w:after="0"/>
              <w:jc w:val="right"/>
              <w:rPr>
                <w:rFonts w:eastAsia="Calibri"/>
                <w:color w:val="000000"/>
                <w:sz w:val="18"/>
                <w:szCs w:val="18"/>
                <w:lang w:eastAsia="en-US"/>
              </w:rPr>
            </w:pPr>
            <w:r w:rsidRPr="006748D8">
              <w:rPr>
                <w:rFonts w:eastAsia="Calibri"/>
                <w:color w:val="000000"/>
                <w:sz w:val="18"/>
                <w:szCs w:val="18"/>
                <w:lang w:eastAsia="en-US"/>
              </w:rPr>
              <w:t>0.9 (1.4)  209</w:t>
            </w:r>
          </w:p>
        </w:tc>
        <w:tc>
          <w:tcPr>
            <w:tcW w:w="695" w:type="pct"/>
            <w:tcBorders>
              <w:top w:val="nil"/>
              <w:left w:val="nil"/>
            </w:tcBorders>
            <w:shd w:val="clear" w:color="auto" w:fill="FFFFFF"/>
            <w:tcMar>
              <w:left w:w="67" w:type="dxa"/>
              <w:right w:w="67" w:type="dxa"/>
            </w:tcMar>
          </w:tcPr>
          <w:p w14:paraId="299619CA" w14:textId="77777777" w:rsidR="00044E54" w:rsidRPr="006748D8" w:rsidRDefault="00044E54" w:rsidP="006D6035">
            <w:pPr>
              <w:keepNext/>
              <w:spacing w:after="0"/>
              <w:jc w:val="right"/>
              <w:rPr>
                <w:rFonts w:eastAsia="Calibri"/>
                <w:color w:val="000000"/>
                <w:sz w:val="18"/>
                <w:szCs w:val="18"/>
                <w:lang w:eastAsia="en-US"/>
              </w:rPr>
            </w:pPr>
            <w:r w:rsidRPr="006748D8">
              <w:rPr>
                <w:rFonts w:eastAsia="Calibri"/>
                <w:color w:val="000000"/>
                <w:sz w:val="18"/>
                <w:szCs w:val="18"/>
                <w:lang w:eastAsia="en-US"/>
              </w:rPr>
              <w:t>0.9 (1.7)  368</w:t>
            </w:r>
          </w:p>
        </w:tc>
        <w:tc>
          <w:tcPr>
            <w:tcW w:w="584" w:type="pct"/>
            <w:tcBorders>
              <w:top w:val="nil"/>
              <w:left w:val="nil"/>
              <w:right w:val="nil"/>
            </w:tcBorders>
            <w:shd w:val="clear" w:color="auto" w:fill="FFFFFF"/>
          </w:tcPr>
          <w:p w14:paraId="7E6829BA" w14:textId="77777777" w:rsidR="00044E54" w:rsidRPr="006748D8" w:rsidRDefault="00044E54" w:rsidP="006D6035">
            <w:pPr>
              <w:keepNext/>
              <w:spacing w:after="0"/>
              <w:jc w:val="right"/>
              <w:rPr>
                <w:rFonts w:eastAsia="Calibri"/>
                <w:color w:val="000000"/>
                <w:sz w:val="18"/>
                <w:szCs w:val="18"/>
                <w:lang w:eastAsia="en-US"/>
              </w:rPr>
            </w:pPr>
            <w:r w:rsidRPr="006748D8">
              <w:rPr>
                <w:rFonts w:eastAsia="Calibri"/>
                <w:color w:val="000000"/>
                <w:sz w:val="18"/>
                <w:szCs w:val="18"/>
                <w:lang w:eastAsia="en-US"/>
              </w:rPr>
              <w:t>1.1 (1.9)  151</w:t>
            </w:r>
          </w:p>
        </w:tc>
        <w:tc>
          <w:tcPr>
            <w:tcW w:w="583" w:type="pct"/>
            <w:tcBorders>
              <w:top w:val="nil"/>
              <w:left w:val="nil"/>
              <w:right w:val="nil"/>
            </w:tcBorders>
            <w:shd w:val="clear" w:color="auto" w:fill="FFFFFF"/>
          </w:tcPr>
          <w:p w14:paraId="7D15D27B" w14:textId="77777777" w:rsidR="00044E54" w:rsidRPr="006748D8" w:rsidRDefault="00044E54" w:rsidP="006D6035">
            <w:pPr>
              <w:keepNext/>
              <w:spacing w:after="0"/>
              <w:jc w:val="right"/>
              <w:rPr>
                <w:rFonts w:eastAsia="Calibri"/>
                <w:color w:val="000000"/>
                <w:sz w:val="18"/>
                <w:szCs w:val="18"/>
                <w:lang w:eastAsia="en-US"/>
              </w:rPr>
            </w:pPr>
            <w:r w:rsidRPr="006748D8">
              <w:rPr>
                <w:rFonts w:eastAsia="Calibri"/>
                <w:color w:val="000000"/>
                <w:sz w:val="18"/>
                <w:szCs w:val="18"/>
                <w:lang w:eastAsia="en-US"/>
              </w:rPr>
              <w:t>1.2 (1.8)  204</w:t>
            </w:r>
          </w:p>
        </w:tc>
        <w:tc>
          <w:tcPr>
            <w:tcW w:w="580" w:type="pct"/>
            <w:tcBorders>
              <w:top w:val="nil"/>
              <w:left w:val="nil"/>
            </w:tcBorders>
            <w:shd w:val="clear" w:color="auto" w:fill="FFFFFF"/>
          </w:tcPr>
          <w:p w14:paraId="4938BA16" w14:textId="77777777" w:rsidR="00044E54" w:rsidRPr="006748D8" w:rsidRDefault="00044E54" w:rsidP="006D6035">
            <w:pPr>
              <w:keepNext/>
              <w:spacing w:after="0"/>
              <w:jc w:val="right"/>
              <w:rPr>
                <w:rFonts w:eastAsia="Calibri"/>
                <w:color w:val="000000"/>
                <w:sz w:val="18"/>
                <w:szCs w:val="18"/>
                <w:lang w:eastAsia="en-US"/>
              </w:rPr>
            </w:pPr>
            <w:r w:rsidRPr="006748D8">
              <w:rPr>
                <w:rFonts w:eastAsia="Calibri"/>
                <w:color w:val="000000"/>
                <w:sz w:val="18"/>
                <w:szCs w:val="18"/>
                <w:lang w:eastAsia="en-US"/>
              </w:rPr>
              <w:t>1.2 (1.8)  355</w:t>
            </w:r>
          </w:p>
        </w:tc>
      </w:tr>
      <w:tr w:rsidR="00044E54" w:rsidRPr="006748D8" w14:paraId="621853D3" w14:textId="77777777" w:rsidTr="006D6035">
        <w:trPr>
          <w:cantSplit/>
          <w:jc w:val="center"/>
        </w:trPr>
        <w:tc>
          <w:tcPr>
            <w:tcW w:w="1129" w:type="pct"/>
            <w:tcBorders>
              <w:top w:val="nil"/>
              <w:right w:val="nil"/>
            </w:tcBorders>
            <w:shd w:val="clear" w:color="auto" w:fill="FFFFFF"/>
            <w:tcMar>
              <w:left w:w="67" w:type="dxa"/>
              <w:right w:w="67" w:type="dxa"/>
            </w:tcMar>
          </w:tcPr>
          <w:p w14:paraId="78A3CC39" w14:textId="77777777" w:rsidR="00044E54" w:rsidRPr="006748D8" w:rsidRDefault="00044E54" w:rsidP="006D6035">
            <w:pPr>
              <w:keepNext/>
              <w:spacing w:after="0"/>
              <w:rPr>
                <w:rFonts w:eastAsia="Times New Roman"/>
                <w:color w:val="000000"/>
                <w:sz w:val="18"/>
                <w:szCs w:val="18"/>
              </w:rPr>
            </w:pPr>
            <w:r w:rsidRPr="006748D8">
              <w:rPr>
                <w:rFonts w:eastAsia="Times New Roman"/>
                <w:b/>
                <w:bCs/>
                <w:color w:val="000000"/>
                <w:sz w:val="18"/>
                <w:szCs w:val="18"/>
              </w:rPr>
              <w:t xml:space="preserve">16-months </w:t>
            </w:r>
            <w:r w:rsidRPr="006748D8">
              <w:rPr>
                <w:rFonts w:eastAsia="Times New Roman"/>
                <w:b/>
                <w:color w:val="000000"/>
                <w:sz w:val="18"/>
                <w:szCs w:val="18"/>
              </w:rPr>
              <w:t>PAS score</w:t>
            </w:r>
          </w:p>
        </w:tc>
        <w:tc>
          <w:tcPr>
            <w:tcW w:w="677" w:type="pct"/>
            <w:tcBorders>
              <w:top w:val="nil"/>
              <w:left w:val="nil"/>
              <w:right w:val="nil"/>
            </w:tcBorders>
            <w:shd w:val="clear" w:color="auto" w:fill="FFFFFF"/>
            <w:tcMar>
              <w:left w:w="67" w:type="dxa"/>
              <w:right w:w="67" w:type="dxa"/>
            </w:tcMar>
          </w:tcPr>
          <w:p w14:paraId="3EDE9D2B" w14:textId="77777777" w:rsidR="00044E54" w:rsidRPr="006748D8" w:rsidRDefault="00044E54" w:rsidP="006D6035">
            <w:pPr>
              <w:keepNext/>
              <w:spacing w:after="0"/>
              <w:jc w:val="right"/>
              <w:rPr>
                <w:rFonts w:eastAsia="Times New Roman"/>
                <w:color w:val="000000"/>
                <w:sz w:val="18"/>
                <w:szCs w:val="18"/>
              </w:rPr>
            </w:pPr>
            <w:r w:rsidRPr="006748D8">
              <w:rPr>
                <w:rFonts w:eastAsia="Calibri"/>
                <w:color w:val="000000"/>
                <w:sz w:val="18"/>
                <w:szCs w:val="18"/>
                <w:lang w:eastAsia="en-US"/>
              </w:rPr>
              <w:t>1.0 (1.8)  102</w:t>
            </w:r>
          </w:p>
        </w:tc>
        <w:tc>
          <w:tcPr>
            <w:tcW w:w="752" w:type="pct"/>
            <w:tcBorders>
              <w:top w:val="nil"/>
              <w:left w:val="nil"/>
              <w:right w:val="nil"/>
            </w:tcBorders>
            <w:shd w:val="clear" w:color="auto" w:fill="FFFFFF"/>
            <w:tcMar>
              <w:left w:w="67" w:type="dxa"/>
              <w:right w:w="67" w:type="dxa"/>
            </w:tcMar>
          </w:tcPr>
          <w:p w14:paraId="7D405B33" w14:textId="77777777" w:rsidR="00044E54" w:rsidRPr="006748D8" w:rsidRDefault="00044E54" w:rsidP="006D6035">
            <w:pPr>
              <w:keepNext/>
              <w:spacing w:after="0"/>
              <w:jc w:val="right"/>
              <w:rPr>
                <w:rFonts w:eastAsia="Times New Roman"/>
                <w:color w:val="000000"/>
                <w:sz w:val="18"/>
                <w:szCs w:val="18"/>
              </w:rPr>
            </w:pPr>
            <w:r w:rsidRPr="006748D8">
              <w:rPr>
                <w:rFonts w:eastAsia="Calibri"/>
                <w:color w:val="000000"/>
                <w:sz w:val="18"/>
                <w:szCs w:val="18"/>
                <w:lang w:eastAsia="en-US"/>
              </w:rPr>
              <w:t>0.7 (1.6)  129</w:t>
            </w:r>
          </w:p>
        </w:tc>
        <w:tc>
          <w:tcPr>
            <w:tcW w:w="695" w:type="pct"/>
            <w:tcBorders>
              <w:top w:val="nil"/>
              <w:left w:val="nil"/>
              <w:bottom w:val="single" w:sz="4" w:space="0" w:color="auto"/>
            </w:tcBorders>
            <w:shd w:val="clear" w:color="auto" w:fill="FFFFFF"/>
            <w:tcMar>
              <w:left w:w="67" w:type="dxa"/>
              <w:right w:w="67" w:type="dxa"/>
            </w:tcMar>
          </w:tcPr>
          <w:p w14:paraId="28F7B8E7" w14:textId="77777777" w:rsidR="00044E54" w:rsidRPr="006748D8" w:rsidRDefault="00044E54" w:rsidP="006D6035">
            <w:pPr>
              <w:keepNext/>
              <w:spacing w:after="0"/>
              <w:jc w:val="right"/>
              <w:rPr>
                <w:rFonts w:eastAsia="Times New Roman"/>
                <w:color w:val="000000"/>
                <w:sz w:val="18"/>
                <w:szCs w:val="18"/>
              </w:rPr>
            </w:pPr>
            <w:r w:rsidRPr="006748D8">
              <w:rPr>
                <w:rFonts w:eastAsia="Calibri"/>
                <w:color w:val="000000"/>
                <w:sz w:val="18"/>
                <w:szCs w:val="18"/>
                <w:lang w:eastAsia="en-US"/>
              </w:rPr>
              <w:t>0.9 (1.7)  231</w:t>
            </w:r>
          </w:p>
        </w:tc>
        <w:tc>
          <w:tcPr>
            <w:tcW w:w="584" w:type="pct"/>
            <w:tcBorders>
              <w:top w:val="nil"/>
              <w:left w:val="nil"/>
              <w:right w:val="nil"/>
            </w:tcBorders>
            <w:shd w:val="clear" w:color="auto" w:fill="FFFFFF"/>
          </w:tcPr>
          <w:p w14:paraId="427D35AF" w14:textId="77777777" w:rsidR="00044E54" w:rsidRPr="006748D8" w:rsidRDefault="00044E54" w:rsidP="006D6035">
            <w:pPr>
              <w:keepNext/>
              <w:spacing w:after="0"/>
              <w:jc w:val="right"/>
              <w:rPr>
                <w:rFonts w:eastAsia="Times New Roman"/>
                <w:color w:val="000000"/>
                <w:sz w:val="18"/>
                <w:szCs w:val="18"/>
              </w:rPr>
            </w:pPr>
            <w:r w:rsidRPr="006748D8">
              <w:rPr>
                <w:rFonts w:eastAsia="Calibri"/>
                <w:color w:val="000000"/>
                <w:sz w:val="18"/>
                <w:szCs w:val="18"/>
                <w:lang w:eastAsia="en-US"/>
              </w:rPr>
              <w:t>1.2 (2.1)    97</w:t>
            </w:r>
          </w:p>
        </w:tc>
        <w:tc>
          <w:tcPr>
            <w:tcW w:w="583" w:type="pct"/>
            <w:tcBorders>
              <w:top w:val="nil"/>
              <w:left w:val="nil"/>
              <w:right w:val="nil"/>
            </w:tcBorders>
            <w:shd w:val="clear" w:color="auto" w:fill="FFFFFF"/>
          </w:tcPr>
          <w:p w14:paraId="58814427" w14:textId="77777777" w:rsidR="00044E54" w:rsidRPr="006748D8" w:rsidRDefault="00044E54" w:rsidP="006D6035">
            <w:pPr>
              <w:keepNext/>
              <w:spacing w:after="0"/>
              <w:jc w:val="right"/>
              <w:rPr>
                <w:rFonts w:eastAsia="Times New Roman"/>
                <w:color w:val="000000"/>
                <w:sz w:val="18"/>
                <w:szCs w:val="18"/>
              </w:rPr>
            </w:pPr>
            <w:r w:rsidRPr="006748D8">
              <w:rPr>
                <w:rFonts w:eastAsia="Calibri"/>
                <w:color w:val="000000"/>
                <w:sz w:val="18"/>
                <w:szCs w:val="18"/>
                <w:lang w:eastAsia="en-US"/>
              </w:rPr>
              <w:t>0.9 (1.9)  123</w:t>
            </w:r>
          </w:p>
        </w:tc>
        <w:tc>
          <w:tcPr>
            <w:tcW w:w="580" w:type="pct"/>
            <w:tcBorders>
              <w:top w:val="nil"/>
              <w:left w:val="nil"/>
            </w:tcBorders>
            <w:shd w:val="clear" w:color="auto" w:fill="FFFFFF"/>
          </w:tcPr>
          <w:p w14:paraId="7220743E" w14:textId="77777777" w:rsidR="00044E54" w:rsidRPr="006748D8" w:rsidRDefault="00044E54" w:rsidP="006D6035">
            <w:pPr>
              <w:keepNext/>
              <w:spacing w:after="0"/>
              <w:jc w:val="right"/>
              <w:rPr>
                <w:rFonts w:eastAsia="Times New Roman"/>
                <w:color w:val="000000"/>
                <w:sz w:val="18"/>
                <w:szCs w:val="18"/>
              </w:rPr>
            </w:pPr>
            <w:r w:rsidRPr="006748D8">
              <w:rPr>
                <w:rFonts w:eastAsia="Calibri"/>
                <w:color w:val="000000"/>
                <w:sz w:val="18"/>
                <w:szCs w:val="18"/>
                <w:lang w:eastAsia="en-US"/>
              </w:rPr>
              <w:t>1.0 (2.0)  220</w:t>
            </w:r>
          </w:p>
        </w:tc>
      </w:tr>
    </w:tbl>
    <w:p w14:paraId="2168F8ED" w14:textId="23462802" w:rsidR="008C6AB9" w:rsidRDefault="00044E54" w:rsidP="00F01889">
      <w:pPr>
        <w:rPr>
          <w:highlight w:val="yellow"/>
          <w:lang w:eastAsia="en-US"/>
        </w:rPr>
      </w:pPr>
      <w:r w:rsidRPr="00563AD3">
        <w:rPr>
          <w:sz w:val="16"/>
          <w:szCs w:val="16"/>
          <w:vertAlign w:val="superscript"/>
        </w:rPr>
        <w:t>1</w:t>
      </w:r>
      <w:r w:rsidRPr="00563AD3">
        <w:rPr>
          <w:sz w:val="16"/>
          <w:szCs w:val="16"/>
        </w:rPr>
        <w:t xml:space="preserve">CMAI-O: scores 29-116, higher score indicates more frequent agitated behaviour, </w:t>
      </w:r>
      <w:r w:rsidRPr="00563AD3">
        <w:rPr>
          <w:sz w:val="16"/>
          <w:szCs w:val="16"/>
          <w:vertAlign w:val="superscript"/>
        </w:rPr>
        <w:t>2</w:t>
      </w:r>
      <w:r w:rsidRPr="00563AD3">
        <w:rPr>
          <w:sz w:val="16"/>
          <w:szCs w:val="16"/>
        </w:rPr>
        <w:t>PAS: range of 0-16, with higher scores representing higher levels of agitation</w:t>
      </w:r>
    </w:p>
    <w:p w14:paraId="4180B2A8" w14:textId="77777777" w:rsidR="00CD4C4F" w:rsidRDefault="00CD4C4F" w:rsidP="00CD4C4F">
      <w:pPr>
        <w:pStyle w:val="Figure"/>
        <w:rPr>
          <w:lang w:eastAsia="en-US"/>
        </w:rPr>
        <w:sectPr w:rsidR="00CD4C4F" w:rsidSect="00C163F3">
          <w:pgSz w:w="16838" w:h="11906" w:orient="landscape"/>
          <w:pgMar w:top="1440" w:right="1440" w:bottom="1440" w:left="1440" w:header="708" w:footer="708" w:gutter="0"/>
          <w:cols w:space="708"/>
          <w:docGrid w:linePitch="360"/>
        </w:sectPr>
      </w:pPr>
    </w:p>
    <w:p w14:paraId="0CE0FE50" w14:textId="7346D41A" w:rsidR="004371D1" w:rsidRPr="004371D1" w:rsidRDefault="00DD4ECD" w:rsidP="00F01889">
      <w:pPr>
        <w:rPr>
          <w:lang w:eastAsia="en-US"/>
        </w:rPr>
      </w:pPr>
      <w:bookmarkStart w:id="309" w:name="_Toc525805244"/>
      <w:r w:rsidRPr="004371D1">
        <w:rPr>
          <w:lang w:eastAsia="en-US"/>
        </w:rPr>
        <w:t xml:space="preserve">Figure </w:t>
      </w:r>
      <w:r w:rsidR="001F1773" w:rsidRPr="004371D1">
        <w:rPr>
          <w:lang w:eastAsia="en-US"/>
        </w:rPr>
        <w:t>8</w:t>
      </w:r>
      <w:r w:rsidR="004371D1" w:rsidRPr="004371D1">
        <w:rPr>
          <w:lang w:eastAsia="en-US"/>
        </w:rPr>
        <w:t xml:space="preserve"> Graphical depiction of change in </w:t>
      </w:r>
      <w:r w:rsidR="004371D1">
        <w:rPr>
          <w:lang w:eastAsia="en-US"/>
        </w:rPr>
        <w:t xml:space="preserve">average </w:t>
      </w:r>
      <w:r w:rsidR="004371D1" w:rsidRPr="004371D1">
        <w:rPr>
          <w:lang w:eastAsia="en-US"/>
        </w:rPr>
        <w:t>CMAI scores in care homes (cross-sectional) by treatment arms</w:t>
      </w:r>
      <w:r w:rsidR="004371D1">
        <w:rPr>
          <w:lang w:eastAsia="en-US"/>
        </w:rPr>
        <w:t xml:space="preserve"> (16 months-baseline)</w:t>
      </w:r>
      <w:bookmarkEnd w:id="309"/>
      <w:r w:rsidR="004371D1" w:rsidRPr="00236547">
        <w:rPr>
          <w:noProof/>
        </w:rPr>
        <w:drawing>
          <wp:inline distT="0" distB="0" distL="0" distR="0" wp14:anchorId="7DBD4DB1" wp14:editId="625A88CB">
            <wp:extent cx="4075200" cy="3056400"/>
            <wp:effectExtent l="0" t="0" r="1905" b="0"/>
            <wp:docPr id="12" name="Picture 12" descr="P:\CTRU\Projects\Health_Sciences\Older People\DCM EPIC\Stats\Final\Plots\6_Q_scoring\SGPlo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TRU\Projects\Health_Sciences\Older People\DCM EPIC\Stats\Final\Plots\6_Q_scoring\SGPlot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75200" cy="3056400"/>
                    </a:xfrm>
                    <a:prstGeom prst="rect">
                      <a:avLst/>
                    </a:prstGeom>
                    <a:noFill/>
                    <a:ln>
                      <a:noFill/>
                    </a:ln>
                  </pic:spPr>
                </pic:pic>
              </a:graphicData>
            </a:graphic>
          </wp:inline>
        </w:drawing>
      </w:r>
    </w:p>
    <w:p w14:paraId="43DB66CC" w14:textId="77777777" w:rsidR="00CD4C4F" w:rsidRDefault="00CD4C4F">
      <w:pPr>
        <w:autoSpaceDE/>
        <w:autoSpaceDN/>
        <w:adjustRightInd/>
        <w:spacing w:line="259" w:lineRule="auto"/>
        <w:rPr>
          <w:lang w:eastAsia="en-US"/>
        </w:rPr>
        <w:sectPr w:rsidR="00CD4C4F" w:rsidSect="00CD4C4F">
          <w:pgSz w:w="11906" w:h="16838"/>
          <w:pgMar w:top="1440" w:right="1440" w:bottom="1440" w:left="1440" w:header="708" w:footer="708" w:gutter="0"/>
          <w:cols w:space="708"/>
          <w:docGrid w:linePitch="360"/>
        </w:sectPr>
      </w:pPr>
      <w:r>
        <w:rPr>
          <w:lang w:eastAsia="en-US"/>
        </w:rPr>
        <w:br w:type="page"/>
      </w:r>
    </w:p>
    <w:p w14:paraId="382F7C1B" w14:textId="0B2C76EF" w:rsidR="00CD4C4F" w:rsidRDefault="00CD4C4F">
      <w:pPr>
        <w:autoSpaceDE/>
        <w:autoSpaceDN/>
        <w:adjustRightInd/>
        <w:spacing w:line="259" w:lineRule="auto"/>
        <w:rPr>
          <w:lang w:eastAsia="en-US"/>
        </w:rPr>
      </w:pPr>
    </w:p>
    <w:p w14:paraId="48232D90" w14:textId="7358FEAF" w:rsidR="004371D1" w:rsidRDefault="004371D1" w:rsidP="00CB59EF">
      <w:pPr>
        <w:pStyle w:val="Figure"/>
        <w:rPr>
          <w:lang w:eastAsia="en-US"/>
        </w:rPr>
      </w:pPr>
      <w:bookmarkStart w:id="310" w:name="_Toc525805245"/>
      <w:r>
        <w:rPr>
          <w:lang w:eastAsia="en-US"/>
        </w:rPr>
        <w:t xml:space="preserve">Figure 9 </w:t>
      </w:r>
      <w:r w:rsidRPr="004371D1">
        <w:rPr>
          <w:lang w:eastAsia="en-US"/>
        </w:rPr>
        <w:t xml:space="preserve">Graphical depiction of change in CMAI scores </w:t>
      </w:r>
      <w:r>
        <w:rPr>
          <w:lang w:eastAsia="en-US"/>
        </w:rPr>
        <w:t>(closed-cohort</w:t>
      </w:r>
      <w:r w:rsidRPr="004371D1">
        <w:rPr>
          <w:lang w:eastAsia="en-US"/>
        </w:rPr>
        <w:t>) by treatment arms</w:t>
      </w:r>
      <w:r>
        <w:rPr>
          <w:lang w:eastAsia="en-US"/>
        </w:rPr>
        <w:t xml:space="preserve"> (16 months-baseline and 6 months-baseline)</w:t>
      </w:r>
      <w:bookmarkEnd w:id="310"/>
    </w:p>
    <w:p w14:paraId="7ABE9E32" w14:textId="2887A7DF" w:rsidR="00CB59EF" w:rsidRDefault="008C6AB9">
      <w:pPr>
        <w:autoSpaceDE/>
        <w:autoSpaceDN/>
        <w:adjustRightInd/>
        <w:spacing w:line="259" w:lineRule="auto"/>
        <w:rPr>
          <w:rFonts w:eastAsia="Calibri"/>
          <w:b/>
          <w:lang w:eastAsia="en-US"/>
        </w:rPr>
      </w:pPr>
      <w:r w:rsidRPr="00236547">
        <w:rPr>
          <w:noProof/>
        </w:rPr>
        <w:drawing>
          <wp:inline distT="0" distB="0" distL="0" distR="0" wp14:anchorId="0E4FD897" wp14:editId="5C3FB943">
            <wp:extent cx="4075200" cy="3056400"/>
            <wp:effectExtent l="0" t="0" r="1905" b="0"/>
            <wp:docPr id="6" name="Picture 6" descr="P:\CTRU\Projects\Health_Sciences\Older People\DCM EPIC\Stats\Final\Plots\6_Q_scoring\SGPl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TRU\Projects\Health_Sciences\Older People\DCM EPIC\Stats\Final\Plots\6_Q_scoring\SGPlot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75200" cy="3056400"/>
                    </a:xfrm>
                    <a:prstGeom prst="rect">
                      <a:avLst/>
                    </a:prstGeom>
                    <a:noFill/>
                    <a:ln>
                      <a:noFill/>
                    </a:ln>
                  </pic:spPr>
                </pic:pic>
              </a:graphicData>
            </a:graphic>
          </wp:inline>
        </w:drawing>
      </w:r>
      <w:r>
        <w:rPr>
          <w:lang w:eastAsia="en-US"/>
        </w:rPr>
        <w:t xml:space="preserve"> </w:t>
      </w:r>
      <w:r w:rsidRPr="00236547">
        <w:rPr>
          <w:noProof/>
        </w:rPr>
        <w:drawing>
          <wp:inline distT="0" distB="0" distL="0" distR="0" wp14:anchorId="53DC45C3" wp14:editId="3BAFC73E">
            <wp:extent cx="4076700" cy="3057525"/>
            <wp:effectExtent l="0" t="0" r="0" b="9525"/>
            <wp:docPr id="11" name="Picture 11" descr="P:\CTRU\Projects\Health_Sciences\Older People\DCM EPIC\Stats\Final\Plots\6_Q_scoring\SGPl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TRU\Projects\Health_Sciences\Older People\DCM EPIC\Stats\Final\Plots\6_Q_scoring\SGPlot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87979" cy="3065984"/>
                    </a:xfrm>
                    <a:prstGeom prst="rect">
                      <a:avLst/>
                    </a:prstGeom>
                    <a:noFill/>
                    <a:ln>
                      <a:noFill/>
                    </a:ln>
                  </pic:spPr>
                </pic:pic>
              </a:graphicData>
            </a:graphic>
          </wp:inline>
        </w:drawing>
      </w:r>
      <w:bookmarkStart w:id="311" w:name="_Toc500935000"/>
      <w:r w:rsidR="00CB59EF">
        <w:rPr>
          <w:rFonts w:eastAsia="Calibri"/>
          <w:lang w:eastAsia="en-US"/>
        </w:rPr>
        <w:br w:type="page"/>
      </w:r>
    </w:p>
    <w:p w14:paraId="5799C438" w14:textId="69FB5A36" w:rsidR="00E07CDE" w:rsidRPr="00563AD3" w:rsidRDefault="00E07CDE" w:rsidP="00CB59EF">
      <w:pPr>
        <w:pStyle w:val="Tableheading"/>
        <w:rPr>
          <w:rFonts w:eastAsia="Calibri"/>
          <w:lang w:eastAsia="en-US"/>
        </w:rPr>
      </w:pPr>
      <w:bookmarkStart w:id="312" w:name="_Toc948240"/>
      <w:r w:rsidRPr="00563AD3">
        <w:rPr>
          <w:rFonts w:eastAsia="Calibri"/>
          <w:lang w:eastAsia="en-US"/>
        </w:rPr>
        <w:t xml:space="preserve">Table </w:t>
      </w:r>
      <w:r w:rsidR="00F12B05">
        <w:rPr>
          <w:rFonts w:eastAsia="Calibri"/>
          <w:lang w:eastAsia="en-US"/>
        </w:rPr>
        <w:t>43</w:t>
      </w:r>
      <w:r w:rsidR="00F12B05" w:rsidRPr="00563AD3">
        <w:rPr>
          <w:rFonts w:eastAsia="Calibri"/>
          <w:lang w:eastAsia="en-US"/>
        </w:rPr>
        <w:t xml:space="preserve"> </w:t>
      </w:r>
      <w:r w:rsidRPr="00563AD3">
        <w:rPr>
          <w:rFonts w:eastAsia="Calibri"/>
          <w:lang w:eastAsia="en-US"/>
        </w:rPr>
        <w:t>Observational CMAI (CMAI-O) and PAS summaries</w:t>
      </w:r>
      <w:bookmarkEnd w:id="311"/>
      <w:r w:rsidRPr="00563AD3">
        <w:rPr>
          <w:rFonts w:eastAsia="Calibri"/>
          <w:lang w:eastAsia="en-US"/>
        </w:rPr>
        <w:t xml:space="preserve"> – unadjusted scores</w:t>
      </w:r>
      <w:bookmarkEnd w:id="312"/>
    </w:p>
    <w:tbl>
      <w:tblPr>
        <w:tblW w:w="4916" w:type="pct"/>
        <w:jc w:val="center"/>
        <w:tblLayout w:type="fixed"/>
        <w:tblCellMar>
          <w:left w:w="0" w:type="dxa"/>
          <w:right w:w="0" w:type="dxa"/>
        </w:tblCellMar>
        <w:tblLook w:val="0000" w:firstRow="0" w:lastRow="0" w:firstColumn="0" w:lastColumn="0" w:noHBand="0" w:noVBand="0"/>
      </w:tblPr>
      <w:tblGrid>
        <w:gridCol w:w="1696"/>
        <w:gridCol w:w="1001"/>
        <w:gridCol w:w="1001"/>
        <w:gridCol w:w="1004"/>
        <w:gridCol w:w="1001"/>
        <w:gridCol w:w="1001"/>
        <w:gridCol w:w="1004"/>
        <w:gridCol w:w="1001"/>
        <w:gridCol w:w="1001"/>
        <w:gridCol w:w="1004"/>
        <w:gridCol w:w="1001"/>
        <w:gridCol w:w="1001"/>
        <w:gridCol w:w="998"/>
      </w:tblGrid>
      <w:tr w:rsidR="00E07CDE" w:rsidRPr="00CB59EF" w14:paraId="07A1D0B3" w14:textId="77777777" w:rsidTr="00C163F3">
        <w:trPr>
          <w:cantSplit/>
          <w:tblHeader/>
          <w:jc w:val="center"/>
        </w:trPr>
        <w:tc>
          <w:tcPr>
            <w:tcW w:w="618" w:type="pct"/>
            <w:tcBorders>
              <w:top w:val="single" w:sz="4" w:space="0" w:color="auto"/>
              <w:left w:val="single" w:sz="4" w:space="0" w:color="auto"/>
              <w:bottom w:val="nil"/>
              <w:right w:val="nil"/>
            </w:tcBorders>
            <w:shd w:val="clear" w:color="auto" w:fill="FFFFFF"/>
            <w:tcMar>
              <w:left w:w="67" w:type="dxa"/>
              <w:right w:w="67" w:type="dxa"/>
            </w:tcMar>
            <w:vAlign w:val="bottom"/>
          </w:tcPr>
          <w:p w14:paraId="41096A04" w14:textId="77777777" w:rsidR="00E07CDE" w:rsidRPr="00CB59EF" w:rsidRDefault="00E07CDE" w:rsidP="00CB59EF">
            <w:pPr>
              <w:keepNext/>
              <w:spacing w:after="0" w:line="240" w:lineRule="auto"/>
              <w:jc w:val="center"/>
              <w:rPr>
                <w:rFonts w:eastAsia="Times New Roman"/>
                <w:b/>
                <w:bCs/>
                <w:color w:val="000000"/>
                <w:sz w:val="16"/>
                <w:szCs w:val="16"/>
              </w:rPr>
            </w:pPr>
          </w:p>
        </w:tc>
        <w:tc>
          <w:tcPr>
            <w:tcW w:w="4382" w:type="pct"/>
            <w:gridSpan w:val="12"/>
            <w:tcBorders>
              <w:top w:val="single" w:sz="4" w:space="0" w:color="auto"/>
              <w:left w:val="nil"/>
              <w:bottom w:val="nil"/>
              <w:right w:val="single" w:sz="4" w:space="0" w:color="auto"/>
            </w:tcBorders>
            <w:shd w:val="clear" w:color="auto" w:fill="FFFFFF"/>
            <w:tcMar>
              <w:left w:w="67" w:type="dxa"/>
              <w:right w:w="67" w:type="dxa"/>
            </w:tcMar>
            <w:vAlign w:val="bottom"/>
          </w:tcPr>
          <w:p w14:paraId="2134F4D8"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CMAI-O and PAS summaries</w:t>
            </w:r>
          </w:p>
        </w:tc>
      </w:tr>
      <w:tr w:rsidR="00E07CDE" w:rsidRPr="00CB59EF" w14:paraId="3F62CDE9" w14:textId="77777777" w:rsidTr="00C163F3">
        <w:trPr>
          <w:cantSplit/>
          <w:tblHeader/>
          <w:jc w:val="center"/>
        </w:trPr>
        <w:tc>
          <w:tcPr>
            <w:tcW w:w="618" w:type="pct"/>
            <w:tcBorders>
              <w:top w:val="nil"/>
              <w:left w:val="single" w:sz="4" w:space="0" w:color="auto"/>
              <w:bottom w:val="nil"/>
              <w:right w:val="nil"/>
            </w:tcBorders>
            <w:shd w:val="clear" w:color="auto" w:fill="FFFFFF"/>
            <w:tcMar>
              <w:left w:w="67" w:type="dxa"/>
              <w:right w:w="67" w:type="dxa"/>
            </w:tcMar>
            <w:vAlign w:val="bottom"/>
          </w:tcPr>
          <w:p w14:paraId="65D0086A" w14:textId="77777777" w:rsidR="00E07CDE" w:rsidRPr="00CB59EF" w:rsidRDefault="00E07CDE" w:rsidP="00CB59EF">
            <w:pPr>
              <w:keepNext/>
              <w:spacing w:after="0" w:line="240" w:lineRule="auto"/>
              <w:jc w:val="center"/>
              <w:rPr>
                <w:rFonts w:eastAsia="Times New Roman"/>
                <w:b/>
                <w:bCs/>
                <w:color w:val="000000"/>
                <w:sz w:val="16"/>
                <w:szCs w:val="16"/>
              </w:rPr>
            </w:pPr>
          </w:p>
        </w:tc>
        <w:tc>
          <w:tcPr>
            <w:tcW w:w="1096" w:type="pct"/>
            <w:gridSpan w:val="3"/>
            <w:tcBorders>
              <w:top w:val="nil"/>
              <w:left w:val="nil"/>
              <w:bottom w:val="nil"/>
              <w:right w:val="nil"/>
            </w:tcBorders>
            <w:shd w:val="clear" w:color="auto" w:fill="FFFFFF"/>
            <w:tcMar>
              <w:left w:w="67" w:type="dxa"/>
              <w:right w:w="67" w:type="dxa"/>
            </w:tcMar>
            <w:vAlign w:val="bottom"/>
          </w:tcPr>
          <w:p w14:paraId="78DFBCD8"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Baseline</w:t>
            </w:r>
          </w:p>
        </w:tc>
        <w:tc>
          <w:tcPr>
            <w:tcW w:w="1096" w:type="pct"/>
            <w:gridSpan w:val="3"/>
            <w:tcBorders>
              <w:top w:val="nil"/>
              <w:left w:val="nil"/>
              <w:bottom w:val="nil"/>
              <w:right w:val="nil"/>
            </w:tcBorders>
            <w:shd w:val="clear" w:color="auto" w:fill="FFFFFF"/>
            <w:tcMar>
              <w:left w:w="67" w:type="dxa"/>
              <w:right w:w="67" w:type="dxa"/>
            </w:tcMar>
            <w:vAlign w:val="bottom"/>
          </w:tcPr>
          <w:p w14:paraId="3A5CB1B7" w14:textId="5A19B6E9" w:rsidR="00E07CDE" w:rsidRPr="00CB59EF" w:rsidRDefault="008A1A04"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6-</w:t>
            </w:r>
            <w:r w:rsidR="00E07CDE" w:rsidRPr="00CB59EF">
              <w:rPr>
                <w:rFonts w:eastAsia="Times New Roman"/>
                <w:b/>
                <w:bCs/>
                <w:color w:val="000000"/>
                <w:sz w:val="16"/>
                <w:szCs w:val="16"/>
              </w:rPr>
              <w:t>months</w:t>
            </w:r>
          </w:p>
        </w:tc>
        <w:tc>
          <w:tcPr>
            <w:tcW w:w="1096" w:type="pct"/>
            <w:gridSpan w:val="3"/>
            <w:tcBorders>
              <w:top w:val="nil"/>
              <w:left w:val="nil"/>
              <w:bottom w:val="nil"/>
              <w:right w:val="nil"/>
            </w:tcBorders>
            <w:shd w:val="clear" w:color="auto" w:fill="FFFFFF"/>
            <w:tcMar>
              <w:left w:w="67" w:type="dxa"/>
              <w:right w:w="67" w:type="dxa"/>
            </w:tcMar>
            <w:vAlign w:val="bottom"/>
          </w:tcPr>
          <w:p w14:paraId="111A8E14" w14:textId="51DE9BE2" w:rsidR="00E07CDE" w:rsidRPr="00CB59EF" w:rsidRDefault="008A1A04"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16-</w:t>
            </w:r>
            <w:r w:rsidR="00E07CDE" w:rsidRPr="00CB59EF">
              <w:rPr>
                <w:rFonts w:eastAsia="Times New Roman"/>
                <w:b/>
                <w:bCs/>
                <w:color w:val="000000"/>
                <w:sz w:val="16"/>
                <w:szCs w:val="16"/>
              </w:rPr>
              <w:t>months</w:t>
            </w:r>
            <w:r w:rsidR="00E07CDE" w:rsidRPr="00CB59EF">
              <w:rPr>
                <w:rFonts w:eastAsia="Times New Roman"/>
                <w:b/>
                <w:bCs/>
                <w:color w:val="000000"/>
                <w:sz w:val="16"/>
                <w:szCs w:val="16"/>
              </w:rPr>
              <w:br/>
              <w:t>original cohort</w:t>
            </w:r>
          </w:p>
        </w:tc>
        <w:tc>
          <w:tcPr>
            <w:tcW w:w="1094" w:type="pct"/>
            <w:gridSpan w:val="3"/>
            <w:tcBorders>
              <w:top w:val="nil"/>
              <w:left w:val="nil"/>
              <w:bottom w:val="nil"/>
              <w:right w:val="single" w:sz="4" w:space="0" w:color="auto"/>
            </w:tcBorders>
            <w:shd w:val="clear" w:color="auto" w:fill="FFFFFF"/>
            <w:tcMar>
              <w:left w:w="67" w:type="dxa"/>
              <w:right w:w="67" w:type="dxa"/>
            </w:tcMar>
            <w:vAlign w:val="bottom"/>
          </w:tcPr>
          <w:p w14:paraId="42C94B84" w14:textId="21AF506C" w:rsidR="00E07CDE" w:rsidRPr="00CB59EF" w:rsidRDefault="008A1A04"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16-</w:t>
            </w:r>
            <w:r w:rsidR="00E07CDE" w:rsidRPr="00CB59EF">
              <w:rPr>
                <w:rFonts w:eastAsia="Times New Roman"/>
                <w:b/>
                <w:bCs/>
                <w:color w:val="000000"/>
                <w:sz w:val="16"/>
                <w:szCs w:val="16"/>
              </w:rPr>
              <w:t>months</w:t>
            </w:r>
            <w:r w:rsidR="00E07CDE" w:rsidRPr="00CB59EF">
              <w:rPr>
                <w:rFonts w:eastAsia="Times New Roman"/>
                <w:b/>
                <w:bCs/>
                <w:color w:val="000000"/>
                <w:sz w:val="16"/>
                <w:szCs w:val="16"/>
              </w:rPr>
              <w:br/>
              <w:t>cross-sectional cohort</w:t>
            </w:r>
          </w:p>
        </w:tc>
      </w:tr>
      <w:tr w:rsidR="00E07CDE" w:rsidRPr="00CB59EF" w14:paraId="49374C91" w14:textId="77777777" w:rsidTr="00C163F3">
        <w:trPr>
          <w:cantSplit/>
          <w:tblHeader/>
          <w:jc w:val="center"/>
        </w:trPr>
        <w:tc>
          <w:tcPr>
            <w:tcW w:w="618" w:type="pct"/>
            <w:tcBorders>
              <w:top w:val="nil"/>
              <w:left w:val="single" w:sz="4" w:space="0" w:color="auto"/>
              <w:bottom w:val="single" w:sz="4" w:space="0" w:color="000000"/>
              <w:right w:val="nil"/>
            </w:tcBorders>
            <w:shd w:val="clear" w:color="auto" w:fill="FFFFFF"/>
            <w:tcMar>
              <w:left w:w="67" w:type="dxa"/>
              <w:right w:w="67" w:type="dxa"/>
            </w:tcMar>
            <w:vAlign w:val="bottom"/>
          </w:tcPr>
          <w:p w14:paraId="4C823E02"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Mean (SD) N</w:t>
            </w:r>
          </w:p>
        </w:tc>
        <w:tc>
          <w:tcPr>
            <w:tcW w:w="365" w:type="pct"/>
            <w:tcBorders>
              <w:top w:val="nil"/>
              <w:left w:val="nil"/>
              <w:bottom w:val="single" w:sz="4" w:space="0" w:color="000000"/>
              <w:right w:val="nil"/>
            </w:tcBorders>
            <w:shd w:val="clear" w:color="auto" w:fill="FFFFFF"/>
            <w:tcMar>
              <w:left w:w="67" w:type="dxa"/>
              <w:right w:w="67" w:type="dxa"/>
            </w:tcMar>
            <w:vAlign w:val="bottom"/>
          </w:tcPr>
          <w:p w14:paraId="3B91AED0"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Control</w:t>
            </w:r>
            <w:r w:rsidRPr="00CB59EF">
              <w:rPr>
                <w:rFonts w:eastAsia="Times New Roman"/>
                <w:b/>
                <w:bCs/>
                <w:color w:val="000000"/>
                <w:sz w:val="16"/>
                <w:szCs w:val="16"/>
              </w:rPr>
              <w:br/>
              <w:t>(n = 308)</w:t>
            </w:r>
          </w:p>
        </w:tc>
        <w:tc>
          <w:tcPr>
            <w:tcW w:w="365" w:type="pct"/>
            <w:tcBorders>
              <w:top w:val="nil"/>
              <w:left w:val="nil"/>
              <w:bottom w:val="single" w:sz="4" w:space="0" w:color="000000"/>
              <w:right w:val="nil"/>
            </w:tcBorders>
            <w:shd w:val="clear" w:color="auto" w:fill="FFFFFF"/>
            <w:tcMar>
              <w:left w:w="67" w:type="dxa"/>
              <w:right w:w="67" w:type="dxa"/>
            </w:tcMar>
            <w:vAlign w:val="bottom"/>
          </w:tcPr>
          <w:p w14:paraId="5EEC4477"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Intervention</w:t>
            </w:r>
            <w:r w:rsidRPr="00CB59EF">
              <w:rPr>
                <w:rFonts w:eastAsia="Times New Roman"/>
                <w:b/>
                <w:bCs/>
                <w:color w:val="000000"/>
                <w:sz w:val="16"/>
                <w:szCs w:val="16"/>
              </w:rPr>
              <w:br/>
              <w:t>(n = 418)</w:t>
            </w:r>
          </w:p>
        </w:tc>
        <w:tc>
          <w:tcPr>
            <w:tcW w:w="366" w:type="pct"/>
            <w:tcBorders>
              <w:top w:val="nil"/>
              <w:left w:val="nil"/>
              <w:bottom w:val="single" w:sz="4" w:space="0" w:color="000000"/>
              <w:right w:val="nil"/>
            </w:tcBorders>
            <w:shd w:val="clear" w:color="auto" w:fill="FFFFFF"/>
            <w:tcMar>
              <w:left w:w="67" w:type="dxa"/>
              <w:right w:w="67" w:type="dxa"/>
            </w:tcMar>
            <w:vAlign w:val="bottom"/>
          </w:tcPr>
          <w:p w14:paraId="290B8071"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Total</w:t>
            </w:r>
            <w:r w:rsidRPr="00CB59EF">
              <w:rPr>
                <w:rFonts w:eastAsia="Times New Roman"/>
                <w:b/>
                <w:bCs/>
                <w:color w:val="000000"/>
                <w:sz w:val="16"/>
                <w:szCs w:val="16"/>
              </w:rPr>
              <w:br/>
              <w:t>(n = 726)</w:t>
            </w:r>
          </w:p>
        </w:tc>
        <w:tc>
          <w:tcPr>
            <w:tcW w:w="365" w:type="pct"/>
            <w:tcBorders>
              <w:top w:val="nil"/>
              <w:left w:val="nil"/>
              <w:bottom w:val="single" w:sz="4" w:space="0" w:color="000000"/>
              <w:right w:val="nil"/>
            </w:tcBorders>
            <w:shd w:val="clear" w:color="auto" w:fill="FFFFFF"/>
            <w:tcMar>
              <w:left w:w="67" w:type="dxa"/>
              <w:right w:w="67" w:type="dxa"/>
            </w:tcMar>
            <w:vAlign w:val="bottom"/>
          </w:tcPr>
          <w:p w14:paraId="394B4884"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Control</w:t>
            </w:r>
            <w:r w:rsidRPr="00CB59EF">
              <w:rPr>
                <w:rFonts w:eastAsia="Times New Roman"/>
                <w:b/>
                <w:bCs/>
                <w:color w:val="000000"/>
                <w:sz w:val="16"/>
                <w:szCs w:val="16"/>
              </w:rPr>
              <w:br/>
              <w:t>(n = 308)</w:t>
            </w:r>
          </w:p>
        </w:tc>
        <w:tc>
          <w:tcPr>
            <w:tcW w:w="365" w:type="pct"/>
            <w:tcBorders>
              <w:top w:val="nil"/>
              <w:left w:val="nil"/>
              <w:bottom w:val="single" w:sz="4" w:space="0" w:color="000000"/>
              <w:right w:val="nil"/>
            </w:tcBorders>
            <w:shd w:val="clear" w:color="auto" w:fill="FFFFFF"/>
            <w:tcMar>
              <w:left w:w="67" w:type="dxa"/>
              <w:right w:w="67" w:type="dxa"/>
            </w:tcMar>
            <w:vAlign w:val="bottom"/>
          </w:tcPr>
          <w:p w14:paraId="1829C526"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Intervention</w:t>
            </w:r>
            <w:r w:rsidRPr="00CB59EF">
              <w:rPr>
                <w:rFonts w:eastAsia="Times New Roman"/>
                <w:b/>
                <w:bCs/>
                <w:color w:val="000000"/>
                <w:sz w:val="16"/>
                <w:szCs w:val="16"/>
              </w:rPr>
              <w:br/>
              <w:t>(n = 418)</w:t>
            </w:r>
          </w:p>
        </w:tc>
        <w:tc>
          <w:tcPr>
            <w:tcW w:w="366" w:type="pct"/>
            <w:tcBorders>
              <w:top w:val="nil"/>
              <w:left w:val="nil"/>
              <w:bottom w:val="single" w:sz="4" w:space="0" w:color="000000"/>
              <w:right w:val="nil"/>
            </w:tcBorders>
            <w:shd w:val="clear" w:color="auto" w:fill="FFFFFF"/>
            <w:tcMar>
              <w:left w:w="67" w:type="dxa"/>
              <w:right w:w="67" w:type="dxa"/>
            </w:tcMar>
            <w:vAlign w:val="bottom"/>
          </w:tcPr>
          <w:p w14:paraId="157D0A70"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Total</w:t>
            </w:r>
            <w:r w:rsidRPr="00CB59EF">
              <w:rPr>
                <w:rFonts w:eastAsia="Times New Roman"/>
                <w:b/>
                <w:bCs/>
                <w:color w:val="000000"/>
                <w:sz w:val="16"/>
                <w:szCs w:val="16"/>
              </w:rPr>
              <w:br/>
              <w:t>(n = 726)</w:t>
            </w:r>
          </w:p>
        </w:tc>
        <w:tc>
          <w:tcPr>
            <w:tcW w:w="365" w:type="pct"/>
            <w:tcBorders>
              <w:top w:val="nil"/>
              <w:left w:val="nil"/>
              <w:bottom w:val="single" w:sz="4" w:space="0" w:color="000000"/>
              <w:right w:val="nil"/>
            </w:tcBorders>
            <w:shd w:val="clear" w:color="auto" w:fill="FFFFFF"/>
            <w:tcMar>
              <w:left w:w="67" w:type="dxa"/>
              <w:right w:w="67" w:type="dxa"/>
            </w:tcMar>
            <w:vAlign w:val="bottom"/>
          </w:tcPr>
          <w:p w14:paraId="79063709"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Control</w:t>
            </w:r>
            <w:r w:rsidRPr="00CB59EF">
              <w:rPr>
                <w:rFonts w:eastAsia="Times New Roman"/>
                <w:b/>
                <w:bCs/>
                <w:color w:val="000000"/>
                <w:sz w:val="16"/>
                <w:szCs w:val="16"/>
              </w:rPr>
              <w:br/>
              <w:t>(n = 308)</w:t>
            </w:r>
          </w:p>
        </w:tc>
        <w:tc>
          <w:tcPr>
            <w:tcW w:w="365" w:type="pct"/>
            <w:tcBorders>
              <w:top w:val="nil"/>
              <w:left w:val="nil"/>
              <w:bottom w:val="single" w:sz="4" w:space="0" w:color="000000"/>
              <w:right w:val="nil"/>
            </w:tcBorders>
            <w:shd w:val="clear" w:color="auto" w:fill="FFFFFF"/>
            <w:tcMar>
              <w:left w:w="67" w:type="dxa"/>
              <w:right w:w="67" w:type="dxa"/>
            </w:tcMar>
            <w:vAlign w:val="bottom"/>
          </w:tcPr>
          <w:p w14:paraId="7E7A57FD"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Intervention</w:t>
            </w:r>
            <w:r w:rsidRPr="00CB59EF">
              <w:rPr>
                <w:rFonts w:eastAsia="Times New Roman"/>
                <w:b/>
                <w:bCs/>
                <w:color w:val="000000"/>
                <w:sz w:val="16"/>
                <w:szCs w:val="16"/>
              </w:rPr>
              <w:br/>
              <w:t>(n = 418)</w:t>
            </w:r>
          </w:p>
        </w:tc>
        <w:tc>
          <w:tcPr>
            <w:tcW w:w="366" w:type="pct"/>
            <w:tcBorders>
              <w:top w:val="nil"/>
              <w:left w:val="nil"/>
              <w:bottom w:val="single" w:sz="4" w:space="0" w:color="000000"/>
              <w:right w:val="nil"/>
            </w:tcBorders>
            <w:shd w:val="clear" w:color="auto" w:fill="FFFFFF"/>
            <w:tcMar>
              <w:left w:w="67" w:type="dxa"/>
              <w:right w:w="67" w:type="dxa"/>
            </w:tcMar>
            <w:vAlign w:val="bottom"/>
          </w:tcPr>
          <w:p w14:paraId="368E91B4"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Total</w:t>
            </w:r>
            <w:r w:rsidRPr="00CB59EF">
              <w:rPr>
                <w:rFonts w:eastAsia="Times New Roman"/>
                <w:b/>
                <w:bCs/>
                <w:color w:val="000000"/>
                <w:sz w:val="16"/>
                <w:szCs w:val="16"/>
              </w:rPr>
              <w:br/>
              <w:t>(n = 726)</w:t>
            </w:r>
          </w:p>
        </w:tc>
        <w:tc>
          <w:tcPr>
            <w:tcW w:w="365" w:type="pct"/>
            <w:tcBorders>
              <w:top w:val="nil"/>
              <w:left w:val="nil"/>
              <w:bottom w:val="single" w:sz="4" w:space="0" w:color="000000"/>
              <w:right w:val="nil"/>
            </w:tcBorders>
            <w:shd w:val="clear" w:color="auto" w:fill="FFFFFF"/>
            <w:tcMar>
              <w:left w:w="67" w:type="dxa"/>
              <w:right w:w="67" w:type="dxa"/>
            </w:tcMar>
            <w:vAlign w:val="bottom"/>
          </w:tcPr>
          <w:p w14:paraId="1678658F"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Control</w:t>
            </w:r>
            <w:r w:rsidRPr="00CB59EF">
              <w:rPr>
                <w:rFonts w:eastAsia="Times New Roman"/>
                <w:b/>
                <w:bCs/>
                <w:color w:val="000000"/>
                <w:sz w:val="16"/>
                <w:szCs w:val="16"/>
              </w:rPr>
              <w:br/>
              <w:t>(n = 287)</w:t>
            </w:r>
          </w:p>
        </w:tc>
        <w:tc>
          <w:tcPr>
            <w:tcW w:w="365" w:type="pct"/>
            <w:tcBorders>
              <w:top w:val="nil"/>
              <w:left w:val="nil"/>
              <w:bottom w:val="single" w:sz="4" w:space="0" w:color="000000"/>
              <w:right w:val="nil"/>
            </w:tcBorders>
            <w:shd w:val="clear" w:color="auto" w:fill="FFFFFF"/>
            <w:tcMar>
              <w:left w:w="67" w:type="dxa"/>
              <w:right w:w="67" w:type="dxa"/>
            </w:tcMar>
            <w:vAlign w:val="bottom"/>
          </w:tcPr>
          <w:p w14:paraId="23DCD726" w14:textId="2A3951C0"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Intervention</w:t>
            </w:r>
            <w:r w:rsidRPr="00CB59EF">
              <w:rPr>
                <w:rFonts w:eastAsia="Times New Roman"/>
                <w:b/>
                <w:bCs/>
                <w:color w:val="000000"/>
                <w:sz w:val="16"/>
                <w:szCs w:val="16"/>
              </w:rPr>
              <w:br/>
              <w:t>(n = 388)</w:t>
            </w:r>
          </w:p>
        </w:tc>
        <w:tc>
          <w:tcPr>
            <w:tcW w:w="364" w:type="pct"/>
            <w:tcBorders>
              <w:top w:val="nil"/>
              <w:left w:val="nil"/>
              <w:bottom w:val="single" w:sz="4" w:space="0" w:color="000000"/>
              <w:right w:val="single" w:sz="4" w:space="0" w:color="auto"/>
            </w:tcBorders>
            <w:shd w:val="clear" w:color="auto" w:fill="FFFFFF"/>
            <w:tcMar>
              <w:left w:w="67" w:type="dxa"/>
              <w:right w:w="67" w:type="dxa"/>
            </w:tcMar>
            <w:vAlign w:val="bottom"/>
          </w:tcPr>
          <w:p w14:paraId="6A36891F" w14:textId="77777777" w:rsidR="00E07CDE" w:rsidRPr="00CB59EF" w:rsidRDefault="00E07CDE" w:rsidP="00CB59EF">
            <w:pPr>
              <w:keepNext/>
              <w:spacing w:after="0" w:line="240" w:lineRule="auto"/>
              <w:jc w:val="center"/>
              <w:rPr>
                <w:rFonts w:eastAsia="Times New Roman"/>
                <w:b/>
                <w:bCs/>
                <w:color w:val="000000"/>
                <w:sz w:val="16"/>
                <w:szCs w:val="16"/>
              </w:rPr>
            </w:pPr>
            <w:r w:rsidRPr="00CB59EF">
              <w:rPr>
                <w:rFonts w:eastAsia="Times New Roman"/>
                <w:b/>
                <w:bCs/>
                <w:color w:val="000000"/>
                <w:sz w:val="16"/>
                <w:szCs w:val="16"/>
              </w:rPr>
              <w:t>Total</w:t>
            </w:r>
            <w:r w:rsidRPr="00CB59EF">
              <w:rPr>
                <w:rFonts w:eastAsia="Times New Roman"/>
                <w:b/>
                <w:bCs/>
                <w:color w:val="000000"/>
                <w:sz w:val="16"/>
                <w:szCs w:val="16"/>
              </w:rPr>
              <w:br/>
              <w:t>(n = 675)</w:t>
            </w:r>
          </w:p>
        </w:tc>
      </w:tr>
      <w:tr w:rsidR="00E07CDE" w:rsidRPr="00CB59EF" w14:paraId="579D498F" w14:textId="77777777" w:rsidTr="00C163F3">
        <w:trPr>
          <w:cantSplit/>
          <w:jc w:val="center"/>
        </w:trPr>
        <w:tc>
          <w:tcPr>
            <w:tcW w:w="618" w:type="pct"/>
            <w:tcBorders>
              <w:top w:val="nil"/>
              <w:left w:val="single" w:sz="4" w:space="0" w:color="auto"/>
              <w:right w:val="nil"/>
            </w:tcBorders>
            <w:shd w:val="clear" w:color="auto" w:fill="FFFFFF"/>
            <w:tcMar>
              <w:left w:w="67" w:type="dxa"/>
              <w:right w:w="67" w:type="dxa"/>
            </w:tcMar>
          </w:tcPr>
          <w:p w14:paraId="5F76E2E2" w14:textId="77777777" w:rsidR="008A1A04" w:rsidRPr="00CB59EF" w:rsidRDefault="00E07CDE" w:rsidP="00CB59EF">
            <w:pPr>
              <w:spacing w:after="0" w:line="240" w:lineRule="auto"/>
              <w:rPr>
                <w:rFonts w:eastAsia="Times New Roman"/>
                <w:b/>
                <w:bCs/>
                <w:color w:val="000000"/>
                <w:sz w:val="16"/>
                <w:szCs w:val="16"/>
              </w:rPr>
            </w:pPr>
            <w:r w:rsidRPr="00CB59EF">
              <w:rPr>
                <w:rFonts w:eastAsia="Times New Roman"/>
                <w:b/>
                <w:bCs/>
                <w:color w:val="000000"/>
                <w:sz w:val="16"/>
                <w:szCs w:val="16"/>
              </w:rPr>
              <w:t xml:space="preserve">Total CMAI-O </w:t>
            </w:r>
          </w:p>
          <w:p w14:paraId="69813C80" w14:textId="37C36E9A" w:rsidR="00E07CDE" w:rsidRPr="00CB59EF" w:rsidRDefault="00E07CDE" w:rsidP="00CB59EF">
            <w:pPr>
              <w:spacing w:after="0" w:line="240" w:lineRule="auto"/>
              <w:rPr>
                <w:rFonts w:eastAsia="Times New Roman"/>
                <w:b/>
                <w:bCs/>
                <w:color w:val="000000"/>
                <w:sz w:val="16"/>
                <w:szCs w:val="16"/>
              </w:rPr>
            </w:pPr>
            <w:r w:rsidRPr="00CB59EF">
              <w:rPr>
                <w:rFonts w:eastAsia="Times New Roman"/>
                <w:b/>
                <w:bCs/>
                <w:color w:val="000000"/>
                <w:sz w:val="16"/>
                <w:szCs w:val="16"/>
              </w:rPr>
              <w:t>(10:00-12:00)</w:t>
            </w:r>
          </w:p>
        </w:tc>
        <w:tc>
          <w:tcPr>
            <w:tcW w:w="365" w:type="pct"/>
            <w:tcBorders>
              <w:top w:val="nil"/>
              <w:left w:val="nil"/>
              <w:bottom w:val="nil"/>
              <w:right w:val="nil"/>
            </w:tcBorders>
            <w:shd w:val="clear" w:color="auto" w:fill="FFFFFF"/>
            <w:tcMar>
              <w:left w:w="67" w:type="dxa"/>
              <w:right w:w="67" w:type="dxa"/>
            </w:tcMar>
          </w:tcPr>
          <w:p w14:paraId="1DFAF4EF"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31.1 (3.1) 184</w:t>
            </w:r>
          </w:p>
        </w:tc>
        <w:tc>
          <w:tcPr>
            <w:tcW w:w="365" w:type="pct"/>
            <w:tcBorders>
              <w:top w:val="nil"/>
              <w:left w:val="nil"/>
              <w:bottom w:val="nil"/>
              <w:right w:val="nil"/>
            </w:tcBorders>
            <w:shd w:val="clear" w:color="auto" w:fill="FFFFFF"/>
            <w:tcMar>
              <w:left w:w="67" w:type="dxa"/>
              <w:right w:w="67" w:type="dxa"/>
            </w:tcMar>
          </w:tcPr>
          <w:p w14:paraId="3F934705"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30.5 (2.7) 266</w:t>
            </w:r>
          </w:p>
        </w:tc>
        <w:tc>
          <w:tcPr>
            <w:tcW w:w="366" w:type="pct"/>
            <w:tcBorders>
              <w:top w:val="nil"/>
              <w:left w:val="nil"/>
              <w:bottom w:val="nil"/>
              <w:right w:val="nil"/>
            </w:tcBorders>
            <w:shd w:val="clear" w:color="auto" w:fill="FFFFFF"/>
            <w:tcMar>
              <w:left w:w="67" w:type="dxa"/>
              <w:right w:w="67" w:type="dxa"/>
            </w:tcMar>
          </w:tcPr>
          <w:p w14:paraId="10186EA0"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30.8 (2.9) 450</w:t>
            </w:r>
          </w:p>
        </w:tc>
        <w:tc>
          <w:tcPr>
            <w:tcW w:w="365" w:type="pct"/>
            <w:tcBorders>
              <w:top w:val="nil"/>
              <w:left w:val="nil"/>
              <w:bottom w:val="nil"/>
              <w:right w:val="nil"/>
            </w:tcBorders>
            <w:shd w:val="clear" w:color="auto" w:fill="FFFFFF"/>
            <w:tcMar>
              <w:left w:w="67" w:type="dxa"/>
              <w:right w:w="67" w:type="dxa"/>
            </w:tcMar>
          </w:tcPr>
          <w:p w14:paraId="1458A181"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31.1 (4)    159</w:t>
            </w:r>
          </w:p>
        </w:tc>
        <w:tc>
          <w:tcPr>
            <w:tcW w:w="365" w:type="pct"/>
            <w:tcBorders>
              <w:top w:val="nil"/>
              <w:left w:val="nil"/>
              <w:bottom w:val="nil"/>
              <w:right w:val="nil"/>
            </w:tcBorders>
            <w:shd w:val="clear" w:color="auto" w:fill="FFFFFF"/>
            <w:tcMar>
              <w:left w:w="67" w:type="dxa"/>
              <w:right w:w="67" w:type="dxa"/>
            </w:tcMar>
          </w:tcPr>
          <w:p w14:paraId="2738A03D"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31.3 (3.6) 209</w:t>
            </w:r>
          </w:p>
        </w:tc>
        <w:tc>
          <w:tcPr>
            <w:tcW w:w="366" w:type="pct"/>
            <w:tcBorders>
              <w:top w:val="nil"/>
              <w:left w:val="nil"/>
              <w:bottom w:val="nil"/>
              <w:right w:val="nil"/>
            </w:tcBorders>
            <w:shd w:val="clear" w:color="auto" w:fill="FFFFFF"/>
            <w:tcMar>
              <w:left w:w="67" w:type="dxa"/>
              <w:right w:w="67" w:type="dxa"/>
            </w:tcMar>
          </w:tcPr>
          <w:p w14:paraId="42681DD9"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31.2 (3.8) 368</w:t>
            </w:r>
          </w:p>
        </w:tc>
        <w:tc>
          <w:tcPr>
            <w:tcW w:w="365" w:type="pct"/>
            <w:tcBorders>
              <w:top w:val="nil"/>
              <w:left w:val="nil"/>
              <w:bottom w:val="nil"/>
              <w:right w:val="nil"/>
            </w:tcBorders>
            <w:shd w:val="clear" w:color="auto" w:fill="FFFFFF"/>
            <w:tcMar>
              <w:left w:w="67" w:type="dxa"/>
              <w:right w:w="67" w:type="dxa"/>
            </w:tcMar>
          </w:tcPr>
          <w:p w14:paraId="2F4DF7EF"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31.2 (3.8) 102</w:t>
            </w:r>
          </w:p>
        </w:tc>
        <w:tc>
          <w:tcPr>
            <w:tcW w:w="365" w:type="pct"/>
            <w:tcBorders>
              <w:top w:val="nil"/>
              <w:left w:val="nil"/>
              <w:bottom w:val="nil"/>
              <w:right w:val="nil"/>
            </w:tcBorders>
            <w:shd w:val="clear" w:color="auto" w:fill="FFFFFF"/>
            <w:tcMar>
              <w:left w:w="67" w:type="dxa"/>
              <w:right w:w="67" w:type="dxa"/>
            </w:tcMar>
          </w:tcPr>
          <w:p w14:paraId="5D2D4717"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30.4 (3.2) 129</w:t>
            </w:r>
          </w:p>
        </w:tc>
        <w:tc>
          <w:tcPr>
            <w:tcW w:w="366" w:type="pct"/>
            <w:tcBorders>
              <w:top w:val="nil"/>
              <w:left w:val="nil"/>
              <w:bottom w:val="nil"/>
              <w:right w:val="nil"/>
            </w:tcBorders>
            <w:shd w:val="clear" w:color="auto" w:fill="FFFFFF"/>
            <w:tcMar>
              <w:left w:w="67" w:type="dxa"/>
              <w:right w:w="67" w:type="dxa"/>
            </w:tcMar>
          </w:tcPr>
          <w:p w14:paraId="2D0D3132"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30.7 (3.5) 231</w:t>
            </w:r>
          </w:p>
        </w:tc>
        <w:tc>
          <w:tcPr>
            <w:tcW w:w="365" w:type="pct"/>
            <w:tcBorders>
              <w:top w:val="nil"/>
              <w:left w:val="nil"/>
              <w:bottom w:val="nil"/>
              <w:right w:val="nil"/>
            </w:tcBorders>
            <w:shd w:val="clear" w:color="auto" w:fill="FFFFFF"/>
            <w:tcMar>
              <w:left w:w="67" w:type="dxa"/>
              <w:right w:w="67" w:type="dxa"/>
            </w:tcMar>
          </w:tcPr>
          <w:p w14:paraId="6E251DF5"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31.1 (3.8) 156</w:t>
            </w:r>
          </w:p>
        </w:tc>
        <w:tc>
          <w:tcPr>
            <w:tcW w:w="365" w:type="pct"/>
            <w:tcBorders>
              <w:top w:val="nil"/>
              <w:left w:val="nil"/>
              <w:bottom w:val="nil"/>
              <w:right w:val="nil"/>
            </w:tcBorders>
            <w:shd w:val="clear" w:color="auto" w:fill="FFFFFF"/>
            <w:tcMar>
              <w:left w:w="67" w:type="dxa"/>
              <w:right w:w="67" w:type="dxa"/>
            </w:tcMar>
          </w:tcPr>
          <w:p w14:paraId="20FB3532"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30.5 (3.3) 209</w:t>
            </w:r>
          </w:p>
        </w:tc>
        <w:tc>
          <w:tcPr>
            <w:tcW w:w="364" w:type="pct"/>
            <w:tcBorders>
              <w:top w:val="nil"/>
              <w:left w:val="nil"/>
              <w:bottom w:val="nil"/>
              <w:right w:val="single" w:sz="4" w:space="0" w:color="auto"/>
            </w:tcBorders>
            <w:shd w:val="clear" w:color="auto" w:fill="FFFFFF"/>
            <w:tcMar>
              <w:left w:w="67" w:type="dxa"/>
              <w:right w:w="67" w:type="dxa"/>
            </w:tcMar>
          </w:tcPr>
          <w:p w14:paraId="603475EF"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30.8 (3.5) 365</w:t>
            </w:r>
          </w:p>
        </w:tc>
      </w:tr>
      <w:tr w:rsidR="00E07CDE" w:rsidRPr="00CB59EF" w14:paraId="7887F503" w14:textId="77777777" w:rsidTr="00C163F3">
        <w:trPr>
          <w:cantSplit/>
          <w:jc w:val="center"/>
        </w:trPr>
        <w:tc>
          <w:tcPr>
            <w:tcW w:w="618" w:type="pct"/>
            <w:tcBorders>
              <w:top w:val="nil"/>
              <w:left w:val="single" w:sz="4" w:space="0" w:color="auto"/>
              <w:right w:val="nil"/>
            </w:tcBorders>
            <w:shd w:val="clear" w:color="auto" w:fill="FFFFFF"/>
            <w:tcMar>
              <w:left w:w="67" w:type="dxa"/>
              <w:right w:w="67" w:type="dxa"/>
            </w:tcMar>
          </w:tcPr>
          <w:p w14:paraId="481BD6D4" w14:textId="77777777" w:rsidR="00E07CDE" w:rsidRPr="00CB59EF" w:rsidRDefault="00E07CDE" w:rsidP="00CB59EF">
            <w:pPr>
              <w:spacing w:after="0" w:line="240" w:lineRule="auto"/>
              <w:rPr>
                <w:rFonts w:eastAsia="Times New Roman"/>
                <w:b/>
                <w:bCs/>
                <w:color w:val="000000"/>
                <w:sz w:val="16"/>
                <w:szCs w:val="16"/>
              </w:rPr>
            </w:pPr>
            <w:r w:rsidRPr="00CB59EF">
              <w:rPr>
                <w:rFonts w:eastAsia="Times New Roman"/>
                <w:b/>
                <w:bCs/>
                <w:color w:val="000000"/>
                <w:sz w:val="16"/>
                <w:szCs w:val="16"/>
              </w:rPr>
              <w:t>CMAI-O subscales (10:00-12:00):</w:t>
            </w:r>
          </w:p>
        </w:tc>
        <w:tc>
          <w:tcPr>
            <w:tcW w:w="365" w:type="pct"/>
            <w:tcBorders>
              <w:top w:val="nil"/>
              <w:left w:val="nil"/>
              <w:bottom w:val="nil"/>
              <w:right w:val="nil"/>
            </w:tcBorders>
            <w:shd w:val="clear" w:color="auto" w:fill="FFFFFF"/>
            <w:tcMar>
              <w:left w:w="67" w:type="dxa"/>
              <w:right w:w="67" w:type="dxa"/>
            </w:tcMar>
          </w:tcPr>
          <w:p w14:paraId="6F0D61B9"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6F6AE6D2" w14:textId="77777777" w:rsidR="00E07CDE" w:rsidRPr="00CB59EF" w:rsidRDefault="00E07CDE" w:rsidP="00CB59EF">
            <w:pPr>
              <w:spacing w:after="0" w:line="240" w:lineRule="auto"/>
              <w:jc w:val="right"/>
              <w:rPr>
                <w:rFonts w:eastAsia="Times New Roman"/>
                <w:b/>
                <w:color w:val="000000"/>
                <w:sz w:val="16"/>
                <w:szCs w:val="16"/>
              </w:rPr>
            </w:pPr>
          </w:p>
        </w:tc>
        <w:tc>
          <w:tcPr>
            <w:tcW w:w="366" w:type="pct"/>
            <w:tcBorders>
              <w:top w:val="nil"/>
              <w:left w:val="nil"/>
              <w:bottom w:val="nil"/>
              <w:right w:val="nil"/>
            </w:tcBorders>
            <w:shd w:val="clear" w:color="auto" w:fill="FFFFFF"/>
            <w:tcMar>
              <w:left w:w="67" w:type="dxa"/>
              <w:right w:w="67" w:type="dxa"/>
            </w:tcMar>
          </w:tcPr>
          <w:p w14:paraId="732606CA"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14DF6102"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58993350" w14:textId="77777777" w:rsidR="00E07CDE" w:rsidRPr="00CB59EF" w:rsidRDefault="00E07CDE" w:rsidP="00CB59EF">
            <w:pPr>
              <w:spacing w:after="0" w:line="240" w:lineRule="auto"/>
              <w:jc w:val="right"/>
              <w:rPr>
                <w:rFonts w:eastAsia="Times New Roman"/>
                <w:b/>
                <w:color w:val="000000"/>
                <w:sz w:val="16"/>
                <w:szCs w:val="16"/>
              </w:rPr>
            </w:pPr>
          </w:p>
        </w:tc>
        <w:tc>
          <w:tcPr>
            <w:tcW w:w="366" w:type="pct"/>
            <w:tcBorders>
              <w:top w:val="nil"/>
              <w:left w:val="nil"/>
              <w:bottom w:val="nil"/>
              <w:right w:val="nil"/>
            </w:tcBorders>
            <w:shd w:val="clear" w:color="auto" w:fill="FFFFFF"/>
            <w:tcMar>
              <w:left w:w="67" w:type="dxa"/>
              <w:right w:w="67" w:type="dxa"/>
            </w:tcMar>
          </w:tcPr>
          <w:p w14:paraId="085256A3"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59D26522"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777EB2D9" w14:textId="77777777" w:rsidR="00E07CDE" w:rsidRPr="00CB59EF" w:rsidRDefault="00E07CDE" w:rsidP="00CB59EF">
            <w:pPr>
              <w:spacing w:after="0" w:line="240" w:lineRule="auto"/>
              <w:jc w:val="right"/>
              <w:rPr>
                <w:rFonts w:eastAsia="Times New Roman"/>
                <w:b/>
                <w:color w:val="000000"/>
                <w:sz w:val="16"/>
                <w:szCs w:val="16"/>
              </w:rPr>
            </w:pPr>
          </w:p>
        </w:tc>
        <w:tc>
          <w:tcPr>
            <w:tcW w:w="366" w:type="pct"/>
            <w:tcBorders>
              <w:top w:val="nil"/>
              <w:left w:val="nil"/>
              <w:bottom w:val="nil"/>
              <w:right w:val="nil"/>
            </w:tcBorders>
            <w:shd w:val="clear" w:color="auto" w:fill="FFFFFF"/>
            <w:tcMar>
              <w:left w:w="67" w:type="dxa"/>
              <w:right w:w="67" w:type="dxa"/>
            </w:tcMar>
          </w:tcPr>
          <w:p w14:paraId="52A02571"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64C94E91"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19D80DCF" w14:textId="77777777" w:rsidR="00E07CDE" w:rsidRPr="00CB59EF" w:rsidRDefault="00E07CDE" w:rsidP="00CB59EF">
            <w:pPr>
              <w:spacing w:after="0" w:line="240" w:lineRule="auto"/>
              <w:jc w:val="right"/>
              <w:rPr>
                <w:rFonts w:eastAsia="Times New Roman"/>
                <w:b/>
                <w:color w:val="000000"/>
                <w:sz w:val="16"/>
                <w:szCs w:val="16"/>
              </w:rPr>
            </w:pPr>
          </w:p>
        </w:tc>
        <w:tc>
          <w:tcPr>
            <w:tcW w:w="364" w:type="pct"/>
            <w:tcBorders>
              <w:top w:val="nil"/>
              <w:left w:val="nil"/>
              <w:bottom w:val="nil"/>
              <w:right w:val="single" w:sz="4" w:space="0" w:color="auto"/>
            </w:tcBorders>
            <w:shd w:val="clear" w:color="auto" w:fill="FFFFFF"/>
            <w:tcMar>
              <w:left w:w="67" w:type="dxa"/>
              <w:right w:w="67" w:type="dxa"/>
            </w:tcMar>
          </w:tcPr>
          <w:p w14:paraId="10967EB7" w14:textId="77777777" w:rsidR="00E07CDE" w:rsidRPr="00CB59EF" w:rsidRDefault="00E07CDE" w:rsidP="00CB59EF">
            <w:pPr>
              <w:spacing w:after="0" w:line="240" w:lineRule="auto"/>
              <w:jc w:val="right"/>
              <w:rPr>
                <w:rFonts w:eastAsia="Times New Roman"/>
                <w:b/>
                <w:color w:val="000000"/>
                <w:sz w:val="16"/>
                <w:szCs w:val="16"/>
              </w:rPr>
            </w:pPr>
          </w:p>
        </w:tc>
      </w:tr>
      <w:tr w:rsidR="00E07CDE" w:rsidRPr="00CB59EF" w14:paraId="1DB2E73D" w14:textId="77777777" w:rsidTr="00C163F3">
        <w:trPr>
          <w:cantSplit/>
          <w:jc w:val="center"/>
        </w:trPr>
        <w:tc>
          <w:tcPr>
            <w:tcW w:w="618" w:type="pct"/>
            <w:tcBorders>
              <w:top w:val="nil"/>
              <w:left w:val="single" w:sz="4" w:space="0" w:color="auto"/>
              <w:right w:val="nil"/>
            </w:tcBorders>
            <w:shd w:val="clear" w:color="auto" w:fill="FFFFFF"/>
            <w:tcMar>
              <w:left w:w="67" w:type="dxa"/>
              <w:right w:w="67" w:type="dxa"/>
            </w:tcMar>
          </w:tcPr>
          <w:p w14:paraId="12CF7FAF" w14:textId="77777777" w:rsidR="00E07CDE" w:rsidRPr="00CB59EF" w:rsidRDefault="00E07CDE" w:rsidP="00CB59EF">
            <w:pPr>
              <w:spacing w:after="0" w:line="240" w:lineRule="auto"/>
              <w:rPr>
                <w:rFonts w:eastAsia="Times New Roman"/>
                <w:b/>
                <w:bCs/>
                <w:color w:val="000000"/>
                <w:sz w:val="16"/>
                <w:szCs w:val="16"/>
              </w:rPr>
            </w:pPr>
            <w:r w:rsidRPr="00CB59EF">
              <w:rPr>
                <w:rFonts w:eastAsia="Times New Roman"/>
                <w:color w:val="000000"/>
                <w:sz w:val="16"/>
                <w:szCs w:val="16"/>
              </w:rPr>
              <w:t>Verbally agitated</w:t>
            </w:r>
          </w:p>
        </w:tc>
        <w:tc>
          <w:tcPr>
            <w:tcW w:w="365" w:type="pct"/>
            <w:tcBorders>
              <w:top w:val="nil"/>
              <w:left w:val="nil"/>
              <w:bottom w:val="nil"/>
              <w:right w:val="nil"/>
            </w:tcBorders>
            <w:shd w:val="clear" w:color="auto" w:fill="FFFFFF"/>
            <w:tcMar>
              <w:left w:w="67" w:type="dxa"/>
              <w:right w:w="67" w:type="dxa"/>
            </w:tcMar>
          </w:tcPr>
          <w:p w14:paraId="3D621F56"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5.5 (1.3)  184</w:t>
            </w:r>
          </w:p>
        </w:tc>
        <w:tc>
          <w:tcPr>
            <w:tcW w:w="365" w:type="pct"/>
            <w:tcBorders>
              <w:top w:val="nil"/>
              <w:left w:val="nil"/>
              <w:bottom w:val="nil"/>
              <w:right w:val="nil"/>
            </w:tcBorders>
            <w:shd w:val="clear" w:color="auto" w:fill="FFFFFF"/>
            <w:tcMar>
              <w:left w:w="67" w:type="dxa"/>
              <w:right w:w="67" w:type="dxa"/>
            </w:tcMar>
          </w:tcPr>
          <w:p w14:paraId="7858FA02"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5.3 (0.9)  266</w:t>
            </w:r>
          </w:p>
        </w:tc>
        <w:tc>
          <w:tcPr>
            <w:tcW w:w="366" w:type="pct"/>
            <w:tcBorders>
              <w:top w:val="nil"/>
              <w:left w:val="nil"/>
              <w:bottom w:val="nil"/>
              <w:right w:val="nil"/>
            </w:tcBorders>
            <w:shd w:val="clear" w:color="auto" w:fill="FFFFFF"/>
            <w:tcMar>
              <w:left w:w="67" w:type="dxa"/>
              <w:right w:w="67" w:type="dxa"/>
            </w:tcMar>
          </w:tcPr>
          <w:p w14:paraId="087C21C8"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5.4 (1.1)  450</w:t>
            </w:r>
          </w:p>
        </w:tc>
        <w:tc>
          <w:tcPr>
            <w:tcW w:w="365" w:type="pct"/>
            <w:tcBorders>
              <w:top w:val="nil"/>
              <w:left w:val="nil"/>
              <w:bottom w:val="nil"/>
              <w:right w:val="nil"/>
            </w:tcBorders>
            <w:shd w:val="clear" w:color="auto" w:fill="FFFFFF"/>
            <w:tcMar>
              <w:left w:w="67" w:type="dxa"/>
              <w:right w:w="67" w:type="dxa"/>
            </w:tcMar>
          </w:tcPr>
          <w:p w14:paraId="1D289D4C"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5.7 (1.7)  159</w:t>
            </w:r>
          </w:p>
        </w:tc>
        <w:tc>
          <w:tcPr>
            <w:tcW w:w="365" w:type="pct"/>
            <w:tcBorders>
              <w:top w:val="nil"/>
              <w:left w:val="nil"/>
              <w:bottom w:val="nil"/>
              <w:right w:val="nil"/>
            </w:tcBorders>
            <w:shd w:val="clear" w:color="auto" w:fill="FFFFFF"/>
            <w:tcMar>
              <w:left w:w="67" w:type="dxa"/>
              <w:right w:w="67" w:type="dxa"/>
            </w:tcMar>
          </w:tcPr>
          <w:p w14:paraId="3A272375"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5.6 (1.7)  209</w:t>
            </w:r>
          </w:p>
        </w:tc>
        <w:tc>
          <w:tcPr>
            <w:tcW w:w="366" w:type="pct"/>
            <w:tcBorders>
              <w:top w:val="nil"/>
              <w:left w:val="nil"/>
              <w:bottom w:val="nil"/>
              <w:right w:val="nil"/>
            </w:tcBorders>
            <w:shd w:val="clear" w:color="auto" w:fill="FFFFFF"/>
            <w:tcMar>
              <w:left w:w="67" w:type="dxa"/>
              <w:right w:w="67" w:type="dxa"/>
            </w:tcMar>
          </w:tcPr>
          <w:p w14:paraId="0A8817D9"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5.6 (1.7)  368</w:t>
            </w:r>
          </w:p>
        </w:tc>
        <w:tc>
          <w:tcPr>
            <w:tcW w:w="365" w:type="pct"/>
            <w:tcBorders>
              <w:top w:val="nil"/>
              <w:left w:val="nil"/>
              <w:bottom w:val="nil"/>
              <w:right w:val="nil"/>
            </w:tcBorders>
            <w:shd w:val="clear" w:color="auto" w:fill="FFFFFF"/>
            <w:tcMar>
              <w:left w:w="67" w:type="dxa"/>
              <w:right w:w="67" w:type="dxa"/>
            </w:tcMar>
          </w:tcPr>
          <w:p w14:paraId="2207993B"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5.8 (2.2)  102</w:t>
            </w:r>
          </w:p>
        </w:tc>
        <w:tc>
          <w:tcPr>
            <w:tcW w:w="365" w:type="pct"/>
            <w:tcBorders>
              <w:top w:val="nil"/>
              <w:left w:val="nil"/>
              <w:bottom w:val="nil"/>
              <w:right w:val="nil"/>
            </w:tcBorders>
            <w:shd w:val="clear" w:color="auto" w:fill="FFFFFF"/>
            <w:tcMar>
              <w:left w:w="67" w:type="dxa"/>
              <w:right w:w="67" w:type="dxa"/>
            </w:tcMar>
          </w:tcPr>
          <w:p w14:paraId="188E2528"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5.4 (1.4)  129</w:t>
            </w:r>
          </w:p>
        </w:tc>
        <w:tc>
          <w:tcPr>
            <w:tcW w:w="366" w:type="pct"/>
            <w:tcBorders>
              <w:top w:val="nil"/>
              <w:left w:val="nil"/>
              <w:bottom w:val="nil"/>
              <w:right w:val="nil"/>
            </w:tcBorders>
            <w:shd w:val="clear" w:color="auto" w:fill="FFFFFF"/>
            <w:tcMar>
              <w:left w:w="67" w:type="dxa"/>
              <w:right w:w="67" w:type="dxa"/>
            </w:tcMar>
          </w:tcPr>
          <w:p w14:paraId="20343644"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5.6 (1.8)  231</w:t>
            </w:r>
          </w:p>
        </w:tc>
        <w:tc>
          <w:tcPr>
            <w:tcW w:w="365" w:type="pct"/>
            <w:tcBorders>
              <w:top w:val="nil"/>
              <w:left w:val="nil"/>
              <w:bottom w:val="nil"/>
              <w:right w:val="nil"/>
            </w:tcBorders>
            <w:shd w:val="clear" w:color="auto" w:fill="FFFFFF"/>
            <w:tcMar>
              <w:left w:w="67" w:type="dxa"/>
              <w:right w:w="67" w:type="dxa"/>
            </w:tcMar>
          </w:tcPr>
          <w:p w14:paraId="0E12942A"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5.8 (2.2)  156</w:t>
            </w:r>
          </w:p>
        </w:tc>
        <w:tc>
          <w:tcPr>
            <w:tcW w:w="365" w:type="pct"/>
            <w:tcBorders>
              <w:top w:val="nil"/>
              <w:left w:val="nil"/>
              <w:bottom w:val="nil"/>
              <w:right w:val="nil"/>
            </w:tcBorders>
            <w:shd w:val="clear" w:color="auto" w:fill="FFFFFF"/>
            <w:tcMar>
              <w:left w:w="67" w:type="dxa"/>
              <w:right w:w="67" w:type="dxa"/>
            </w:tcMar>
          </w:tcPr>
          <w:p w14:paraId="79CAD157"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5.5 (1.5)  209</w:t>
            </w:r>
          </w:p>
        </w:tc>
        <w:tc>
          <w:tcPr>
            <w:tcW w:w="364" w:type="pct"/>
            <w:tcBorders>
              <w:top w:val="nil"/>
              <w:left w:val="nil"/>
              <w:bottom w:val="nil"/>
              <w:right w:val="single" w:sz="4" w:space="0" w:color="auto"/>
            </w:tcBorders>
            <w:shd w:val="clear" w:color="auto" w:fill="FFFFFF"/>
            <w:tcMar>
              <w:left w:w="67" w:type="dxa"/>
              <w:right w:w="67" w:type="dxa"/>
            </w:tcMar>
          </w:tcPr>
          <w:p w14:paraId="74CDFEBF"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5.6 (1.8)   365</w:t>
            </w:r>
          </w:p>
        </w:tc>
      </w:tr>
      <w:tr w:rsidR="00E07CDE" w:rsidRPr="00CB59EF" w14:paraId="6A905F60" w14:textId="77777777" w:rsidTr="00C163F3">
        <w:trPr>
          <w:cantSplit/>
          <w:jc w:val="center"/>
        </w:trPr>
        <w:tc>
          <w:tcPr>
            <w:tcW w:w="618" w:type="pct"/>
            <w:tcBorders>
              <w:top w:val="nil"/>
              <w:left w:val="single" w:sz="4" w:space="0" w:color="auto"/>
              <w:right w:val="nil"/>
            </w:tcBorders>
            <w:shd w:val="clear" w:color="auto" w:fill="FFFFFF"/>
            <w:tcMar>
              <w:left w:w="67" w:type="dxa"/>
              <w:right w:w="67" w:type="dxa"/>
            </w:tcMar>
          </w:tcPr>
          <w:p w14:paraId="735DE0C1" w14:textId="77777777" w:rsidR="00E07CDE" w:rsidRPr="00CB59EF" w:rsidRDefault="00E07CDE" w:rsidP="00CB59EF">
            <w:pPr>
              <w:spacing w:after="0" w:line="240" w:lineRule="auto"/>
              <w:rPr>
                <w:rFonts w:eastAsia="Times New Roman"/>
                <w:b/>
                <w:bCs/>
                <w:color w:val="000000"/>
                <w:sz w:val="16"/>
                <w:szCs w:val="16"/>
              </w:rPr>
            </w:pPr>
            <w:r w:rsidRPr="00CB59EF">
              <w:rPr>
                <w:rFonts w:eastAsia="Times New Roman"/>
                <w:color w:val="000000"/>
                <w:sz w:val="16"/>
                <w:szCs w:val="16"/>
              </w:rPr>
              <w:t>Physically non-aggressive</w:t>
            </w:r>
          </w:p>
        </w:tc>
        <w:tc>
          <w:tcPr>
            <w:tcW w:w="365" w:type="pct"/>
            <w:tcBorders>
              <w:top w:val="nil"/>
              <w:left w:val="nil"/>
              <w:bottom w:val="nil"/>
              <w:right w:val="nil"/>
            </w:tcBorders>
            <w:shd w:val="clear" w:color="auto" w:fill="FFFFFF"/>
            <w:tcMar>
              <w:left w:w="67" w:type="dxa"/>
              <w:right w:w="67" w:type="dxa"/>
            </w:tcMar>
          </w:tcPr>
          <w:p w14:paraId="738444E5"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7.2 (1.8)  184</w:t>
            </w:r>
          </w:p>
        </w:tc>
        <w:tc>
          <w:tcPr>
            <w:tcW w:w="365" w:type="pct"/>
            <w:tcBorders>
              <w:top w:val="nil"/>
              <w:left w:val="nil"/>
              <w:bottom w:val="nil"/>
              <w:right w:val="nil"/>
            </w:tcBorders>
            <w:shd w:val="clear" w:color="auto" w:fill="FFFFFF"/>
            <w:tcMar>
              <w:left w:w="67" w:type="dxa"/>
              <w:right w:w="67" w:type="dxa"/>
            </w:tcMar>
          </w:tcPr>
          <w:p w14:paraId="3453FDE7"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6.9 (1.7)  265</w:t>
            </w:r>
          </w:p>
        </w:tc>
        <w:tc>
          <w:tcPr>
            <w:tcW w:w="366" w:type="pct"/>
            <w:tcBorders>
              <w:top w:val="nil"/>
              <w:left w:val="nil"/>
              <w:bottom w:val="nil"/>
              <w:right w:val="nil"/>
            </w:tcBorders>
            <w:shd w:val="clear" w:color="auto" w:fill="FFFFFF"/>
            <w:tcMar>
              <w:left w:w="67" w:type="dxa"/>
              <w:right w:w="67" w:type="dxa"/>
            </w:tcMar>
          </w:tcPr>
          <w:p w14:paraId="15405260"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7 (1.8)     449</w:t>
            </w:r>
          </w:p>
        </w:tc>
        <w:tc>
          <w:tcPr>
            <w:tcW w:w="365" w:type="pct"/>
            <w:tcBorders>
              <w:top w:val="nil"/>
              <w:left w:val="nil"/>
              <w:bottom w:val="nil"/>
              <w:right w:val="nil"/>
            </w:tcBorders>
            <w:shd w:val="clear" w:color="auto" w:fill="FFFFFF"/>
            <w:tcMar>
              <w:left w:w="67" w:type="dxa"/>
              <w:right w:w="67" w:type="dxa"/>
            </w:tcMar>
          </w:tcPr>
          <w:p w14:paraId="5FA4DCFA"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6.8 (1.8)  159</w:t>
            </w:r>
          </w:p>
        </w:tc>
        <w:tc>
          <w:tcPr>
            <w:tcW w:w="365" w:type="pct"/>
            <w:tcBorders>
              <w:top w:val="nil"/>
              <w:left w:val="nil"/>
              <w:bottom w:val="nil"/>
              <w:right w:val="nil"/>
            </w:tcBorders>
            <w:shd w:val="clear" w:color="auto" w:fill="FFFFFF"/>
            <w:tcMar>
              <w:left w:w="67" w:type="dxa"/>
              <w:right w:w="67" w:type="dxa"/>
            </w:tcMar>
          </w:tcPr>
          <w:p w14:paraId="52BE5430"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6.9 (1.8)  209</w:t>
            </w:r>
          </w:p>
        </w:tc>
        <w:tc>
          <w:tcPr>
            <w:tcW w:w="366" w:type="pct"/>
            <w:tcBorders>
              <w:top w:val="nil"/>
              <w:left w:val="nil"/>
              <w:bottom w:val="nil"/>
              <w:right w:val="nil"/>
            </w:tcBorders>
            <w:shd w:val="clear" w:color="auto" w:fill="FFFFFF"/>
            <w:tcMar>
              <w:left w:w="67" w:type="dxa"/>
              <w:right w:w="67" w:type="dxa"/>
            </w:tcMar>
          </w:tcPr>
          <w:p w14:paraId="6AB08875"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6.9 (1.8)  368</w:t>
            </w:r>
          </w:p>
        </w:tc>
        <w:tc>
          <w:tcPr>
            <w:tcW w:w="365" w:type="pct"/>
            <w:tcBorders>
              <w:top w:val="nil"/>
              <w:left w:val="nil"/>
              <w:bottom w:val="nil"/>
              <w:right w:val="nil"/>
            </w:tcBorders>
            <w:shd w:val="clear" w:color="auto" w:fill="FFFFFF"/>
            <w:tcMar>
              <w:left w:w="67" w:type="dxa"/>
              <w:right w:w="67" w:type="dxa"/>
            </w:tcMar>
          </w:tcPr>
          <w:p w14:paraId="116FD43D"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6.7 (1.5)  102</w:t>
            </w:r>
          </w:p>
        </w:tc>
        <w:tc>
          <w:tcPr>
            <w:tcW w:w="365" w:type="pct"/>
            <w:tcBorders>
              <w:top w:val="nil"/>
              <w:left w:val="nil"/>
              <w:bottom w:val="nil"/>
              <w:right w:val="nil"/>
            </w:tcBorders>
            <w:shd w:val="clear" w:color="auto" w:fill="FFFFFF"/>
            <w:tcMar>
              <w:left w:w="67" w:type="dxa"/>
              <w:right w:w="67" w:type="dxa"/>
            </w:tcMar>
          </w:tcPr>
          <w:p w14:paraId="0A2DD293"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6.5 (1.5)  129</w:t>
            </w:r>
          </w:p>
        </w:tc>
        <w:tc>
          <w:tcPr>
            <w:tcW w:w="366" w:type="pct"/>
            <w:tcBorders>
              <w:top w:val="nil"/>
              <w:left w:val="nil"/>
              <w:bottom w:val="nil"/>
              <w:right w:val="nil"/>
            </w:tcBorders>
            <w:shd w:val="clear" w:color="auto" w:fill="FFFFFF"/>
            <w:tcMar>
              <w:left w:w="67" w:type="dxa"/>
              <w:right w:w="67" w:type="dxa"/>
            </w:tcMar>
          </w:tcPr>
          <w:p w14:paraId="1AF3FD8A"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6.6 (1.5)  231</w:t>
            </w:r>
          </w:p>
        </w:tc>
        <w:tc>
          <w:tcPr>
            <w:tcW w:w="365" w:type="pct"/>
            <w:tcBorders>
              <w:top w:val="nil"/>
              <w:left w:val="nil"/>
              <w:bottom w:val="nil"/>
              <w:right w:val="nil"/>
            </w:tcBorders>
            <w:shd w:val="clear" w:color="auto" w:fill="FFFFFF"/>
            <w:tcMar>
              <w:left w:w="67" w:type="dxa"/>
              <w:right w:w="67" w:type="dxa"/>
            </w:tcMar>
          </w:tcPr>
          <w:p w14:paraId="1D524A16"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6.7 (1.4)  156</w:t>
            </w:r>
          </w:p>
        </w:tc>
        <w:tc>
          <w:tcPr>
            <w:tcW w:w="365" w:type="pct"/>
            <w:tcBorders>
              <w:top w:val="nil"/>
              <w:left w:val="nil"/>
              <w:bottom w:val="nil"/>
              <w:right w:val="nil"/>
            </w:tcBorders>
            <w:shd w:val="clear" w:color="auto" w:fill="FFFFFF"/>
            <w:tcMar>
              <w:left w:w="67" w:type="dxa"/>
              <w:right w:w="67" w:type="dxa"/>
            </w:tcMar>
          </w:tcPr>
          <w:p w14:paraId="78F0F53F"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6.5 (1.5)  209</w:t>
            </w:r>
          </w:p>
        </w:tc>
        <w:tc>
          <w:tcPr>
            <w:tcW w:w="364" w:type="pct"/>
            <w:tcBorders>
              <w:top w:val="nil"/>
              <w:left w:val="nil"/>
              <w:bottom w:val="nil"/>
              <w:right w:val="single" w:sz="4" w:space="0" w:color="auto"/>
            </w:tcBorders>
            <w:shd w:val="clear" w:color="auto" w:fill="FFFFFF"/>
            <w:tcMar>
              <w:left w:w="67" w:type="dxa"/>
              <w:right w:w="67" w:type="dxa"/>
            </w:tcMar>
          </w:tcPr>
          <w:p w14:paraId="4EFD681F"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6.6 (1.4)   365</w:t>
            </w:r>
          </w:p>
        </w:tc>
      </w:tr>
      <w:tr w:rsidR="00E07CDE" w:rsidRPr="00CB59EF" w14:paraId="47905E16" w14:textId="77777777" w:rsidTr="00C163F3">
        <w:trPr>
          <w:cantSplit/>
          <w:jc w:val="center"/>
        </w:trPr>
        <w:tc>
          <w:tcPr>
            <w:tcW w:w="618" w:type="pct"/>
            <w:tcBorders>
              <w:top w:val="nil"/>
              <w:left w:val="single" w:sz="4" w:space="0" w:color="auto"/>
              <w:right w:val="nil"/>
            </w:tcBorders>
            <w:shd w:val="clear" w:color="auto" w:fill="FFFFFF"/>
            <w:tcMar>
              <w:left w:w="67" w:type="dxa"/>
              <w:right w:w="67" w:type="dxa"/>
            </w:tcMar>
          </w:tcPr>
          <w:p w14:paraId="3FA7D837" w14:textId="77777777" w:rsidR="00E07CDE" w:rsidRPr="00CB59EF" w:rsidRDefault="00E07CDE" w:rsidP="00CB59EF">
            <w:pPr>
              <w:spacing w:after="0" w:line="240" w:lineRule="auto"/>
              <w:rPr>
                <w:rFonts w:eastAsia="Times New Roman"/>
                <w:b/>
                <w:bCs/>
                <w:color w:val="000000"/>
                <w:sz w:val="16"/>
                <w:szCs w:val="16"/>
              </w:rPr>
            </w:pPr>
            <w:r w:rsidRPr="00CB59EF">
              <w:rPr>
                <w:rFonts w:eastAsia="Times New Roman"/>
                <w:color w:val="000000"/>
                <w:sz w:val="16"/>
                <w:szCs w:val="16"/>
              </w:rPr>
              <w:t>Other</w:t>
            </w:r>
          </w:p>
        </w:tc>
        <w:tc>
          <w:tcPr>
            <w:tcW w:w="365" w:type="pct"/>
            <w:tcBorders>
              <w:top w:val="nil"/>
              <w:left w:val="nil"/>
              <w:bottom w:val="nil"/>
              <w:right w:val="nil"/>
            </w:tcBorders>
            <w:shd w:val="clear" w:color="auto" w:fill="FFFFFF"/>
            <w:tcMar>
              <w:left w:w="67" w:type="dxa"/>
              <w:right w:w="67" w:type="dxa"/>
            </w:tcMar>
          </w:tcPr>
          <w:p w14:paraId="251E96DD"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9.3 (0.9)  184</w:t>
            </w:r>
          </w:p>
        </w:tc>
        <w:tc>
          <w:tcPr>
            <w:tcW w:w="365" w:type="pct"/>
            <w:tcBorders>
              <w:top w:val="nil"/>
              <w:left w:val="nil"/>
              <w:bottom w:val="nil"/>
              <w:right w:val="nil"/>
            </w:tcBorders>
            <w:shd w:val="clear" w:color="auto" w:fill="FFFFFF"/>
            <w:tcMar>
              <w:left w:w="67" w:type="dxa"/>
              <w:right w:w="67" w:type="dxa"/>
            </w:tcMar>
          </w:tcPr>
          <w:p w14:paraId="218E70CE"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9.2 (0.7)  266</w:t>
            </w:r>
          </w:p>
        </w:tc>
        <w:tc>
          <w:tcPr>
            <w:tcW w:w="366" w:type="pct"/>
            <w:tcBorders>
              <w:top w:val="nil"/>
              <w:left w:val="nil"/>
              <w:bottom w:val="nil"/>
              <w:right w:val="nil"/>
            </w:tcBorders>
            <w:shd w:val="clear" w:color="auto" w:fill="FFFFFF"/>
            <w:tcMar>
              <w:left w:w="67" w:type="dxa"/>
              <w:right w:w="67" w:type="dxa"/>
            </w:tcMar>
          </w:tcPr>
          <w:p w14:paraId="708A647A"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9.2 (0.8)  450</w:t>
            </w:r>
          </w:p>
        </w:tc>
        <w:tc>
          <w:tcPr>
            <w:tcW w:w="365" w:type="pct"/>
            <w:tcBorders>
              <w:top w:val="nil"/>
              <w:left w:val="nil"/>
              <w:bottom w:val="nil"/>
              <w:right w:val="nil"/>
            </w:tcBorders>
            <w:shd w:val="clear" w:color="auto" w:fill="FFFFFF"/>
            <w:tcMar>
              <w:left w:w="67" w:type="dxa"/>
              <w:right w:w="67" w:type="dxa"/>
            </w:tcMar>
          </w:tcPr>
          <w:p w14:paraId="083D8DC4"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9.4 (1)     159</w:t>
            </w:r>
          </w:p>
        </w:tc>
        <w:tc>
          <w:tcPr>
            <w:tcW w:w="365" w:type="pct"/>
            <w:tcBorders>
              <w:top w:val="nil"/>
              <w:left w:val="nil"/>
              <w:bottom w:val="nil"/>
              <w:right w:val="nil"/>
            </w:tcBorders>
            <w:shd w:val="clear" w:color="auto" w:fill="FFFFFF"/>
            <w:tcMar>
              <w:left w:w="67" w:type="dxa"/>
              <w:right w:w="67" w:type="dxa"/>
            </w:tcMar>
          </w:tcPr>
          <w:p w14:paraId="3C744BFB"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9.6 (1.2)   209</w:t>
            </w:r>
          </w:p>
        </w:tc>
        <w:tc>
          <w:tcPr>
            <w:tcW w:w="366" w:type="pct"/>
            <w:tcBorders>
              <w:top w:val="nil"/>
              <w:left w:val="nil"/>
              <w:bottom w:val="nil"/>
              <w:right w:val="nil"/>
            </w:tcBorders>
            <w:shd w:val="clear" w:color="auto" w:fill="FFFFFF"/>
            <w:tcMar>
              <w:left w:w="67" w:type="dxa"/>
              <w:right w:w="67" w:type="dxa"/>
            </w:tcMar>
          </w:tcPr>
          <w:p w14:paraId="5493A35D"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9.5 (1.1)  368</w:t>
            </w:r>
          </w:p>
        </w:tc>
        <w:tc>
          <w:tcPr>
            <w:tcW w:w="365" w:type="pct"/>
            <w:tcBorders>
              <w:top w:val="nil"/>
              <w:left w:val="nil"/>
              <w:bottom w:val="nil"/>
              <w:right w:val="nil"/>
            </w:tcBorders>
            <w:shd w:val="clear" w:color="auto" w:fill="FFFFFF"/>
            <w:tcMar>
              <w:left w:w="67" w:type="dxa"/>
              <w:right w:w="67" w:type="dxa"/>
            </w:tcMar>
          </w:tcPr>
          <w:p w14:paraId="3EEF160E"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9.4 (1)     102</w:t>
            </w:r>
          </w:p>
        </w:tc>
        <w:tc>
          <w:tcPr>
            <w:tcW w:w="365" w:type="pct"/>
            <w:tcBorders>
              <w:top w:val="nil"/>
              <w:left w:val="nil"/>
              <w:bottom w:val="nil"/>
              <w:right w:val="nil"/>
            </w:tcBorders>
            <w:shd w:val="clear" w:color="auto" w:fill="FFFFFF"/>
            <w:tcMar>
              <w:left w:w="67" w:type="dxa"/>
              <w:right w:w="67" w:type="dxa"/>
            </w:tcMar>
          </w:tcPr>
          <w:p w14:paraId="752DE6CF"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9.2 (0.7)  129</w:t>
            </w:r>
          </w:p>
        </w:tc>
        <w:tc>
          <w:tcPr>
            <w:tcW w:w="366" w:type="pct"/>
            <w:tcBorders>
              <w:top w:val="nil"/>
              <w:left w:val="nil"/>
              <w:bottom w:val="nil"/>
              <w:right w:val="nil"/>
            </w:tcBorders>
            <w:shd w:val="clear" w:color="auto" w:fill="FFFFFF"/>
            <w:tcMar>
              <w:left w:w="67" w:type="dxa"/>
              <w:right w:w="67" w:type="dxa"/>
            </w:tcMar>
          </w:tcPr>
          <w:p w14:paraId="7CFC773A"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9.3 (0.8)  231</w:t>
            </w:r>
          </w:p>
        </w:tc>
        <w:tc>
          <w:tcPr>
            <w:tcW w:w="365" w:type="pct"/>
            <w:tcBorders>
              <w:top w:val="nil"/>
              <w:left w:val="nil"/>
              <w:bottom w:val="nil"/>
              <w:right w:val="nil"/>
            </w:tcBorders>
            <w:shd w:val="clear" w:color="auto" w:fill="FFFFFF"/>
            <w:tcMar>
              <w:left w:w="67" w:type="dxa"/>
              <w:right w:w="67" w:type="dxa"/>
            </w:tcMar>
          </w:tcPr>
          <w:p w14:paraId="7C76D8CA"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9.3 (1)     156</w:t>
            </w:r>
          </w:p>
        </w:tc>
        <w:tc>
          <w:tcPr>
            <w:tcW w:w="365" w:type="pct"/>
            <w:tcBorders>
              <w:top w:val="nil"/>
              <w:left w:val="nil"/>
              <w:bottom w:val="nil"/>
              <w:right w:val="nil"/>
            </w:tcBorders>
            <w:shd w:val="clear" w:color="auto" w:fill="FFFFFF"/>
            <w:tcMar>
              <w:left w:w="67" w:type="dxa"/>
              <w:right w:w="67" w:type="dxa"/>
            </w:tcMar>
          </w:tcPr>
          <w:p w14:paraId="7667ACCC"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9.2 (0.7)  209</w:t>
            </w:r>
          </w:p>
        </w:tc>
        <w:tc>
          <w:tcPr>
            <w:tcW w:w="364" w:type="pct"/>
            <w:tcBorders>
              <w:top w:val="nil"/>
              <w:left w:val="nil"/>
              <w:bottom w:val="nil"/>
              <w:right w:val="single" w:sz="4" w:space="0" w:color="auto"/>
            </w:tcBorders>
            <w:shd w:val="clear" w:color="auto" w:fill="FFFFFF"/>
            <w:tcMar>
              <w:left w:w="67" w:type="dxa"/>
              <w:right w:w="67" w:type="dxa"/>
            </w:tcMar>
          </w:tcPr>
          <w:p w14:paraId="025D1236"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9.2 (0.8)   365</w:t>
            </w:r>
          </w:p>
        </w:tc>
      </w:tr>
      <w:tr w:rsidR="00E07CDE" w:rsidRPr="00CB59EF" w14:paraId="01B12CCD" w14:textId="77777777" w:rsidTr="00C163F3">
        <w:trPr>
          <w:cantSplit/>
          <w:jc w:val="center"/>
        </w:trPr>
        <w:tc>
          <w:tcPr>
            <w:tcW w:w="618" w:type="pct"/>
            <w:tcBorders>
              <w:top w:val="nil"/>
              <w:left w:val="single" w:sz="4" w:space="0" w:color="auto"/>
              <w:right w:val="nil"/>
            </w:tcBorders>
            <w:shd w:val="clear" w:color="auto" w:fill="FFFFFF"/>
            <w:tcMar>
              <w:left w:w="67" w:type="dxa"/>
              <w:right w:w="67" w:type="dxa"/>
            </w:tcMar>
          </w:tcPr>
          <w:p w14:paraId="08763BE1" w14:textId="77777777" w:rsidR="00E07CDE" w:rsidRPr="00CB59EF" w:rsidRDefault="00E07CDE" w:rsidP="00CB59EF">
            <w:pPr>
              <w:spacing w:after="0" w:line="240" w:lineRule="auto"/>
              <w:rPr>
                <w:rFonts w:eastAsia="Times New Roman"/>
                <w:b/>
                <w:bCs/>
                <w:color w:val="000000"/>
                <w:sz w:val="16"/>
                <w:szCs w:val="16"/>
              </w:rPr>
            </w:pPr>
            <w:r w:rsidRPr="00CB59EF">
              <w:rPr>
                <w:rFonts w:eastAsia="Times New Roman"/>
                <w:color w:val="000000"/>
                <w:sz w:val="16"/>
                <w:szCs w:val="16"/>
              </w:rPr>
              <w:t>Aggressive behaviour</w:t>
            </w:r>
          </w:p>
        </w:tc>
        <w:tc>
          <w:tcPr>
            <w:tcW w:w="365" w:type="pct"/>
            <w:tcBorders>
              <w:top w:val="nil"/>
              <w:left w:val="nil"/>
              <w:bottom w:val="nil"/>
              <w:right w:val="nil"/>
            </w:tcBorders>
            <w:shd w:val="clear" w:color="auto" w:fill="FFFFFF"/>
            <w:tcMar>
              <w:left w:w="67" w:type="dxa"/>
              <w:right w:w="67" w:type="dxa"/>
            </w:tcMar>
          </w:tcPr>
          <w:p w14:paraId="3AE3CE9A"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9.2 (0.6)  185</w:t>
            </w:r>
          </w:p>
        </w:tc>
        <w:tc>
          <w:tcPr>
            <w:tcW w:w="365" w:type="pct"/>
            <w:tcBorders>
              <w:top w:val="nil"/>
              <w:left w:val="nil"/>
              <w:bottom w:val="nil"/>
              <w:right w:val="nil"/>
            </w:tcBorders>
            <w:shd w:val="clear" w:color="auto" w:fill="FFFFFF"/>
            <w:tcMar>
              <w:left w:w="67" w:type="dxa"/>
              <w:right w:w="67" w:type="dxa"/>
            </w:tcMar>
          </w:tcPr>
          <w:p w14:paraId="5079B5B2"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9.1 (0.5)  266</w:t>
            </w:r>
          </w:p>
        </w:tc>
        <w:tc>
          <w:tcPr>
            <w:tcW w:w="366" w:type="pct"/>
            <w:tcBorders>
              <w:top w:val="nil"/>
              <w:left w:val="nil"/>
              <w:bottom w:val="nil"/>
              <w:right w:val="nil"/>
            </w:tcBorders>
            <w:shd w:val="clear" w:color="auto" w:fill="FFFFFF"/>
            <w:tcMar>
              <w:left w:w="67" w:type="dxa"/>
              <w:right w:w="67" w:type="dxa"/>
            </w:tcMar>
          </w:tcPr>
          <w:p w14:paraId="683C6001"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9.1 (0.6)  451</w:t>
            </w:r>
          </w:p>
        </w:tc>
        <w:tc>
          <w:tcPr>
            <w:tcW w:w="365" w:type="pct"/>
            <w:tcBorders>
              <w:top w:val="nil"/>
              <w:left w:val="nil"/>
              <w:bottom w:val="nil"/>
              <w:right w:val="nil"/>
            </w:tcBorders>
            <w:shd w:val="clear" w:color="auto" w:fill="FFFFFF"/>
            <w:tcMar>
              <w:left w:w="67" w:type="dxa"/>
              <w:right w:w="67" w:type="dxa"/>
            </w:tcMar>
          </w:tcPr>
          <w:p w14:paraId="6F3BE73E"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9.3 (1)     159</w:t>
            </w:r>
          </w:p>
        </w:tc>
        <w:tc>
          <w:tcPr>
            <w:tcW w:w="365" w:type="pct"/>
            <w:tcBorders>
              <w:top w:val="nil"/>
              <w:left w:val="nil"/>
              <w:bottom w:val="nil"/>
              <w:right w:val="nil"/>
            </w:tcBorders>
            <w:shd w:val="clear" w:color="auto" w:fill="FFFFFF"/>
            <w:tcMar>
              <w:left w:w="67" w:type="dxa"/>
              <w:right w:w="67" w:type="dxa"/>
            </w:tcMar>
          </w:tcPr>
          <w:p w14:paraId="68233067"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9.2 (0.6)  209</w:t>
            </w:r>
          </w:p>
        </w:tc>
        <w:tc>
          <w:tcPr>
            <w:tcW w:w="366" w:type="pct"/>
            <w:tcBorders>
              <w:top w:val="nil"/>
              <w:left w:val="nil"/>
              <w:bottom w:val="nil"/>
              <w:right w:val="nil"/>
            </w:tcBorders>
            <w:shd w:val="clear" w:color="auto" w:fill="FFFFFF"/>
            <w:tcMar>
              <w:left w:w="67" w:type="dxa"/>
              <w:right w:w="67" w:type="dxa"/>
            </w:tcMar>
          </w:tcPr>
          <w:p w14:paraId="2904DB6D"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9.2 (0.8)  368</w:t>
            </w:r>
          </w:p>
        </w:tc>
        <w:tc>
          <w:tcPr>
            <w:tcW w:w="365" w:type="pct"/>
            <w:tcBorders>
              <w:top w:val="nil"/>
              <w:left w:val="nil"/>
              <w:bottom w:val="nil"/>
              <w:right w:val="nil"/>
            </w:tcBorders>
            <w:shd w:val="clear" w:color="auto" w:fill="FFFFFF"/>
            <w:tcMar>
              <w:left w:w="67" w:type="dxa"/>
              <w:right w:w="67" w:type="dxa"/>
            </w:tcMar>
          </w:tcPr>
          <w:p w14:paraId="3A62AFAD"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9.3 (1.1)  102</w:t>
            </w:r>
          </w:p>
        </w:tc>
        <w:tc>
          <w:tcPr>
            <w:tcW w:w="365" w:type="pct"/>
            <w:tcBorders>
              <w:top w:val="nil"/>
              <w:left w:val="nil"/>
              <w:bottom w:val="nil"/>
              <w:right w:val="nil"/>
            </w:tcBorders>
            <w:shd w:val="clear" w:color="auto" w:fill="FFFFFF"/>
            <w:tcMar>
              <w:left w:w="67" w:type="dxa"/>
              <w:right w:w="67" w:type="dxa"/>
            </w:tcMar>
          </w:tcPr>
          <w:p w14:paraId="76FA59D5"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9.3 (1)     129</w:t>
            </w:r>
          </w:p>
        </w:tc>
        <w:tc>
          <w:tcPr>
            <w:tcW w:w="366" w:type="pct"/>
            <w:tcBorders>
              <w:top w:val="nil"/>
              <w:left w:val="nil"/>
              <w:bottom w:val="nil"/>
              <w:right w:val="nil"/>
            </w:tcBorders>
            <w:shd w:val="clear" w:color="auto" w:fill="FFFFFF"/>
            <w:tcMar>
              <w:left w:w="67" w:type="dxa"/>
              <w:right w:w="67" w:type="dxa"/>
            </w:tcMar>
          </w:tcPr>
          <w:p w14:paraId="7D554659"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9.3 (1)     231</w:t>
            </w:r>
          </w:p>
        </w:tc>
        <w:tc>
          <w:tcPr>
            <w:tcW w:w="365" w:type="pct"/>
            <w:tcBorders>
              <w:top w:val="nil"/>
              <w:left w:val="nil"/>
              <w:bottom w:val="nil"/>
              <w:right w:val="nil"/>
            </w:tcBorders>
            <w:shd w:val="clear" w:color="auto" w:fill="FFFFFF"/>
            <w:tcMar>
              <w:left w:w="67" w:type="dxa"/>
              <w:right w:w="67" w:type="dxa"/>
            </w:tcMar>
          </w:tcPr>
          <w:p w14:paraId="4B78BBD8"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9.3 (0.9)   156</w:t>
            </w:r>
          </w:p>
        </w:tc>
        <w:tc>
          <w:tcPr>
            <w:tcW w:w="365" w:type="pct"/>
            <w:tcBorders>
              <w:top w:val="nil"/>
              <w:left w:val="nil"/>
              <w:bottom w:val="nil"/>
              <w:right w:val="nil"/>
            </w:tcBorders>
            <w:shd w:val="clear" w:color="auto" w:fill="FFFFFF"/>
            <w:tcMar>
              <w:left w:w="67" w:type="dxa"/>
              <w:right w:w="67" w:type="dxa"/>
            </w:tcMar>
          </w:tcPr>
          <w:p w14:paraId="71CB1C84"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9.3 (1)     209</w:t>
            </w:r>
          </w:p>
        </w:tc>
        <w:tc>
          <w:tcPr>
            <w:tcW w:w="364" w:type="pct"/>
            <w:tcBorders>
              <w:top w:val="nil"/>
              <w:left w:val="nil"/>
              <w:bottom w:val="nil"/>
              <w:right w:val="single" w:sz="4" w:space="0" w:color="auto"/>
            </w:tcBorders>
            <w:shd w:val="clear" w:color="auto" w:fill="FFFFFF"/>
            <w:tcMar>
              <w:left w:w="67" w:type="dxa"/>
              <w:right w:w="67" w:type="dxa"/>
            </w:tcMar>
          </w:tcPr>
          <w:p w14:paraId="1811E5FF"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color w:val="000000"/>
                <w:sz w:val="16"/>
                <w:szCs w:val="16"/>
              </w:rPr>
              <w:t>9.3 (1)      365</w:t>
            </w:r>
          </w:p>
        </w:tc>
      </w:tr>
      <w:tr w:rsidR="00E07CDE" w:rsidRPr="00CB59EF" w14:paraId="20724975" w14:textId="77777777" w:rsidTr="00C163F3">
        <w:trPr>
          <w:cantSplit/>
          <w:jc w:val="center"/>
        </w:trPr>
        <w:tc>
          <w:tcPr>
            <w:tcW w:w="618" w:type="pct"/>
            <w:tcBorders>
              <w:top w:val="nil"/>
              <w:left w:val="single" w:sz="4" w:space="0" w:color="auto"/>
              <w:right w:val="nil"/>
            </w:tcBorders>
            <w:shd w:val="clear" w:color="auto" w:fill="FFFFFF"/>
            <w:tcMar>
              <w:left w:w="67" w:type="dxa"/>
              <w:right w:w="67" w:type="dxa"/>
            </w:tcMar>
          </w:tcPr>
          <w:p w14:paraId="05105AB1" w14:textId="77777777" w:rsidR="00E07CDE" w:rsidRPr="00CB59EF" w:rsidRDefault="00E07CDE" w:rsidP="00CB59EF">
            <w:pPr>
              <w:spacing w:after="0" w:line="240" w:lineRule="auto"/>
              <w:rPr>
                <w:rFonts w:eastAsia="Times New Roman"/>
                <w:b/>
                <w:bCs/>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5F73DDD7"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7B127202" w14:textId="77777777" w:rsidR="00E07CDE" w:rsidRPr="00CB59EF" w:rsidRDefault="00E07CDE" w:rsidP="00CB59EF">
            <w:pPr>
              <w:spacing w:after="0" w:line="240" w:lineRule="auto"/>
              <w:jc w:val="right"/>
              <w:rPr>
                <w:rFonts w:eastAsia="Times New Roman"/>
                <w:b/>
                <w:color w:val="000000"/>
                <w:sz w:val="16"/>
                <w:szCs w:val="16"/>
              </w:rPr>
            </w:pPr>
          </w:p>
        </w:tc>
        <w:tc>
          <w:tcPr>
            <w:tcW w:w="366" w:type="pct"/>
            <w:tcBorders>
              <w:top w:val="nil"/>
              <w:left w:val="nil"/>
              <w:bottom w:val="nil"/>
              <w:right w:val="nil"/>
            </w:tcBorders>
            <w:shd w:val="clear" w:color="auto" w:fill="FFFFFF"/>
            <w:tcMar>
              <w:left w:w="67" w:type="dxa"/>
              <w:right w:w="67" w:type="dxa"/>
            </w:tcMar>
          </w:tcPr>
          <w:p w14:paraId="0DACC3BF"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37DE242B"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601E5EC9" w14:textId="77777777" w:rsidR="00E07CDE" w:rsidRPr="00CB59EF" w:rsidRDefault="00E07CDE" w:rsidP="00CB59EF">
            <w:pPr>
              <w:spacing w:after="0" w:line="240" w:lineRule="auto"/>
              <w:jc w:val="right"/>
              <w:rPr>
                <w:rFonts w:eastAsia="Times New Roman"/>
                <w:b/>
                <w:color w:val="000000"/>
                <w:sz w:val="16"/>
                <w:szCs w:val="16"/>
              </w:rPr>
            </w:pPr>
          </w:p>
        </w:tc>
        <w:tc>
          <w:tcPr>
            <w:tcW w:w="366" w:type="pct"/>
            <w:tcBorders>
              <w:top w:val="nil"/>
              <w:left w:val="nil"/>
              <w:bottom w:val="nil"/>
              <w:right w:val="nil"/>
            </w:tcBorders>
            <w:shd w:val="clear" w:color="auto" w:fill="FFFFFF"/>
            <w:tcMar>
              <w:left w:w="67" w:type="dxa"/>
              <w:right w:w="67" w:type="dxa"/>
            </w:tcMar>
          </w:tcPr>
          <w:p w14:paraId="082724B5"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60B7E581"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09EC7715" w14:textId="77777777" w:rsidR="00E07CDE" w:rsidRPr="00CB59EF" w:rsidRDefault="00E07CDE" w:rsidP="00CB59EF">
            <w:pPr>
              <w:spacing w:after="0" w:line="240" w:lineRule="auto"/>
              <w:jc w:val="right"/>
              <w:rPr>
                <w:rFonts w:eastAsia="Times New Roman"/>
                <w:b/>
                <w:color w:val="000000"/>
                <w:sz w:val="16"/>
                <w:szCs w:val="16"/>
              </w:rPr>
            </w:pPr>
          </w:p>
        </w:tc>
        <w:tc>
          <w:tcPr>
            <w:tcW w:w="366" w:type="pct"/>
            <w:tcBorders>
              <w:top w:val="nil"/>
              <w:left w:val="nil"/>
              <w:bottom w:val="nil"/>
              <w:right w:val="nil"/>
            </w:tcBorders>
            <w:shd w:val="clear" w:color="auto" w:fill="FFFFFF"/>
            <w:tcMar>
              <w:left w:w="67" w:type="dxa"/>
              <w:right w:w="67" w:type="dxa"/>
            </w:tcMar>
          </w:tcPr>
          <w:p w14:paraId="4FA125B6"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7430A316" w14:textId="77777777" w:rsidR="00E07CDE" w:rsidRPr="00CB59EF" w:rsidRDefault="00E07CDE" w:rsidP="00CB59EF">
            <w:pPr>
              <w:spacing w:after="0" w:line="240" w:lineRule="auto"/>
              <w:jc w:val="right"/>
              <w:rPr>
                <w:rFonts w:eastAsia="Times New Roman"/>
                <w:b/>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08ED7962" w14:textId="77777777" w:rsidR="00E07CDE" w:rsidRPr="00CB59EF" w:rsidRDefault="00E07CDE" w:rsidP="00CB59EF">
            <w:pPr>
              <w:spacing w:after="0" w:line="240" w:lineRule="auto"/>
              <w:jc w:val="right"/>
              <w:rPr>
                <w:rFonts w:eastAsia="Times New Roman"/>
                <w:b/>
                <w:color w:val="000000"/>
                <w:sz w:val="16"/>
                <w:szCs w:val="16"/>
              </w:rPr>
            </w:pPr>
          </w:p>
        </w:tc>
        <w:tc>
          <w:tcPr>
            <w:tcW w:w="364" w:type="pct"/>
            <w:tcBorders>
              <w:top w:val="nil"/>
              <w:left w:val="nil"/>
              <w:bottom w:val="nil"/>
              <w:right w:val="single" w:sz="4" w:space="0" w:color="auto"/>
            </w:tcBorders>
            <w:shd w:val="clear" w:color="auto" w:fill="FFFFFF"/>
            <w:tcMar>
              <w:left w:w="67" w:type="dxa"/>
              <w:right w:w="67" w:type="dxa"/>
            </w:tcMar>
          </w:tcPr>
          <w:p w14:paraId="195657C8" w14:textId="77777777" w:rsidR="00E07CDE" w:rsidRPr="00CB59EF" w:rsidRDefault="00E07CDE" w:rsidP="00CB59EF">
            <w:pPr>
              <w:spacing w:after="0" w:line="240" w:lineRule="auto"/>
              <w:jc w:val="right"/>
              <w:rPr>
                <w:rFonts w:eastAsia="Times New Roman"/>
                <w:b/>
                <w:color w:val="000000"/>
                <w:sz w:val="16"/>
                <w:szCs w:val="16"/>
              </w:rPr>
            </w:pPr>
          </w:p>
        </w:tc>
      </w:tr>
      <w:tr w:rsidR="00E07CDE" w:rsidRPr="00CB59EF" w14:paraId="389311C5" w14:textId="77777777" w:rsidTr="00C163F3">
        <w:trPr>
          <w:cantSplit/>
          <w:jc w:val="center"/>
        </w:trPr>
        <w:tc>
          <w:tcPr>
            <w:tcW w:w="618" w:type="pct"/>
            <w:tcBorders>
              <w:top w:val="nil"/>
              <w:left w:val="single" w:sz="4" w:space="0" w:color="auto"/>
              <w:right w:val="nil"/>
            </w:tcBorders>
            <w:shd w:val="clear" w:color="auto" w:fill="FFFFFF"/>
            <w:tcMar>
              <w:left w:w="67" w:type="dxa"/>
              <w:right w:w="67" w:type="dxa"/>
            </w:tcMar>
          </w:tcPr>
          <w:p w14:paraId="03811EC5" w14:textId="77777777" w:rsidR="008A1A04" w:rsidRPr="00CB59EF" w:rsidRDefault="00E07CDE" w:rsidP="00CB59EF">
            <w:pPr>
              <w:spacing w:after="0" w:line="240" w:lineRule="auto"/>
              <w:rPr>
                <w:rFonts w:eastAsia="Times New Roman"/>
                <w:b/>
                <w:bCs/>
                <w:color w:val="000000"/>
                <w:sz w:val="16"/>
                <w:szCs w:val="16"/>
              </w:rPr>
            </w:pPr>
            <w:r w:rsidRPr="00CB59EF">
              <w:rPr>
                <w:rFonts w:eastAsia="Times New Roman"/>
                <w:b/>
                <w:bCs/>
                <w:color w:val="000000"/>
                <w:sz w:val="16"/>
                <w:szCs w:val="16"/>
              </w:rPr>
              <w:t xml:space="preserve">Total CMAI-O </w:t>
            </w:r>
          </w:p>
          <w:p w14:paraId="5B78D103" w14:textId="7A074222" w:rsidR="00E07CDE" w:rsidRPr="00CB59EF" w:rsidRDefault="00E07CDE" w:rsidP="00CB59EF">
            <w:pPr>
              <w:spacing w:after="0" w:line="240" w:lineRule="auto"/>
              <w:rPr>
                <w:rFonts w:eastAsia="Times New Roman"/>
                <w:b/>
                <w:bCs/>
                <w:color w:val="000000"/>
                <w:sz w:val="16"/>
                <w:szCs w:val="16"/>
              </w:rPr>
            </w:pPr>
            <w:r w:rsidRPr="00CB59EF">
              <w:rPr>
                <w:rFonts w:eastAsia="Times New Roman"/>
                <w:b/>
                <w:bCs/>
                <w:color w:val="000000"/>
                <w:sz w:val="16"/>
                <w:szCs w:val="16"/>
              </w:rPr>
              <w:t xml:space="preserve">(12:00-17:00) </w:t>
            </w:r>
          </w:p>
        </w:tc>
        <w:tc>
          <w:tcPr>
            <w:tcW w:w="365" w:type="pct"/>
            <w:tcBorders>
              <w:top w:val="nil"/>
              <w:left w:val="nil"/>
              <w:bottom w:val="nil"/>
              <w:right w:val="nil"/>
            </w:tcBorders>
            <w:shd w:val="clear" w:color="auto" w:fill="FFFFFF"/>
            <w:tcMar>
              <w:left w:w="67" w:type="dxa"/>
              <w:right w:w="67" w:type="dxa"/>
            </w:tcMar>
          </w:tcPr>
          <w:p w14:paraId="44F7532E"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b/>
                <w:color w:val="000000"/>
                <w:sz w:val="16"/>
                <w:szCs w:val="16"/>
              </w:rPr>
              <w:t>32 (3.7)    198</w:t>
            </w:r>
          </w:p>
        </w:tc>
        <w:tc>
          <w:tcPr>
            <w:tcW w:w="365" w:type="pct"/>
            <w:tcBorders>
              <w:top w:val="nil"/>
              <w:left w:val="nil"/>
              <w:bottom w:val="nil"/>
              <w:right w:val="nil"/>
            </w:tcBorders>
            <w:shd w:val="clear" w:color="auto" w:fill="FFFFFF"/>
            <w:tcMar>
              <w:left w:w="67" w:type="dxa"/>
              <w:right w:w="67" w:type="dxa"/>
            </w:tcMar>
          </w:tcPr>
          <w:p w14:paraId="5F3EE58C"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b/>
                <w:color w:val="000000"/>
                <w:sz w:val="16"/>
                <w:szCs w:val="16"/>
              </w:rPr>
              <w:t>31.5 (3.8) 272</w:t>
            </w:r>
          </w:p>
        </w:tc>
        <w:tc>
          <w:tcPr>
            <w:tcW w:w="366" w:type="pct"/>
            <w:tcBorders>
              <w:top w:val="nil"/>
              <w:left w:val="nil"/>
              <w:bottom w:val="nil"/>
              <w:right w:val="nil"/>
            </w:tcBorders>
            <w:shd w:val="clear" w:color="auto" w:fill="FFFFFF"/>
            <w:tcMar>
              <w:left w:w="67" w:type="dxa"/>
              <w:right w:w="67" w:type="dxa"/>
            </w:tcMar>
          </w:tcPr>
          <w:p w14:paraId="0AF923E6"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b/>
                <w:color w:val="000000"/>
                <w:sz w:val="16"/>
                <w:szCs w:val="16"/>
              </w:rPr>
              <w:t>31.7 (3.8) 470</w:t>
            </w:r>
          </w:p>
        </w:tc>
        <w:tc>
          <w:tcPr>
            <w:tcW w:w="365" w:type="pct"/>
            <w:tcBorders>
              <w:top w:val="nil"/>
              <w:left w:val="nil"/>
              <w:bottom w:val="nil"/>
              <w:right w:val="nil"/>
            </w:tcBorders>
            <w:shd w:val="clear" w:color="auto" w:fill="FFFFFF"/>
            <w:tcMar>
              <w:left w:w="67" w:type="dxa"/>
              <w:right w:w="67" w:type="dxa"/>
            </w:tcMar>
          </w:tcPr>
          <w:p w14:paraId="12E2E195"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b/>
                <w:color w:val="000000"/>
                <w:sz w:val="16"/>
                <w:szCs w:val="16"/>
              </w:rPr>
              <w:t>31.6 (3.6) 151</w:t>
            </w:r>
          </w:p>
        </w:tc>
        <w:tc>
          <w:tcPr>
            <w:tcW w:w="365" w:type="pct"/>
            <w:tcBorders>
              <w:top w:val="nil"/>
              <w:left w:val="nil"/>
              <w:bottom w:val="nil"/>
              <w:right w:val="nil"/>
            </w:tcBorders>
            <w:shd w:val="clear" w:color="auto" w:fill="FFFFFF"/>
            <w:tcMar>
              <w:left w:w="67" w:type="dxa"/>
              <w:right w:w="67" w:type="dxa"/>
            </w:tcMar>
          </w:tcPr>
          <w:p w14:paraId="24F4DF5B"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b/>
                <w:color w:val="000000"/>
                <w:sz w:val="16"/>
                <w:szCs w:val="16"/>
              </w:rPr>
              <w:t>32 (3.9)   206</w:t>
            </w:r>
          </w:p>
        </w:tc>
        <w:tc>
          <w:tcPr>
            <w:tcW w:w="366" w:type="pct"/>
            <w:tcBorders>
              <w:top w:val="nil"/>
              <w:left w:val="nil"/>
              <w:bottom w:val="nil"/>
              <w:right w:val="nil"/>
            </w:tcBorders>
            <w:shd w:val="clear" w:color="auto" w:fill="FFFFFF"/>
            <w:tcMar>
              <w:left w:w="67" w:type="dxa"/>
              <w:right w:w="67" w:type="dxa"/>
            </w:tcMar>
          </w:tcPr>
          <w:p w14:paraId="612971CF"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b/>
                <w:color w:val="000000"/>
                <w:sz w:val="16"/>
                <w:szCs w:val="16"/>
              </w:rPr>
              <w:t>31.8 (3.8) 357</w:t>
            </w:r>
          </w:p>
        </w:tc>
        <w:tc>
          <w:tcPr>
            <w:tcW w:w="365" w:type="pct"/>
            <w:tcBorders>
              <w:top w:val="nil"/>
              <w:left w:val="nil"/>
              <w:bottom w:val="nil"/>
              <w:right w:val="nil"/>
            </w:tcBorders>
            <w:shd w:val="clear" w:color="auto" w:fill="FFFFFF"/>
            <w:tcMar>
              <w:left w:w="67" w:type="dxa"/>
              <w:right w:w="67" w:type="dxa"/>
            </w:tcMar>
          </w:tcPr>
          <w:p w14:paraId="0E00048B"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b/>
                <w:color w:val="000000"/>
                <w:sz w:val="16"/>
                <w:szCs w:val="16"/>
              </w:rPr>
              <w:t>31.3 (4.1)   97</w:t>
            </w:r>
          </w:p>
        </w:tc>
        <w:tc>
          <w:tcPr>
            <w:tcW w:w="365" w:type="pct"/>
            <w:tcBorders>
              <w:top w:val="nil"/>
              <w:left w:val="nil"/>
              <w:bottom w:val="nil"/>
              <w:right w:val="nil"/>
            </w:tcBorders>
            <w:shd w:val="clear" w:color="auto" w:fill="FFFFFF"/>
            <w:tcMar>
              <w:left w:w="67" w:type="dxa"/>
              <w:right w:w="67" w:type="dxa"/>
            </w:tcMar>
          </w:tcPr>
          <w:p w14:paraId="31BB0304"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b/>
                <w:color w:val="000000"/>
                <w:sz w:val="16"/>
                <w:szCs w:val="16"/>
              </w:rPr>
              <w:t>31 (3.9)   124</w:t>
            </w:r>
          </w:p>
        </w:tc>
        <w:tc>
          <w:tcPr>
            <w:tcW w:w="366" w:type="pct"/>
            <w:tcBorders>
              <w:top w:val="nil"/>
              <w:left w:val="nil"/>
              <w:bottom w:val="nil"/>
              <w:right w:val="nil"/>
            </w:tcBorders>
            <w:shd w:val="clear" w:color="auto" w:fill="FFFFFF"/>
            <w:tcMar>
              <w:left w:w="67" w:type="dxa"/>
              <w:right w:w="67" w:type="dxa"/>
            </w:tcMar>
          </w:tcPr>
          <w:p w14:paraId="6E6F84F8"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b/>
                <w:color w:val="000000"/>
                <w:sz w:val="16"/>
                <w:szCs w:val="16"/>
              </w:rPr>
              <w:t>31.1 (4)   221</w:t>
            </w:r>
          </w:p>
        </w:tc>
        <w:tc>
          <w:tcPr>
            <w:tcW w:w="365" w:type="pct"/>
            <w:tcBorders>
              <w:top w:val="nil"/>
              <w:left w:val="nil"/>
              <w:bottom w:val="nil"/>
              <w:right w:val="nil"/>
            </w:tcBorders>
            <w:shd w:val="clear" w:color="auto" w:fill="FFFFFF"/>
            <w:tcMar>
              <w:left w:w="67" w:type="dxa"/>
              <w:right w:w="67" w:type="dxa"/>
            </w:tcMar>
          </w:tcPr>
          <w:p w14:paraId="474D1A1A"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b/>
                <w:color w:val="000000"/>
                <w:sz w:val="16"/>
                <w:szCs w:val="16"/>
              </w:rPr>
              <w:t>31.4 (3.8) 148</w:t>
            </w:r>
          </w:p>
        </w:tc>
        <w:tc>
          <w:tcPr>
            <w:tcW w:w="365" w:type="pct"/>
            <w:tcBorders>
              <w:top w:val="nil"/>
              <w:left w:val="nil"/>
              <w:bottom w:val="nil"/>
              <w:right w:val="nil"/>
            </w:tcBorders>
            <w:shd w:val="clear" w:color="auto" w:fill="FFFFFF"/>
            <w:tcMar>
              <w:left w:w="67" w:type="dxa"/>
              <w:right w:w="67" w:type="dxa"/>
            </w:tcMar>
          </w:tcPr>
          <w:p w14:paraId="73EF2298"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b/>
                <w:color w:val="000000"/>
                <w:sz w:val="16"/>
                <w:szCs w:val="16"/>
              </w:rPr>
              <w:t>31.1 (3.9) 206</w:t>
            </w:r>
          </w:p>
        </w:tc>
        <w:tc>
          <w:tcPr>
            <w:tcW w:w="364" w:type="pct"/>
            <w:tcBorders>
              <w:top w:val="nil"/>
              <w:left w:val="nil"/>
              <w:bottom w:val="nil"/>
              <w:right w:val="single" w:sz="4" w:space="0" w:color="auto"/>
            </w:tcBorders>
            <w:shd w:val="clear" w:color="auto" w:fill="FFFFFF"/>
            <w:tcMar>
              <w:left w:w="67" w:type="dxa"/>
              <w:right w:w="67" w:type="dxa"/>
            </w:tcMar>
          </w:tcPr>
          <w:p w14:paraId="380F288A" w14:textId="77777777" w:rsidR="00E07CDE" w:rsidRPr="00CB59EF" w:rsidRDefault="00E07CDE" w:rsidP="00CB59EF">
            <w:pPr>
              <w:spacing w:after="0" w:line="240" w:lineRule="auto"/>
              <w:jc w:val="right"/>
              <w:rPr>
                <w:rFonts w:eastAsia="Times New Roman"/>
                <w:b/>
                <w:color w:val="000000"/>
                <w:sz w:val="16"/>
                <w:szCs w:val="16"/>
              </w:rPr>
            </w:pPr>
            <w:r w:rsidRPr="00CB59EF">
              <w:rPr>
                <w:rFonts w:eastAsia="Times New Roman"/>
                <w:b/>
                <w:color w:val="000000"/>
                <w:sz w:val="16"/>
                <w:szCs w:val="16"/>
              </w:rPr>
              <w:t>31.2 (3.9) 354</w:t>
            </w:r>
          </w:p>
        </w:tc>
      </w:tr>
      <w:tr w:rsidR="00E07CDE" w:rsidRPr="00CB59EF" w14:paraId="03B5D31D" w14:textId="77777777" w:rsidTr="00C163F3">
        <w:trPr>
          <w:cantSplit/>
          <w:jc w:val="center"/>
        </w:trPr>
        <w:tc>
          <w:tcPr>
            <w:tcW w:w="618" w:type="pct"/>
            <w:tcBorders>
              <w:left w:val="single" w:sz="4" w:space="0" w:color="auto"/>
              <w:bottom w:val="nil"/>
              <w:right w:val="nil"/>
            </w:tcBorders>
            <w:shd w:val="clear" w:color="auto" w:fill="FFFFFF"/>
            <w:tcMar>
              <w:left w:w="67" w:type="dxa"/>
              <w:right w:w="67" w:type="dxa"/>
            </w:tcMar>
          </w:tcPr>
          <w:p w14:paraId="7D1D9206" w14:textId="77777777" w:rsidR="00E07CDE" w:rsidRPr="00CB59EF" w:rsidRDefault="00E07CDE" w:rsidP="00CB59EF">
            <w:pPr>
              <w:spacing w:after="0" w:line="240" w:lineRule="auto"/>
              <w:rPr>
                <w:rFonts w:eastAsia="Times New Roman"/>
                <w:color w:val="000000"/>
                <w:sz w:val="16"/>
                <w:szCs w:val="16"/>
              </w:rPr>
            </w:pPr>
            <w:r w:rsidRPr="00CB59EF">
              <w:rPr>
                <w:rFonts w:eastAsia="Times New Roman"/>
                <w:bCs/>
                <w:color w:val="000000"/>
                <w:sz w:val="16"/>
                <w:szCs w:val="16"/>
              </w:rPr>
              <w:t>Median (IQR)</w:t>
            </w:r>
          </w:p>
        </w:tc>
        <w:tc>
          <w:tcPr>
            <w:tcW w:w="365" w:type="pct"/>
            <w:tcBorders>
              <w:top w:val="nil"/>
              <w:left w:val="nil"/>
              <w:bottom w:val="nil"/>
              <w:right w:val="nil"/>
            </w:tcBorders>
            <w:shd w:val="clear" w:color="auto" w:fill="FFFFFF"/>
            <w:tcMar>
              <w:left w:w="67" w:type="dxa"/>
              <w:right w:w="67" w:type="dxa"/>
            </w:tcMar>
          </w:tcPr>
          <w:p w14:paraId="7277D9C0"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31 (29, 34)</w:t>
            </w:r>
          </w:p>
        </w:tc>
        <w:tc>
          <w:tcPr>
            <w:tcW w:w="365" w:type="pct"/>
            <w:tcBorders>
              <w:top w:val="nil"/>
              <w:left w:val="nil"/>
              <w:bottom w:val="nil"/>
              <w:right w:val="nil"/>
            </w:tcBorders>
            <w:shd w:val="clear" w:color="auto" w:fill="FFFFFF"/>
            <w:tcMar>
              <w:left w:w="67" w:type="dxa"/>
              <w:right w:w="67" w:type="dxa"/>
            </w:tcMar>
          </w:tcPr>
          <w:p w14:paraId="7AE99867"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30 (29, 32.6)</w:t>
            </w:r>
          </w:p>
        </w:tc>
        <w:tc>
          <w:tcPr>
            <w:tcW w:w="366" w:type="pct"/>
            <w:tcBorders>
              <w:top w:val="nil"/>
              <w:left w:val="nil"/>
              <w:bottom w:val="nil"/>
              <w:right w:val="nil"/>
            </w:tcBorders>
            <w:shd w:val="clear" w:color="auto" w:fill="FFFFFF"/>
            <w:tcMar>
              <w:left w:w="67" w:type="dxa"/>
              <w:right w:w="67" w:type="dxa"/>
            </w:tcMar>
          </w:tcPr>
          <w:p w14:paraId="6E8898C8"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30 (29, 33)</w:t>
            </w:r>
          </w:p>
        </w:tc>
        <w:tc>
          <w:tcPr>
            <w:tcW w:w="365" w:type="pct"/>
            <w:tcBorders>
              <w:top w:val="nil"/>
              <w:left w:val="nil"/>
              <w:bottom w:val="nil"/>
              <w:right w:val="nil"/>
            </w:tcBorders>
            <w:shd w:val="clear" w:color="auto" w:fill="FFFFFF"/>
            <w:tcMar>
              <w:left w:w="67" w:type="dxa"/>
              <w:right w:w="67" w:type="dxa"/>
            </w:tcMar>
          </w:tcPr>
          <w:p w14:paraId="095A2A1E"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30 (29, 33)</w:t>
            </w:r>
          </w:p>
        </w:tc>
        <w:tc>
          <w:tcPr>
            <w:tcW w:w="365" w:type="pct"/>
            <w:tcBorders>
              <w:top w:val="nil"/>
              <w:left w:val="nil"/>
              <w:bottom w:val="nil"/>
              <w:right w:val="nil"/>
            </w:tcBorders>
            <w:shd w:val="clear" w:color="auto" w:fill="FFFFFF"/>
            <w:tcMar>
              <w:left w:w="67" w:type="dxa"/>
              <w:right w:w="67" w:type="dxa"/>
            </w:tcMar>
          </w:tcPr>
          <w:p w14:paraId="630E854E"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30 (29, 34)</w:t>
            </w:r>
          </w:p>
        </w:tc>
        <w:tc>
          <w:tcPr>
            <w:tcW w:w="366" w:type="pct"/>
            <w:tcBorders>
              <w:top w:val="nil"/>
              <w:left w:val="nil"/>
              <w:bottom w:val="nil"/>
              <w:right w:val="nil"/>
            </w:tcBorders>
            <w:shd w:val="clear" w:color="auto" w:fill="FFFFFF"/>
            <w:tcMar>
              <w:left w:w="67" w:type="dxa"/>
              <w:right w:w="67" w:type="dxa"/>
            </w:tcMar>
          </w:tcPr>
          <w:p w14:paraId="3F1CFB52"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30 (29, 33)</w:t>
            </w:r>
          </w:p>
        </w:tc>
        <w:tc>
          <w:tcPr>
            <w:tcW w:w="365" w:type="pct"/>
            <w:tcBorders>
              <w:top w:val="nil"/>
              <w:left w:val="nil"/>
              <w:bottom w:val="nil"/>
              <w:right w:val="nil"/>
            </w:tcBorders>
            <w:shd w:val="clear" w:color="auto" w:fill="FFFFFF"/>
            <w:tcMar>
              <w:left w:w="67" w:type="dxa"/>
              <w:right w:w="67" w:type="dxa"/>
            </w:tcMar>
          </w:tcPr>
          <w:p w14:paraId="55E2478A"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29 (29, 32)</w:t>
            </w:r>
          </w:p>
        </w:tc>
        <w:tc>
          <w:tcPr>
            <w:tcW w:w="365" w:type="pct"/>
            <w:tcBorders>
              <w:top w:val="nil"/>
              <w:left w:val="nil"/>
              <w:bottom w:val="nil"/>
              <w:right w:val="nil"/>
            </w:tcBorders>
            <w:shd w:val="clear" w:color="auto" w:fill="FFFFFF"/>
            <w:tcMar>
              <w:left w:w="67" w:type="dxa"/>
              <w:right w:w="67" w:type="dxa"/>
            </w:tcMar>
          </w:tcPr>
          <w:p w14:paraId="64DF4F4C"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29 (29, 32)</w:t>
            </w:r>
          </w:p>
        </w:tc>
        <w:tc>
          <w:tcPr>
            <w:tcW w:w="366" w:type="pct"/>
            <w:tcBorders>
              <w:top w:val="nil"/>
              <w:left w:val="nil"/>
              <w:bottom w:val="nil"/>
              <w:right w:val="nil"/>
            </w:tcBorders>
            <w:shd w:val="clear" w:color="auto" w:fill="FFFFFF"/>
            <w:tcMar>
              <w:left w:w="67" w:type="dxa"/>
              <w:right w:w="67" w:type="dxa"/>
            </w:tcMar>
          </w:tcPr>
          <w:p w14:paraId="65F21277"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29 (29, 32)</w:t>
            </w:r>
          </w:p>
        </w:tc>
        <w:tc>
          <w:tcPr>
            <w:tcW w:w="365" w:type="pct"/>
            <w:tcBorders>
              <w:top w:val="nil"/>
              <w:left w:val="nil"/>
              <w:bottom w:val="nil"/>
              <w:right w:val="nil"/>
            </w:tcBorders>
            <w:shd w:val="clear" w:color="auto" w:fill="FFFFFF"/>
            <w:tcMar>
              <w:left w:w="67" w:type="dxa"/>
              <w:right w:w="67" w:type="dxa"/>
            </w:tcMar>
          </w:tcPr>
          <w:p w14:paraId="12BB42BD"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29 (29, 32)</w:t>
            </w:r>
          </w:p>
        </w:tc>
        <w:tc>
          <w:tcPr>
            <w:tcW w:w="365" w:type="pct"/>
            <w:tcBorders>
              <w:top w:val="nil"/>
              <w:left w:val="nil"/>
              <w:bottom w:val="nil"/>
              <w:right w:val="nil"/>
            </w:tcBorders>
            <w:shd w:val="clear" w:color="auto" w:fill="FFFFFF"/>
            <w:tcMar>
              <w:left w:w="67" w:type="dxa"/>
              <w:right w:w="67" w:type="dxa"/>
            </w:tcMar>
          </w:tcPr>
          <w:p w14:paraId="34FC0887"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29 (29, 32)</w:t>
            </w:r>
          </w:p>
        </w:tc>
        <w:tc>
          <w:tcPr>
            <w:tcW w:w="364" w:type="pct"/>
            <w:tcBorders>
              <w:top w:val="nil"/>
              <w:left w:val="nil"/>
              <w:bottom w:val="nil"/>
              <w:right w:val="single" w:sz="4" w:space="0" w:color="auto"/>
            </w:tcBorders>
            <w:shd w:val="clear" w:color="auto" w:fill="FFFFFF"/>
            <w:tcMar>
              <w:left w:w="67" w:type="dxa"/>
              <w:right w:w="67" w:type="dxa"/>
            </w:tcMar>
          </w:tcPr>
          <w:p w14:paraId="43E001E7"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29 (29, 32)</w:t>
            </w:r>
          </w:p>
        </w:tc>
      </w:tr>
      <w:tr w:rsidR="00E07CDE" w:rsidRPr="00CB59EF" w14:paraId="50B970A5" w14:textId="77777777" w:rsidTr="00C163F3">
        <w:trPr>
          <w:cantSplit/>
          <w:jc w:val="center"/>
        </w:trPr>
        <w:tc>
          <w:tcPr>
            <w:tcW w:w="618" w:type="pct"/>
            <w:tcBorders>
              <w:top w:val="nil"/>
              <w:left w:val="single" w:sz="4" w:space="0" w:color="auto"/>
              <w:bottom w:val="nil"/>
              <w:right w:val="nil"/>
            </w:tcBorders>
            <w:shd w:val="clear" w:color="auto" w:fill="FFFFFF"/>
            <w:tcMar>
              <w:left w:w="67" w:type="dxa"/>
              <w:right w:w="67" w:type="dxa"/>
            </w:tcMar>
          </w:tcPr>
          <w:p w14:paraId="7170AAFE" w14:textId="77777777" w:rsidR="00E07CDE" w:rsidRPr="00CB59EF" w:rsidRDefault="00E07CDE" w:rsidP="00CB59EF">
            <w:pPr>
              <w:spacing w:after="0" w:line="240" w:lineRule="auto"/>
              <w:rPr>
                <w:rFonts w:eastAsia="Times New Roman"/>
                <w:b/>
                <w:bCs/>
                <w:color w:val="000000"/>
                <w:sz w:val="16"/>
                <w:szCs w:val="16"/>
              </w:rPr>
            </w:pPr>
            <w:r w:rsidRPr="00CB59EF">
              <w:rPr>
                <w:rFonts w:eastAsia="Times New Roman"/>
                <w:b/>
                <w:bCs/>
                <w:color w:val="000000"/>
                <w:sz w:val="16"/>
                <w:szCs w:val="16"/>
              </w:rPr>
              <w:t>CMAI-O subscales (12:00-17:00):</w:t>
            </w:r>
          </w:p>
        </w:tc>
        <w:tc>
          <w:tcPr>
            <w:tcW w:w="365" w:type="pct"/>
            <w:tcBorders>
              <w:top w:val="nil"/>
              <w:left w:val="nil"/>
              <w:bottom w:val="nil"/>
              <w:right w:val="nil"/>
            </w:tcBorders>
            <w:shd w:val="clear" w:color="auto" w:fill="FFFFFF"/>
            <w:tcMar>
              <w:left w:w="67" w:type="dxa"/>
              <w:right w:w="67" w:type="dxa"/>
            </w:tcMar>
          </w:tcPr>
          <w:p w14:paraId="0A5CB99A"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22490F01" w14:textId="77777777" w:rsidR="00E07CDE" w:rsidRPr="00CB59EF" w:rsidRDefault="00E07CDE" w:rsidP="00CB59EF">
            <w:pPr>
              <w:spacing w:after="0" w:line="240" w:lineRule="auto"/>
              <w:jc w:val="right"/>
              <w:rPr>
                <w:rFonts w:eastAsia="Times New Roman"/>
                <w:color w:val="000000"/>
                <w:sz w:val="16"/>
                <w:szCs w:val="16"/>
              </w:rPr>
            </w:pPr>
          </w:p>
        </w:tc>
        <w:tc>
          <w:tcPr>
            <w:tcW w:w="366" w:type="pct"/>
            <w:tcBorders>
              <w:top w:val="nil"/>
              <w:left w:val="nil"/>
              <w:bottom w:val="nil"/>
              <w:right w:val="nil"/>
            </w:tcBorders>
            <w:shd w:val="clear" w:color="auto" w:fill="FFFFFF"/>
            <w:tcMar>
              <w:left w:w="67" w:type="dxa"/>
              <w:right w:w="67" w:type="dxa"/>
            </w:tcMar>
          </w:tcPr>
          <w:p w14:paraId="67D16CD5"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68490E8E"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55C03BFF" w14:textId="77777777" w:rsidR="00E07CDE" w:rsidRPr="00CB59EF" w:rsidRDefault="00E07CDE" w:rsidP="00CB59EF">
            <w:pPr>
              <w:spacing w:after="0" w:line="240" w:lineRule="auto"/>
              <w:jc w:val="right"/>
              <w:rPr>
                <w:rFonts w:eastAsia="Times New Roman"/>
                <w:color w:val="000000"/>
                <w:sz w:val="16"/>
                <w:szCs w:val="16"/>
              </w:rPr>
            </w:pPr>
          </w:p>
        </w:tc>
        <w:tc>
          <w:tcPr>
            <w:tcW w:w="366" w:type="pct"/>
            <w:tcBorders>
              <w:top w:val="nil"/>
              <w:left w:val="nil"/>
              <w:bottom w:val="nil"/>
              <w:right w:val="nil"/>
            </w:tcBorders>
            <w:shd w:val="clear" w:color="auto" w:fill="FFFFFF"/>
            <w:tcMar>
              <w:left w:w="67" w:type="dxa"/>
              <w:right w:w="67" w:type="dxa"/>
            </w:tcMar>
          </w:tcPr>
          <w:p w14:paraId="4ACA7A61"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54C5C5C9"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42419519" w14:textId="77777777" w:rsidR="00E07CDE" w:rsidRPr="00CB59EF" w:rsidRDefault="00E07CDE" w:rsidP="00CB59EF">
            <w:pPr>
              <w:spacing w:after="0" w:line="240" w:lineRule="auto"/>
              <w:jc w:val="right"/>
              <w:rPr>
                <w:rFonts w:eastAsia="Times New Roman"/>
                <w:color w:val="000000"/>
                <w:sz w:val="16"/>
                <w:szCs w:val="16"/>
              </w:rPr>
            </w:pPr>
          </w:p>
        </w:tc>
        <w:tc>
          <w:tcPr>
            <w:tcW w:w="366" w:type="pct"/>
            <w:tcBorders>
              <w:top w:val="nil"/>
              <w:left w:val="nil"/>
              <w:bottom w:val="nil"/>
              <w:right w:val="nil"/>
            </w:tcBorders>
            <w:shd w:val="clear" w:color="auto" w:fill="FFFFFF"/>
            <w:tcMar>
              <w:left w:w="67" w:type="dxa"/>
              <w:right w:w="67" w:type="dxa"/>
            </w:tcMar>
          </w:tcPr>
          <w:p w14:paraId="6901BB31"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02774236"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3433CB50" w14:textId="77777777" w:rsidR="00E07CDE" w:rsidRPr="00CB59EF" w:rsidRDefault="00E07CDE" w:rsidP="00CB59EF">
            <w:pPr>
              <w:spacing w:after="0" w:line="240" w:lineRule="auto"/>
              <w:jc w:val="right"/>
              <w:rPr>
                <w:rFonts w:eastAsia="Times New Roman"/>
                <w:color w:val="000000"/>
                <w:sz w:val="16"/>
                <w:szCs w:val="16"/>
              </w:rPr>
            </w:pPr>
          </w:p>
        </w:tc>
        <w:tc>
          <w:tcPr>
            <w:tcW w:w="364" w:type="pct"/>
            <w:tcBorders>
              <w:top w:val="nil"/>
              <w:left w:val="nil"/>
              <w:bottom w:val="nil"/>
              <w:right w:val="single" w:sz="4" w:space="0" w:color="auto"/>
            </w:tcBorders>
            <w:shd w:val="clear" w:color="auto" w:fill="FFFFFF"/>
            <w:tcMar>
              <w:left w:w="67" w:type="dxa"/>
              <w:right w:w="67" w:type="dxa"/>
            </w:tcMar>
          </w:tcPr>
          <w:p w14:paraId="420B90A9" w14:textId="77777777" w:rsidR="00E07CDE" w:rsidRPr="00CB59EF" w:rsidRDefault="00E07CDE" w:rsidP="00CB59EF">
            <w:pPr>
              <w:spacing w:after="0" w:line="240" w:lineRule="auto"/>
              <w:jc w:val="right"/>
              <w:rPr>
                <w:rFonts w:eastAsia="Times New Roman"/>
                <w:color w:val="000000"/>
                <w:sz w:val="16"/>
                <w:szCs w:val="16"/>
              </w:rPr>
            </w:pPr>
          </w:p>
        </w:tc>
      </w:tr>
      <w:tr w:rsidR="00E07CDE" w:rsidRPr="00CB59EF" w14:paraId="1BDC36AC" w14:textId="77777777" w:rsidTr="00C163F3">
        <w:trPr>
          <w:cantSplit/>
          <w:jc w:val="center"/>
        </w:trPr>
        <w:tc>
          <w:tcPr>
            <w:tcW w:w="618" w:type="pct"/>
            <w:tcBorders>
              <w:top w:val="nil"/>
              <w:left w:val="single" w:sz="4" w:space="0" w:color="auto"/>
              <w:right w:val="nil"/>
            </w:tcBorders>
            <w:shd w:val="clear" w:color="auto" w:fill="FFFFFF"/>
            <w:tcMar>
              <w:left w:w="67" w:type="dxa"/>
              <w:right w:w="67" w:type="dxa"/>
            </w:tcMar>
          </w:tcPr>
          <w:p w14:paraId="75234E31" w14:textId="77777777" w:rsidR="00E07CDE" w:rsidRPr="00CB59EF" w:rsidRDefault="00E07CDE" w:rsidP="00CB59EF">
            <w:pPr>
              <w:spacing w:after="0" w:line="240" w:lineRule="auto"/>
              <w:rPr>
                <w:rFonts w:eastAsia="Times New Roman"/>
                <w:color w:val="000000"/>
                <w:sz w:val="16"/>
                <w:szCs w:val="16"/>
              </w:rPr>
            </w:pPr>
            <w:r w:rsidRPr="00CB59EF">
              <w:rPr>
                <w:rFonts w:eastAsia="Times New Roman"/>
                <w:color w:val="000000"/>
                <w:sz w:val="16"/>
                <w:szCs w:val="16"/>
              </w:rPr>
              <w:t>Verbally agitated</w:t>
            </w:r>
          </w:p>
        </w:tc>
        <w:tc>
          <w:tcPr>
            <w:tcW w:w="365" w:type="pct"/>
            <w:tcBorders>
              <w:top w:val="nil"/>
              <w:left w:val="nil"/>
              <w:bottom w:val="nil"/>
              <w:right w:val="nil"/>
            </w:tcBorders>
            <w:shd w:val="clear" w:color="auto" w:fill="FFFFFF"/>
            <w:tcMar>
              <w:left w:w="67" w:type="dxa"/>
              <w:right w:w="67" w:type="dxa"/>
            </w:tcMar>
          </w:tcPr>
          <w:p w14:paraId="667BAF5A"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5.6 (1.4)  198</w:t>
            </w:r>
          </w:p>
        </w:tc>
        <w:tc>
          <w:tcPr>
            <w:tcW w:w="365" w:type="pct"/>
            <w:tcBorders>
              <w:top w:val="nil"/>
              <w:left w:val="nil"/>
              <w:bottom w:val="nil"/>
              <w:right w:val="nil"/>
            </w:tcBorders>
            <w:shd w:val="clear" w:color="auto" w:fill="FFFFFF"/>
            <w:tcMar>
              <w:left w:w="67" w:type="dxa"/>
              <w:right w:w="67" w:type="dxa"/>
            </w:tcMar>
          </w:tcPr>
          <w:p w14:paraId="3202EBC9"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5.6 (1.6)   272</w:t>
            </w:r>
          </w:p>
        </w:tc>
        <w:tc>
          <w:tcPr>
            <w:tcW w:w="366" w:type="pct"/>
            <w:tcBorders>
              <w:top w:val="nil"/>
              <w:left w:val="nil"/>
              <w:bottom w:val="nil"/>
              <w:right w:val="nil"/>
            </w:tcBorders>
            <w:shd w:val="clear" w:color="auto" w:fill="FFFFFF"/>
            <w:tcMar>
              <w:left w:w="67" w:type="dxa"/>
              <w:right w:w="67" w:type="dxa"/>
            </w:tcMar>
          </w:tcPr>
          <w:p w14:paraId="351C3A90"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5.6 (1.6)   470</w:t>
            </w:r>
          </w:p>
        </w:tc>
        <w:tc>
          <w:tcPr>
            <w:tcW w:w="365" w:type="pct"/>
            <w:tcBorders>
              <w:top w:val="nil"/>
              <w:left w:val="nil"/>
              <w:bottom w:val="nil"/>
              <w:right w:val="nil"/>
            </w:tcBorders>
            <w:shd w:val="clear" w:color="auto" w:fill="FFFFFF"/>
            <w:tcMar>
              <w:left w:w="67" w:type="dxa"/>
              <w:right w:w="67" w:type="dxa"/>
            </w:tcMar>
          </w:tcPr>
          <w:p w14:paraId="16FF772A"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5.8 (1.7)   151</w:t>
            </w:r>
          </w:p>
        </w:tc>
        <w:tc>
          <w:tcPr>
            <w:tcW w:w="365" w:type="pct"/>
            <w:tcBorders>
              <w:top w:val="nil"/>
              <w:left w:val="nil"/>
              <w:bottom w:val="nil"/>
              <w:right w:val="nil"/>
            </w:tcBorders>
            <w:shd w:val="clear" w:color="auto" w:fill="FFFFFF"/>
            <w:tcMar>
              <w:left w:w="67" w:type="dxa"/>
              <w:right w:w="67" w:type="dxa"/>
            </w:tcMar>
          </w:tcPr>
          <w:p w14:paraId="618B395B"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5.8 (1.9)  206</w:t>
            </w:r>
          </w:p>
        </w:tc>
        <w:tc>
          <w:tcPr>
            <w:tcW w:w="366" w:type="pct"/>
            <w:tcBorders>
              <w:top w:val="nil"/>
              <w:left w:val="nil"/>
              <w:bottom w:val="nil"/>
              <w:right w:val="nil"/>
            </w:tcBorders>
            <w:shd w:val="clear" w:color="auto" w:fill="FFFFFF"/>
            <w:tcMar>
              <w:left w:w="67" w:type="dxa"/>
              <w:right w:w="67" w:type="dxa"/>
            </w:tcMar>
          </w:tcPr>
          <w:p w14:paraId="3524539E"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5.8 (1.8)  357</w:t>
            </w:r>
          </w:p>
        </w:tc>
        <w:tc>
          <w:tcPr>
            <w:tcW w:w="365" w:type="pct"/>
            <w:tcBorders>
              <w:top w:val="nil"/>
              <w:left w:val="nil"/>
              <w:bottom w:val="nil"/>
              <w:right w:val="nil"/>
            </w:tcBorders>
            <w:shd w:val="clear" w:color="auto" w:fill="FFFFFF"/>
            <w:tcMar>
              <w:left w:w="67" w:type="dxa"/>
              <w:right w:w="67" w:type="dxa"/>
            </w:tcMar>
          </w:tcPr>
          <w:p w14:paraId="4DA89C08"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5.8 (2)        97</w:t>
            </w:r>
          </w:p>
        </w:tc>
        <w:tc>
          <w:tcPr>
            <w:tcW w:w="365" w:type="pct"/>
            <w:tcBorders>
              <w:top w:val="nil"/>
              <w:left w:val="nil"/>
              <w:bottom w:val="nil"/>
              <w:right w:val="nil"/>
            </w:tcBorders>
            <w:shd w:val="clear" w:color="auto" w:fill="FFFFFF"/>
            <w:tcMar>
              <w:left w:w="67" w:type="dxa"/>
              <w:right w:w="67" w:type="dxa"/>
            </w:tcMar>
          </w:tcPr>
          <w:p w14:paraId="5876AB42"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5.5 (1.5)  124</w:t>
            </w:r>
          </w:p>
        </w:tc>
        <w:tc>
          <w:tcPr>
            <w:tcW w:w="366" w:type="pct"/>
            <w:tcBorders>
              <w:top w:val="nil"/>
              <w:left w:val="nil"/>
              <w:bottom w:val="nil"/>
              <w:right w:val="nil"/>
            </w:tcBorders>
            <w:shd w:val="clear" w:color="auto" w:fill="FFFFFF"/>
            <w:tcMar>
              <w:left w:w="67" w:type="dxa"/>
              <w:right w:w="67" w:type="dxa"/>
            </w:tcMar>
          </w:tcPr>
          <w:p w14:paraId="5B94E056"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5.6 (1.7)  221</w:t>
            </w:r>
          </w:p>
        </w:tc>
        <w:tc>
          <w:tcPr>
            <w:tcW w:w="365" w:type="pct"/>
            <w:tcBorders>
              <w:top w:val="nil"/>
              <w:left w:val="nil"/>
              <w:bottom w:val="nil"/>
              <w:right w:val="nil"/>
            </w:tcBorders>
            <w:shd w:val="clear" w:color="auto" w:fill="FFFFFF"/>
            <w:tcMar>
              <w:left w:w="67" w:type="dxa"/>
              <w:right w:w="67" w:type="dxa"/>
            </w:tcMar>
          </w:tcPr>
          <w:p w14:paraId="796F2984"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5.8 (1.9)   148</w:t>
            </w:r>
          </w:p>
        </w:tc>
        <w:tc>
          <w:tcPr>
            <w:tcW w:w="365" w:type="pct"/>
            <w:tcBorders>
              <w:top w:val="nil"/>
              <w:left w:val="nil"/>
              <w:bottom w:val="nil"/>
              <w:right w:val="nil"/>
            </w:tcBorders>
            <w:shd w:val="clear" w:color="auto" w:fill="FFFFFF"/>
            <w:tcMar>
              <w:left w:w="67" w:type="dxa"/>
              <w:right w:w="67" w:type="dxa"/>
            </w:tcMar>
          </w:tcPr>
          <w:p w14:paraId="3898AAD5"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5.7 (1.7)   206</w:t>
            </w:r>
          </w:p>
        </w:tc>
        <w:tc>
          <w:tcPr>
            <w:tcW w:w="364" w:type="pct"/>
            <w:tcBorders>
              <w:top w:val="nil"/>
              <w:left w:val="nil"/>
              <w:bottom w:val="nil"/>
              <w:right w:val="single" w:sz="4" w:space="0" w:color="auto"/>
            </w:tcBorders>
            <w:shd w:val="clear" w:color="auto" w:fill="FFFFFF"/>
            <w:tcMar>
              <w:left w:w="67" w:type="dxa"/>
              <w:right w:w="67" w:type="dxa"/>
            </w:tcMar>
          </w:tcPr>
          <w:p w14:paraId="53DE8D36"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5.7 (1.8)    354</w:t>
            </w:r>
          </w:p>
        </w:tc>
      </w:tr>
      <w:tr w:rsidR="00E07CDE" w:rsidRPr="00CB59EF" w14:paraId="2A2D8EC9" w14:textId="77777777" w:rsidTr="00C163F3">
        <w:trPr>
          <w:cantSplit/>
          <w:jc w:val="center"/>
        </w:trPr>
        <w:tc>
          <w:tcPr>
            <w:tcW w:w="618" w:type="pct"/>
            <w:tcBorders>
              <w:top w:val="nil"/>
              <w:left w:val="single" w:sz="4" w:space="0" w:color="auto"/>
              <w:right w:val="nil"/>
            </w:tcBorders>
            <w:shd w:val="clear" w:color="auto" w:fill="FFFFFF"/>
            <w:tcMar>
              <w:left w:w="67" w:type="dxa"/>
              <w:right w:w="67" w:type="dxa"/>
            </w:tcMar>
          </w:tcPr>
          <w:p w14:paraId="6A2A2718" w14:textId="77777777" w:rsidR="00E07CDE" w:rsidRPr="00CB59EF" w:rsidRDefault="00E07CDE" w:rsidP="00CB59EF">
            <w:pPr>
              <w:spacing w:after="0" w:line="240" w:lineRule="auto"/>
              <w:rPr>
                <w:rFonts w:eastAsia="Times New Roman"/>
                <w:color w:val="000000"/>
                <w:sz w:val="16"/>
                <w:szCs w:val="16"/>
              </w:rPr>
            </w:pPr>
            <w:r w:rsidRPr="00CB59EF">
              <w:rPr>
                <w:rFonts w:eastAsia="Times New Roman"/>
                <w:color w:val="000000"/>
                <w:sz w:val="16"/>
                <w:szCs w:val="16"/>
              </w:rPr>
              <w:t>Physically non-aggressive</w:t>
            </w:r>
          </w:p>
        </w:tc>
        <w:tc>
          <w:tcPr>
            <w:tcW w:w="365" w:type="pct"/>
            <w:tcBorders>
              <w:top w:val="nil"/>
              <w:left w:val="nil"/>
              <w:bottom w:val="nil"/>
              <w:right w:val="nil"/>
            </w:tcBorders>
            <w:shd w:val="clear" w:color="auto" w:fill="FFFFFF"/>
            <w:tcMar>
              <w:left w:w="67" w:type="dxa"/>
              <w:right w:w="67" w:type="dxa"/>
            </w:tcMar>
          </w:tcPr>
          <w:p w14:paraId="6E2AAFEA"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7.6 (2.1)   198</w:t>
            </w:r>
          </w:p>
        </w:tc>
        <w:tc>
          <w:tcPr>
            <w:tcW w:w="365" w:type="pct"/>
            <w:tcBorders>
              <w:top w:val="nil"/>
              <w:left w:val="nil"/>
              <w:bottom w:val="nil"/>
              <w:right w:val="nil"/>
            </w:tcBorders>
            <w:shd w:val="clear" w:color="auto" w:fill="FFFFFF"/>
            <w:tcMar>
              <w:left w:w="67" w:type="dxa"/>
              <w:right w:w="67" w:type="dxa"/>
            </w:tcMar>
          </w:tcPr>
          <w:p w14:paraId="76AB88EF"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7.3 (2)      272</w:t>
            </w:r>
          </w:p>
        </w:tc>
        <w:tc>
          <w:tcPr>
            <w:tcW w:w="366" w:type="pct"/>
            <w:tcBorders>
              <w:top w:val="nil"/>
              <w:left w:val="nil"/>
              <w:bottom w:val="nil"/>
              <w:right w:val="nil"/>
            </w:tcBorders>
            <w:shd w:val="clear" w:color="auto" w:fill="FFFFFF"/>
            <w:tcMar>
              <w:left w:w="67" w:type="dxa"/>
              <w:right w:w="67" w:type="dxa"/>
            </w:tcMar>
          </w:tcPr>
          <w:p w14:paraId="2DB12C71"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7.4 (2)      470</w:t>
            </w:r>
          </w:p>
        </w:tc>
        <w:tc>
          <w:tcPr>
            <w:tcW w:w="365" w:type="pct"/>
            <w:tcBorders>
              <w:top w:val="nil"/>
              <w:left w:val="nil"/>
              <w:bottom w:val="nil"/>
              <w:right w:val="nil"/>
            </w:tcBorders>
            <w:shd w:val="clear" w:color="auto" w:fill="FFFFFF"/>
            <w:tcMar>
              <w:left w:w="67" w:type="dxa"/>
              <w:right w:w="67" w:type="dxa"/>
            </w:tcMar>
          </w:tcPr>
          <w:p w14:paraId="0102A905"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7.1 (2)     151</w:t>
            </w:r>
          </w:p>
        </w:tc>
        <w:tc>
          <w:tcPr>
            <w:tcW w:w="365" w:type="pct"/>
            <w:tcBorders>
              <w:top w:val="nil"/>
              <w:left w:val="nil"/>
              <w:bottom w:val="nil"/>
              <w:right w:val="nil"/>
            </w:tcBorders>
            <w:shd w:val="clear" w:color="auto" w:fill="FFFFFF"/>
            <w:tcMar>
              <w:left w:w="67" w:type="dxa"/>
              <w:right w:w="67" w:type="dxa"/>
            </w:tcMar>
          </w:tcPr>
          <w:p w14:paraId="5E1AE09C"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7.4 (2)     206</w:t>
            </w:r>
          </w:p>
        </w:tc>
        <w:tc>
          <w:tcPr>
            <w:tcW w:w="366" w:type="pct"/>
            <w:tcBorders>
              <w:top w:val="nil"/>
              <w:left w:val="nil"/>
              <w:bottom w:val="nil"/>
              <w:right w:val="nil"/>
            </w:tcBorders>
            <w:shd w:val="clear" w:color="auto" w:fill="FFFFFF"/>
            <w:tcMar>
              <w:left w:w="67" w:type="dxa"/>
              <w:right w:w="67" w:type="dxa"/>
            </w:tcMar>
          </w:tcPr>
          <w:p w14:paraId="48279890"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7.3 (2)     357</w:t>
            </w:r>
          </w:p>
        </w:tc>
        <w:tc>
          <w:tcPr>
            <w:tcW w:w="365" w:type="pct"/>
            <w:tcBorders>
              <w:top w:val="nil"/>
              <w:left w:val="nil"/>
              <w:bottom w:val="nil"/>
              <w:right w:val="nil"/>
            </w:tcBorders>
            <w:shd w:val="clear" w:color="auto" w:fill="FFFFFF"/>
            <w:tcMar>
              <w:left w:w="67" w:type="dxa"/>
              <w:right w:w="67" w:type="dxa"/>
            </w:tcMar>
          </w:tcPr>
          <w:p w14:paraId="3214B417"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6.8 (1.5)    97</w:t>
            </w:r>
          </w:p>
        </w:tc>
        <w:tc>
          <w:tcPr>
            <w:tcW w:w="365" w:type="pct"/>
            <w:tcBorders>
              <w:top w:val="nil"/>
              <w:left w:val="nil"/>
              <w:bottom w:val="nil"/>
              <w:right w:val="nil"/>
            </w:tcBorders>
            <w:shd w:val="clear" w:color="auto" w:fill="FFFFFF"/>
            <w:tcMar>
              <w:left w:w="67" w:type="dxa"/>
              <w:right w:w="67" w:type="dxa"/>
            </w:tcMar>
          </w:tcPr>
          <w:p w14:paraId="5F4D9FC9"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6.7 (1.9)   124</w:t>
            </w:r>
          </w:p>
        </w:tc>
        <w:tc>
          <w:tcPr>
            <w:tcW w:w="366" w:type="pct"/>
            <w:tcBorders>
              <w:top w:val="nil"/>
              <w:left w:val="nil"/>
              <w:bottom w:val="nil"/>
              <w:right w:val="nil"/>
            </w:tcBorders>
            <w:shd w:val="clear" w:color="auto" w:fill="FFFFFF"/>
            <w:tcMar>
              <w:left w:w="67" w:type="dxa"/>
              <w:right w:w="67" w:type="dxa"/>
            </w:tcMar>
          </w:tcPr>
          <w:p w14:paraId="3FF7BC29"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6.8 (1.8)   221</w:t>
            </w:r>
          </w:p>
        </w:tc>
        <w:tc>
          <w:tcPr>
            <w:tcW w:w="365" w:type="pct"/>
            <w:tcBorders>
              <w:top w:val="nil"/>
              <w:left w:val="nil"/>
              <w:bottom w:val="nil"/>
              <w:right w:val="nil"/>
            </w:tcBorders>
            <w:shd w:val="clear" w:color="auto" w:fill="FFFFFF"/>
            <w:tcMar>
              <w:left w:w="67" w:type="dxa"/>
              <w:right w:w="67" w:type="dxa"/>
            </w:tcMar>
          </w:tcPr>
          <w:p w14:paraId="1DFA3814"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6.9 (1.5)   148</w:t>
            </w:r>
          </w:p>
        </w:tc>
        <w:tc>
          <w:tcPr>
            <w:tcW w:w="365" w:type="pct"/>
            <w:tcBorders>
              <w:top w:val="nil"/>
              <w:left w:val="nil"/>
              <w:bottom w:val="nil"/>
              <w:right w:val="nil"/>
            </w:tcBorders>
            <w:shd w:val="clear" w:color="auto" w:fill="FFFFFF"/>
            <w:tcMar>
              <w:left w:w="67" w:type="dxa"/>
              <w:right w:w="67" w:type="dxa"/>
            </w:tcMar>
          </w:tcPr>
          <w:p w14:paraId="2346202C"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6.8 (1.9)   206</w:t>
            </w:r>
          </w:p>
        </w:tc>
        <w:tc>
          <w:tcPr>
            <w:tcW w:w="364" w:type="pct"/>
            <w:tcBorders>
              <w:top w:val="nil"/>
              <w:left w:val="nil"/>
              <w:bottom w:val="nil"/>
              <w:right w:val="single" w:sz="4" w:space="0" w:color="auto"/>
            </w:tcBorders>
            <w:shd w:val="clear" w:color="auto" w:fill="FFFFFF"/>
            <w:tcMar>
              <w:left w:w="67" w:type="dxa"/>
              <w:right w:w="67" w:type="dxa"/>
            </w:tcMar>
          </w:tcPr>
          <w:p w14:paraId="544D07B5"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6.9 (1.8)    354</w:t>
            </w:r>
          </w:p>
        </w:tc>
      </w:tr>
      <w:tr w:rsidR="00E07CDE" w:rsidRPr="00CB59EF" w14:paraId="51833FD5" w14:textId="77777777" w:rsidTr="00C163F3">
        <w:trPr>
          <w:cantSplit/>
          <w:jc w:val="center"/>
        </w:trPr>
        <w:tc>
          <w:tcPr>
            <w:tcW w:w="618" w:type="pct"/>
            <w:tcBorders>
              <w:top w:val="nil"/>
              <w:left w:val="single" w:sz="4" w:space="0" w:color="auto"/>
              <w:bottom w:val="nil"/>
              <w:right w:val="nil"/>
            </w:tcBorders>
            <w:shd w:val="clear" w:color="auto" w:fill="FFFFFF"/>
            <w:tcMar>
              <w:left w:w="67" w:type="dxa"/>
              <w:right w:w="67" w:type="dxa"/>
            </w:tcMar>
          </w:tcPr>
          <w:p w14:paraId="30CB7B4E" w14:textId="77777777" w:rsidR="00E07CDE" w:rsidRPr="00CB59EF" w:rsidRDefault="00E07CDE" w:rsidP="00CB59EF">
            <w:pPr>
              <w:spacing w:after="0" w:line="240" w:lineRule="auto"/>
              <w:rPr>
                <w:rFonts w:eastAsia="Times New Roman"/>
                <w:color w:val="000000"/>
                <w:sz w:val="16"/>
                <w:szCs w:val="16"/>
              </w:rPr>
            </w:pPr>
            <w:r w:rsidRPr="00CB59EF">
              <w:rPr>
                <w:rFonts w:eastAsia="Times New Roman"/>
                <w:color w:val="000000"/>
                <w:sz w:val="16"/>
                <w:szCs w:val="16"/>
              </w:rPr>
              <w:t>Other</w:t>
            </w:r>
          </w:p>
        </w:tc>
        <w:tc>
          <w:tcPr>
            <w:tcW w:w="365" w:type="pct"/>
            <w:tcBorders>
              <w:top w:val="nil"/>
              <w:left w:val="nil"/>
              <w:bottom w:val="nil"/>
              <w:right w:val="nil"/>
            </w:tcBorders>
            <w:shd w:val="clear" w:color="auto" w:fill="FFFFFF"/>
            <w:tcMar>
              <w:left w:w="67" w:type="dxa"/>
              <w:right w:w="67" w:type="dxa"/>
            </w:tcMar>
          </w:tcPr>
          <w:p w14:paraId="0946215A"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9.4 (1.1)   198</w:t>
            </w:r>
          </w:p>
        </w:tc>
        <w:tc>
          <w:tcPr>
            <w:tcW w:w="365" w:type="pct"/>
            <w:tcBorders>
              <w:top w:val="nil"/>
              <w:left w:val="nil"/>
              <w:bottom w:val="nil"/>
              <w:right w:val="nil"/>
            </w:tcBorders>
            <w:shd w:val="clear" w:color="auto" w:fill="FFFFFF"/>
            <w:tcMar>
              <w:left w:w="67" w:type="dxa"/>
              <w:right w:w="67" w:type="dxa"/>
            </w:tcMar>
          </w:tcPr>
          <w:p w14:paraId="627A2E25"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(0.8)   272</w:t>
            </w:r>
          </w:p>
        </w:tc>
        <w:tc>
          <w:tcPr>
            <w:tcW w:w="366" w:type="pct"/>
            <w:tcBorders>
              <w:top w:val="nil"/>
              <w:left w:val="nil"/>
              <w:bottom w:val="nil"/>
              <w:right w:val="nil"/>
            </w:tcBorders>
            <w:shd w:val="clear" w:color="auto" w:fill="FFFFFF"/>
            <w:tcMar>
              <w:left w:w="67" w:type="dxa"/>
              <w:right w:w="67" w:type="dxa"/>
            </w:tcMar>
          </w:tcPr>
          <w:p w14:paraId="044920FB"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(0.9)  470</w:t>
            </w:r>
          </w:p>
        </w:tc>
        <w:tc>
          <w:tcPr>
            <w:tcW w:w="365" w:type="pct"/>
            <w:tcBorders>
              <w:top w:val="nil"/>
              <w:left w:val="nil"/>
              <w:bottom w:val="nil"/>
              <w:right w:val="nil"/>
            </w:tcBorders>
            <w:shd w:val="clear" w:color="auto" w:fill="FFFFFF"/>
            <w:tcMar>
              <w:left w:w="67" w:type="dxa"/>
              <w:right w:w="67" w:type="dxa"/>
            </w:tcMar>
          </w:tcPr>
          <w:p w14:paraId="0482E101"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9.4 (1)      151</w:t>
            </w:r>
          </w:p>
        </w:tc>
        <w:tc>
          <w:tcPr>
            <w:tcW w:w="365" w:type="pct"/>
            <w:tcBorders>
              <w:top w:val="nil"/>
              <w:left w:val="nil"/>
              <w:bottom w:val="nil"/>
              <w:right w:val="nil"/>
            </w:tcBorders>
            <w:shd w:val="clear" w:color="auto" w:fill="FFFFFF"/>
            <w:tcMar>
              <w:left w:w="67" w:type="dxa"/>
              <w:right w:w="67" w:type="dxa"/>
            </w:tcMar>
          </w:tcPr>
          <w:p w14:paraId="2BFE9019"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9.5 (1.1)   206</w:t>
            </w:r>
          </w:p>
        </w:tc>
        <w:tc>
          <w:tcPr>
            <w:tcW w:w="366" w:type="pct"/>
            <w:tcBorders>
              <w:top w:val="nil"/>
              <w:left w:val="nil"/>
              <w:bottom w:val="nil"/>
              <w:right w:val="nil"/>
            </w:tcBorders>
            <w:shd w:val="clear" w:color="auto" w:fill="FFFFFF"/>
            <w:tcMar>
              <w:left w:w="67" w:type="dxa"/>
              <w:right w:w="67" w:type="dxa"/>
            </w:tcMar>
          </w:tcPr>
          <w:p w14:paraId="5FEAD36A"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9.5 (1.1)   357</w:t>
            </w:r>
          </w:p>
        </w:tc>
        <w:tc>
          <w:tcPr>
            <w:tcW w:w="365" w:type="pct"/>
            <w:tcBorders>
              <w:top w:val="nil"/>
              <w:left w:val="nil"/>
              <w:bottom w:val="nil"/>
              <w:right w:val="nil"/>
            </w:tcBorders>
            <w:shd w:val="clear" w:color="auto" w:fill="FFFFFF"/>
            <w:tcMar>
              <w:left w:w="67" w:type="dxa"/>
              <w:right w:w="67" w:type="dxa"/>
            </w:tcMar>
          </w:tcPr>
          <w:p w14:paraId="4EBD7C86"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9.4 (1)        97</w:t>
            </w:r>
          </w:p>
        </w:tc>
        <w:tc>
          <w:tcPr>
            <w:tcW w:w="365" w:type="pct"/>
            <w:tcBorders>
              <w:top w:val="nil"/>
              <w:left w:val="nil"/>
              <w:bottom w:val="nil"/>
              <w:right w:val="nil"/>
            </w:tcBorders>
            <w:shd w:val="clear" w:color="auto" w:fill="FFFFFF"/>
            <w:tcMar>
              <w:left w:w="67" w:type="dxa"/>
              <w:right w:w="67" w:type="dxa"/>
            </w:tcMar>
          </w:tcPr>
          <w:p w14:paraId="565EF38D"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(1)      124</w:t>
            </w:r>
          </w:p>
        </w:tc>
        <w:tc>
          <w:tcPr>
            <w:tcW w:w="366" w:type="pct"/>
            <w:tcBorders>
              <w:top w:val="nil"/>
              <w:left w:val="nil"/>
              <w:bottom w:val="nil"/>
              <w:right w:val="nil"/>
            </w:tcBorders>
            <w:shd w:val="clear" w:color="auto" w:fill="FFFFFF"/>
            <w:tcMar>
              <w:left w:w="67" w:type="dxa"/>
              <w:right w:w="67" w:type="dxa"/>
            </w:tcMar>
          </w:tcPr>
          <w:p w14:paraId="13B23E05"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9.4 (1)      221</w:t>
            </w:r>
          </w:p>
        </w:tc>
        <w:tc>
          <w:tcPr>
            <w:tcW w:w="365" w:type="pct"/>
            <w:tcBorders>
              <w:top w:val="nil"/>
              <w:left w:val="nil"/>
              <w:bottom w:val="nil"/>
              <w:right w:val="nil"/>
            </w:tcBorders>
            <w:shd w:val="clear" w:color="auto" w:fill="FFFFFF"/>
            <w:tcMar>
              <w:left w:w="67" w:type="dxa"/>
              <w:right w:w="67" w:type="dxa"/>
            </w:tcMar>
          </w:tcPr>
          <w:p w14:paraId="3801F878"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(0.9)  148</w:t>
            </w:r>
          </w:p>
        </w:tc>
        <w:tc>
          <w:tcPr>
            <w:tcW w:w="365" w:type="pct"/>
            <w:tcBorders>
              <w:top w:val="nil"/>
              <w:left w:val="nil"/>
              <w:bottom w:val="nil"/>
              <w:right w:val="nil"/>
            </w:tcBorders>
            <w:shd w:val="clear" w:color="auto" w:fill="FFFFFF"/>
            <w:tcMar>
              <w:left w:w="67" w:type="dxa"/>
              <w:right w:w="67" w:type="dxa"/>
            </w:tcMar>
          </w:tcPr>
          <w:p w14:paraId="3EA5E557"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(0.9)   206</w:t>
            </w:r>
          </w:p>
        </w:tc>
        <w:tc>
          <w:tcPr>
            <w:tcW w:w="364" w:type="pct"/>
            <w:tcBorders>
              <w:top w:val="nil"/>
              <w:left w:val="nil"/>
              <w:bottom w:val="nil"/>
              <w:right w:val="single" w:sz="4" w:space="0" w:color="auto"/>
            </w:tcBorders>
            <w:shd w:val="clear" w:color="auto" w:fill="FFFFFF"/>
            <w:tcMar>
              <w:left w:w="67" w:type="dxa"/>
              <w:right w:w="67" w:type="dxa"/>
            </w:tcMar>
          </w:tcPr>
          <w:p w14:paraId="7D5C1AF6"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(0.9)   354</w:t>
            </w:r>
          </w:p>
        </w:tc>
      </w:tr>
      <w:tr w:rsidR="00E07CDE" w:rsidRPr="00CB59EF" w14:paraId="6A3FE842" w14:textId="77777777" w:rsidTr="00C163F3">
        <w:trPr>
          <w:cantSplit/>
          <w:jc w:val="center"/>
        </w:trPr>
        <w:tc>
          <w:tcPr>
            <w:tcW w:w="618" w:type="pct"/>
            <w:tcBorders>
              <w:top w:val="nil"/>
              <w:left w:val="single" w:sz="4" w:space="0" w:color="auto"/>
              <w:bottom w:val="nil"/>
              <w:right w:val="nil"/>
            </w:tcBorders>
            <w:shd w:val="clear" w:color="auto" w:fill="FFFFFF"/>
            <w:tcMar>
              <w:left w:w="67" w:type="dxa"/>
              <w:right w:w="67" w:type="dxa"/>
            </w:tcMar>
          </w:tcPr>
          <w:p w14:paraId="3334C0F2" w14:textId="77777777" w:rsidR="00E07CDE" w:rsidRPr="00CB59EF" w:rsidRDefault="00E07CDE" w:rsidP="00CB59EF">
            <w:pPr>
              <w:spacing w:after="0" w:line="240" w:lineRule="auto"/>
              <w:rPr>
                <w:rFonts w:eastAsia="Times New Roman"/>
                <w:color w:val="000000"/>
                <w:sz w:val="16"/>
                <w:szCs w:val="16"/>
              </w:rPr>
            </w:pPr>
            <w:r w:rsidRPr="00CB59EF">
              <w:rPr>
                <w:rFonts w:eastAsia="Times New Roman"/>
                <w:color w:val="000000"/>
                <w:sz w:val="16"/>
                <w:szCs w:val="16"/>
              </w:rPr>
              <w:t>Aggressive behaviour</w:t>
            </w:r>
          </w:p>
        </w:tc>
        <w:tc>
          <w:tcPr>
            <w:tcW w:w="365" w:type="pct"/>
            <w:tcBorders>
              <w:top w:val="nil"/>
              <w:left w:val="nil"/>
              <w:bottom w:val="nil"/>
              <w:right w:val="nil"/>
            </w:tcBorders>
            <w:shd w:val="clear" w:color="auto" w:fill="FFFFFF"/>
            <w:tcMar>
              <w:left w:w="67" w:type="dxa"/>
              <w:right w:w="67" w:type="dxa"/>
            </w:tcMar>
          </w:tcPr>
          <w:p w14:paraId="09DAD357"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9.4 (1.1)   198</w:t>
            </w:r>
          </w:p>
        </w:tc>
        <w:tc>
          <w:tcPr>
            <w:tcW w:w="365" w:type="pct"/>
            <w:tcBorders>
              <w:top w:val="nil"/>
              <w:left w:val="nil"/>
              <w:bottom w:val="nil"/>
              <w:right w:val="nil"/>
            </w:tcBorders>
            <w:shd w:val="clear" w:color="auto" w:fill="FFFFFF"/>
            <w:tcMar>
              <w:left w:w="67" w:type="dxa"/>
              <w:right w:w="67" w:type="dxa"/>
            </w:tcMar>
          </w:tcPr>
          <w:p w14:paraId="2AEA78C3"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(1)      272</w:t>
            </w:r>
          </w:p>
        </w:tc>
        <w:tc>
          <w:tcPr>
            <w:tcW w:w="366" w:type="pct"/>
            <w:tcBorders>
              <w:top w:val="nil"/>
              <w:left w:val="nil"/>
              <w:bottom w:val="nil"/>
              <w:right w:val="nil"/>
            </w:tcBorders>
            <w:shd w:val="clear" w:color="auto" w:fill="FFFFFF"/>
            <w:tcMar>
              <w:left w:w="67" w:type="dxa"/>
              <w:right w:w="67" w:type="dxa"/>
            </w:tcMar>
          </w:tcPr>
          <w:p w14:paraId="0027A79C"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(1.1)   470</w:t>
            </w:r>
          </w:p>
        </w:tc>
        <w:tc>
          <w:tcPr>
            <w:tcW w:w="365" w:type="pct"/>
            <w:tcBorders>
              <w:top w:val="nil"/>
              <w:left w:val="nil"/>
              <w:bottom w:val="nil"/>
              <w:right w:val="nil"/>
            </w:tcBorders>
            <w:shd w:val="clear" w:color="auto" w:fill="FFFFFF"/>
            <w:tcMar>
              <w:left w:w="67" w:type="dxa"/>
              <w:right w:w="67" w:type="dxa"/>
            </w:tcMar>
          </w:tcPr>
          <w:p w14:paraId="0C55CC30"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(0.9)   151</w:t>
            </w:r>
          </w:p>
        </w:tc>
        <w:tc>
          <w:tcPr>
            <w:tcW w:w="365" w:type="pct"/>
            <w:tcBorders>
              <w:top w:val="nil"/>
              <w:left w:val="nil"/>
              <w:bottom w:val="nil"/>
              <w:right w:val="nil"/>
            </w:tcBorders>
            <w:shd w:val="clear" w:color="auto" w:fill="FFFFFF"/>
            <w:tcMar>
              <w:left w:w="67" w:type="dxa"/>
              <w:right w:w="67" w:type="dxa"/>
            </w:tcMar>
          </w:tcPr>
          <w:p w14:paraId="52870FF9"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(0.8)   206</w:t>
            </w:r>
          </w:p>
        </w:tc>
        <w:tc>
          <w:tcPr>
            <w:tcW w:w="366" w:type="pct"/>
            <w:tcBorders>
              <w:top w:val="nil"/>
              <w:left w:val="nil"/>
              <w:bottom w:val="nil"/>
              <w:right w:val="nil"/>
            </w:tcBorders>
            <w:shd w:val="clear" w:color="auto" w:fill="FFFFFF"/>
            <w:tcMar>
              <w:left w:w="67" w:type="dxa"/>
              <w:right w:w="67" w:type="dxa"/>
            </w:tcMar>
          </w:tcPr>
          <w:p w14:paraId="227CB710"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(0.9)   357</w:t>
            </w:r>
          </w:p>
        </w:tc>
        <w:tc>
          <w:tcPr>
            <w:tcW w:w="365" w:type="pct"/>
            <w:tcBorders>
              <w:top w:val="nil"/>
              <w:left w:val="nil"/>
              <w:bottom w:val="nil"/>
              <w:right w:val="nil"/>
            </w:tcBorders>
            <w:shd w:val="clear" w:color="auto" w:fill="FFFFFF"/>
            <w:tcMar>
              <w:left w:w="67" w:type="dxa"/>
              <w:right w:w="67" w:type="dxa"/>
            </w:tcMar>
          </w:tcPr>
          <w:p w14:paraId="2587B5C8"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(1.2)    97</w:t>
            </w:r>
          </w:p>
        </w:tc>
        <w:tc>
          <w:tcPr>
            <w:tcW w:w="365" w:type="pct"/>
            <w:tcBorders>
              <w:top w:val="nil"/>
              <w:left w:val="nil"/>
              <w:bottom w:val="nil"/>
              <w:right w:val="nil"/>
            </w:tcBorders>
            <w:shd w:val="clear" w:color="auto" w:fill="FFFFFF"/>
            <w:tcMar>
              <w:left w:w="67" w:type="dxa"/>
              <w:right w:w="67" w:type="dxa"/>
            </w:tcMar>
          </w:tcPr>
          <w:p w14:paraId="625592BF"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9.4 (1.3)   124</w:t>
            </w:r>
          </w:p>
        </w:tc>
        <w:tc>
          <w:tcPr>
            <w:tcW w:w="366" w:type="pct"/>
            <w:tcBorders>
              <w:top w:val="nil"/>
              <w:left w:val="nil"/>
              <w:bottom w:val="nil"/>
              <w:right w:val="nil"/>
            </w:tcBorders>
            <w:shd w:val="clear" w:color="auto" w:fill="FFFFFF"/>
            <w:tcMar>
              <w:left w:w="67" w:type="dxa"/>
              <w:right w:w="67" w:type="dxa"/>
            </w:tcMar>
          </w:tcPr>
          <w:p w14:paraId="07EB821B"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9.4 (1.3)   221</w:t>
            </w:r>
          </w:p>
        </w:tc>
        <w:tc>
          <w:tcPr>
            <w:tcW w:w="365" w:type="pct"/>
            <w:tcBorders>
              <w:top w:val="nil"/>
              <w:left w:val="nil"/>
              <w:bottom w:val="nil"/>
              <w:right w:val="nil"/>
            </w:tcBorders>
            <w:shd w:val="clear" w:color="auto" w:fill="FFFFFF"/>
            <w:tcMar>
              <w:left w:w="67" w:type="dxa"/>
              <w:right w:w="67" w:type="dxa"/>
            </w:tcMar>
          </w:tcPr>
          <w:p w14:paraId="70EAFBAE"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(1.1)  148</w:t>
            </w:r>
          </w:p>
        </w:tc>
        <w:tc>
          <w:tcPr>
            <w:tcW w:w="365" w:type="pct"/>
            <w:tcBorders>
              <w:top w:val="nil"/>
              <w:left w:val="nil"/>
              <w:bottom w:val="nil"/>
              <w:right w:val="nil"/>
            </w:tcBorders>
            <w:shd w:val="clear" w:color="auto" w:fill="FFFFFF"/>
            <w:tcMar>
              <w:left w:w="67" w:type="dxa"/>
              <w:right w:w="67" w:type="dxa"/>
            </w:tcMar>
          </w:tcPr>
          <w:p w14:paraId="01C6330F"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(1.2)  206</w:t>
            </w:r>
          </w:p>
        </w:tc>
        <w:tc>
          <w:tcPr>
            <w:tcW w:w="364" w:type="pct"/>
            <w:tcBorders>
              <w:top w:val="nil"/>
              <w:left w:val="nil"/>
              <w:bottom w:val="nil"/>
              <w:right w:val="single" w:sz="4" w:space="0" w:color="auto"/>
            </w:tcBorders>
            <w:shd w:val="clear" w:color="auto" w:fill="FFFFFF"/>
            <w:tcMar>
              <w:left w:w="67" w:type="dxa"/>
              <w:right w:w="67" w:type="dxa"/>
            </w:tcMar>
          </w:tcPr>
          <w:p w14:paraId="2BA168D8" w14:textId="77777777" w:rsidR="00E07CDE" w:rsidRPr="00CB59EF" w:rsidRDefault="00E07CDE" w:rsidP="00CB59EF">
            <w:pPr>
              <w:spacing w:after="0" w:line="240" w:lineRule="auto"/>
              <w:jc w:val="right"/>
              <w:rPr>
                <w:rFonts w:eastAsia="Times New Roman"/>
                <w:color w:val="000000"/>
                <w:sz w:val="16"/>
                <w:szCs w:val="16"/>
              </w:rPr>
            </w:pPr>
            <w:r w:rsidRPr="00CB59EF">
              <w:rPr>
                <w:rFonts w:eastAsia="Times New Roman"/>
                <w:color w:val="000000"/>
                <w:sz w:val="16"/>
                <w:szCs w:val="16"/>
              </w:rPr>
              <w:t>9.3 (1.1)   354</w:t>
            </w:r>
          </w:p>
        </w:tc>
      </w:tr>
      <w:tr w:rsidR="00E07CDE" w:rsidRPr="00CB59EF" w14:paraId="1E42BAC3" w14:textId="77777777" w:rsidTr="00C163F3">
        <w:trPr>
          <w:cantSplit/>
          <w:jc w:val="center"/>
        </w:trPr>
        <w:tc>
          <w:tcPr>
            <w:tcW w:w="618" w:type="pct"/>
            <w:tcBorders>
              <w:top w:val="nil"/>
              <w:left w:val="single" w:sz="4" w:space="0" w:color="auto"/>
              <w:bottom w:val="nil"/>
              <w:right w:val="nil"/>
            </w:tcBorders>
            <w:shd w:val="clear" w:color="auto" w:fill="FFFFFF"/>
            <w:tcMar>
              <w:left w:w="67" w:type="dxa"/>
              <w:right w:w="67" w:type="dxa"/>
            </w:tcMar>
          </w:tcPr>
          <w:p w14:paraId="30BE08E4" w14:textId="77777777" w:rsidR="00E07CDE" w:rsidRPr="00CB59EF" w:rsidRDefault="00E07CDE" w:rsidP="00CB59EF">
            <w:pPr>
              <w:spacing w:after="0" w:line="240" w:lineRule="auto"/>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0567CF4D"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7A88607C" w14:textId="77777777" w:rsidR="00E07CDE" w:rsidRPr="00CB59EF" w:rsidRDefault="00E07CDE" w:rsidP="00CB59EF">
            <w:pPr>
              <w:spacing w:after="0" w:line="240" w:lineRule="auto"/>
              <w:jc w:val="right"/>
              <w:rPr>
                <w:rFonts w:eastAsia="Times New Roman"/>
                <w:color w:val="000000"/>
                <w:sz w:val="16"/>
                <w:szCs w:val="16"/>
              </w:rPr>
            </w:pPr>
          </w:p>
        </w:tc>
        <w:tc>
          <w:tcPr>
            <w:tcW w:w="366" w:type="pct"/>
            <w:tcBorders>
              <w:top w:val="nil"/>
              <w:left w:val="nil"/>
              <w:bottom w:val="nil"/>
              <w:right w:val="nil"/>
            </w:tcBorders>
            <w:shd w:val="clear" w:color="auto" w:fill="FFFFFF"/>
            <w:tcMar>
              <w:left w:w="67" w:type="dxa"/>
              <w:right w:w="67" w:type="dxa"/>
            </w:tcMar>
          </w:tcPr>
          <w:p w14:paraId="5CEA78FF"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2A30A388"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26FE6A88" w14:textId="77777777" w:rsidR="00E07CDE" w:rsidRPr="00CB59EF" w:rsidRDefault="00E07CDE" w:rsidP="00CB59EF">
            <w:pPr>
              <w:spacing w:after="0" w:line="240" w:lineRule="auto"/>
              <w:jc w:val="right"/>
              <w:rPr>
                <w:rFonts w:eastAsia="Times New Roman"/>
                <w:color w:val="000000"/>
                <w:sz w:val="16"/>
                <w:szCs w:val="16"/>
              </w:rPr>
            </w:pPr>
          </w:p>
        </w:tc>
        <w:tc>
          <w:tcPr>
            <w:tcW w:w="366" w:type="pct"/>
            <w:tcBorders>
              <w:top w:val="nil"/>
              <w:left w:val="nil"/>
              <w:bottom w:val="nil"/>
              <w:right w:val="nil"/>
            </w:tcBorders>
            <w:shd w:val="clear" w:color="auto" w:fill="FFFFFF"/>
            <w:tcMar>
              <w:left w:w="67" w:type="dxa"/>
              <w:right w:w="67" w:type="dxa"/>
            </w:tcMar>
          </w:tcPr>
          <w:p w14:paraId="094999E2"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67A12899"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2C9F69F2" w14:textId="77777777" w:rsidR="00E07CDE" w:rsidRPr="00CB59EF" w:rsidRDefault="00E07CDE" w:rsidP="00CB59EF">
            <w:pPr>
              <w:spacing w:after="0" w:line="240" w:lineRule="auto"/>
              <w:jc w:val="right"/>
              <w:rPr>
                <w:rFonts w:eastAsia="Times New Roman"/>
                <w:color w:val="000000"/>
                <w:sz w:val="16"/>
                <w:szCs w:val="16"/>
              </w:rPr>
            </w:pPr>
          </w:p>
        </w:tc>
        <w:tc>
          <w:tcPr>
            <w:tcW w:w="366" w:type="pct"/>
            <w:tcBorders>
              <w:top w:val="nil"/>
              <w:left w:val="nil"/>
              <w:bottom w:val="nil"/>
              <w:right w:val="nil"/>
            </w:tcBorders>
            <w:shd w:val="clear" w:color="auto" w:fill="FFFFFF"/>
            <w:tcMar>
              <w:left w:w="67" w:type="dxa"/>
              <w:right w:w="67" w:type="dxa"/>
            </w:tcMar>
          </w:tcPr>
          <w:p w14:paraId="7AB0461F"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577F11F7" w14:textId="77777777" w:rsidR="00E07CDE" w:rsidRPr="00CB59EF" w:rsidRDefault="00E07CDE" w:rsidP="00CB59EF">
            <w:pPr>
              <w:spacing w:after="0" w:line="240" w:lineRule="auto"/>
              <w:jc w:val="right"/>
              <w:rPr>
                <w:rFonts w:eastAsia="Times New Roman"/>
                <w:color w:val="000000"/>
                <w:sz w:val="16"/>
                <w:szCs w:val="16"/>
              </w:rPr>
            </w:pPr>
          </w:p>
        </w:tc>
        <w:tc>
          <w:tcPr>
            <w:tcW w:w="365" w:type="pct"/>
            <w:tcBorders>
              <w:top w:val="nil"/>
              <w:left w:val="nil"/>
              <w:bottom w:val="nil"/>
              <w:right w:val="nil"/>
            </w:tcBorders>
            <w:shd w:val="clear" w:color="auto" w:fill="FFFFFF"/>
            <w:tcMar>
              <w:left w:w="67" w:type="dxa"/>
              <w:right w:w="67" w:type="dxa"/>
            </w:tcMar>
          </w:tcPr>
          <w:p w14:paraId="40E11090" w14:textId="77777777" w:rsidR="00E07CDE" w:rsidRPr="00CB59EF" w:rsidRDefault="00E07CDE" w:rsidP="00CB59EF">
            <w:pPr>
              <w:spacing w:after="0" w:line="240" w:lineRule="auto"/>
              <w:jc w:val="right"/>
              <w:rPr>
                <w:rFonts w:eastAsia="Times New Roman"/>
                <w:color w:val="000000"/>
                <w:sz w:val="16"/>
                <w:szCs w:val="16"/>
              </w:rPr>
            </w:pPr>
          </w:p>
        </w:tc>
        <w:tc>
          <w:tcPr>
            <w:tcW w:w="364" w:type="pct"/>
            <w:tcBorders>
              <w:top w:val="nil"/>
              <w:left w:val="nil"/>
              <w:bottom w:val="nil"/>
              <w:right w:val="single" w:sz="4" w:space="0" w:color="auto"/>
            </w:tcBorders>
            <w:shd w:val="clear" w:color="auto" w:fill="FFFFFF"/>
            <w:tcMar>
              <w:left w:w="67" w:type="dxa"/>
              <w:right w:w="67" w:type="dxa"/>
            </w:tcMar>
          </w:tcPr>
          <w:p w14:paraId="15454A5E" w14:textId="77777777" w:rsidR="00E07CDE" w:rsidRPr="00CB59EF" w:rsidRDefault="00E07CDE" w:rsidP="00CB59EF">
            <w:pPr>
              <w:spacing w:after="0" w:line="240" w:lineRule="auto"/>
              <w:jc w:val="right"/>
              <w:rPr>
                <w:rFonts w:eastAsia="Times New Roman"/>
                <w:color w:val="000000"/>
                <w:sz w:val="16"/>
                <w:szCs w:val="16"/>
              </w:rPr>
            </w:pPr>
          </w:p>
        </w:tc>
      </w:tr>
      <w:tr w:rsidR="00E07CDE" w:rsidRPr="00CB59EF" w14:paraId="69B29968" w14:textId="77777777" w:rsidTr="00C163F3">
        <w:trPr>
          <w:cantSplit/>
          <w:jc w:val="center"/>
        </w:trPr>
        <w:tc>
          <w:tcPr>
            <w:tcW w:w="618" w:type="pct"/>
            <w:tcBorders>
              <w:top w:val="nil"/>
              <w:left w:val="single" w:sz="4" w:space="0" w:color="auto"/>
              <w:bottom w:val="nil"/>
              <w:right w:val="nil"/>
            </w:tcBorders>
            <w:shd w:val="clear" w:color="auto" w:fill="FFFFFF"/>
            <w:tcMar>
              <w:left w:w="67" w:type="dxa"/>
              <w:right w:w="67" w:type="dxa"/>
            </w:tcMar>
          </w:tcPr>
          <w:p w14:paraId="13CE6BD5" w14:textId="77777777" w:rsidR="008A1A04" w:rsidRPr="00CB59EF" w:rsidRDefault="00E07CDE" w:rsidP="00CB59EF">
            <w:pPr>
              <w:spacing w:after="0" w:line="240" w:lineRule="auto"/>
              <w:rPr>
                <w:rFonts w:eastAsia="Times New Roman"/>
                <w:b/>
                <w:bCs/>
                <w:color w:val="000000"/>
                <w:sz w:val="16"/>
                <w:szCs w:val="16"/>
              </w:rPr>
            </w:pPr>
            <w:r w:rsidRPr="00CB59EF">
              <w:rPr>
                <w:rFonts w:eastAsia="Times New Roman"/>
                <w:b/>
                <w:bCs/>
                <w:color w:val="000000"/>
                <w:sz w:val="16"/>
                <w:szCs w:val="16"/>
              </w:rPr>
              <w:t xml:space="preserve">Total PAS </w:t>
            </w:r>
          </w:p>
          <w:p w14:paraId="010390AD" w14:textId="0543C44D" w:rsidR="00E07CDE" w:rsidRPr="00CB59EF" w:rsidRDefault="00E07CDE" w:rsidP="00CB59EF">
            <w:pPr>
              <w:spacing w:after="0" w:line="240" w:lineRule="auto"/>
              <w:rPr>
                <w:rFonts w:eastAsia="Times New Roman"/>
                <w:color w:val="000000"/>
                <w:sz w:val="16"/>
                <w:szCs w:val="16"/>
              </w:rPr>
            </w:pPr>
            <w:r w:rsidRPr="00CB59EF">
              <w:rPr>
                <w:rFonts w:eastAsia="Times New Roman"/>
                <w:b/>
                <w:bCs/>
                <w:color w:val="000000"/>
                <w:sz w:val="16"/>
                <w:szCs w:val="16"/>
              </w:rPr>
              <w:t>(10:00-12:00):</w:t>
            </w:r>
          </w:p>
        </w:tc>
        <w:tc>
          <w:tcPr>
            <w:tcW w:w="365" w:type="pct"/>
            <w:tcBorders>
              <w:top w:val="nil"/>
              <w:left w:val="nil"/>
              <w:bottom w:val="nil"/>
              <w:right w:val="nil"/>
            </w:tcBorders>
            <w:shd w:val="clear" w:color="auto" w:fill="FFFFFF"/>
            <w:tcMar>
              <w:left w:w="67" w:type="dxa"/>
              <w:right w:w="67" w:type="dxa"/>
            </w:tcMar>
          </w:tcPr>
          <w:p w14:paraId="00D1FB6B" w14:textId="77777777" w:rsidR="00E07CDE" w:rsidRPr="00CB59EF" w:rsidRDefault="00E07CDE" w:rsidP="00CB59EF">
            <w:pPr>
              <w:spacing w:after="0" w:line="240" w:lineRule="auto"/>
              <w:jc w:val="right"/>
              <w:rPr>
                <w:rFonts w:eastAsia="Times New Roman"/>
                <w:color w:val="000000"/>
                <w:sz w:val="16"/>
                <w:szCs w:val="16"/>
              </w:rPr>
            </w:pPr>
            <w:r w:rsidRPr="00CB59EF">
              <w:rPr>
                <w:rFonts w:eastAsia="Calibri"/>
                <w:color w:val="000000"/>
                <w:sz w:val="16"/>
                <w:szCs w:val="16"/>
                <w:lang w:eastAsia="en-US"/>
              </w:rPr>
              <w:t>1 (1.5)     185</w:t>
            </w:r>
          </w:p>
        </w:tc>
        <w:tc>
          <w:tcPr>
            <w:tcW w:w="365" w:type="pct"/>
            <w:tcBorders>
              <w:top w:val="nil"/>
              <w:left w:val="nil"/>
              <w:bottom w:val="nil"/>
              <w:right w:val="nil"/>
            </w:tcBorders>
            <w:shd w:val="clear" w:color="auto" w:fill="FFFFFF"/>
            <w:tcMar>
              <w:left w:w="67" w:type="dxa"/>
              <w:right w:w="67" w:type="dxa"/>
            </w:tcMar>
          </w:tcPr>
          <w:p w14:paraId="12A6DEB0" w14:textId="77777777" w:rsidR="00E07CDE" w:rsidRPr="00CB59EF" w:rsidRDefault="00E07CDE" w:rsidP="00CB59EF">
            <w:pPr>
              <w:spacing w:after="0" w:line="240" w:lineRule="auto"/>
              <w:jc w:val="right"/>
              <w:rPr>
                <w:rFonts w:eastAsia="Times New Roman"/>
                <w:color w:val="000000"/>
                <w:sz w:val="16"/>
                <w:szCs w:val="16"/>
              </w:rPr>
            </w:pPr>
            <w:r w:rsidRPr="00CB59EF">
              <w:rPr>
                <w:rFonts w:eastAsia="Calibri"/>
                <w:color w:val="000000"/>
                <w:sz w:val="16"/>
                <w:szCs w:val="16"/>
                <w:lang w:eastAsia="en-US"/>
              </w:rPr>
              <w:t>0.8 (1.5)   266</w:t>
            </w:r>
          </w:p>
        </w:tc>
        <w:tc>
          <w:tcPr>
            <w:tcW w:w="366" w:type="pct"/>
            <w:tcBorders>
              <w:top w:val="nil"/>
              <w:left w:val="nil"/>
              <w:bottom w:val="nil"/>
              <w:right w:val="nil"/>
            </w:tcBorders>
            <w:shd w:val="clear" w:color="auto" w:fill="FFFFFF"/>
            <w:tcMar>
              <w:left w:w="67" w:type="dxa"/>
              <w:right w:w="67" w:type="dxa"/>
            </w:tcMar>
          </w:tcPr>
          <w:p w14:paraId="26B9C85C" w14:textId="77777777" w:rsidR="00E07CDE" w:rsidRPr="00CB59EF" w:rsidRDefault="00E07CDE" w:rsidP="00CB59EF">
            <w:pPr>
              <w:spacing w:after="0" w:line="240" w:lineRule="auto"/>
              <w:jc w:val="right"/>
              <w:rPr>
                <w:rFonts w:eastAsia="Times New Roman"/>
                <w:color w:val="000000"/>
                <w:sz w:val="16"/>
                <w:szCs w:val="16"/>
              </w:rPr>
            </w:pPr>
            <w:r w:rsidRPr="00CB59EF">
              <w:rPr>
                <w:rFonts w:eastAsia="Calibri"/>
                <w:color w:val="000000"/>
                <w:sz w:val="16"/>
                <w:szCs w:val="16"/>
                <w:lang w:eastAsia="en-US"/>
              </w:rPr>
              <w:t>0.8 (1.5)  451</w:t>
            </w:r>
          </w:p>
        </w:tc>
        <w:tc>
          <w:tcPr>
            <w:tcW w:w="365" w:type="pct"/>
            <w:tcBorders>
              <w:top w:val="nil"/>
              <w:left w:val="nil"/>
              <w:bottom w:val="nil"/>
              <w:right w:val="nil"/>
            </w:tcBorders>
            <w:shd w:val="clear" w:color="auto" w:fill="FFFFFF"/>
            <w:tcMar>
              <w:left w:w="67" w:type="dxa"/>
              <w:right w:w="67" w:type="dxa"/>
            </w:tcMar>
          </w:tcPr>
          <w:p w14:paraId="40484860" w14:textId="77777777" w:rsidR="00E07CDE" w:rsidRPr="00CB59EF" w:rsidRDefault="00E07CDE" w:rsidP="00CB59EF">
            <w:pPr>
              <w:spacing w:after="0" w:line="240" w:lineRule="auto"/>
              <w:jc w:val="right"/>
              <w:rPr>
                <w:rFonts w:eastAsia="Times New Roman"/>
                <w:color w:val="000000"/>
                <w:sz w:val="16"/>
                <w:szCs w:val="16"/>
              </w:rPr>
            </w:pPr>
            <w:r w:rsidRPr="00CB59EF">
              <w:rPr>
                <w:rFonts w:eastAsia="Calibri"/>
                <w:color w:val="000000"/>
                <w:sz w:val="16"/>
                <w:szCs w:val="16"/>
                <w:lang w:eastAsia="en-US"/>
              </w:rPr>
              <w:t>0.9 (1.9)  159</w:t>
            </w:r>
          </w:p>
        </w:tc>
        <w:tc>
          <w:tcPr>
            <w:tcW w:w="365" w:type="pct"/>
            <w:tcBorders>
              <w:top w:val="nil"/>
              <w:left w:val="nil"/>
              <w:bottom w:val="nil"/>
              <w:right w:val="nil"/>
            </w:tcBorders>
            <w:shd w:val="clear" w:color="auto" w:fill="FFFFFF"/>
            <w:tcMar>
              <w:left w:w="67" w:type="dxa"/>
              <w:right w:w="67" w:type="dxa"/>
            </w:tcMar>
          </w:tcPr>
          <w:p w14:paraId="300D6FFE" w14:textId="77777777" w:rsidR="00E07CDE" w:rsidRPr="00CB59EF" w:rsidRDefault="00E07CDE" w:rsidP="00CB59EF">
            <w:pPr>
              <w:spacing w:after="0" w:line="240" w:lineRule="auto"/>
              <w:jc w:val="right"/>
              <w:rPr>
                <w:rFonts w:eastAsia="Times New Roman"/>
                <w:color w:val="000000"/>
                <w:sz w:val="16"/>
                <w:szCs w:val="16"/>
              </w:rPr>
            </w:pPr>
            <w:r w:rsidRPr="00CB59EF">
              <w:rPr>
                <w:rFonts w:eastAsia="Calibri"/>
                <w:color w:val="000000"/>
                <w:sz w:val="16"/>
                <w:szCs w:val="16"/>
                <w:lang w:eastAsia="en-US"/>
              </w:rPr>
              <w:t>0.9 (1.4)  209</w:t>
            </w:r>
          </w:p>
        </w:tc>
        <w:tc>
          <w:tcPr>
            <w:tcW w:w="366" w:type="pct"/>
            <w:tcBorders>
              <w:top w:val="nil"/>
              <w:left w:val="nil"/>
              <w:bottom w:val="nil"/>
              <w:right w:val="nil"/>
            </w:tcBorders>
            <w:shd w:val="clear" w:color="auto" w:fill="FFFFFF"/>
            <w:tcMar>
              <w:left w:w="67" w:type="dxa"/>
              <w:right w:w="67" w:type="dxa"/>
            </w:tcMar>
          </w:tcPr>
          <w:p w14:paraId="0E8E2EA8" w14:textId="77777777" w:rsidR="00E07CDE" w:rsidRPr="00CB59EF" w:rsidRDefault="00E07CDE" w:rsidP="00CB59EF">
            <w:pPr>
              <w:spacing w:after="0" w:line="240" w:lineRule="auto"/>
              <w:jc w:val="right"/>
              <w:rPr>
                <w:rFonts w:eastAsia="Times New Roman"/>
                <w:color w:val="000000"/>
                <w:sz w:val="16"/>
                <w:szCs w:val="16"/>
              </w:rPr>
            </w:pPr>
            <w:r w:rsidRPr="00CB59EF">
              <w:rPr>
                <w:rFonts w:eastAsia="Calibri"/>
                <w:color w:val="000000"/>
                <w:sz w:val="16"/>
                <w:szCs w:val="16"/>
                <w:lang w:eastAsia="en-US"/>
              </w:rPr>
              <w:t>0.9 (1.7)  368</w:t>
            </w:r>
          </w:p>
        </w:tc>
        <w:tc>
          <w:tcPr>
            <w:tcW w:w="365" w:type="pct"/>
            <w:tcBorders>
              <w:top w:val="nil"/>
              <w:left w:val="nil"/>
              <w:bottom w:val="nil"/>
              <w:right w:val="nil"/>
            </w:tcBorders>
            <w:shd w:val="clear" w:color="auto" w:fill="FFFFFF"/>
            <w:tcMar>
              <w:left w:w="67" w:type="dxa"/>
              <w:right w:w="67" w:type="dxa"/>
            </w:tcMar>
          </w:tcPr>
          <w:p w14:paraId="7FA08C2A" w14:textId="77777777" w:rsidR="00E07CDE" w:rsidRPr="00CB59EF" w:rsidRDefault="00E07CDE" w:rsidP="00CB59EF">
            <w:pPr>
              <w:spacing w:after="0" w:line="240" w:lineRule="auto"/>
              <w:jc w:val="right"/>
              <w:rPr>
                <w:rFonts w:eastAsia="Times New Roman"/>
                <w:color w:val="000000"/>
                <w:sz w:val="16"/>
                <w:szCs w:val="16"/>
              </w:rPr>
            </w:pPr>
            <w:r w:rsidRPr="00CB59EF">
              <w:rPr>
                <w:rFonts w:eastAsia="Calibri"/>
                <w:color w:val="000000"/>
                <w:sz w:val="16"/>
                <w:szCs w:val="16"/>
                <w:lang w:eastAsia="en-US"/>
              </w:rPr>
              <w:t>1 (1.8)     102</w:t>
            </w:r>
          </w:p>
        </w:tc>
        <w:tc>
          <w:tcPr>
            <w:tcW w:w="365" w:type="pct"/>
            <w:tcBorders>
              <w:top w:val="nil"/>
              <w:left w:val="nil"/>
              <w:bottom w:val="nil"/>
              <w:right w:val="nil"/>
            </w:tcBorders>
            <w:shd w:val="clear" w:color="auto" w:fill="FFFFFF"/>
            <w:tcMar>
              <w:left w:w="67" w:type="dxa"/>
              <w:right w:w="67" w:type="dxa"/>
            </w:tcMar>
          </w:tcPr>
          <w:p w14:paraId="4D2E1CBF" w14:textId="77777777" w:rsidR="00E07CDE" w:rsidRPr="00CB59EF" w:rsidRDefault="00E07CDE" w:rsidP="00CB59EF">
            <w:pPr>
              <w:spacing w:after="0" w:line="240" w:lineRule="auto"/>
              <w:jc w:val="right"/>
              <w:rPr>
                <w:rFonts w:eastAsia="Times New Roman"/>
                <w:color w:val="000000"/>
                <w:sz w:val="16"/>
                <w:szCs w:val="16"/>
              </w:rPr>
            </w:pPr>
            <w:r w:rsidRPr="00CB59EF">
              <w:rPr>
                <w:rFonts w:eastAsia="Calibri"/>
                <w:color w:val="000000"/>
                <w:sz w:val="16"/>
                <w:szCs w:val="16"/>
                <w:lang w:eastAsia="en-US"/>
              </w:rPr>
              <w:t>0.7 (1.6)   129</w:t>
            </w:r>
          </w:p>
        </w:tc>
        <w:tc>
          <w:tcPr>
            <w:tcW w:w="366" w:type="pct"/>
            <w:tcBorders>
              <w:top w:val="nil"/>
              <w:left w:val="nil"/>
              <w:bottom w:val="nil"/>
              <w:right w:val="nil"/>
            </w:tcBorders>
            <w:shd w:val="clear" w:color="auto" w:fill="FFFFFF"/>
            <w:tcMar>
              <w:left w:w="67" w:type="dxa"/>
              <w:right w:w="67" w:type="dxa"/>
            </w:tcMar>
          </w:tcPr>
          <w:p w14:paraId="7D119E07" w14:textId="77777777" w:rsidR="00E07CDE" w:rsidRPr="00CB59EF" w:rsidRDefault="00E07CDE" w:rsidP="00CB59EF">
            <w:pPr>
              <w:spacing w:after="0" w:line="240" w:lineRule="auto"/>
              <w:jc w:val="right"/>
              <w:rPr>
                <w:rFonts w:eastAsia="Times New Roman"/>
                <w:color w:val="000000"/>
                <w:sz w:val="16"/>
                <w:szCs w:val="16"/>
              </w:rPr>
            </w:pPr>
            <w:r w:rsidRPr="00CB59EF">
              <w:rPr>
                <w:rFonts w:eastAsia="Calibri"/>
                <w:color w:val="000000"/>
                <w:sz w:val="16"/>
                <w:szCs w:val="16"/>
                <w:lang w:eastAsia="en-US"/>
              </w:rPr>
              <w:t>0.9 (1.7)  231</w:t>
            </w:r>
          </w:p>
        </w:tc>
        <w:tc>
          <w:tcPr>
            <w:tcW w:w="365" w:type="pct"/>
            <w:tcBorders>
              <w:top w:val="nil"/>
              <w:left w:val="nil"/>
              <w:bottom w:val="nil"/>
              <w:right w:val="nil"/>
            </w:tcBorders>
            <w:shd w:val="clear" w:color="auto" w:fill="FFFFFF"/>
            <w:tcMar>
              <w:left w:w="67" w:type="dxa"/>
              <w:right w:w="67" w:type="dxa"/>
            </w:tcMar>
          </w:tcPr>
          <w:p w14:paraId="27E88029" w14:textId="77777777" w:rsidR="00E07CDE" w:rsidRPr="00CB59EF" w:rsidRDefault="00E07CDE" w:rsidP="00CB59EF">
            <w:pPr>
              <w:spacing w:after="0" w:line="240" w:lineRule="auto"/>
              <w:jc w:val="right"/>
              <w:rPr>
                <w:rFonts w:eastAsia="Times New Roman"/>
                <w:color w:val="000000"/>
                <w:sz w:val="16"/>
                <w:szCs w:val="16"/>
              </w:rPr>
            </w:pPr>
            <w:r w:rsidRPr="00CB59EF">
              <w:rPr>
                <w:rFonts w:eastAsia="Calibri"/>
                <w:color w:val="000000"/>
                <w:sz w:val="16"/>
                <w:szCs w:val="16"/>
                <w:lang w:eastAsia="en-US"/>
              </w:rPr>
              <w:t>1.1 (1.9)   156</w:t>
            </w:r>
          </w:p>
        </w:tc>
        <w:tc>
          <w:tcPr>
            <w:tcW w:w="365" w:type="pct"/>
            <w:tcBorders>
              <w:top w:val="nil"/>
              <w:left w:val="nil"/>
              <w:bottom w:val="nil"/>
              <w:right w:val="nil"/>
            </w:tcBorders>
            <w:shd w:val="clear" w:color="auto" w:fill="FFFFFF"/>
            <w:tcMar>
              <w:left w:w="67" w:type="dxa"/>
              <w:right w:w="67" w:type="dxa"/>
            </w:tcMar>
          </w:tcPr>
          <w:p w14:paraId="1D896410" w14:textId="77777777" w:rsidR="00E07CDE" w:rsidRPr="00CB59EF" w:rsidRDefault="00E07CDE" w:rsidP="00CB59EF">
            <w:pPr>
              <w:spacing w:after="0" w:line="240" w:lineRule="auto"/>
              <w:jc w:val="right"/>
              <w:rPr>
                <w:rFonts w:eastAsia="Times New Roman"/>
                <w:color w:val="000000"/>
                <w:sz w:val="16"/>
                <w:szCs w:val="16"/>
              </w:rPr>
            </w:pPr>
            <w:r w:rsidRPr="00CB59EF">
              <w:rPr>
                <w:rFonts w:eastAsia="Calibri"/>
                <w:color w:val="000000"/>
                <w:sz w:val="16"/>
                <w:szCs w:val="16"/>
                <w:lang w:eastAsia="en-US"/>
              </w:rPr>
              <w:t>0.8 (1.7)  209</w:t>
            </w:r>
          </w:p>
        </w:tc>
        <w:tc>
          <w:tcPr>
            <w:tcW w:w="364" w:type="pct"/>
            <w:tcBorders>
              <w:top w:val="nil"/>
              <w:left w:val="nil"/>
              <w:bottom w:val="nil"/>
              <w:right w:val="single" w:sz="4" w:space="0" w:color="auto"/>
            </w:tcBorders>
            <w:shd w:val="clear" w:color="auto" w:fill="FFFFFF"/>
            <w:tcMar>
              <w:left w:w="67" w:type="dxa"/>
              <w:right w:w="67" w:type="dxa"/>
            </w:tcMar>
          </w:tcPr>
          <w:p w14:paraId="3AD07202" w14:textId="77777777" w:rsidR="00E07CDE" w:rsidRPr="00CB59EF" w:rsidRDefault="00E07CDE" w:rsidP="00CB59EF">
            <w:pPr>
              <w:spacing w:after="0" w:line="240" w:lineRule="auto"/>
              <w:jc w:val="right"/>
              <w:rPr>
                <w:rFonts w:eastAsia="Times New Roman"/>
                <w:color w:val="000000"/>
                <w:sz w:val="16"/>
                <w:szCs w:val="16"/>
              </w:rPr>
            </w:pPr>
            <w:r w:rsidRPr="00CB59EF">
              <w:rPr>
                <w:rFonts w:eastAsia="Calibri"/>
                <w:color w:val="000000"/>
                <w:sz w:val="16"/>
                <w:szCs w:val="16"/>
                <w:lang w:eastAsia="en-US"/>
              </w:rPr>
              <w:t>0.9 (1.8)   365</w:t>
            </w:r>
          </w:p>
        </w:tc>
      </w:tr>
      <w:tr w:rsidR="00E07CDE" w:rsidRPr="00CB59EF" w14:paraId="78D409DE" w14:textId="77777777" w:rsidTr="00C163F3">
        <w:trPr>
          <w:cantSplit/>
          <w:jc w:val="center"/>
        </w:trPr>
        <w:tc>
          <w:tcPr>
            <w:tcW w:w="618" w:type="pct"/>
            <w:tcBorders>
              <w:top w:val="nil"/>
              <w:left w:val="single" w:sz="4" w:space="0" w:color="auto"/>
              <w:bottom w:val="single" w:sz="4" w:space="0" w:color="auto"/>
              <w:right w:val="nil"/>
            </w:tcBorders>
            <w:shd w:val="clear" w:color="auto" w:fill="FFFFFF"/>
            <w:tcMar>
              <w:left w:w="67" w:type="dxa"/>
              <w:right w:w="67" w:type="dxa"/>
            </w:tcMar>
          </w:tcPr>
          <w:p w14:paraId="266F147E" w14:textId="77777777" w:rsidR="008A1A04" w:rsidRPr="00CB59EF" w:rsidRDefault="00E07CDE" w:rsidP="00CB59EF">
            <w:pPr>
              <w:spacing w:after="0" w:line="240" w:lineRule="auto"/>
              <w:rPr>
                <w:rFonts w:eastAsia="Times New Roman"/>
                <w:b/>
                <w:bCs/>
                <w:color w:val="000000"/>
                <w:sz w:val="16"/>
                <w:szCs w:val="16"/>
              </w:rPr>
            </w:pPr>
            <w:r w:rsidRPr="00CB59EF">
              <w:rPr>
                <w:rFonts w:eastAsia="Times New Roman"/>
                <w:b/>
                <w:bCs/>
                <w:color w:val="000000"/>
                <w:sz w:val="16"/>
                <w:szCs w:val="16"/>
              </w:rPr>
              <w:t xml:space="preserve">Total PAS </w:t>
            </w:r>
          </w:p>
          <w:p w14:paraId="03B40D17" w14:textId="67C25CCD" w:rsidR="00E07CDE" w:rsidRPr="00CB59EF" w:rsidRDefault="00E07CDE" w:rsidP="00CB59EF">
            <w:pPr>
              <w:spacing w:after="0" w:line="240" w:lineRule="auto"/>
              <w:rPr>
                <w:rFonts w:eastAsia="Times New Roman"/>
                <w:b/>
                <w:bCs/>
                <w:color w:val="000000"/>
                <w:sz w:val="16"/>
                <w:szCs w:val="16"/>
              </w:rPr>
            </w:pPr>
            <w:r w:rsidRPr="00CB59EF">
              <w:rPr>
                <w:rFonts w:eastAsia="Times New Roman"/>
                <w:b/>
                <w:bCs/>
                <w:color w:val="000000"/>
                <w:sz w:val="16"/>
                <w:szCs w:val="16"/>
              </w:rPr>
              <w:t>(12:00-17:00):</w:t>
            </w:r>
          </w:p>
        </w:tc>
        <w:tc>
          <w:tcPr>
            <w:tcW w:w="365" w:type="pct"/>
            <w:tcBorders>
              <w:top w:val="nil"/>
              <w:left w:val="nil"/>
              <w:bottom w:val="single" w:sz="4" w:space="0" w:color="auto"/>
              <w:right w:val="nil"/>
            </w:tcBorders>
            <w:shd w:val="clear" w:color="auto" w:fill="FFFFFF"/>
            <w:tcMar>
              <w:left w:w="67" w:type="dxa"/>
              <w:right w:w="67" w:type="dxa"/>
            </w:tcMar>
          </w:tcPr>
          <w:p w14:paraId="2D66EAD2" w14:textId="77777777" w:rsidR="00E07CDE" w:rsidRPr="00CB59EF" w:rsidRDefault="00E07CDE" w:rsidP="00CB59EF">
            <w:pPr>
              <w:autoSpaceDE/>
              <w:autoSpaceDN/>
              <w:spacing w:after="0" w:line="240" w:lineRule="auto"/>
              <w:jc w:val="right"/>
              <w:rPr>
                <w:rFonts w:eastAsia="Calibri"/>
                <w:color w:val="000000"/>
                <w:sz w:val="16"/>
                <w:szCs w:val="16"/>
                <w:lang w:eastAsia="en-US"/>
              </w:rPr>
            </w:pPr>
            <w:r w:rsidRPr="00CB59EF">
              <w:rPr>
                <w:rFonts w:eastAsia="Calibri"/>
                <w:color w:val="000000"/>
                <w:sz w:val="16"/>
                <w:szCs w:val="16"/>
                <w:lang w:eastAsia="en-US"/>
              </w:rPr>
              <w:t>1.3 (1.6)   197</w:t>
            </w:r>
          </w:p>
        </w:tc>
        <w:tc>
          <w:tcPr>
            <w:tcW w:w="365" w:type="pct"/>
            <w:tcBorders>
              <w:top w:val="nil"/>
              <w:left w:val="nil"/>
              <w:bottom w:val="single" w:sz="4" w:space="0" w:color="auto"/>
              <w:right w:val="nil"/>
            </w:tcBorders>
            <w:shd w:val="clear" w:color="auto" w:fill="FFFFFF"/>
            <w:tcMar>
              <w:left w:w="67" w:type="dxa"/>
              <w:right w:w="67" w:type="dxa"/>
            </w:tcMar>
          </w:tcPr>
          <w:p w14:paraId="604B4E5B" w14:textId="77777777" w:rsidR="00E07CDE" w:rsidRPr="00CB59EF" w:rsidRDefault="00E07CDE" w:rsidP="00CB59EF">
            <w:pPr>
              <w:autoSpaceDE/>
              <w:autoSpaceDN/>
              <w:spacing w:after="0" w:line="240" w:lineRule="auto"/>
              <w:jc w:val="right"/>
              <w:rPr>
                <w:rFonts w:eastAsia="Calibri"/>
                <w:color w:val="000000"/>
                <w:sz w:val="16"/>
                <w:szCs w:val="16"/>
                <w:lang w:eastAsia="en-US"/>
              </w:rPr>
            </w:pPr>
            <w:r w:rsidRPr="00CB59EF">
              <w:rPr>
                <w:rFonts w:eastAsia="Calibri"/>
                <w:color w:val="000000"/>
                <w:sz w:val="16"/>
                <w:szCs w:val="16"/>
                <w:lang w:eastAsia="en-US"/>
              </w:rPr>
              <w:t>1.3 (2.2)  271</w:t>
            </w:r>
          </w:p>
        </w:tc>
        <w:tc>
          <w:tcPr>
            <w:tcW w:w="366" w:type="pct"/>
            <w:tcBorders>
              <w:top w:val="nil"/>
              <w:left w:val="nil"/>
              <w:bottom w:val="single" w:sz="4" w:space="0" w:color="auto"/>
              <w:right w:val="nil"/>
            </w:tcBorders>
            <w:shd w:val="clear" w:color="auto" w:fill="FFFFFF"/>
            <w:tcMar>
              <w:left w:w="67" w:type="dxa"/>
              <w:right w:w="67" w:type="dxa"/>
            </w:tcMar>
          </w:tcPr>
          <w:p w14:paraId="4409F19E" w14:textId="77777777" w:rsidR="00E07CDE" w:rsidRPr="00CB59EF" w:rsidRDefault="00E07CDE" w:rsidP="00CB59EF">
            <w:pPr>
              <w:autoSpaceDE/>
              <w:autoSpaceDN/>
              <w:spacing w:after="0" w:line="240" w:lineRule="auto"/>
              <w:jc w:val="right"/>
              <w:rPr>
                <w:rFonts w:eastAsia="Calibri"/>
                <w:color w:val="000000"/>
                <w:sz w:val="16"/>
                <w:szCs w:val="16"/>
                <w:lang w:eastAsia="en-US"/>
              </w:rPr>
            </w:pPr>
            <w:r w:rsidRPr="00CB59EF">
              <w:rPr>
                <w:rFonts w:eastAsia="Calibri"/>
                <w:color w:val="000000"/>
                <w:sz w:val="16"/>
                <w:szCs w:val="16"/>
                <w:lang w:eastAsia="en-US"/>
              </w:rPr>
              <w:t>1.3 (2)     468</w:t>
            </w:r>
          </w:p>
        </w:tc>
        <w:tc>
          <w:tcPr>
            <w:tcW w:w="365" w:type="pct"/>
            <w:tcBorders>
              <w:top w:val="nil"/>
              <w:left w:val="nil"/>
              <w:bottom w:val="single" w:sz="4" w:space="0" w:color="auto"/>
              <w:right w:val="nil"/>
            </w:tcBorders>
            <w:shd w:val="clear" w:color="auto" w:fill="FFFFFF"/>
            <w:tcMar>
              <w:left w:w="67" w:type="dxa"/>
              <w:right w:w="67" w:type="dxa"/>
            </w:tcMar>
          </w:tcPr>
          <w:p w14:paraId="4C871E34" w14:textId="77777777" w:rsidR="00E07CDE" w:rsidRPr="00CB59EF" w:rsidRDefault="00E07CDE" w:rsidP="00CB59EF">
            <w:pPr>
              <w:autoSpaceDE/>
              <w:autoSpaceDN/>
              <w:spacing w:after="0" w:line="240" w:lineRule="auto"/>
              <w:jc w:val="right"/>
              <w:rPr>
                <w:rFonts w:eastAsia="Calibri"/>
                <w:color w:val="000000"/>
                <w:sz w:val="16"/>
                <w:szCs w:val="16"/>
                <w:lang w:eastAsia="en-US"/>
              </w:rPr>
            </w:pPr>
            <w:r w:rsidRPr="00CB59EF">
              <w:rPr>
                <w:rFonts w:eastAsia="Calibri"/>
                <w:color w:val="000000"/>
                <w:sz w:val="16"/>
                <w:szCs w:val="16"/>
                <w:lang w:eastAsia="en-US"/>
              </w:rPr>
              <w:t>1.1 (1.9)   151</w:t>
            </w:r>
          </w:p>
        </w:tc>
        <w:tc>
          <w:tcPr>
            <w:tcW w:w="365" w:type="pct"/>
            <w:tcBorders>
              <w:top w:val="nil"/>
              <w:left w:val="nil"/>
              <w:bottom w:val="single" w:sz="4" w:space="0" w:color="auto"/>
              <w:right w:val="nil"/>
            </w:tcBorders>
            <w:shd w:val="clear" w:color="auto" w:fill="FFFFFF"/>
            <w:tcMar>
              <w:left w:w="67" w:type="dxa"/>
              <w:right w:w="67" w:type="dxa"/>
            </w:tcMar>
          </w:tcPr>
          <w:p w14:paraId="769E88A1" w14:textId="77777777" w:rsidR="00E07CDE" w:rsidRPr="00CB59EF" w:rsidRDefault="00E07CDE" w:rsidP="00CB59EF">
            <w:pPr>
              <w:autoSpaceDE/>
              <w:autoSpaceDN/>
              <w:spacing w:after="0" w:line="240" w:lineRule="auto"/>
              <w:jc w:val="right"/>
              <w:rPr>
                <w:rFonts w:eastAsia="Calibri"/>
                <w:color w:val="000000"/>
                <w:sz w:val="16"/>
                <w:szCs w:val="16"/>
                <w:lang w:eastAsia="en-US"/>
              </w:rPr>
            </w:pPr>
            <w:r w:rsidRPr="00CB59EF">
              <w:rPr>
                <w:rFonts w:eastAsia="Calibri"/>
                <w:color w:val="000000"/>
                <w:sz w:val="16"/>
                <w:szCs w:val="16"/>
                <w:lang w:eastAsia="en-US"/>
              </w:rPr>
              <w:t>1.2 (1.8)  204</w:t>
            </w:r>
          </w:p>
        </w:tc>
        <w:tc>
          <w:tcPr>
            <w:tcW w:w="366" w:type="pct"/>
            <w:tcBorders>
              <w:top w:val="nil"/>
              <w:left w:val="nil"/>
              <w:bottom w:val="single" w:sz="4" w:space="0" w:color="auto"/>
              <w:right w:val="nil"/>
            </w:tcBorders>
            <w:shd w:val="clear" w:color="auto" w:fill="FFFFFF"/>
            <w:tcMar>
              <w:left w:w="67" w:type="dxa"/>
              <w:right w:w="67" w:type="dxa"/>
            </w:tcMar>
          </w:tcPr>
          <w:p w14:paraId="3AEC7D3A" w14:textId="77777777" w:rsidR="00E07CDE" w:rsidRPr="00CB59EF" w:rsidRDefault="00E07CDE" w:rsidP="00CB59EF">
            <w:pPr>
              <w:autoSpaceDE/>
              <w:autoSpaceDN/>
              <w:spacing w:after="0" w:line="240" w:lineRule="auto"/>
              <w:jc w:val="right"/>
              <w:rPr>
                <w:rFonts w:eastAsia="Calibri"/>
                <w:color w:val="000000"/>
                <w:sz w:val="16"/>
                <w:szCs w:val="16"/>
                <w:lang w:eastAsia="en-US"/>
              </w:rPr>
            </w:pPr>
            <w:r w:rsidRPr="00CB59EF">
              <w:rPr>
                <w:rFonts w:eastAsia="Calibri"/>
                <w:color w:val="000000"/>
                <w:sz w:val="16"/>
                <w:szCs w:val="16"/>
                <w:lang w:eastAsia="en-US"/>
              </w:rPr>
              <w:t>1.2 (1.8)  355</w:t>
            </w:r>
          </w:p>
        </w:tc>
        <w:tc>
          <w:tcPr>
            <w:tcW w:w="365" w:type="pct"/>
            <w:tcBorders>
              <w:top w:val="nil"/>
              <w:left w:val="nil"/>
              <w:bottom w:val="single" w:sz="4" w:space="0" w:color="auto"/>
              <w:right w:val="nil"/>
            </w:tcBorders>
            <w:shd w:val="clear" w:color="auto" w:fill="FFFFFF"/>
            <w:tcMar>
              <w:left w:w="67" w:type="dxa"/>
              <w:right w:w="67" w:type="dxa"/>
            </w:tcMar>
          </w:tcPr>
          <w:p w14:paraId="1D8CF3E9" w14:textId="77777777" w:rsidR="00E07CDE" w:rsidRPr="00CB59EF" w:rsidRDefault="00E07CDE" w:rsidP="00CB59EF">
            <w:pPr>
              <w:autoSpaceDE/>
              <w:autoSpaceDN/>
              <w:spacing w:after="0" w:line="240" w:lineRule="auto"/>
              <w:jc w:val="right"/>
              <w:rPr>
                <w:rFonts w:eastAsia="Calibri"/>
                <w:color w:val="000000"/>
                <w:sz w:val="16"/>
                <w:szCs w:val="16"/>
                <w:lang w:eastAsia="en-US"/>
              </w:rPr>
            </w:pPr>
            <w:r w:rsidRPr="00CB59EF">
              <w:rPr>
                <w:rFonts w:eastAsia="Calibri"/>
                <w:color w:val="000000"/>
                <w:sz w:val="16"/>
                <w:szCs w:val="16"/>
                <w:lang w:eastAsia="en-US"/>
              </w:rPr>
              <w:t>1.2 (2.1)     97</w:t>
            </w:r>
          </w:p>
        </w:tc>
        <w:tc>
          <w:tcPr>
            <w:tcW w:w="365" w:type="pct"/>
            <w:tcBorders>
              <w:top w:val="nil"/>
              <w:left w:val="nil"/>
              <w:bottom w:val="single" w:sz="4" w:space="0" w:color="auto"/>
              <w:right w:val="nil"/>
            </w:tcBorders>
            <w:shd w:val="clear" w:color="auto" w:fill="FFFFFF"/>
            <w:tcMar>
              <w:left w:w="67" w:type="dxa"/>
              <w:right w:w="67" w:type="dxa"/>
            </w:tcMar>
          </w:tcPr>
          <w:p w14:paraId="43760351" w14:textId="77777777" w:rsidR="00E07CDE" w:rsidRPr="00CB59EF" w:rsidRDefault="00E07CDE" w:rsidP="00CB59EF">
            <w:pPr>
              <w:autoSpaceDE/>
              <w:autoSpaceDN/>
              <w:spacing w:after="0" w:line="240" w:lineRule="auto"/>
              <w:jc w:val="right"/>
              <w:rPr>
                <w:rFonts w:eastAsia="Calibri"/>
                <w:color w:val="000000"/>
                <w:sz w:val="16"/>
                <w:szCs w:val="16"/>
                <w:lang w:eastAsia="en-US"/>
              </w:rPr>
            </w:pPr>
            <w:r w:rsidRPr="00CB59EF">
              <w:rPr>
                <w:rFonts w:eastAsia="Calibri"/>
                <w:color w:val="000000"/>
                <w:sz w:val="16"/>
                <w:szCs w:val="16"/>
                <w:lang w:eastAsia="en-US"/>
              </w:rPr>
              <w:t>0.9 (1.9)  123</w:t>
            </w:r>
          </w:p>
        </w:tc>
        <w:tc>
          <w:tcPr>
            <w:tcW w:w="366" w:type="pct"/>
            <w:tcBorders>
              <w:top w:val="nil"/>
              <w:left w:val="nil"/>
              <w:bottom w:val="single" w:sz="4" w:space="0" w:color="auto"/>
              <w:right w:val="nil"/>
            </w:tcBorders>
            <w:shd w:val="clear" w:color="auto" w:fill="FFFFFF"/>
            <w:tcMar>
              <w:left w:w="67" w:type="dxa"/>
              <w:right w:w="67" w:type="dxa"/>
            </w:tcMar>
          </w:tcPr>
          <w:p w14:paraId="216A13D1" w14:textId="77777777" w:rsidR="00E07CDE" w:rsidRPr="00CB59EF" w:rsidRDefault="00E07CDE" w:rsidP="00CB59EF">
            <w:pPr>
              <w:autoSpaceDE/>
              <w:autoSpaceDN/>
              <w:spacing w:after="0" w:line="240" w:lineRule="auto"/>
              <w:jc w:val="right"/>
              <w:rPr>
                <w:rFonts w:eastAsia="Calibri"/>
                <w:color w:val="000000"/>
                <w:sz w:val="16"/>
                <w:szCs w:val="16"/>
                <w:lang w:eastAsia="en-US"/>
              </w:rPr>
            </w:pPr>
            <w:r w:rsidRPr="00CB59EF">
              <w:rPr>
                <w:rFonts w:eastAsia="Calibri"/>
                <w:color w:val="000000"/>
                <w:sz w:val="16"/>
                <w:szCs w:val="16"/>
                <w:lang w:eastAsia="en-US"/>
              </w:rPr>
              <w:t>1 (2)        220</w:t>
            </w:r>
          </w:p>
        </w:tc>
        <w:tc>
          <w:tcPr>
            <w:tcW w:w="365" w:type="pct"/>
            <w:tcBorders>
              <w:top w:val="nil"/>
              <w:left w:val="nil"/>
              <w:bottom w:val="single" w:sz="4" w:space="0" w:color="auto"/>
              <w:right w:val="nil"/>
            </w:tcBorders>
            <w:shd w:val="clear" w:color="auto" w:fill="FFFFFF"/>
            <w:tcMar>
              <w:left w:w="67" w:type="dxa"/>
              <w:right w:w="67" w:type="dxa"/>
            </w:tcMar>
          </w:tcPr>
          <w:p w14:paraId="7D870726" w14:textId="77777777" w:rsidR="00E07CDE" w:rsidRPr="00CB59EF" w:rsidRDefault="00E07CDE" w:rsidP="00CB59EF">
            <w:pPr>
              <w:autoSpaceDE/>
              <w:autoSpaceDN/>
              <w:spacing w:after="0" w:line="240" w:lineRule="auto"/>
              <w:jc w:val="right"/>
              <w:rPr>
                <w:rFonts w:eastAsia="Calibri"/>
                <w:color w:val="000000"/>
                <w:sz w:val="16"/>
                <w:szCs w:val="16"/>
                <w:lang w:eastAsia="en-US"/>
              </w:rPr>
            </w:pPr>
            <w:r w:rsidRPr="00CB59EF">
              <w:rPr>
                <w:rFonts w:eastAsia="Calibri"/>
                <w:color w:val="000000"/>
                <w:sz w:val="16"/>
                <w:szCs w:val="16"/>
                <w:lang w:eastAsia="en-US"/>
              </w:rPr>
              <w:t>1.2 (1.9)   148</w:t>
            </w:r>
          </w:p>
        </w:tc>
        <w:tc>
          <w:tcPr>
            <w:tcW w:w="365" w:type="pct"/>
            <w:tcBorders>
              <w:top w:val="nil"/>
              <w:left w:val="nil"/>
              <w:bottom w:val="single" w:sz="4" w:space="0" w:color="auto"/>
              <w:right w:val="nil"/>
            </w:tcBorders>
            <w:shd w:val="clear" w:color="auto" w:fill="FFFFFF"/>
            <w:tcMar>
              <w:left w:w="67" w:type="dxa"/>
              <w:right w:w="67" w:type="dxa"/>
            </w:tcMar>
          </w:tcPr>
          <w:p w14:paraId="402A2EEC" w14:textId="77777777" w:rsidR="00E07CDE" w:rsidRPr="00CB59EF" w:rsidRDefault="00E07CDE" w:rsidP="00CB59EF">
            <w:pPr>
              <w:autoSpaceDE/>
              <w:autoSpaceDN/>
              <w:spacing w:after="0" w:line="240" w:lineRule="auto"/>
              <w:jc w:val="right"/>
              <w:rPr>
                <w:rFonts w:eastAsia="Calibri"/>
                <w:color w:val="000000"/>
                <w:sz w:val="16"/>
                <w:szCs w:val="16"/>
                <w:lang w:eastAsia="en-US"/>
              </w:rPr>
            </w:pPr>
            <w:r w:rsidRPr="00CB59EF">
              <w:rPr>
                <w:rFonts w:eastAsia="Calibri"/>
                <w:color w:val="000000"/>
                <w:sz w:val="16"/>
                <w:szCs w:val="16"/>
                <w:lang w:eastAsia="en-US"/>
              </w:rPr>
              <w:t>0.9 (1.8)  205</w:t>
            </w:r>
          </w:p>
        </w:tc>
        <w:tc>
          <w:tcPr>
            <w:tcW w:w="364" w:type="pct"/>
            <w:tcBorders>
              <w:top w:val="nil"/>
              <w:left w:val="nil"/>
              <w:bottom w:val="single" w:sz="4" w:space="0" w:color="auto"/>
              <w:right w:val="single" w:sz="4" w:space="0" w:color="auto"/>
            </w:tcBorders>
            <w:shd w:val="clear" w:color="auto" w:fill="FFFFFF"/>
            <w:tcMar>
              <w:left w:w="67" w:type="dxa"/>
              <w:right w:w="67" w:type="dxa"/>
            </w:tcMar>
          </w:tcPr>
          <w:p w14:paraId="2D56DFCA" w14:textId="77777777" w:rsidR="00E07CDE" w:rsidRPr="00CB59EF" w:rsidRDefault="00E07CDE" w:rsidP="00CB59EF">
            <w:pPr>
              <w:autoSpaceDE/>
              <w:autoSpaceDN/>
              <w:spacing w:after="0" w:line="240" w:lineRule="auto"/>
              <w:jc w:val="right"/>
              <w:rPr>
                <w:rFonts w:eastAsia="Calibri"/>
                <w:color w:val="000000"/>
                <w:sz w:val="16"/>
                <w:szCs w:val="16"/>
                <w:lang w:eastAsia="en-US"/>
              </w:rPr>
            </w:pPr>
            <w:r w:rsidRPr="00CB59EF">
              <w:rPr>
                <w:rFonts w:eastAsia="Calibri"/>
                <w:color w:val="000000"/>
                <w:sz w:val="16"/>
                <w:szCs w:val="16"/>
                <w:lang w:eastAsia="en-US"/>
              </w:rPr>
              <w:t>1 (1.8)      353</w:t>
            </w:r>
          </w:p>
        </w:tc>
      </w:tr>
    </w:tbl>
    <w:p w14:paraId="798B8068" w14:textId="77777777" w:rsidR="00E07CDE" w:rsidRPr="00563AD3" w:rsidRDefault="00E07CDE" w:rsidP="009B13F3">
      <w:pPr>
        <w:autoSpaceDE/>
        <w:autoSpaceDN/>
        <w:adjustRightInd/>
        <w:spacing w:before="120" w:after="0"/>
        <w:rPr>
          <w:rFonts w:eastAsia="Calibri"/>
          <w:sz w:val="24"/>
          <w:szCs w:val="24"/>
          <w:lang w:eastAsia="en-US"/>
        </w:rPr>
      </w:pPr>
    </w:p>
    <w:p w14:paraId="57521193" w14:textId="77777777" w:rsidR="00F81128" w:rsidRPr="00563AD3" w:rsidRDefault="00F81128" w:rsidP="009B13F3">
      <w:pPr>
        <w:rPr>
          <w:rFonts w:eastAsia="Times New Roman"/>
          <w:lang w:eastAsia="en-US"/>
        </w:rPr>
      </w:pPr>
      <w:bookmarkStart w:id="313" w:name="_Toc500934965"/>
    </w:p>
    <w:p w14:paraId="01775413" w14:textId="77777777" w:rsidR="00CB59EF" w:rsidRDefault="00CB59EF">
      <w:pPr>
        <w:autoSpaceDE/>
        <w:autoSpaceDN/>
        <w:adjustRightInd/>
        <w:spacing w:line="259" w:lineRule="auto"/>
        <w:rPr>
          <w:rFonts w:eastAsia="Times New Roman"/>
          <w:u w:val="single"/>
          <w:lang w:eastAsia="en-US"/>
        </w:rPr>
      </w:pPr>
      <w:r>
        <w:rPr>
          <w:rFonts w:eastAsia="Times New Roman"/>
          <w:lang w:eastAsia="en-US"/>
        </w:rPr>
        <w:br w:type="page"/>
      </w:r>
    </w:p>
    <w:p w14:paraId="77CA123C" w14:textId="56F49EA7" w:rsidR="00E07CDE" w:rsidRDefault="00E07CDE" w:rsidP="009B13F3">
      <w:pPr>
        <w:pStyle w:val="Heading4"/>
        <w:rPr>
          <w:rFonts w:eastAsia="Times New Roman"/>
          <w:lang w:eastAsia="en-US"/>
        </w:rPr>
      </w:pPr>
      <w:r w:rsidRPr="00563AD3">
        <w:rPr>
          <w:rFonts w:eastAsia="Times New Roman"/>
          <w:lang w:eastAsia="en-US"/>
        </w:rPr>
        <w:t>Sensitivity analyses</w:t>
      </w:r>
      <w:bookmarkEnd w:id="313"/>
    </w:p>
    <w:p w14:paraId="275065AA" w14:textId="3B72803D" w:rsidR="00B134A7" w:rsidRPr="00563AD3" w:rsidRDefault="00B134A7" w:rsidP="00CB59EF">
      <w:pPr>
        <w:pStyle w:val="Tableheading"/>
      </w:pPr>
      <w:bookmarkStart w:id="314" w:name="_Toc948241"/>
      <w:r>
        <w:rPr>
          <w:lang w:eastAsia="en-US"/>
        </w:rPr>
        <w:t xml:space="preserve">Table </w:t>
      </w:r>
      <w:r w:rsidR="001D1817">
        <w:rPr>
          <w:lang w:eastAsia="en-US"/>
        </w:rPr>
        <w:t>44</w:t>
      </w:r>
      <w:r>
        <w:rPr>
          <w:lang w:eastAsia="en-US"/>
        </w:rPr>
        <w:t xml:space="preserve"> </w:t>
      </w:r>
      <w:r>
        <w:t>Supportive analysi</w:t>
      </w:r>
      <w:r w:rsidRPr="00563AD3">
        <w:t>s assuming missing data are MAR</w:t>
      </w:r>
      <w:r>
        <w:t xml:space="preserve"> – closed-cohort</w:t>
      </w:r>
      <w:bookmarkEnd w:id="3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3"/>
        <w:gridCol w:w="9"/>
        <w:gridCol w:w="848"/>
        <w:gridCol w:w="1269"/>
        <w:gridCol w:w="6"/>
        <w:gridCol w:w="1265"/>
        <w:gridCol w:w="11"/>
        <w:gridCol w:w="1259"/>
        <w:gridCol w:w="17"/>
        <w:gridCol w:w="1253"/>
        <w:gridCol w:w="22"/>
        <w:gridCol w:w="1008"/>
        <w:gridCol w:w="28"/>
        <w:gridCol w:w="1235"/>
        <w:gridCol w:w="17"/>
        <w:gridCol w:w="1050"/>
        <w:gridCol w:w="11"/>
        <w:gridCol w:w="547"/>
      </w:tblGrid>
      <w:tr w:rsidR="00B134A7" w:rsidRPr="00563AD3" w14:paraId="7029EF88" w14:textId="77777777" w:rsidTr="009E7481">
        <w:trPr>
          <w:cantSplit/>
          <w:tblHeader/>
          <w:jc w:val="center"/>
        </w:trPr>
        <w:tc>
          <w:tcPr>
            <w:tcW w:w="1470" w:type="pct"/>
            <w:tcBorders>
              <w:top w:val="single" w:sz="4" w:space="0" w:color="auto"/>
              <w:left w:val="nil"/>
              <w:right w:val="nil"/>
            </w:tcBorders>
            <w:shd w:val="clear" w:color="auto" w:fill="FFFFFF"/>
            <w:tcMar>
              <w:left w:w="67" w:type="dxa"/>
              <w:right w:w="67" w:type="dxa"/>
            </w:tcMar>
            <w:vAlign w:val="bottom"/>
          </w:tcPr>
          <w:p w14:paraId="5258EB7F" w14:textId="77777777" w:rsidR="00B134A7" w:rsidRPr="00563AD3" w:rsidRDefault="00B134A7" w:rsidP="006D6035">
            <w:pPr>
              <w:keepNext/>
              <w:spacing w:after="0"/>
              <w:rPr>
                <w:rFonts w:eastAsia="Times New Roman"/>
                <w:b/>
                <w:bCs/>
                <w:color w:val="000000"/>
                <w:sz w:val="20"/>
                <w:szCs w:val="20"/>
              </w:rPr>
            </w:pPr>
            <w:r w:rsidRPr="00563AD3">
              <w:rPr>
                <w:rFonts w:eastAsia="Times New Roman"/>
                <w:b/>
                <w:bCs/>
                <w:color w:val="000000"/>
                <w:sz w:val="20"/>
                <w:szCs w:val="20"/>
              </w:rPr>
              <w:t>Analysis</w:t>
            </w:r>
          </w:p>
        </w:tc>
        <w:tc>
          <w:tcPr>
            <w:tcW w:w="307" w:type="pct"/>
            <w:gridSpan w:val="2"/>
            <w:tcBorders>
              <w:top w:val="single" w:sz="4" w:space="0" w:color="auto"/>
              <w:left w:val="nil"/>
              <w:right w:val="nil"/>
            </w:tcBorders>
            <w:shd w:val="clear" w:color="auto" w:fill="FFFFFF"/>
            <w:vAlign w:val="bottom"/>
          </w:tcPr>
          <w:p w14:paraId="384F3E94" w14:textId="77777777" w:rsidR="00B134A7" w:rsidRPr="00563AD3" w:rsidRDefault="00B134A7" w:rsidP="006D6035">
            <w:pPr>
              <w:keepNext/>
              <w:spacing w:after="0"/>
              <w:jc w:val="right"/>
              <w:rPr>
                <w:rFonts w:eastAsia="Times New Roman"/>
                <w:b/>
                <w:bCs/>
                <w:color w:val="000000"/>
                <w:sz w:val="20"/>
                <w:szCs w:val="20"/>
              </w:rPr>
            </w:pPr>
            <w:r w:rsidRPr="00563AD3">
              <w:rPr>
                <w:rFonts w:eastAsia="Times New Roman"/>
                <w:b/>
                <w:bCs/>
                <w:color w:val="000000"/>
                <w:sz w:val="20"/>
                <w:szCs w:val="20"/>
              </w:rPr>
              <w:t xml:space="preserve">Adjusted Mean in Control </w:t>
            </w:r>
          </w:p>
        </w:tc>
        <w:tc>
          <w:tcPr>
            <w:tcW w:w="455" w:type="pct"/>
            <w:tcBorders>
              <w:top w:val="single" w:sz="4" w:space="0" w:color="auto"/>
              <w:left w:val="nil"/>
              <w:right w:val="nil"/>
            </w:tcBorders>
            <w:shd w:val="clear" w:color="auto" w:fill="FFFFFF"/>
            <w:vAlign w:val="bottom"/>
          </w:tcPr>
          <w:p w14:paraId="53208CA1" w14:textId="77777777" w:rsidR="00B134A7" w:rsidRPr="00563AD3" w:rsidRDefault="00B134A7" w:rsidP="006D6035">
            <w:pPr>
              <w:keepNext/>
              <w:spacing w:after="0"/>
              <w:jc w:val="right"/>
              <w:rPr>
                <w:rFonts w:eastAsia="Times New Roman"/>
                <w:b/>
                <w:bCs/>
                <w:color w:val="000000"/>
                <w:sz w:val="20"/>
                <w:szCs w:val="20"/>
              </w:rPr>
            </w:pPr>
            <w:r w:rsidRPr="00563AD3">
              <w:rPr>
                <w:rFonts w:eastAsia="Times New Roman"/>
                <w:b/>
                <w:bCs/>
                <w:color w:val="000000"/>
                <w:sz w:val="20"/>
                <w:szCs w:val="20"/>
              </w:rPr>
              <w:t>Adjusted Mean in Intervention</w:t>
            </w:r>
          </w:p>
        </w:tc>
        <w:tc>
          <w:tcPr>
            <w:tcW w:w="455" w:type="pct"/>
            <w:gridSpan w:val="2"/>
            <w:tcBorders>
              <w:top w:val="single" w:sz="4" w:space="0" w:color="auto"/>
              <w:left w:val="nil"/>
              <w:right w:val="nil"/>
            </w:tcBorders>
            <w:shd w:val="clear" w:color="auto" w:fill="FFFFFF"/>
            <w:tcMar>
              <w:left w:w="67" w:type="dxa"/>
              <w:right w:w="67" w:type="dxa"/>
            </w:tcMar>
            <w:vAlign w:val="bottom"/>
          </w:tcPr>
          <w:p w14:paraId="22BFE6AA" w14:textId="77777777" w:rsidR="00B134A7" w:rsidRPr="00563AD3" w:rsidRDefault="00B134A7" w:rsidP="006D6035">
            <w:pPr>
              <w:keepNext/>
              <w:spacing w:after="0"/>
              <w:jc w:val="right"/>
              <w:rPr>
                <w:rFonts w:eastAsia="Times New Roman"/>
                <w:b/>
                <w:bCs/>
                <w:color w:val="000000"/>
                <w:sz w:val="20"/>
                <w:szCs w:val="20"/>
              </w:rPr>
            </w:pPr>
            <w:r w:rsidRPr="00563AD3">
              <w:rPr>
                <w:rFonts w:eastAsia="Times New Roman"/>
                <w:b/>
                <w:bCs/>
                <w:color w:val="000000"/>
                <w:sz w:val="20"/>
                <w:szCs w:val="20"/>
              </w:rPr>
              <w:t>Estimated Mean Difference</w:t>
            </w:r>
          </w:p>
        </w:tc>
        <w:tc>
          <w:tcPr>
            <w:tcW w:w="455" w:type="pct"/>
            <w:gridSpan w:val="2"/>
            <w:tcBorders>
              <w:top w:val="single" w:sz="4" w:space="0" w:color="auto"/>
              <w:left w:val="nil"/>
              <w:right w:val="nil"/>
            </w:tcBorders>
            <w:shd w:val="clear" w:color="auto" w:fill="FFFFFF"/>
            <w:tcMar>
              <w:left w:w="67" w:type="dxa"/>
              <w:right w:w="67" w:type="dxa"/>
            </w:tcMar>
            <w:vAlign w:val="bottom"/>
          </w:tcPr>
          <w:p w14:paraId="3700C9FF" w14:textId="77777777" w:rsidR="00B134A7" w:rsidRPr="00563AD3" w:rsidRDefault="00B134A7" w:rsidP="006D6035">
            <w:pPr>
              <w:keepNext/>
              <w:spacing w:after="0"/>
              <w:jc w:val="right"/>
              <w:rPr>
                <w:rFonts w:eastAsia="Times New Roman"/>
                <w:b/>
                <w:bCs/>
                <w:color w:val="000000"/>
                <w:sz w:val="20"/>
                <w:szCs w:val="20"/>
              </w:rPr>
            </w:pPr>
            <w:r w:rsidRPr="00563AD3">
              <w:rPr>
                <w:rFonts w:eastAsia="Times New Roman"/>
                <w:b/>
                <w:bCs/>
                <w:color w:val="000000"/>
                <w:sz w:val="20"/>
                <w:szCs w:val="20"/>
              </w:rPr>
              <w:t>Lower 95% Confidence Limit</w:t>
            </w:r>
          </w:p>
        </w:tc>
        <w:tc>
          <w:tcPr>
            <w:tcW w:w="455" w:type="pct"/>
            <w:gridSpan w:val="2"/>
            <w:tcBorders>
              <w:top w:val="single" w:sz="4" w:space="0" w:color="auto"/>
              <w:left w:val="nil"/>
              <w:right w:val="nil"/>
            </w:tcBorders>
            <w:shd w:val="clear" w:color="auto" w:fill="FFFFFF"/>
            <w:tcMar>
              <w:left w:w="67" w:type="dxa"/>
              <w:right w:w="67" w:type="dxa"/>
            </w:tcMar>
            <w:vAlign w:val="bottom"/>
          </w:tcPr>
          <w:p w14:paraId="345204FE" w14:textId="77777777" w:rsidR="00B134A7" w:rsidRPr="00563AD3" w:rsidRDefault="00B134A7" w:rsidP="006D6035">
            <w:pPr>
              <w:keepNext/>
              <w:spacing w:after="0"/>
              <w:jc w:val="right"/>
              <w:rPr>
                <w:rFonts w:eastAsia="Times New Roman"/>
                <w:b/>
                <w:bCs/>
                <w:color w:val="000000"/>
                <w:sz w:val="20"/>
                <w:szCs w:val="20"/>
              </w:rPr>
            </w:pPr>
            <w:r w:rsidRPr="00563AD3">
              <w:rPr>
                <w:rFonts w:eastAsia="Times New Roman"/>
                <w:b/>
                <w:bCs/>
                <w:color w:val="000000"/>
                <w:sz w:val="20"/>
                <w:szCs w:val="20"/>
              </w:rPr>
              <w:t>Upper 95% Confidence Limit</w:t>
            </w:r>
          </w:p>
        </w:tc>
        <w:tc>
          <w:tcPr>
            <w:tcW w:w="369" w:type="pct"/>
            <w:gridSpan w:val="2"/>
            <w:tcBorders>
              <w:top w:val="single" w:sz="4" w:space="0" w:color="auto"/>
              <w:left w:val="nil"/>
              <w:right w:val="nil"/>
            </w:tcBorders>
            <w:shd w:val="clear" w:color="auto" w:fill="FFFFFF"/>
            <w:tcMar>
              <w:left w:w="67" w:type="dxa"/>
              <w:right w:w="67" w:type="dxa"/>
            </w:tcMar>
            <w:vAlign w:val="bottom"/>
          </w:tcPr>
          <w:p w14:paraId="49965772" w14:textId="77777777" w:rsidR="00B134A7" w:rsidRPr="00563AD3" w:rsidRDefault="00B134A7" w:rsidP="006D6035">
            <w:pPr>
              <w:keepNext/>
              <w:spacing w:after="0"/>
              <w:jc w:val="right"/>
              <w:rPr>
                <w:rFonts w:eastAsia="Times New Roman"/>
                <w:b/>
                <w:bCs/>
                <w:color w:val="000000"/>
                <w:sz w:val="20"/>
                <w:szCs w:val="20"/>
              </w:rPr>
            </w:pPr>
            <w:r w:rsidRPr="00563AD3">
              <w:rPr>
                <w:rFonts w:eastAsia="Times New Roman"/>
                <w:b/>
                <w:bCs/>
                <w:color w:val="000000"/>
                <w:sz w:val="20"/>
                <w:szCs w:val="20"/>
              </w:rPr>
              <w:t>p-value</w:t>
            </w:r>
          </w:p>
        </w:tc>
        <w:tc>
          <w:tcPr>
            <w:tcW w:w="458" w:type="pct"/>
            <w:gridSpan w:val="3"/>
            <w:tcBorders>
              <w:top w:val="single" w:sz="4" w:space="0" w:color="auto"/>
              <w:left w:val="nil"/>
              <w:right w:val="nil"/>
            </w:tcBorders>
            <w:shd w:val="clear" w:color="auto" w:fill="FFFFFF"/>
            <w:tcMar>
              <w:left w:w="67" w:type="dxa"/>
              <w:right w:w="67" w:type="dxa"/>
            </w:tcMar>
            <w:vAlign w:val="bottom"/>
          </w:tcPr>
          <w:p w14:paraId="27A57BB8" w14:textId="77777777" w:rsidR="00B134A7" w:rsidRPr="00563AD3" w:rsidRDefault="00B134A7" w:rsidP="006D6035">
            <w:pPr>
              <w:keepNext/>
              <w:spacing w:after="0"/>
              <w:jc w:val="right"/>
              <w:rPr>
                <w:rFonts w:eastAsia="Times New Roman"/>
                <w:b/>
                <w:bCs/>
                <w:color w:val="000000"/>
                <w:sz w:val="20"/>
                <w:szCs w:val="20"/>
              </w:rPr>
            </w:pPr>
            <w:r w:rsidRPr="00563AD3">
              <w:rPr>
                <w:rFonts w:eastAsia="Times New Roman"/>
                <w:b/>
                <w:bCs/>
                <w:color w:val="000000"/>
                <w:sz w:val="20"/>
                <w:szCs w:val="20"/>
              </w:rPr>
              <w:t xml:space="preserve">Adjusted ICC for Intervention </w:t>
            </w:r>
          </w:p>
        </w:tc>
        <w:tc>
          <w:tcPr>
            <w:tcW w:w="380" w:type="pct"/>
            <w:gridSpan w:val="2"/>
            <w:tcBorders>
              <w:top w:val="single" w:sz="4" w:space="0" w:color="auto"/>
              <w:left w:val="nil"/>
              <w:right w:val="nil"/>
            </w:tcBorders>
            <w:shd w:val="clear" w:color="auto" w:fill="FFFFFF"/>
            <w:tcMar>
              <w:left w:w="67" w:type="dxa"/>
              <w:right w:w="67" w:type="dxa"/>
            </w:tcMar>
            <w:vAlign w:val="bottom"/>
          </w:tcPr>
          <w:p w14:paraId="12880A61" w14:textId="77777777" w:rsidR="00B134A7" w:rsidRPr="00563AD3" w:rsidRDefault="00B134A7" w:rsidP="006D6035">
            <w:pPr>
              <w:keepNext/>
              <w:spacing w:after="0"/>
              <w:jc w:val="right"/>
              <w:rPr>
                <w:rFonts w:eastAsia="Times New Roman"/>
                <w:b/>
                <w:bCs/>
                <w:color w:val="000000"/>
                <w:sz w:val="20"/>
                <w:szCs w:val="20"/>
              </w:rPr>
            </w:pPr>
            <w:r w:rsidRPr="00563AD3">
              <w:rPr>
                <w:rFonts w:eastAsia="Times New Roman"/>
                <w:b/>
                <w:bCs/>
                <w:color w:val="000000"/>
                <w:sz w:val="20"/>
                <w:szCs w:val="20"/>
              </w:rPr>
              <w:t xml:space="preserve">Adjusted ICC for Control </w:t>
            </w:r>
          </w:p>
        </w:tc>
        <w:tc>
          <w:tcPr>
            <w:tcW w:w="198" w:type="pct"/>
            <w:tcBorders>
              <w:top w:val="single" w:sz="4" w:space="0" w:color="auto"/>
              <w:left w:val="nil"/>
              <w:right w:val="nil"/>
            </w:tcBorders>
            <w:shd w:val="clear" w:color="auto" w:fill="FFFFFF"/>
            <w:tcMar>
              <w:left w:w="67" w:type="dxa"/>
              <w:right w:w="67" w:type="dxa"/>
            </w:tcMar>
            <w:vAlign w:val="bottom"/>
          </w:tcPr>
          <w:p w14:paraId="0802D820" w14:textId="77777777" w:rsidR="00B134A7" w:rsidRPr="00563AD3" w:rsidRDefault="00B134A7" w:rsidP="006D6035">
            <w:pPr>
              <w:keepNext/>
              <w:spacing w:after="0"/>
              <w:jc w:val="right"/>
              <w:rPr>
                <w:rFonts w:eastAsia="Times New Roman"/>
                <w:b/>
                <w:bCs/>
                <w:color w:val="000000"/>
                <w:sz w:val="20"/>
                <w:szCs w:val="20"/>
              </w:rPr>
            </w:pPr>
            <w:r w:rsidRPr="00563AD3">
              <w:rPr>
                <w:rFonts w:eastAsia="Times New Roman"/>
                <w:b/>
                <w:bCs/>
                <w:color w:val="000000"/>
                <w:sz w:val="20"/>
                <w:szCs w:val="20"/>
              </w:rPr>
              <w:t>N</w:t>
            </w:r>
          </w:p>
        </w:tc>
      </w:tr>
      <w:tr w:rsidR="00B134A7" w:rsidRPr="00563AD3" w14:paraId="6AEC2BAE" w14:textId="77777777" w:rsidTr="006D6035">
        <w:trPr>
          <w:cantSplit/>
          <w:jc w:val="center"/>
        </w:trPr>
        <w:tc>
          <w:tcPr>
            <w:tcW w:w="1473" w:type="pct"/>
            <w:gridSpan w:val="2"/>
            <w:tcBorders>
              <w:top w:val="nil"/>
              <w:left w:val="nil"/>
              <w:bottom w:val="nil"/>
              <w:right w:val="nil"/>
            </w:tcBorders>
            <w:shd w:val="clear" w:color="auto" w:fill="FFFFFF"/>
            <w:tcMar>
              <w:left w:w="67" w:type="dxa"/>
              <w:right w:w="67" w:type="dxa"/>
            </w:tcMar>
          </w:tcPr>
          <w:p w14:paraId="3737E1F9" w14:textId="13D71F2F" w:rsidR="00B134A7" w:rsidRPr="00563AD3" w:rsidRDefault="00B134A7" w:rsidP="00B134A7">
            <w:pPr>
              <w:spacing w:after="0"/>
              <w:rPr>
                <w:rFonts w:eastAsia="Times New Roman"/>
                <w:b/>
                <w:color w:val="000000"/>
                <w:sz w:val="20"/>
                <w:szCs w:val="20"/>
              </w:rPr>
            </w:pPr>
            <w:r w:rsidRPr="00563AD3">
              <w:rPr>
                <w:rFonts w:eastAsia="Times New Roman"/>
                <w:b/>
                <w:color w:val="000000"/>
                <w:sz w:val="20"/>
                <w:szCs w:val="20"/>
              </w:rPr>
              <w:t>Supportive analyses (closed-cohort)</w:t>
            </w:r>
          </w:p>
        </w:tc>
        <w:tc>
          <w:tcPr>
            <w:tcW w:w="304" w:type="pct"/>
            <w:tcBorders>
              <w:top w:val="nil"/>
              <w:left w:val="nil"/>
              <w:bottom w:val="nil"/>
              <w:right w:val="nil"/>
            </w:tcBorders>
            <w:shd w:val="clear" w:color="auto" w:fill="FFFFFF"/>
          </w:tcPr>
          <w:p w14:paraId="75E4D649" w14:textId="77777777" w:rsidR="00B134A7" w:rsidRPr="00563AD3" w:rsidRDefault="00B134A7" w:rsidP="006D6035">
            <w:pPr>
              <w:spacing w:after="0"/>
              <w:jc w:val="right"/>
              <w:rPr>
                <w:rFonts w:eastAsia="Calibri"/>
                <w:color w:val="000000"/>
                <w:sz w:val="20"/>
                <w:szCs w:val="20"/>
                <w:lang w:eastAsia="en-US"/>
              </w:rPr>
            </w:pPr>
          </w:p>
        </w:tc>
        <w:tc>
          <w:tcPr>
            <w:tcW w:w="457" w:type="pct"/>
            <w:gridSpan w:val="2"/>
            <w:tcBorders>
              <w:top w:val="nil"/>
              <w:left w:val="nil"/>
              <w:bottom w:val="nil"/>
              <w:right w:val="nil"/>
            </w:tcBorders>
            <w:shd w:val="clear" w:color="auto" w:fill="FFFFFF"/>
          </w:tcPr>
          <w:p w14:paraId="66FD9DA3" w14:textId="77777777" w:rsidR="00B134A7" w:rsidRPr="00563AD3" w:rsidRDefault="00B134A7" w:rsidP="006D6035">
            <w:pPr>
              <w:spacing w:after="0"/>
              <w:jc w:val="right"/>
              <w:rPr>
                <w:rFonts w:eastAsia="Calibri"/>
                <w:color w:val="000000"/>
                <w:sz w:val="20"/>
                <w:szCs w:val="20"/>
                <w:lang w:eastAsia="en-US"/>
              </w:rPr>
            </w:pPr>
          </w:p>
        </w:tc>
        <w:tc>
          <w:tcPr>
            <w:tcW w:w="457" w:type="pct"/>
            <w:gridSpan w:val="2"/>
            <w:tcBorders>
              <w:top w:val="nil"/>
              <w:left w:val="nil"/>
              <w:bottom w:val="nil"/>
              <w:right w:val="nil"/>
            </w:tcBorders>
            <w:shd w:val="clear" w:color="auto" w:fill="FFFFFF"/>
            <w:tcMar>
              <w:left w:w="67" w:type="dxa"/>
              <w:right w:w="67" w:type="dxa"/>
            </w:tcMar>
          </w:tcPr>
          <w:p w14:paraId="2A955E71" w14:textId="77777777" w:rsidR="00B134A7" w:rsidRPr="00563AD3" w:rsidRDefault="00B134A7" w:rsidP="006D6035">
            <w:pPr>
              <w:spacing w:after="0"/>
              <w:jc w:val="right"/>
              <w:rPr>
                <w:rFonts w:eastAsia="Calibri"/>
                <w:color w:val="000000"/>
                <w:sz w:val="20"/>
                <w:szCs w:val="20"/>
                <w:lang w:eastAsia="en-US"/>
              </w:rPr>
            </w:pPr>
          </w:p>
        </w:tc>
        <w:tc>
          <w:tcPr>
            <w:tcW w:w="457" w:type="pct"/>
            <w:gridSpan w:val="2"/>
            <w:tcBorders>
              <w:top w:val="nil"/>
              <w:left w:val="nil"/>
              <w:bottom w:val="nil"/>
              <w:right w:val="nil"/>
            </w:tcBorders>
            <w:shd w:val="clear" w:color="auto" w:fill="FFFFFF"/>
            <w:tcMar>
              <w:left w:w="67" w:type="dxa"/>
              <w:right w:w="67" w:type="dxa"/>
            </w:tcMar>
          </w:tcPr>
          <w:p w14:paraId="3F54E1ED" w14:textId="77777777" w:rsidR="00B134A7" w:rsidRPr="00563AD3" w:rsidRDefault="00B134A7" w:rsidP="006D6035">
            <w:pPr>
              <w:spacing w:after="0"/>
              <w:jc w:val="right"/>
              <w:rPr>
                <w:rFonts w:eastAsia="Calibri"/>
                <w:color w:val="000000"/>
                <w:sz w:val="20"/>
                <w:szCs w:val="20"/>
                <w:lang w:eastAsia="en-US"/>
              </w:rPr>
            </w:pPr>
          </w:p>
        </w:tc>
        <w:tc>
          <w:tcPr>
            <w:tcW w:w="457" w:type="pct"/>
            <w:gridSpan w:val="2"/>
            <w:tcBorders>
              <w:top w:val="nil"/>
              <w:left w:val="nil"/>
              <w:bottom w:val="nil"/>
              <w:right w:val="nil"/>
            </w:tcBorders>
            <w:shd w:val="clear" w:color="auto" w:fill="FFFFFF"/>
            <w:tcMar>
              <w:left w:w="67" w:type="dxa"/>
              <w:right w:w="67" w:type="dxa"/>
            </w:tcMar>
          </w:tcPr>
          <w:p w14:paraId="366C28E0" w14:textId="77777777" w:rsidR="00B134A7" w:rsidRPr="00563AD3" w:rsidRDefault="00B134A7" w:rsidP="006D6035">
            <w:pPr>
              <w:spacing w:after="0"/>
              <w:jc w:val="right"/>
              <w:rPr>
                <w:rFonts w:eastAsia="Calibri"/>
                <w:color w:val="000000"/>
                <w:sz w:val="20"/>
                <w:szCs w:val="20"/>
                <w:lang w:eastAsia="en-US"/>
              </w:rPr>
            </w:pPr>
          </w:p>
        </w:tc>
        <w:tc>
          <w:tcPr>
            <w:tcW w:w="371" w:type="pct"/>
            <w:gridSpan w:val="2"/>
            <w:tcBorders>
              <w:top w:val="nil"/>
              <w:left w:val="nil"/>
              <w:bottom w:val="nil"/>
              <w:right w:val="nil"/>
            </w:tcBorders>
            <w:shd w:val="clear" w:color="auto" w:fill="FFFFFF"/>
            <w:tcMar>
              <w:left w:w="67" w:type="dxa"/>
              <w:right w:w="67" w:type="dxa"/>
            </w:tcMar>
          </w:tcPr>
          <w:p w14:paraId="6E68E2CD" w14:textId="77777777" w:rsidR="00B134A7" w:rsidRPr="00563AD3" w:rsidRDefault="00B134A7" w:rsidP="006D6035">
            <w:pPr>
              <w:spacing w:after="0"/>
              <w:jc w:val="right"/>
              <w:rPr>
                <w:rFonts w:eastAsia="Calibri"/>
                <w:color w:val="000000"/>
                <w:sz w:val="20"/>
                <w:szCs w:val="20"/>
                <w:lang w:eastAsia="en-US"/>
              </w:rPr>
            </w:pPr>
          </w:p>
        </w:tc>
        <w:tc>
          <w:tcPr>
            <w:tcW w:w="442" w:type="pct"/>
            <w:tcBorders>
              <w:top w:val="nil"/>
              <w:left w:val="nil"/>
              <w:bottom w:val="nil"/>
              <w:right w:val="nil"/>
            </w:tcBorders>
            <w:shd w:val="clear" w:color="auto" w:fill="FFFFFF"/>
            <w:tcMar>
              <w:left w:w="67" w:type="dxa"/>
              <w:right w:w="67" w:type="dxa"/>
            </w:tcMar>
          </w:tcPr>
          <w:p w14:paraId="48D1D2F9" w14:textId="77777777" w:rsidR="00B134A7" w:rsidRPr="00563AD3" w:rsidRDefault="00B134A7" w:rsidP="006D6035">
            <w:pPr>
              <w:spacing w:after="0"/>
              <w:jc w:val="right"/>
              <w:rPr>
                <w:rFonts w:eastAsia="Calibri"/>
                <w:color w:val="000000"/>
                <w:sz w:val="20"/>
                <w:szCs w:val="20"/>
                <w:lang w:eastAsia="en-US"/>
              </w:rPr>
            </w:pPr>
          </w:p>
        </w:tc>
        <w:tc>
          <w:tcPr>
            <w:tcW w:w="382" w:type="pct"/>
            <w:gridSpan w:val="2"/>
            <w:tcBorders>
              <w:top w:val="nil"/>
              <w:left w:val="nil"/>
              <w:bottom w:val="nil"/>
              <w:right w:val="nil"/>
            </w:tcBorders>
            <w:shd w:val="clear" w:color="auto" w:fill="FFFFFF"/>
          </w:tcPr>
          <w:p w14:paraId="34978814" w14:textId="77777777" w:rsidR="00B134A7" w:rsidRPr="00563AD3" w:rsidRDefault="00B134A7" w:rsidP="006D6035">
            <w:pPr>
              <w:spacing w:after="0"/>
              <w:jc w:val="right"/>
              <w:rPr>
                <w:rFonts w:eastAsia="Calibri"/>
                <w:color w:val="000000"/>
                <w:sz w:val="20"/>
                <w:szCs w:val="20"/>
                <w:lang w:eastAsia="en-US"/>
              </w:rPr>
            </w:pPr>
          </w:p>
        </w:tc>
        <w:tc>
          <w:tcPr>
            <w:tcW w:w="200" w:type="pct"/>
            <w:gridSpan w:val="2"/>
            <w:tcBorders>
              <w:top w:val="nil"/>
              <w:left w:val="nil"/>
              <w:bottom w:val="nil"/>
              <w:right w:val="nil"/>
            </w:tcBorders>
            <w:shd w:val="clear" w:color="auto" w:fill="FFFFFF"/>
            <w:tcMar>
              <w:left w:w="67" w:type="dxa"/>
              <w:right w:w="67" w:type="dxa"/>
            </w:tcMar>
          </w:tcPr>
          <w:p w14:paraId="344C3724" w14:textId="77777777" w:rsidR="00B134A7" w:rsidRPr="00563AD3" w:rsidRDefault="00B134A7" w:rsidP="006D6035">
            <w:pPr>
              <w:spacing w:after="0"/>
              <w:jc w:val="right"/>
              <w:rPr>
                <w:rFonts w:eastAsia="Calibri"/>
                <w:color w:val="000000"/>
                <w:sz w:val="20"/>
                <w:szCs w:val="20"/>
                <w:lang w:eastAsia="en-US"/>
              </w:rPr>
            </w:pPr>
          </w:p>
        </w:tc>
      </w:tr>
      <w:tr w:rsidR="00B134A7" w:rsidRPr="00563AD3" w14:paraId="32B1A8CF" w14:textId="77777777" w:rsidTr="006D6035">
        <w:trPr>
          <w:cantSplit/>
          <w:jc w:val="center"/>
        </w:trPr>
        <w:tc>
          <w:tcPr>
            <w:tcW w:w="1473" w:type="pct"/>
            <w:gridSpan w:val="2"/>
            <w:tcBorders>
              <w:top w:val="nil"/>
              <w:left w:val="nil"/>
              <w:bottom w:val="nil"/>
              <w:right w:val="nil"/>
            </w:tcBorders>
            <w:shd w:val="clear" w:color="auto" w:fill="FFFFFF"/>
            <w:tcMar>
              <w:left w:w="67" w:type="dxa"/>
              <w:right w:w="67" w:type="dxa"/>
            </w:tcMar>
          </w:tcPr>
          <w:p w14:paraId="0154969E" w14:textId="77777777" w:rsidR="00B134A7" w:rsidRPr="00563AD3" w:rsidRDefault="00B134A7" w:rsidP="006D6035">
            <w:pPr>
              <w:spacing w:after="0"/>
              <w:rPr>
                <w:rFonts w:eastAsia="Times New Roman"/>
                <w:color w:val="000000"/>
                <w:sz w:val="20"/>
                <w:szCs w:val="20"/>
              </w:rPr>
            </w:pPr>
            <w:r w:rsidRPr="00563AD3">
              <w:rPr>
                <w:rFonts w:eastAsia="Times New Roman"/>
                <w:b/>
                <w:color w:val="000000"/>
                <w:sz w:val="20"/>
                <w:szCs w:val="20"/>
              </w:rPr>
              <w:t>6</w:t>
            </w:r>
            <w:r>
              <w:rPr>
                <w:rFonts w:eastAsia="Times New Roman"/>
                <w:b/>
                <w:color w:val="000000"/>
                <w:sz w:val="20"/>
                <w:szCs w:val="20"/>
              </w:rPr>
              <w:t>-months</w:t>
            </w:r>
          </w:p>
        </w:tc>
        <w:tc>
          <w:tcPr>
            <w:tcW w:w="304" w:type="pct"/>
            <w:tcBorders>
              <w:top w:val="nil"/>
              <w:left w:val="nil"/>
              <w:bottom w:val="nil"/>
              <w:right w:val="nil"/>
            </w:tcBorders>
            <w:shd w:val="clear" w:color="auto" w:fill="FFFFFF"/>
          </w:tcPr>
          <w:p w14:paraId="2522EE29" w14:textId="77777777" w:rsidR="00B134A7" w:rsidRPr="00563AD3" w:rsidRDefault="00B134A7" w:rsidP="006D6035">
            <w:pPr>
              <w:spacing w:after="0"/>
              <w:jc w:val="right"/>
              <w:rPr>
                <w:rFonts w:eastAsia="Calibri"/>
                <w:color w:val="000000"/>
                <w:sz w:val="20"/>
                <w:szCs w:val="20"/>
                <w:lang w:eastAsia="en-US"/>
              </w:rPr>
            </w:pPr>
          </w:p>
        </w:tc>
        <w:tc>
          <w:tcPr>
            <w:tcW w:w="457" w:type="pct"/>
            <w:gridSpan w:val="2"/>
            <w:tcBorders>
              <w:top w:val="nil"/>
              <w:left w:val="nil"/>
              <w:bottom w:val="nil"/>
              <w:right w:val="nil"/>
            </w:tcBorders>
            <w:shd w:val="clear" w:color="auto" w:fill="FFFFFF"/>
          </w:tcPr>
          <w:p w14:paraId="48176EAA" w14:textId="77777777" w:rsidR="00B134A7" w:rsidRPr="00563AD3" w:rsidRDefault="00B134A7" w:rsidP="006D6035">
            <w:pPr>
              <w:spacing w:after="0"/>
              <w:jc w:val="right"/>
              <w:rPr>
                <w:rFonts w:eastAsia="Calibri"/>
                <w:color w:val="000000"/>
                <w:sz w:val="20"/>
                <w:szCs w:val="20"/>
                <w:lang w:eastAsia="en-US"/>
              </w:rPr>
            </w:pPr>
          </w:p>
        </w:tc>
        <w:tc>
          <w:tcPr>
            <w:tcW w:w="457" w:type="pct"/>
            <w:gridSpan w:val="2"/>
            <w:tcBorders>
              <w:top w:val="nil"/>
              <w:left w:val="nil"/>
              <w:bottom w:val="nil"/>
              <w:right w:val="nil"/>
            </w:tcBorders>
            <w:shd w:val="clear" w:color="auto" w:fill="FFFFFF"/>
            <w:tcMar>
              <w:left w:w="67" w:type="dxa"/>
              <w:right w:w="67" w:type="dxa"/>
            </w:tcMar>
          </w:tcPr>
          <w:p w14:paraId="45FD57F2" w14:textId="77777777" w:rsidR="00B134A7" w:rsidRPr="00563AD3" w:rsidRDefault="00B134A7" w:rsidP="006D6035">
            <w:pPr>
              <w:spacing w:after="0"/>
              <w:jc w:val="right"/>
              <w:rPr>
                <w:rFonts w:eastAsia="Calibri"/>
                <w:color w:val="000000"/>
                <w:sz w:val="20"/>
                <w:szCs w:val="20"/>
                <w:lang w:eastAsia="en-US"/>
              </w:rPr>
            </w:pPr>
          </w:p>
        </w:tc>
        <w:tc>
          <w:tcPr>
            <w:tcW w:w="457" w:type="pct"/>
            <w:gridSpan w:val="2"/>
            <w:tcBorders>
              <w:top w:val="nil"/>
              <w:left w:val="nil"/>
              <w:bottom w:val="nil"/>
              <w:right w:val="nil"/>
            </w:tcBorders>
            <w:shd w:val="clear" w:color="auto" w:fill="FFFFFF"/>
            <w:tcMar>
              <w:left w:w="67" w:type="dxa"/>
              <w:right w:w="67" w:type="dxa"/>
            </w:tcMar>
          </w:tcPr>
          <w:p w14:paraId="2323BB87" w14:textId="77777777" w:rsidR="00B134A7" w:rsidRPr="00563AD3" w:rsidRDefault="00B134A7" w:rsidP="006D6035">
            <w:pPr>
              <w:spacing w:after="0"/>
              <w:jc w:val="right"/>
              <w:rPr>
                <w:rFonts w:eastAsia="Calibri"/>
                <w:color w:val="000000"/>
                <w:sz w:val="20"/>
                <w:szCs w:val="20"/>
                <w:lang w:eastAsia="en-US"/>
              </w:rPr>
            </w:pPr>
          </w:p>
        </w:tc>
        <w:tc>
          <w:tcPr>
            <w:tcW w:w="457" w:type="pct"/>
            <w:gridSpan w:val="2"/>
            <w:tcBorders>
              <w:top w:val="nil"/>
              <w:left w:val="nil"/>
              <w:bottom w:val="nil"/>
              <w:right w:val="nil"/>
            </w:tcBorders>
            <w:shd w:val="clear" w:color="auto" w:fill="FFFFFF"/>
            <w:tcMar>
              <w:left w:w="67" w:type="dxa"/>
              <w:right w:w="67" w:type="dxa"/>
            </w:tcMar>
          </w:tcPr>
          <w:p w14:paraId="2CDDF100" w14:textId="77777777" w:rsidR="00B134A7" w:rsidRPr="00563AD3" w:rsidRDefault="00B134A7" w:rsidP="006D6035">
            <w:pPr>
              <w:spacing w:after="0"/>
              <w:jc w:val="right"/>
              <w:rPr>
                <w:rFonts w:eastAsia="Calibri"/>
                <w:color w:val="000000"/>
                <w:sz w:val="20"/>
                <w:szCs w:val="20"/>
                <w:lang w:eastAsia="en-US"/>
              </w:rPr>
            </w:pPr>
          </w:p>
        </w:tc>
        <w:tc>
          <w:tcPr>
            <w:tcW w:w="371" w:type="pct"/>
            <w:gridSpan w:val="2"/>
            <w:tcBorders>
              <w:top w:val="nil"/>
              <w:left w:val="nil"/>
              <w:bottom w:val="nil"/>
              <w:right w:val="nil"/>
            </w:tcBorders>
            <w:shd w:val="clear" w:color="auto" w:fill="FFFFFF"/>
            <w:tcMar>
              <w:left w:w="67" w:type="dxa"/>
              <w:right w:w="67" w:type="dxa"/>
            </w:tcMar>
          </w:tcPr>
          <w:p w14:paraId="5973675D" w14:textId="77777777" w:rsidR="00B134A7" w:rsidRPr="00563AD3" w:rsidRDefault="00B134A7" w:rsidP="006D6035">
            <w:pPr>
              <w:spacing w:after="0"/>
              <w:jc w:val="right"/>
              <w:rPr>
                <w:rFonts w:eastAsia="Calibri"/>
                <w:color w:val="000000"/>
                <w:sz w:val="20"/>
                <w:szCs w:val="20"/>
                <w:lang w:eastAsia="en-US"/>
              </w:rPr>
            </w:pPr>
          </w:p>
        </w:tc>
        <w:tc>
          <w:tcPr>
            <w:tcW w:w="442" w:type="pct"/>
            <w:tcBorders>
              <w:top w:val="nil"/>
              <w:left w:val="nil"/>
              <w:bottom w:val="nil"/>
              <w:right w:val="nil"/>
            </w:tcBorders>
            <w:shd w:val="clear" w:color="auto" w:fill="FFFFFF"/>
            <w:tcMar>
              <w:left w:w="67" w:type="dxa"/>
              <w:right w:w="67" w:type="dxa"/>
            </w:tcMar>
          </w:tcPr>
          <w:p w14:paraId="3B5136DF" w14:textId="77777777" w:rsidR="00B134A7" w:rsidRPr="00563AD3" w:rsidRDefault="00B134A7" w:rsidP="006D6035">
            <w:pPr>
              <w:spacing w:after="0"/>
              <w:jc w:val="right"/>
              <w:rPr>
                <w:rFonts w:eastAsia="Calibri"/>
                <w:color w:val="000000"/>
                <w:sz w:val="20"/>
                <w:szCs w:val="20"/>
                <w:lang w:eastAsia="en-US"/>
              </w:rPr>
            </w:pPr>
          </w:p>
        </w:tc>
        <w:tc>
          <w:tcPr>
            <w:tcW w:w="382" w:type="pct"/>
            <w:gridSpan w:val="2"/>
            <w:tcBorders>
              <w:top w:val="nil"/>
              <w:left w:val="nil"/>
              <w:bottom w:val="nil"/>
              <w:right w:val="nil"/>
            </w:tcBorders>
            <w:shd w:val="clear" w:color="auto" w:fill="FFFFFF"/>
          </w:tcPr>
          <w:p w14:paraId="35B2EBEB" w14:textId="77777777" w:rsidR="00B134A7" w:rsidRPr="00563AD3" w:rsidRDefault="00B134A7" w:rsidP="006D6035">
            <w:pPr>
              <w:spacing w:after="0"/>
              <w:jc w:val="right"/>
              <w:rPr>
                <w:rFonts w:eastAsia="Calibri"/>
                <w:color w:val="000000"/>
                <w:sz w:val="20"/>
                <w:szCs w:val="20"/>
                <w:lang w:eastAsia="en-US"/>
              </w:rPr>
            </w:pPr>
          </w:p>
        </w:tc>
        <w:tc>
          <w:tcPr>
            <w:tcW w:w="200" w:type="pct"/>
            <w:gridSpan w:val="2"/>
            <w:tcBorders>
              <w:top w:val="nil"/>
              <w:left w:val="nil"/>
              <w:bottom w:val="nil"/>
              <w:right w:val="nil"/>
            </w:tcBorders>
            <w:shd w:val="clear" w:color="auto" w:fill="FFFFFF"/>
            <w:tcMar>
              <w:left w:w="67" w:type="dxa"/>
              <w:right w:w="67" w:type="dxa"/>
            </w:tcMar>
          </w:tcPr>
          <w:p w14:paraId="2C116738" w14:textId="77777777" w:rsidR="00B134A7" w:rsidRPr="00563AD3" w:rsidRDefault="00B134A7" w:rsidP="006D6035">
            <w:pPr>
              <w:spacing w:after="0"/>
              <w:jc w:val="right"/>
              <w:rPr>
                <w:rFonts w:eastAsia="Calibri"/>
                <w:color w:val="000000"/>
                <w:sz w:val="20"/>
                <w:szCs w:val="20"/>
                <w:lang w:eastAsia="en-US"/>
              </w:rPr>
            </w:pPr>
          </w:p>
        </w:tc>
      </w:tr>
      <w:tr w:rsidR="00B134A7" w:rsidRPr="00563AD3" w14:paraId="55A6ADBB" w14:textId="77777777" w:rsidTr="006D6035">
        <w:trPr>
          <w:cantSplit/>
          <w:jc w:val="center"/>
        </w:trPr>
        <w:tc>
          <w:tcPr>
            <w:tcW w:w="1473" w:type="pct"/>
            <w:gridSpan w:val="2"/>
            <w:tcBorders>
              <w:top w:val="nil"/>
              <w:left w:val="nil"/>
              <w:bottom w:val="nil"/>
              <w:right w:val="nil"/>
            </w:tcBorders>
            <w:shd w:val="clear" w:color="auto" w:fill="FFFFFF"/>
            <w:tcMar>
              <w:left w:w="67" w:type="dxa"/>
              <w:right w:w="67" w:type="dxa"/>
            </w:tcMar>
          </w:tcPr>
          <w:p w14:paraId="64A5E264" w14:textId="77777777" w:rsidR="00B134A7" w:rsidRPr="00563AD3" w:rsidRDefault="00B134A7" w:rsidP="006D6035">
            <w:pPr>
              <w:spacing w:after="0"/>
              <w:rPr>
                <w:rFonts w:eastAsia="Times New Roman"/>
                <w:color w:val="000000"/>
                <w:sz w:val="20"/>
                <w:szCs w:val="20"/>
              </w:rPr>
            </w:pPr>
            <w:r w:rsidRPr="00563AD3">
              <w:rPr>
                <w:rFonts w:eastAsia="Times New Roman"/>
                <w:color w:val="000000"/>
                <w:sz w:val="20"/>
                <w:szCs w:val="20"/>
              </w:rPr>
              <w:t>CMAI</w:t>
            </w:r>
          </w:p>
        </w:tc>
        <w:tc>
          <w:tcPr>
            <w:tcW w:w="304" w:type="pct"/>
            <w:tcBorders>
              <w:top w:val="nil"/>
              <w:left w:val="nil"/>
              <w:bottom w:val="nil"/>
              <w:right w:val="nil"/>
            </w:tcBorders>
            <w:shd w:val="clear" w:color="auto" w:fill="FFFFFF"/>
          </w:tcPr>
          <w:p w14:paraId="4AEB0453"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43.44</w:t>
            </w:r>
          </w:p>
        </w:tc>
        <w:tc>
          <w:tcPr>
            <w:tcW w:w="457" w:type="pct"/>
            <w:gridSpan w:val="2"/>
            <w:tcBorders>
              <w:top w:val="nil"/>
              <w:left w:val="nil"/>
              <w:bottom w:val="nil"/>
              <w:right w:val="nil"/>
            </w:tcBorders>
            <w:shd w:val="clear" w:color="auto" w:fill="FFFFFF"/>
          </w:tcPr>
          <w:p w14:paraId="3511B081"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44.04</w:t>
            </w:r>
          </w:p>
        </w:tc>
        <w:tc>
          <w:tcPr>
            <w:tcW w:w="457" w:type="pct"/>
            <w:gridSpan w:val="2"/>
            <w:tcBorders>
              <w:top w:val="nil"/>
              <w:left w:val="nil"/>
              <w:bottom w:val="nil"/>
              <w:right w:val="nil"/>
            </w:tcBorders>
            <w:shd w:val="clear" w:color="auto" w:fill="FFFFFF"/>
            <w:tcMar>
              <w:left w:w="67" w:type="dxa"/>
              <w:right w:w="67" w:type="dxa"/>
            </w:tcMar>
          </w:tcPr>
          <w:p w14:paraId="02AD223A"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0.59</w:t>
            </w:r>
          </w:p>
        </w:tc>
        <w:tc>
          <w:tcPr>
            <w:tcW w:w="457" w:type="pct"/>
            <w:gridSpan w:val="2"/>
            <w:tcBorders>
              <w:top w:val="nil"/>
              <w:left w:val="nil"/>
              <w:bottom w:val="nil"/>
              <w:right w:val="nil"/>
            </w:tcBorders>
            <w:shd w:val="clear" w:color="auto" w:fill="FFFFFF"/>
            <w:tcMar>
              <w:left w:w="67" w:type="dxa"/>
              <w:right w:w="67" w:type="dxa"/>
            </w:tcMar>
          </w:tcPr>
          <w:p w14:paraId="4706CAFC"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-1.98</w:t>
            </w:r>
          </w:p>
        </w:tc>
        <w:tc>
          <w:tcPr>
            <w:tcW w:w="457" w:type="pct"/>
            <w:gridSpan w:val="2"/>
            <w:tcBorders>
              <w:top w:val="nil"/>
              <w:left w:val="nil"/>
              <w:bottom w:val="nil"/>
              <w:right w:val="nil"/>
            </w:tcBorders>
            <w:shd w:val="clear" w:color="auto" w:fill="FFFFFF"/>
            <w:tcMar>
              <w:left w:w="67" w:type="dxa"/>
              <w:right w:w="67" w:type="dxa"/>
            </w:tcMar>
          </w:tcPr>
          <w:p w14:paraId="6AA5FD10"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3.17</w:t>
            </w:r>
          </w:p>
        </w:tc>
        <w:tc>
          <w:tcPr>
            <w:tcW w:w="371" w:type="pct"/>
            <w:gridSpan w:val="2"/>
            <w:tcBorders>
              <w:top w:val="nil"/>
              <w:left w:val="nil"/>
              <w:bottom w:val="nil"/>
              <w:right w:val="nil"/>
            </w:tcBorders>
            <w:shd w:val="clear" w:color="auto" w:fill="FFFFFF"/>
            <w:tcMar>
              <w:left w:w="67" w:type="dxa"/>
              <w:right w:w="67" w:type="dxa"/>
            </w:tcMar>
          </w:tcPr>
          <w:p w14:paraId="7CEA45A5"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0.653</w:t>
            </w:r>
          </w:p>
        </w:tc>
        <w:tc>
          <w:tcPr>
            <w:tcW w:w="442" w:type="pct"/>
            <w:tcBorders>
              <w:top w:val="nil"/>
              <w:left w:val="nil"/>
              <w:bottom w:val="nil"/>
              <w:right w:val="nil"/>
            </w:tcBorders>
            <w:shd w:val="clear" w:color="auto" w:fill="FFFFFF"/>
            <w:tcMar>
              <w:left w:w="67" w:type="dxa"/>
              <w:right w:w="67" w:type="dxa"/>
            </w:tcMar>
          </w:tcPr>
          <w:p w14:paraId="427ECE4A"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0.049</w:t>
            </w:r>
          </w:p>
        </w:tc>
        <w:tc>
          <w:tcPr>
            <w:tcW w:w="382" w:type="pct"/>
            <w:gridSpan w:val="2"/>
            <w:tcBorders>
              <w:top w:val="nil"/>
              <w:left w:val="nil"/>
              <w:bottom w:val="nil"/>
              <w:right w:val="nil"/>
            </w:tcBorders>
            <w:shd w:val="clear" w:color="auto" w:fill="FFFFFF"/>
          </w:tcPr>
          <w:p w14:paraId="15BCD6C2"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0.001</w:t>
            </w:r>
          </w:p>
        </w:tc>
        <w:tc>
          <w:tcPr>
            <w:tcW w:w="200" w:type="pct"/>
            <w:gridSpan w:val="2"/>
            <w:tcBorders>
              <w:top w:val="nil"/>
              <w:left w:val="nil"/>
              <w:bottom w:val="nil"/>
              <w:right w:val="nil"/>
            </w:tcBorders>
            <w:shd w:val="clear" w:color="auto" w:fill="FFFFFF"/>
            <w:tcMar>
              <w:left w:w="67" w:type="dxa"/>
              <w:right w:w="67" w:type="dxa"/>
            </w:tcMar>
          </w:tcPr>
          <w:p w14:paraId="08879D35"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726</w:t>
            </w:r>
          </w:p>
        </w:tc>
      </w:tr>
      <w:tr w:rsidR="00B134A7" w:rsidRPr="00563AD3" w14:paraId="3AFE062D" w14:textId="77777777" w:rsidTr="006D6035">
        <w:trPr>
          <w:cantSplit/>
          <w:jc w:val="center"/>
        </w:trPr>
        <w:tc>
          <w:tcPr>
            <w:tcW w:w="1473" w:type="pct"/>
            <w:gridSpan w:val="2"/>
            <w:tcBorders>
              <w:top w:val="nil"/>
              <w:left w:val="nil"/>
              <w:bottom w:val="nil"/>
              <w:right w:val="nil"/>
            </w:tcBorders>
            <w:shd w:val="clear" w:color="auto" w:fill="FFFFFF"/>
            <w:tcMar>
              <w:left w:w="67" w:type="dxa"/>
              <w:right w:w="67" w:type="dxa"/>
            </w:tcMar>
          </w:tcPr>
          <w:p w14:paraId="7663B09A" w14:textId="77777777" w:rsidR="00B134A7" w:rsidRPr="00563AD3" w:rsidRDefault="00B134A7" w:rsidP="006D6035">
            <w:pPr>
              <w:spacing w:after="0"/>
              <w:rPr>
                <w:rFonts w:eastAsia="Times New Roman"/>
                <w:color w:val="000000"/>
                <w:sz w:val="20"/>
                <w:szCs w:val="20"/>
              </w:rPr>
            </w:pPr>
            <w:r w:rsidRPr="00563AD3">
              <w:rPr>
                <w:rFonts w:eastAsia="Times New Roman"/>
                <w:color w:val="000000"/>
                <w:sz w:val="20"/>
                <w:szCs w:val="20"/>
              </w:rPr>
              <w:t>CMAI-O (AM)</w:t>
            </w:r>
          </w:p>
        </w:tc>
        <w:tc>
          <w:tcPr>
            <w:tcW w:w="304" w:type="pct"/>
            <w:tcBorders>
              <w:top w:val="nil"/>
              <w:left w:val="nil"/>
              <w:bottom w:val="nil"/>
              <w:right w:val="nil"/>
            </w:tcBorders>
            <w:shd w:val="clear" w:color="auto" w:fill="FFFFFF"/>
          </w:tcPr>
          <w:p w14:paraId="697B03B2"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31.40</w:t>
            </w:r>
          </w:p>
        </w:tc>
        <w:tc>
          <w:tcPr>
            <w:tcW w:w="457" w:type="pct"/>
            <w:gridSpan w:val="2"/>
            <w:tcBorders>
              <w:top w:val="nil"/>
              <w:left w:val="nil"/>
              <w:bottom w:val="nil"/>
              <w:right w:val="nil"/>
            </w:tcBorders>
            <w:shd w:val="clear" w:color="auto" w:fill="FFFFFF"/>
          </w:tcPr>
          <w:p w14:paraId="2F49B854"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31.86</w:t>
            </w:r>
          </w:p>
        </w:tc>
        <w:tc>
          <w:tcPr>
            <w:tcW w:w="457" w:type="pct"/>
            <w:gridSpan w:val="2"/>
            <w:tcBorders>
              <w:top w:val="nil"/>
              <w:left w:val="nil"/>
              <w:bottom w:val="nil"/>
              <w:right w:val="nil"/>
            </w:tcBorders>
            <w:shd w:val="clear" w:color="auto" w:fill="FFFFFF"/>
            <w:tcMar>
              <w:left w:w="67" w:type="dxa"/>
              <w:right w:w="67" w:type="dxa"/>
            </w:tcMar>
          </w:tcPr>
          <w:p w14:paraId="3A31413D"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0.46</w:t>
            </w:r>
          </w:p>
        </w:tc>
        <w:tc>
          <w:tcPr>
            <w:tcW w:w="457" w:type="pct"/>
            <w:gridSpan w:val="2"/>
            <w:tcBorders>
              <w:top w:val="nil"/>
              <w:left w:val="nil"/>
              <w:bottom w:val="nil"/>
              <w:right w:val="nil"/>
            </w:tcBorders>
            <w:shd w:val="clear" w:color="auto" w:fill="FFFFFF"/>
            <w:tcMar>
              <w:left w:w="67" w:type="dxa"/>
              <w:right w:w="67" w:type="dxa"/>
            </w:tcMar>
          </w:tcPr>
          <w:p w14:paraId="0EA08905"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-0.37</w:t>
            </w:r>
          </w:p>
        </w:tc>
        <w:tc>
          <w:tcPr>
            <w:tcW w:w="457" w:type="pct"/>
            <w:gridSpan w:val="2"/>
            <w:tcBorders>
              <w:top w:val="nil"/>
              <w:left w:val="nil"/>
              <w:bottom w:val="nil"/>
              <w:right w:val="nil"/>
            </w:tcBorders>
            <w:shd w:val="clear" w:color="auto" w:fill="FFFFFF"/>
            <w:tcMar>
              <w:left w:w="67" w:type="dxa"/>
              <w:right w:w="67" w:type="dxa"/>
            </w:tcMar>
          </w:tcPr>
          <w:p w14:paraId="3FB53FB6"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1.30</w:t>
            </w:r>
          </w:p>
        </w:tc>
        <w:tc>
          <w:tcPr>
            <w:tcW w:w="371" w:type="pct"/>
            <w:gridSpan w:val="2"/>
            <w:tcBorders>
              <w:top w:val="nil"/>
              <w:left w:val="nil"/>
              <w:bottom w:val="nil"/>
              <w:right w:val="nil"/>
            </w:tcBorders>
            <w:shd w:val="clear" w:color="auto" w:fill="FFFFFF"/>
            <w:tcMar>
              <w:left w:w="67" w:type="dxa"/>
              <w:right w:w="67" w:type="dxa"/>
            </w:tcMar>
          </w:tcPr>
          <w:p w14:paraId="2759FA1E"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0.276</w:t>
            </w:r>
          </w:p>
        </w:tc>
        <w:tc>
          <w:tcPr>
            <w:tcW w:w="442" w:type="pct"/>
            <w:tcBorders>
              <w:top w:val="nil"/>
              <w:left w:val="nil"/>
              <w:bottom w:val="nil"/>
              <w:right w:val="nil"/>
            </w:tcBorders>
            <w:shd w:val="clear" w:color="auto" w:fill="FFFFFF"/>
            <w:tcMar>
              <w:left w:w="67" w:type="dxa"/>
              <w:right w:w="67" w:type="dxa"/>
            </w:tcMar>
          </w:tcPr>
          <w:p w14:paraId="41DD11F0"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0.019</w:t>
            </w:r>
          </w:p>
        </w:tc>
        <w:tc>
          <w:tcPr>
            <w:tcW w:w="382" w:type="pct"/>
            <w:gridSpan w:val="2"/>
            <w:tcBorders>
              <w:top w:val="nil"/>
              <w:left w:val="nil"/>
              <w:bottom w:val="nil"/>
              <w:right w:val="nil"/>
            </w:tcBorders>
            <w:shd w:val="clear" w:color="auto" w:fill="FFFFFF"/>
          </w:tcPr>
          <w:p w14:paraId="5905F123"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0.000</w:t>
            </w:r>
          </w:p>
        </w:tc>
        <w:tc>
          <w:tcPr>
            <w:tcW w:w="200" w:type="pct"/>
            <w:gridSpan w:val="2"/>
            <w:tcBorders>
              <w:top w:val="nil"/>
              <w:left w:val="nil"/>
              <w:bottom w:val="nil"/>
              <w:right w:val="nil"/>
            </w:tcBorders>
            <w:shd w:val="clear" w:color="auto" w:fill="FFFFFF"/>
            <w:tcMar>
              <w:left w:w="67" w:type="dxa"/>
              <w:right w:w="67" w:type="dxa"/>
            </w:tcMar>
          </w:tcPr>
          <w:p w14:paraId="5400BA75"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726</w:t>
            </w:r>
          </w:p>
        </w:tc>
      </w:tr>
      <w:tr w:rsidR="00B134A7" w:rsidRPr="00563AD3" w14:paraId="464E05BC" w14:textId="77777777" w:rsidTr="006D6035">
        <w:trPr>
          <w:cantSplit/>
          <w:jc w:val="center"/>
        </w:trPr>
        <w:tc>
          <w:tcPr>
            <w:tcW w:w="1473" w:type="pct"/>
            <w:gridSpan w:val="2"/>
            <w:tcBorders>
              <w:top w:val="nil"/>
              <w:left w:val="nil"/>
              <w:bottom w:val="nil"/>
              <w:right w:val="nil"/>
            </w:tcBorders>
            <w:shd w:val="clear" w:color="auto" w:fill="FFFFFF"/>
            <w:tcMar>
              <w:left w:w="67" w:type="dxa"/>
              <w:right w:w="67" w:type="dxa"/>
            </w:tcMar>
          </w:tcPr>
          <w:p w14:paraId="3E3FC6DD" w14:textId="77777777" w:rsidR="00B134A7" w:rsidRPr="00563AD3" w:rsidRDefault="00B134A7" w:rsidP="006D6035">
            <w:pPr>
              <w:spacing w:after="0"/>
              <w:rPr>
                <w:rFonts w:eastAsia="Times New Roman"/>
                <w:color w:val="000000"/>
                <w:sz w:val="20"/>
                <w:szCs w:val="20"/>
              </w:rPr>
            </w:pPr>
            <w:r w:rsidRPr="00563AD3">
              <w:rPr>
                <w:rFonts w:eastAsia="Times New Roman"/>
                <w:color w:val="000000"/>
                <w:sz w:val="20"/>
                <w:szCs w:val="20"/>
              </w:rPr>
              <w:t>CMAI-O (PM)</w:t>
            </w:r>
          </w:p>
        </w:tc>
        <w:tc>
          <w:tcPr>
            <w:tcW w:w="304" w:type="pct"/>
            <w:tcBorders>
              <w:top w:val="nil"/>
              <w:left w:val="nil"/>
              <w:bottom w:val="nil"/>
              <w:right w:val="nil"/>
            </w:tcBorders>
            <w:shd w:val="clear" w:color="auto" w:fill="FFFFFF"/>
          </w:tcPr>
          <w:p w14:paraId="2FBCCFF2"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31.64</w:t>
            </w:r>
          </w:p>
        </w:tc>
        <w:tc>
          <w:tcPr>
            <w:tcW w:w="457" w:type="pct"/>
            <w:gridSpan w:val="2"/>
            <w:tcBorders>
              <w:top w:val="nil"/>
              <w:left w:val="nil"/>
              <w:bottom w:val="nil"/>
              <w:right w:val="nil"/>
            </w:tcBorders>
            <w:shd w:val="clear" w:color="auto" w:fill="FFFFFF"/>
          </w:tcPr>
          <w:p w14:paraId="79825193"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32.20</w:t>
            </w:r>
          </w:p>
        </w:tc>
        <w:tc>
          <w:tcPr>
            <w:tcW w:w="457" w:type="pct"/>
            <w:gridSpan w:val="2"/>
            <w:tcBorders>
              <w:top w:val="nil"/>
              <w:left w:val="nil"/>
              <w:bottom w:val="nil"/>
              <w:right w:val="nil"/>
            </w:tcBorders>
            <w:shd w:val="clear" w:color="auto" w:fill="FFFFFF"/>
            <w:tcMar>
              <w:left w:w="67" w:type="dxa"/>
              <w:right w:w="67" w:type="dxa"/>
            </w:tcMar>
          </w:tcPr>
          <w:p w14:paraId="17806C5E"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0.57</w:t>
            </w:r>
          </w:p>
        </w:tc>
        <w:tc>
          <w:tcPr>
            <w:tcW w:w="457" w:type="pct"/>
            <w:gridSpan w:val="2"/>
            <w:tcBorders>
              <w:top w:val="nil"/>
              <w:left w:val="nil"/>
              <w:bottom w:val="nil"/>
              <w:right w:val="nil"/>
            </w:tcBorders>
            <w:shd w:val="clear" w:color="auto" w:fill="FFFFFF"/>
            <w:tcMar>
              <w:left w:w="67" w:type="dxa"/>
              <w:right w:w="67" w:type="dxa"/>
            </w:tcMar>
          </w:tcPr>
          <w:p w14:paraId="34C9FE48"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-0.27</w:t>
            </w:r>
          </w:p>
        </w:tc>
        <w:tc>
          <w:tcPr>
            <w:tcW w:w="457" w:type="pct"/>
            <w:gridSpan w:val="2"/>
            <w:tcBorders>
              <w:top w:val="nil"/>
              <w:left w:val="nil"/>
              <w:bottom w:val="nil"/>
              <w:right w:val="nil"/>
            </w:tcBorders>
            <w:shd w:val="clear" w:color="auto" w:fill="FFFFFF"/>
            <w:tcMar>
              <w:left w:w="67" w:type="dxa"/>
              <w:right w:w="67" w:type="dxa"/>
            </w:tcMar>
          </w:tcPr>
          <w:p w14:paraId="442CE979"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1.40</w:t>
            </w:r>
          </w:p>
        </w:tc>
        <w:tc>
          <w:tcPr>
            <w:tcW w:w="371" w:type="pct"/>
            <w:gridSpan w:val="2"/>
            <w:tcBorders>
              <w:top w:val="nil"/>
              <w:left w:val="nil"/>
              <w:bottom w:val="nil"/>
              <w:right w:val="nil"/>
            </w:tcBorders>
            <w:shd w:val="clear" w:color="auto" w:fill="FFFFFF"/>
            <w:tcMar>
              <w:left w:w="67" w:type="dxa"/>
              <w:right w:w="67" w:type="dxa"/>
            </w:tcMar>
          </w:tcPr>
          <w:p w14:paraId="0A058E38"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0.182</w:t>
            </w:r>
          </w:p>
        </w:tc>
        <w:tc>
          <w:tcPr>
            <w:tcW w:w="442" w:type="pct"/>
            <w:tcBorders>
              <w:top w:val="nil"/>
              <w:left w:val="nil"/>
              <w:bottom w:val="nil"/>
              <w:right w:val="nil"/>
            </w:tcBorders>
            <w:shd w:val="clear" w:color="auto" w:fill="FFFFFF"/>
            <w:tcMar>
              <w:left w:w="67" w:type="dxa"/>
              <w:right w:w="67" w:type="dxa"/>
            </w:tcMar>
          </w:tcPr>
          <w:p w14:paraId="122DA3DB"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0.023</w:t>
            </w:r>
          </w:p>
        </w:tc>
        <w:tc>
          <w:tcPr>
            <w:tcW w:w="382" w:type="pct"/>
            <w:gridSpan w:val="2"/>
            <w:tcBorders>
              <w:top w:val="nil"/>
              <w:left w:val="nil"/>
              <w:bottom w:val="nil"/>
              <w:right w:val="nil"/>
            </w:tcBorders>
            <w:shd w:val="clear" w:color="auto" w:fill="FFFFFF"/>
          </w:tcPr>
          <w:p w14:paraId="7BF3D428"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0.001</w:t>
            </w:r>
          </w:p>
        </w:tc>
        <w:tc>
          <w:tcPr>
            <w:tcW w:w="200" w:type="pct"/>
            <w:gridSpan w:val="2"/>
            <w:tcBorders>
              <w:top w:val="nil"/>
              <w:left w:val="nil"/>
              <w:bottom w:val="nil"/>
              <w:right w:val="nil"/>
            </w:tcBorders>
            <w:shd w:val="clear" w:color="auto" w:fill="FFFFFF"/>
            <w:tcMar>
              <w:left w:w="67" w:type="dxa"/>
              <w:right w:w="67" w:type="dxa"/>
            </w:tcMar>
          </w:tcPr>
          <w:p w14:paraId="541F0D4C"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726</w:t>
            </w:r>
          </w:p>
        </w:tc>
      </w:tr>
      <w:tr w:rsidR="00B134A7" w:rsidRPr="00563AD3" w14:paraId="51F51D95" w14:textId="77777777" w:rsidTr="006D6035">
        <w:trPr>
          <w:cantSplit/>
          <w:jc w:val="center"/>
        </w:trPr>
        <w:tc>
          <w:tcPr>
            <w:tcW w:w="1473" w:type="pct"/>
            <w:gridSpan w:val="2"/>
            <w:tcBorders>
              <w:top w:val="nil"/>
              <w:left w:val="nil"/>
              <w:bottom w:val="nil"/>
              <w:right w:val="nil"/>
            </w:tcBorders>
            <w:shd w:val="clear" w:color="auto" w:fill="FFFFFF"/>
            <w:tcMar>
              <w:left w:w="67" w:type="dxa"/>
              <w:right w:w="67" w:type="dxa"/>
            </w:tcMar>
          </w:tcPr>
          <w:p w14:paraId="3A3ED111" w14:textId="77777777" w:rsidR="00B134A7" w:rsidRPr="00563AD3" w:rsidRDefault="00B134A7" w:rsidP="006D6035">
            <w:pPr>
              <w:spacing w:after="0"/>
              <w:rPr>
                <w:rFonts w:eastAsia="Times New Roman"/>
                <w:color w:val="000000"/>
                <w:sz w:val="20"/>
                <w:szCs w:val="20"/>
              </w:rPr>
            </w:pPr>
            <w:r w:rsidRPr="00563AD3">
              <w:rPr>
                <w:rFonts w:eastAsia="Times New Roman"/>
                <w:color w:val="000000"/>
                <w:sz w:val="20"/>
                <w:szCs w:val="20"/>
              </w:rPr>
              <w:t>PAS (AM)</w:t>
            </w:r>
          </w:p>
        </w:tc>
        <w:tc>
          <w:tcPr>
            <w:tcW w:w="304" w:type="pct"/>
            <w:tcBorders>
              <w:top w:val="nil"/>
              <w:left w:val="nil"/>
              <w:bottom w:val="nil"/>
              <w:right w:val="nil"/>
            </w:tcBorders>
            <w:shd w:val="clear" w:color="auto" w:fill="FFFFFF"/>
          </w:tcPr>
          <w:p w14:paraId="16E755DD"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1.04</w:t>
            </w:r>
          </w:p>
        </w:tc>
        <w:tc>
          <w:tcPr>
            <w:tcW w:w="457" w:type="pct"/>
            <w:gridSpan w:val="2"/>
            <w:tcBorders>
              <w:top w:val="nil"/>
              <w:left w:val="nil"/>
              <w:bottom w:val="nil"/>
              <w:right w:val="nil"/>
            </w:tcBorders>
            <w:shd w:val="clear" w:color="auto" w:fill="FFFFFF"/>
          </w:tcPr>
          <w:p w14:paraId="43D5CD36"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1.18</w:t>
            </w:r>
          </w:p>
        </w:tc>
        <w:tc>
          <w:tcPr>
            <w:tcW w:w="457" w:type="pct"/>
            <w:gridSpan w:val="2"/>
            <w:tcBorders>
              <w:top w:val="nil"/>
              <w:left w:val="nil"/>
              <w:bottom w:val="nil"/>
              <w:right w:val="nil"/>
            </w:tcBorders>
            <w:shd w:val="clear" w:color="auto" w:fill="FFFFFF"/>
            <w:tcMar>
              <w:left w:w="67" w:type="dxa"/>
              <w:right w:w="67" w:type="dxa"/>
            </w:tcMar>
          </w:tcPr>
          <w:p w14:paraId="7C2E66DB"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0.14</w:t>
            </w:r>
          </w:p>
        </w:tc>
        <w:tc>
          <w:tcPr>
            <w:tcW w:w="457" w:type="pct"/>
            <w:gridSpan w:val="2"/>
            <w:tcBorders>
              <w:top w:val="nil"/>
              <w:left w:val="nil"/>
              <w:bottom w:val="nil"/>
              <w:right w:val="nil"/>
            </w:tcBorders>
            <w:shd w:val="clear" w:color="auto" w:fill="FFFFFF"/>
            <w:tcMar>
              <w:left w:w="67" w:type="dxa"/>
              <w:right w:w="67" w:type="dxa"/>
            </w:tcMar>
          </w:tcPr>
          <w:p w14:paraId="1B2CE263"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-0.24</w:t>
            </w:r>
          </w:p>
        </w:tc>
        <w:tc>
          <w:tcPr>
            <w:tcW w:w="457" w:type="pct"/>
            <w:gridSpan w:val="2"/>
            <w:tcBorders>
              <w:top w:val="nil"/>
              <w:left w:val="nil"/>
              <w:bottom w:val="nil"/>
              <w:right w:val="nil"/>
            </w:tcBorders>
            <w:shd w:val="clear" w:color="auto" w:fill="FFFFFF"/>
            <w:tcMar>
              <w:left w:w="67" w:type="dxa"/>
              <w:right w:w="67" w:type="dxa"/>
            </w:tcMar>
          </w:tcPr>
          <w:p w14:paraId="23F5A923"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0.52</w:t>
            </w:r>
          </w:p>
        </w:tc>
        <w:tc>
          <w:tcPr>
            <w:tcW w:w="371" w:type="pct"/>
            <w:gridSpan w:val="2"/>
            <w:tcBorders>
              <w:top w:val="nil"/>
              <w:left w:val="nil"/>
              <w:bottom w:val="nil"/>
              <w:right w:val="nil"/>
            </w:tcBorders>
            <w:shd w:val="clear" w:color="auto" w:fill="FFFFFF"/>
            <w:tcMar>
              <w:left w:w="67" w:type="dxa"/>
              <w:right w:w="67" w:type="dxa"/>
            </w:tcMar>
          </w:tcPr>
          <w:p w14:paraId="22666DE5"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0.473</w:t>
            </w:r>
          </w:p>
        </w:tc>
        <w:tc>
          <w:tcPr>
            <w:tcW w:w="442" w:type="pct"/>
            <w:tcBorders>
              <w:top w:val="nil"/>
              <w:left w:val="nil"/>
              <w:bottom w:val="nil"/>
              <w:right w:val="nil"/>
            </w:tcBorders>
            <w:shd w:val="clear" w:color="auto" w:fill="FFFFFF"/>
            <w:tcMar>
              <w:left w:w="67" w:type="dxa"/>
              <w:right w:w="67" w:type="dxa"/>
            </w:tcMar>
          </w:tcPr>
          <w:p w14:paraId="4E92BD49"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0.022</w:t>
            </w:r>
          </w:p>
        </w:tc>
        <w:tc>
          <w:tcPr>
            <w:tcW w:w="382" w:type="pct"/>
            <w:gridSpan w:val="2"/>
            <w:tcBorders>
              <w:top w:val="nil"/>
              <w:left w:val="nil"/>
              <w:bottom w:val="nil"/>
              <w:right w:val="nil"/>
            </w:tcBorders>
            <w:shd w:val="clear" w:color="auto" w:fill="FFFFFF"/>
          </w:tcPr>
          <w:p w14:paraId="6E748437"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0.001</w:t>
            </w:r>
          </w:p>
        </w:tc>
        <w:tc>
          <w:tcPr>
            <w:tcW w:w="200" w:type="pct"/>
            <w:gridSpan w:val="2"/>
            <w:tcBorders>
              <w:top w:val="nil"/>
              <w:left w:val="nil"/>
              <w:bottom w:val="nil"/>
              <w:right w:val="nil"/>
            </w:tcBorders>
            <w:shd w:val="clear" w:color="auto" w:fill="FFFFFF"/>
            <w:tcMar>
              <w:left w:w="67" w:type="dxa"/>
              <w:right w:w="67" w:type="dxa"/>
            </w:tcMar>
          </w:tcPr>
          <w:p w14:paraId="07012500"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726</w:t>
            </w:r>
          </w:p>
        </w:tc>
      </w:tr>
      <w:tr w:rsidR="00B134A7" w:rsidRPr="00563AD3" w14:paraId="508A64CC" w14:textId="77777777" w:rsidTr="006D6035">
        <w:trPr>
          <w:cantSplit/>
          <w:jc w:val="center"/>
        </w:trPr>
        <w:tc>
          <w:tcPr>
            <w:tcW w:w="1473" w:type="pct"/>
            <w:gridSpan w:val="2"/>
            <w:tcBorders>
              <w:top w:val="nil"/>
              <w:left w:val="nil"/>
              <w:bottom w:val="nil"/>
              <w:right w:val="nil"/>
            </w:tcBorders>
            <w:shd w:val="clear" w:color="auto" w:fill="FFFFFF"/>
            <w:tcMar>
              <w:left w:w="67" w:type="dxa"/>
              <w:right w:w="67" w:type="dxa"/>
            </w:tcMar>
          </w:tcPr>
          <w:p w14:paraId="437CB9E4" w14:textId="77777777" w:rsidR="00B134A7" w:rsidRPr="00563AD3" w:rsidRDefault="00B134A7" w:rsidP="006D6035">
            <w:pPr>
              <w:spacing w:after="0"/>
              <w:rPr>
                <w:rFonts w:eastAsia="Times New Roman"/>
                <w:color w:val="000000"/>
                <w:sz w:val="20"/>
                <w:szCs w:val="20"/>
              </w:rPr>
            </w:pPr>
            <w:r w:rsidRPr="00563AD3">
              <w:rPr>
                <w:rFonts w:eastAsia="Times New Roman"/>
                <w:color w:val="000000"/>
                <w:sz w:val="20"/>
                <w:szCs w:val="20"/>
              </w:rPr>
              <w:t>PAS (PM)</w:t>
            </w:r>
          </w:p>
        </w:tc>
        <w:tc>
          <w:tcPr>
            <w:tcW w:w="304" w:type="pct"/>
            <w:tcBorders>
              <w:top w:val="nil"/>
              <w:left w:val="nil"/>
              <w:bottom w:val="nil"/>
              <w:right w:val="nil"/>
            </w:tcBorders>
            <w:shd w:val="clear" w:color="auto" w:fill="FFFFFF"/>
          </w:tcPr>
          <w:p w14:paraId="22F434B9"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1.05</w:t>
            </w:r>
          </w:p>
        </w:tc>
        <w:tc>
          <w:tcPr>
            <w:tcW w:w="457" w:type="pct"/>
            <w:gridSpan w:val="2"/>
            <w:tcBorders>
              <w:top w:val="nil"/>
              <w:left w:val="nil"/>
              <w:bottom w:val="nil"/>
              <w:right w:val="nil"/>
            </w:tcBorders>
            <w:shd w:val="clear" w:color="auto" w:fill="FFFFFF"/>
          </w:tcPr>
          <w:p w14:paraId="0D976F55"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1.23</w:t>
            </w:r>
          </w:p>
        </w:tc>
        <w:tc>
          <w:tcPr>
            <w:tcW w:w="457" w:type="pct"/>
            <w:gridSpan w:val="2"/>
            <w:tcBorders>
              <w:top w:val="nil"/>
              <w:left w:val="nil"/>
              <w:bottom w:val="nil"/>
              <w:right w:val="nil"/>
            </w:tcBorders>
            <w:shd w:val="clear" w:color="auto" w:fill="FFFFFF"/>
            <w:tcMar>
              <w:left w:w="67" w:type="dxa"/>
              <w:right w:w="67" w:type="dxa"/>
            </w:tcMar>
          </w:tcPr>
          <w:p w14:paraId="0596C65B"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0.18</w:t>
            </w:r>
          </w:p>
        </w:tc>
        <w:tc>
          <w:tcPr>
            <w:tcW w:w="457" w:type="pct"/>
            <w:gridSpan w:val="2"/>
            <w:tcBorders>
              <w:top w:val="nil"/>
              <w:left w:val="nil"/>
              <w:bottom w:val="nil"/>
              <w:right w:val="nil"/>
            </w:tcBorders>
            <w:shd w:val="clear" w:color="auto" w:fill="FFFFFF"/>
            <w:tcMar>
              <w:left w:w="67" w:type="dxa"/>
              <w:right w:w="67" w:type="dxa"/>
            </w:tcMar>
          </w:tcPr>
          <w:p w14:paraId="04444690"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-0.20</w:t>
            </w:r>
          </w:p>
        </w:tc>
        <w:tc>
          <w:tcPr>
            <w:tcW w:w="457" w:type="pct"/>
            <w:gridSpan w:val="2"/>
            <w:tcBorders>
              <w:top w:val="nil"/>
              <w:left w:val="nil"/>
              <w:bottom w:val="nil"/>
              <w:right w:val="nil"/>
            </w:tcBorders>
            <w:shd w:val="clear" w:color="auto" w:fill="FFFFFF"/>
            <w:tcMar>
              <w:left w:w="67" w:type="dxa"/>
              <w:right w:w="67" w:type="dxa"/>
            </w:tcMar>
          </w:tcPr>
          <w:p w14:paraId="4A53A9F3"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0.57</w:t>
            </w:r>
          </w:p>
        </w:tc>
        <w:tc>
          <w:tcPr>
            <w:tcW w:w="371" w:type="pct"/>
            <w:gridSpan w:val="2"/>
            <w:tcBorders>
              <w:top w:val="nil"/>
              <w:left w:val="nil"/>
              <w:bottom w:val="nil"/>
              <w:right w:val="nil"/>
            </w:tcBorders>
            <w:shd w:val="clear" w:color="auto" w:fill="FFFFFF"/>
            <w:tcMar>
              <w:left w:w="67" w:type="dxa"/>
              <w:right w:w="67" w:type="dxa"/>
            </w:tcMar>
          </w:tcPr>
          <w:p w14:paraId="06ABAC7E"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0.350</w:t>
            </w:r>
          </w:p>
        </w:tc>
        <w:tc>
          <w:tcPr>
            <w:tcW w:w="442" w:type="pct"/>
            <w:tcBorders>
              <w:top w:val="nil"/>
              <w:left w:val="nil"/>
              <w:bottom w:val="nil"/>
              <w:right w:val="nil"/>
            </w:tcBorders>
            <w:shd w:val="clear" w:color="auto" w:fill="FFFFFF"/>
            <w:tcMar>
              <w:left w:w="67" w:type="dxa"/>
              <w:right w:w="67" w:type="dxa"/>
            </w:tcMar>
          </w:tcPr>
          <w:p w14:paraId="03050FC1"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0.021</w:t>
            </w:r>
          </w:p>
        </w:tc>
        <w:tc>
          <w:tcPr>
            <w:tcW w:w="382" w:type="pct"/>
            <w:gridSpan w:val="2"/>
            <w:tcBorders>
              <w:top w:val="nil"/>
              <w:left w:val="nil"/>
              <w:bottom w:val="nil"/>
              <w:right w:val="nil"/>
            </w:tcBorders>
            <w:shd w:val="clear" w:color="auto" w:fill="FFFFFF"/>
          </w:tcPr>
          <w:p w14:paraId="743A1881"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0.001</w:t>
            </w:r>
          </w:p>
        </w:tc>
        <w:tc>
          <w:tcPr>
            <w:tcW w:w="200" w:type="pct"/>
            <w:gridSpan w:val="2"/>
            <w:tcBorders>
              <w:top w:val="nil"/>
              <w:left w:val="nil"/>
              <w:bottom w:val="nil"/>
              <w:right w:val="nil"/>
            </w:tcBorders>
            <w:shd w:val="clear" w:color="auto" w:fill="FFFFFF"/>
            <w:tcMar>
              <w:left w:w="67" w:type="dxa"/>
              <w:right w:w="67" w:type="dxa"/>
            </w:tcMar>
          </w:tcPr>
          <w:p w14:paraId="73CB124F"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726</w:t>
            </w:r>
          </w:p>
        </w:tc>
      </w:tr>
      <w:tr w:rsidR="00B134A7" w:rsidRPr="00563AD3" w14:paraId="7C801429" w14:textId="77777777" w:rsidTr="006D6035">
        <w:trPr>
          <w:cantSplit/>
          <w:jc w:val="center"/>
        </w:trPr>
        <w:tc>
          <w:tcPr>
            <w:tcW w:w="1473" w:type="pct"/>
            <w:gridSpan w:val="2"/>
            <w:tcBorders>
              <w:top w:val="nil"/>
              <w:left w:val="nil"/>
              <w:bottom w:val="nil"/>
              <w:right w:val="nil"/>
            </w:tcBorders>
            <w:shd w:val="clear" w:color="auto" w:fill="FFFFFF"/>
            <w:tcMar>
              <w:left w:w="67" w:type="dxa"/>
              <w:right w:w="67" w:type="dxa"/>
            </w:tcMar>
          </w:tcPr>
          <w:p w14:paraId="6849C8F0" w14:textId="77777777" w:rsidR="00B134A7" w:rsidRPr="00563AD3" w:rsidRDefault="00B134A7" w:rsidP="006D6035">
            <w:pPr>
              <w:spacing w:after="0"/>
              <w:rPr>
                <w:rFonts w:eastAsia="Times New Roman"/>
                <w:color w:val="000000"/>
                <w:sz w:val="20"/>
                <w:szCs w:val="20"/>
              </w:rPr>
            </w:pPr>
            <w:r w:rsidRPr="00563AD3">
              <w:rPr>
                <w:rFonts w:eastAsia="Times New Roman"/>
                <w:b/>
                <w:color w:val="000000"/>
                <w:sz w:val="20"/>
                <w:szCs w:val="20"/>
              </w:rPr>
              <w:t>16</w:t>
            </w:r>
            <w:r>
              <w:rPr>
                <w:rFonts w:eastAsia="Times New Roman"/>
                <w:b/>
                <w:color w:val="000000"/>
                <w:sz w:val="20"/>
                <w:szCs w:val="20"/>
              </w:rPr>
              <w:t>-months</w:t>
            </w:r>
          </w:p>
        </w:tc>
        <w:tc>
          <w:tcPr>
            <w:tcW w:w="304" w:type="pct"/>
            <w:tcBorders>
              <w:top w:val="nil"/>
              <w:left w:val="nil"/>
              <w:bottom w:val="nil"/>
              <w:right w:val="nil"/>
            </w:tcBorders>
            <w:shd w:val="clear" w:color="auto" w:fill="FFFFFF"/>
          </w:tcPr>
          <w:p w14:paraId="71AE8F6D" w14:textId="77777777" w:rsidR="00B134A7" w:rsidRPr="00563AD3" w:rsidRDefault="00B134A7" w:rsidP="006D6035">
            <w:pPr>
              <w:spacing w:after="0"/>
              <w:jc w:val="right"/>
              <w:rPr>
                <w:rFonts w:eastAsia="Calibri"/>
                <w:color w:val="000000"/>
                <w:sz w:val="20"/>
                <w:szCs w:val="20"/>
                <w:lang w:eastAsia="en-US"/>
              </w:rPr>
            </w:pPr>
          </w:p>
        </w:tc>
        <w:tc>
          <w:tcPr>
            <w:tcW w:w="457" w:type="pct"/>
            <w:gridSpan w:val="2"/>
            <w:tcBorders>
              <w:top w:val="nil"/>
              <w:left w:val="nil"/>
              <w:bottom w:val="nil"/>
              <w:right w:val="nil"/>
            </w:tcBorders>
            <w:shd w:val="clear" w:color="auto" w:fill="FFFFFF"/>
          </w:tcPr>
          <w:p w14:paraId="50C14C8C" w14:textId="77777777" w:rsidR="00B134A7" w:rsidRPr="00563AD3" w:rsidRDefault="00B134A7" w:rsidP="006D6035">
            <w:pPr>
              <w:spacing w:after="0"/>
              <w:jc w:val="right"/>
              <w:rPr>
                <w:rFonts w:eastAsia="Calibri"/>
                <w:color w:val="000000"/>
                <w:sz w:val="20"/>
                <w:szCs w:val="20"/>
                <w:lang w:eastAsia="en-US"/>
              </w:rPr>
            </w:pPr>
          </w:p>
        </w:tc>
        <w:tc>
          <w:tcPr>
            <w:tcW w:w="457" w:type="pct"/>
            <w:gridSpan w:val="2"/>
            <w:tcBorders>
              <w:top w:val="nil"/>
              <w:left w:val="nil"/>
              <w:bottom w:val="nil"/>
              <w:right w:val="nil"/>
            </w:tcBorders>
            <w:shd w:val="clear" w:color="auto" w:fill="FFFFFF"/>
            <w:tcMar>
              <w:left w:w="67" w:type="dxa"/>
              <w:right w:w="67" w:type="dxa"/>
            </w:tcMar>
          </w:tcPr>
          <w:p w14:paraId="22A26BC1" w14:textId="77777777" w:rsidR="00B134A7" w:rsidRPr="00563AD3" w:rsidRDefault="00B134A7" w:rsidP="006D6035">
            <w:pPr>
              <w:spacing w:after="0"/>
              <w:jc w:val="right"/>
              <w:rPr>
                <w:rFonts w:eastAsia="Calibri"/>
                <w:color w:val="000000"/>
                <w:sz w:val="20"/>
                <w:szCs w:val="20"/>
                <w:lang w:eastAsia="en-US"/>
              </w:rPr>
            </w:pPr>
          </w:p>
        </w:tc>
        <w:tc>
          <w:tcPr>
            <w:tcW w:w="457" w:type="pct"/>
            <w:gridSpan w:val="2"/>
            <w:tcBorders>
              <w:top w:val="nil"/>
              <w:left w:val="nil"/>
              <w:bottom w:val="nil"/>
              <w:right w:val="nil"/>
            </w:tcBorders>
            <w:shd w:val="clear" w:color="auto" w:fill="FFFFFF"/>
            <w:tcMar>
              <w:left w:w="67" w:type="dxa"/>
              <w:right w:w="67" w:type="dxa"/>
            </w:tcMar>
          </w:tcPr>
          <w:p w14:paraId="4C0C9D3C" w14:textId="77777777" w:rsidR="00B134A7" w:rsidRPr="00563AD3" w:rsidRDefault="00B134A7" w:rsidP="006D6035">
            <w:pPr>
              <w:spacing w:after="0"/>
              <w:jc w:val="right"/>
              <w:rPr>
                <w:rFonts w:eastAsia="Calibri"/>
                <w:color w:val="000000"/>
                <w:sz w:val="20"/>
                <w:szCs w:val="20"/>
                <w:lang w:eastAsia="en-US"/>
              </w:rPr>
            </w:pPr>
          </w:p>
        </w:tc>
        <w:tc>
          <w:tcPr>
            <w:tcW w:w="457" w:type="pct"/>
            <w:gridSpan w:val="2"/>
            <w:tcBorders>
              <w:top w:val="nil"/>
              <w:left w:val="nil"/>
              <w:bottom w:val="nil"/>
              <w:right w:val="nil"/>
            </w:tcBorders>
            <w:shd w:val="clear" w:color="auto" w:fill="FFFFFF"/>
            <w:tcMar>
              <w:left w:w="67" w:type="dxa"/>
              <w:right w:w="67" w:type="dxa"/>
            </w:tcMar>
          </w:tcPr>
          <w:p w14:paraId="1AF8E3A3" w14:textId="77777777" w:rsidR="00B134A7" w:rsidRPr="00563AD3" w:rsidRDefault="00B134A7" w:rsidP="006D6035">
            <w:pPr>
              <w:spacing w:after="0"/>
              <w:jc w:val="right"/>
              <w:rPr>
                <w:rFonts w:eastAsia="Calibri"/>
                <w:color w:val="000000"/>
                <w:sz w:val="20"/>
                <w:szCs w:val="20"/>
                <w:lang w:eastAsia="en-US"/>
              </w:rPr>
            </w:pPr>
          </w:p>
        </w:tc>
        <w:tc>
          <w:tcPr>
            <w:tcW w:w="371" w:type="pct"/>
            <w:gridSpan w:val="2"/>
            <w:tcBorders>
              <w:top w:val="nil"/>
              <w:left w:val="nil"/>
              <w:bottom w:val="nil"/>
              <w:right w:val="nil"/>
            </w:tcBorders>
            <w:shd w:val="clear" w:color="auto" w:fill="FFFFFF"/>
            <w:tcMar>
              <w:left w:w="67" w:type="dxa"/>
              <w:right w:w="67" w:type="dxa"/>
            </w:tcMar>
          </w:tcPr>
          <w:p w14:paraId="594199B6" w14:textId="77777777" w:rsidR="00B134A7" w:rsidRPr="00563AD3" w:rsidRDefault="00B134A7" w:rsidP="006D6035">
            <w:pPr>
              <w:spacing w:after="0"/>
              <w:jc w:val="right"/>
              <w:rPr>
                <w:rFonts w:eastAsia="Calibri"/>
                <w:color w:val="000000"/>
                <w:sz w:val="20"/>
                <w:szCs w:val="20"/>
                <w:lang w:eastAsia="en-US"/>
              </w:rPr>
            </w:pPr>
          </w:p>
        </w:tc>
        <w:tc>
          <w:tcPr>
            <w:tcW w:w="442" w:type="pct"/>
            <w:tcBorders>
              <w:top w:val="nil"/>
              <w:left w:val="nil"/>
              <w:bottom w:val="nil"/>
              <w:right w:val="nil"/>
            </w:tcBorders>
            <w:shd w:val="clear" w:color="auto" w:fill="FFFFFF"/>
            <w:tcMar>
              <w:left w:w="67" w:type="dxa"/>
              <w:right w:w="67" w:type="dxa"/>
            </w:tcMar>
          </w:tcPr>
          <w:p w14:paraId="44B2CF7B" w14:textId="77777777" w:rsidR="00B134A7" w:rsidRPr="00563AD3" w:rsidRDefault="00B134A7" w:rsidP="006D6035">
            <w:pPr>
              <w:spacing w:after="0"/>
              <w:jc w:val="right"/>
              <w:rPr>
                <w:rFonts w:eastAsia="Calibri"/>
                <w:color w:val="000000"/>
                <w:sz w:val="20"/>
                <w:szCs w:val="20"/>
                <w:lang w:eastAsia="en-US"/>
              </w:rPr>
            </w:pPr>
          </w:p>
        </w:tc>
        <w:tc>
          <w:tcPr>
            <w:tcW w:w="382" w:type="pct"/>
            <w:gridSpan w:val="2"/>
            <w:tcBorders>
              <w:top w:val="nil"/>
              <w:left w:val="nil"/>
              <w:bottom w:val="nil"/>
              <w:right w:val="nil"/>
            </w:tcBorders>
            <w:shd w:val="clear" w:color="auto" w:fill="FFFFFF"/>
          </w:tcPr>
          <w:p w14:paraId="1ACE7EE6" w14:textId="77777777" w:rsidR="00B134A7" w:rsidRPr="00563AD3" w:rsidRDefault="00B134A7" w:rsidP="006D6035">
            <w:pPr>
              <w:spacing w:after="0"/>
              <w:jc w:val="right"/>
              <w:rPr>
                <w:rFonts w:eastAsia="Calibri"/>
                <w:color w:val="000000"/>
                <w:sz w:val="20"/>
                <w:szCs w:val="20"/>
                <w:lang w:eastAsia="en-US"/>
              </w:rPr>
            </w:pPr>
          </w:p>
        </w:tc>
        <w:tc>
          <w:tcPr>
            <w:tcW w:w="200" w:type="pct"/>
            <w:gridSpan w:val="2"/>
            <w:tcBorders>
              <w:top w:val="nil"/>
              <w:left w:val="nil"/>
              <w:bottom w:val="nil"/>
              <w:right w:val="nil"/>
            </w:tcBorders>
            <w:shd w:val="clear" w:color="auto" w:fill="FFFFFF"/>
            <w:tcMar>
              <w:left w:w="67" w:type="dxa"/>
              <w:right w:w="67" w:type="dxa"/>
            </w:tcMar>
          </w:tcPr>
          <w:p w14:paraId="7EE6EF87" w14:textId="77777777" w:rsidR="00B134A7" w:rsidRPr="00563AD3" w:rsidRDefault="00B134A7" w:rsidP="006D6035">
            <w:pPr>
              <w:spacing w:after="0"/>
              <w:jc w:val="right"/>
              <w:rPr>
                <w:rFonts w:eastAsia="Calibri"/>
                <w:color w:val="000000"/>
                <w:sz w:val="20"/>
                <w:szCs w:val="20"/>
                <w:lang w:eastAsia="en-US"/>
              </w:rPr>
            </w:pPr>
          </w:p>
        </w:tc>
      </w:tr>
      <w:tr w:rsidR="00B134A7" w:rsidRPr="00563AD3" w14:paraId="1A97F603" w14:textId="77777777" w:rsidTr="006D6035">
        <w:trPr>
          <w:cantSplit/>
          <w:jc w:val="center"/>
        </w:trPr>
        <w:tc>
          <w:tcPr>
            <w:tcW w:w="1473" w:type="pct"/>
            <w:gridSpan w:val="2"/>
            <w:tcBorders>
              <w:top w:val="nil"/>
              <w:left w:val="nil"/>
              <w:bottom w:val="nil"/>
              <w:right w:val="nil"/>
            </w:tcBorders>
            <w:shd w:val="clear" w:color="auto" w:fill="FFFFFF"/>
            <w:tcMar>
              <w:left w:w="67" w:type="dxa"/>
              <w:right w:w="67" w:type="dxa"/>
            </w:tcMar>
          </w:tcPr>
          <w:p w14:paraId="58926E7E" w14:textId="77777777" w:rsidR="00B134A7" w:rsidRPr="00563AD3" w:rsidRDefault="00B134A7" w:rsidP="006D6035">
            <w:pPr>
              <w:spacing w:after="0"/>
              <w:rPr>
                <w:rFonts w:eastAsia="Times New Roman"/>
                <w:color w:val="000000"/>
                <w:sz w:val="20"/>
                <w:szCs w:val="20"/>
              </w:rPr>
            </w:pPr>
            <w:r w:rsidRPr="00563AD3">
              <w:rPr>
                <w:rFonts w:eastAsia="Times New Roman"/>
                <w:color w:val="000000"/>
                <w:sz w:val="20"/>
                <w:szCs w:val="20"/>
              </w:rPr>
              <w:t xml:space="preserve">CMAI-O (AM) </w:t>
            </w:r>
          </w:p>
        </w:tc>
        <w:tc>
          <w:tcPr>
            <w:tcW w:w="304" w:type="pct"/>
            <w:tcBorders>
              <w:top w:val="nil"/>
              <w:left w:val="nil"/>
              <w:bottom w:val="nil"/>
              <w:right w:val="nil"/>
            </w:tcBorders>
            <w:shd w:val="clear" w:color="auto" w:fill="FFFFFF"/>
          </w:tcPr>
          <w:p w14:paraId="04A5AC85"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30.90</w:t>
            </w:r>
          </w:p>
        </w:tc>
        <w:tc>
          <w:tcPr>
            <w:tcW w:w="457" w:type="pct"/>
            <w:gridSpan w:val="2"/>
            <w:tcBorders>
              <w:top w:val="nil"/>
              <w:left w:val="nil"/>
              <w:bottom w:val="nil"/>
              <w:right w:val="nil"/>
            </w:tcBorders>
            <w:shd w:val="clear" w:color="auto" w:fill="FFFFFF"/>
          </w:tcPr>
          <w:p w14:paraId="62D82E80"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30.50</w:t>
            </w:r>
          </w:p>
        </w:tc>
        <w:tc>
          <w:tcPr>
            <w:tcW w:w="457" w:type="pct"/>
            <w:gridSpan w:val="2"/>
            <w:tcBorders>
              <w:top w:val="nil"/>
              <w:left w:val="nil"/>
              <w:bottom w:val="nil"/>
              <w:right w:val="nil"/>
            </w:tcBorders>
            <w:shd w:val="clear" w:color="auto" w:fill="FFFFFF"/>
            <w:tcMar>
              <w:left w:w="67" w:type="dxa"/>
              <w:right w:w="67" w:type="dxa"/>
            </w:tcMar>
          </w:tcPr>
          <w:p w14:paraId="1A7CC995"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-0.40</w:t>
            </w:r>
          </w:p>
        </w:tc>
        <w:tc>
          <w:tcPr>
            <w:tcW w:w="457" w:type="pct"/>
            <w:gridSpan w:val="2"/>
            <w:tcBorders>
              <w:top w:val="nil"/>
              <w:left w:val="nil"/>
              <w:bottom w:val="nil"/>
              <w:right w:val="nil"/>
            </w:tcBorders>
            <w:shd w:val="clear" w:color="auto" w:fill="FFFFFF"/>
            <w:tcMar>
              <w:left w:w="67" w:type="dxa"/>
              <w:right w:w="67" w:type="dxa"/>
            </w:tcMar>
          </w:tcPr>
          <w:p w14:paraId="404E0DE1"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-1.27</w:t>
            </w:r>
          </w:p>
        </w:tc>
        <w:tc>
          <w:tcPr>
            <w:tcW w:w="457" w:type="pct"/>
            <w:gridSpan w:val="2"/>
            <w:tcBorders>
              <w:top w:val="nil"/>
              <w:left w:val="nil"/>
              <w:bottom w:val="nil"/>
              <w:right w:val="nil"/>
            </w:tcBorders>
            <w:shd w:val="clear" w:color="auto" w:fill="FFFFFF"/>
            <w:tcMar>
              <w:left w:w="67" w:type="dxa"/>
              <w:right w:w="67" w:type="dxa"/>
            </w:tcMar>
          </w:tcPr>
          <w:p w14:paraId="0D7745C9"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0.46</w:t>
            </w:r>
          </w:p>
        </w:tc>
        <w:tc>
          <w:tcPr>
            <w:tcW w:w="371" w:type="pct"/>
            <w:gridSpan w:val="2"/>
            <w:tcBorders>
              <w:top w:val="nil"/>
              <w:left w:val="nil"/>
              <w:bottom w:val="nil"/>
              <w:right w:val="nil"/>
            </w:tcBorders>
            <w:shd w:val="clear" w:color="auto" w:fill="FFFFFF"/>
            <w:tcMar>
              <w:left w:w="67" w:type="dxa"/>
              <w:right w:w="67" w:type="dxa"/>
            </w:tcMar>
          </w:tcPr>
          <w:p w14:paraId="33BCE9B7"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0.361</w:t>
            </w:r>
          </w:p>
        </w:tc>
        <w:tc>
          <w:tcPr>
            <w:tcW w:w="442" w:type="pct"/>
            <w:tcBorders>
              <w:top w:val="nil"/>
              <w:left w:val="nil"/>
              <w:bottom w:val="nil"/>
              <w:right w:val="nil"/>
            </w:tcBorders>
            <w:shd w:val="clear" w:color="auto" w:fill="FFFFFF"/>
            <w:tcMar>
              <w:left w:w="67" w:type="dxa"/>
              <w:right w:w="67" w:type="dxa"/>
            </w:tcMar>
          </w:tcPr>
          <w:p w14:paraId="715EE612"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0.014</w:t>
            </w:r>
          </w:p>
        </w:tc>
        <w:tc>
          <w:tcPr>
            <w:tcW w:w="382" w:type="pct"/>
            <w:gridSpan w:val="2"/>
            <w:tcBorders>
              <w:top w:val="nil"/>
              <w:left w:val="nil"/>
              <w:bottom w:val="nil"/>
              <w:right w:val="nil"/>
            </w:tcBorders>
            <w:shd w:val="clear" w:color="auto" w:fill="FFFFFF"/>
          </w:tcPr>
          <w:p w14:paraId="60AD4383"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0.001</w:t>
            </w:r>
          </w:p>
        </w:tc>
        <w:tc>
          <w:tcPr>
            <w:tcW w:w="200" w:type="pct"/>
            <w:gridSpan w:val="2"/>
            <w:tcBorders>
              <w:top w:val="nil"/>
              <w:left w:val="nil"/>
              <w:bottom w:val="nil"/>
              <w:right w:val="nil"/>
            </w:tcBorders>
            <w:shd w:val="clear" w:color="auto" w:fill="FFFFFF"/>
            <w:tcMar>
              <w:left w:w="67" w:type="dxa"/>
              <w:right w:w="67" w:type="dxa"/>
            </w:tcMar>
          </w:tcPr>
          <w:p w14:paraId="7203E5E8"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726</w:t>
            </w:r>
          </w:p>
        </w:tc>
      </w:tr>
      <w:tr w:rsidR="00B134A7" w:rsidRPr="00563AD3" w14:paraId="64FC58FE" w14:textId="77777777" w:rsidTr="006D6035">
        <w:trPr>
          <w:cantSplit/>
          <w:jc w:val="center"/>
        </w:trPr>
        <w:tc>
          <w:tcPr>
            <w:tcW w:w="1473" w:type="pct"/>
            <w:gridSpan w:val="2"/>
            <w:tcBorders>
              <w:top w:val="nil"/>
              <w:left w:val="nil"/>
              <w:bottom w:val="nil"/>
              <w:right w:val="nil"/>
            </w:tcBorders>
            <w:shd w:val="clear" w:color="auto" w:fill="FFFFFF"/>
            <w:tcMar>
              <w:left w:w="67" w:type="dxa"/>
              <w:right w:w="67" w:type="dxa"/>
            </w:tcMar>
          </w:tcPr>
          <w:p w14:paraId="52C586F6" w14:textId="77777777" w:rsidR="00B134A7" w:rsidRPr="00563AD3" w:rsidRDefault="00B134A7" w:rsidP="006D6035">
            <w:pPr>
              <w:spacing w:after="0"/>
              <w:rPr>
                <w:rFonts w:eastAsia="Times New Roman"/>
                <w:color w:val="000000"/>
                <w:sz w:val="20"/>
                <w:szCs w:val="20"/>
              </w:rPr>
            </w:pPr>
            <w:r w:rsidRPr="00563AD3">
              <w:rPr>
                <w:rFonts w:eastAsia="Times New Roman"/>
                <w:color w:val="000000"/>
                <w:sz w:val="20"/>
                <w:szCs w:val="20"/>
              </w:rPr>
              <w:t xml:space="preserve">CMAI-O (PM) </w:t>
            </w:r>
          </w:p>
        </w:tc>
        <w:tc>
          <w:tcPr>
            <w:tcW w:w="304" w:type="pct"/>
            <w:tcBorders>
              <w:top w:val="nil"/>
              <w:left w:val="nil"/>
              <w:bottom w:val="nil"/>
              <w:right w:val="nil"/>
            </w:tcBorders>
            <w:shd w:val="clear" w:color="auto" w:fill="FFFFFF"/>
          </w:tcPr>
          <w:p w14:paraId="7ED77C35"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31.17</w:t>
            </w:r>
          </w:p>
        </w:tc>
        <w:tc>
          <w:tcPr>
            <w:tcW w:w="457" w:type="pct"/>
            <w:gridSpan w:val="2"/>
            <w:tcBorders>
              <w:top w:val="nil"/>
              <w:left w:val="nil"/>
              <w:bottom w:val="nil"/>
              <w:right w:val="nil"/>
            </w:tcBorders>
            <w:shd w:val="clear" w:color="auto" w:fill="FFFFFF"/>
          </w:tcPr>
          <w:p w14:paraId="2BC4EC39"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31.05</w:t>
            </w:r>
          </w:p>
        </w:tc>
        <w:tc>
          <w:tcPr>
            <w:tcW w:w="457" w:type="pct"/>
            <w:gridSpan w:val="2"/>
            <w:tcBorders>
              <w:top w:val="nil"/>
              <w:left w:val="nil"/>
              <w:bottom w:val="nil"/>
              <w:right w:val="nil"/>
            </w:tcBorders>
            <w:shd w:val="clear" w:color="auto" w:fill="FFFFFF"/>
            <w:tcMar>
              <w:left w:w="67" w:type="dxa"/>
              <w:right w:w="67" w:type="dxa"/>
            </w:tcMar>
          </w:tcPr>
          <w:p w14:paraId="3CA720FF"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-0.13</w:t>
            </w:r>
          </w:p>
        </w:tc>
        <w:tc>
          <w:tcPr>
            <w:tcW w:w="457" w:type="pct"/>
            <w:gridSpan w:val="2"/>
            <w:tcBorders>
              <w:top w:val="nil"/>
              <w:left w:val="nil"/>
              <w:bottom w:val="nil"/>
              <w:right w:val="nil"/>
            </w:tcBorders>
            <w:shd w:val="clear" w:color="auto" w:fill="FFFFFF"/>
            <w:tcMar>
              <w:left w:w="67" w:type="dxa"/>
              <w:right w:w="67" w:type="dxa"/>
            </w:tcMar>
          </w:tcPr>
          <w:p w14:paraId="72A9ABC1"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-1.09</w:t>
            </w:r>
          </w:p>
        </w:tc>
        <w:tc>
          <w:tcPr>
            <w:tcW w:w="457" w:type="pct"/>
            <w:gridSpan w:val="2"/>
            <w:tcBorders>
              <w:top w:val="nil"/>
              <w:left w:val="nil"/>
              <w:bottom w:val="nil"/>
              <w:right w:val="nil"/>
            </w:tcBorders>
            <w:shd w:val="clear" w:color="auto" w:fill="FFFFFF"/>
            <w:tcMar>
              <w:left w:w="67" w:type="dxa"/>
              <w:right w:w="67" w:type="dxa"/>
            </w:tcMar>
          </w:tcPr>
          <w:p w14:paraId="722EF223"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0.84</w:t>
            </w:r>
          </w:p>
        </w:tc>
        <w:tc>
          <w:tcPr>
            <w:tcW w:w="371" w:type="pct"/>
            <w:gridSpan w:val="2"/>
            <w:tcBorders>
              <w:top w:val="nil"/>
              <w:left w:val="nil"/>
              <w:bottom w:val="nil"/>
              <w:right w:val="nil"/>
            </w:tcBorders>
            <w:shd w:val="clear" w:color="auto" w:fill="FFFFFF"/>
            <w:tcMar>
              <w:left w:w="67" w:type="dxa"/>
              <w:right w:w="67" w:type="dxa"/>
            </w:tcMar>
          </w:tcPr>
          <w:p w14:paraId="0E0C1FA1"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0.795</w:t>
            </w:r>
          </w:p>
        </w:tc>
        <w:tc>
          <w:tcPr>
            <w:tcW w:w="442" w:type="pct"/>
            <w:tcBorders>
              <w:top w:val="nil"/>
              <w:left w:val="nil"/>
              <w:bottom w:val="nil"/>
              <w:right w:val="nil"/>
            </w:tcBorders>
            <w:shd w:val="clear" w:color="auto" w:fill="FFFFFF"/>
            <w:tcMar>
              <w:left w:w="67" w:type="dxa"/>
              <w:right w:w="67" w:type="dxa"/>
            </w:tcMar>
          </w:tcPr>
          <w:p w14:paraId="02262129"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0.012</w:t>
            </w:r>
          </w:p>
        </w:tc>
        <w:tc>
          <w:tcPr>
            <w:tcW w:w="382" w:type="pct"/>
            <w:gridSpan w:val="2"/>
            <w:tcBorders>
              <w:top w:val="nil"/>
              <w:left w:val="nil"/>
              <w:bottom w:val="nil"/>
              <w:right w:val="nil"/>
            </w:tcBorders>
            <w:shd w:val="clear" w:color="auto" w:fill="FFFFFF"/>
          </w:tcPr>
          <w:p w14:paraId="0BD2C1D1"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0.001</w:t>
            </w:r>
          </w:p>
        </w:tc>
        <w:tc>
          <w:tcPr>
            <w:tcW w:w="200" w:type="pct"/>
            <w:gridSpan w:val="2"/>
            <w:tcBorders>
              <w:top w:val="nil"/>
              <w:left w:val="nil"/>
              <w:bottom w:val="nil"/>
              <w:right w:val="nil"/>
            </w:tcBorders>
            <w:shd w:val="clear" w:color="auto" w:fill="FFFFFF"/>
            <w:tcMar>
              <w:left w:w="67" w:type="dxa"/>
              <w:right w:w="67" w:type="dxa"/>
            </w:tcMar>
          </w:tcPr>
          <w:p w14:paraId="2F6230F1"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726</w:t>
            </w:r>
          </w:p>
        </w:tc>
      </w:tr>
      <w:tr w:rsidR="00B134A7" w:rsidRPr="00563AD3" w14:paraId="5A4C66DE" w14:textId="77777777" w:rsidTr="006D6035">
        <w:trPr>
          <w:cantSplit/>
          <w:jc w:val="center"/>
        </w:trPr>
        <w:tc>
          <w:tcPr>
            <w:tcW w:w="1473" w:type="pct"/>
            <w:gridSpan w:val="2"/>
            <w:tcBorders>
              <w:top w:val="nil"/>
              <w:left w:val="nil"/>
              <w:bottom w:val="nil"/>
              <w:right w:val="nil"/>
            </w:tcBorders>
            <w:shd w:val="clear" w:color="auto" w:fill="FFFFFF"/>
            <w:tcMar>
              <w:left w:w="67" w:type="dxa"/>
              <w:right w:w="67" w:type="dxa"/>
            </w:tcMar>
          </w:tcPr>
          <w:p w14:paraId="3FEEF5DB" w14:textId="77777777" w:rsidR="00B134A7" w:rsidRPr="00563AD3" w:rsidRDefault="00B134A7" w:rsidP="006D6035">
            <w:pPr>
              <w:spacing w:after="0"/>
              <w:rPr>
                <w:rFonts w:eastAsia="Times New Roman"/>
                <w:color w:val="000000"/>
                <w:sz w:val="20"/>
                <w:szCs w:val="20"/>
              </w:rPr>
            </w:pPr>
            <w:r w:rsidRPr="00563AD3">
              <w:rPr>
                <w:rFonts w:eastAsia="Times New Roman"/>
                <w:color w:val="000000"/>
                <w:sz w:val="20"/>
                <w:szCs w:val="20"/>
              </w:rPr>
              <w:t xml:space="preserve">PAS (AM) </w:t>
            </w:r>
          </w:p>
        </w:tc>
        <w:tc>
          <w:tcPr>
            <w:tcW w:w="304" w:type="pct"/>
            <w:tcBorders>
              <w:top w:val="nil"/>
              <w:left w:val="nil"/>
              <w:bottom w:val="nil"/>
              <w:right w:val="nil"/>
            </w:tcBorders>
            <w:shd w:val="clear" w:color="auto" w:fill="FFFFFF"/>
          </w:tcPr>
          <w:p w14:paraId="4D5AB22B"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0.91</w:t>
            </w:r>
          </w:p>
        </w:tc>
        <w:tc>
          <w:tcPr>
            <w:tcW w:w="457" w:type="pct"/>
            <w:gridSpan w:val="2"/>
            <w:tcBorders>
              <w:top w:val="nil"/>
              <w:left w:val="nil"/>
              <w:bottom w:val="nil"/>
              <w:right w:val="nil"/>
            </w:tcBorders>
            <w:shd w:val="clear" w:color="auto" w:fill="FFFFFF"/>
          </w:tcPr>
          <w:p w14:paraId="2B71ECC5"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0.79</w:t>
            </w:r>
          </w:p>
        </w:tc>
        <w:tc>
          <w:tcPr>
            <w:tcW w:w="457" w:type="pct"/>
            <w:gridSpan w:val="2"/>
            <w:tcBorders>
              <w:top w:val="nil"/>
              <w:left w:val="nil"/>
              <w:bottom w:val="nil"/>
              <w:right w:val="nil"/>
            </w:tcBorders>
            <w:shd w:val="clear" w:color="auto" w:fill="FFFFFF"/>
            <w:tcMar>
              <w:left w:w="67" w:type="dxa"/>
              <w:right w:w="67" w:type="dxa"/>
            </w:tcMar>
          </w:tcPr>
          <w:p w14:paraId="4C95108A"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-0.12</w:t>
            </w:r>
          </w:p>
        </w:tc>
        <w:tc>
          <w:tcPr>
            <w:tcW w:w="457" w:type="pct"/>
            <w:gridSpan w:val="2"/>
            <w:tcBorders>
              <w:top w:val="nil"/>
              <w:left w:val="nil"/>
              <w:bottom w:val="nil"/>
              <w:right w:val="nil"/>
            </w:tcBorders>
            <w:shd w:val="clear" w:color="auto" w:fill="FFFFFF"/>
            <w:tcMar>
              <w:left w:w="67" w:type="dxa"/>
              <w:right w:w="67" w:type="dxa"/>
            </w:tcMar>
          </w:tcPr>
          <w:p w14:paraId="0DA86935"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-0.52</w:t>
            </w:r>
          </w:p>
        </w:tc>
        <w:tc>
          <w:tcPr>
            <w:tcW w:w="457" w:type="pct"/>
            <w:gridSpan w:val="2"/>
            <w:tcBorders>
              <w:top w:val="nil"/>
              <w:left w:val="nil"/>
              <w:bottom w:val="nil"/>
              <w:right w:val="nil"/>
            </w:tcBorders>
            <w:shd w:val="clear" w:color="auto" w:fill="FFFFFF"/>
            <w:tcMar>
              <w:left w:w="67" w:type="dxa"/>
              <w:right w:w="67" w:type="dxa"/>
            </w:tcMar>
          </w:tcPr>
          <w:p w14:paraId="10D8DF63"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0.28</w:t>
            </w:r>
          </w:p>
        </w:tc>
        <w:tc>
          <w:tcPr>
            <w:tcW w:w="371" w:type="pct"/>
            <w:gridSpan w:val="2"/>
            <w:tcBorders>
              <w:top w:val="nil"/>
              <w:left w:val="nil"/>
              <w:bottom w:val="nil"/>
              <w:right w:val="nil"/>
            </w:tcBorders>
            <w:shd w:val="clear" w:color="auto" w:fill="FFFFFF"/>
            <w:tcMar>
              <w:left w:w="67" w:type="dxa"/>
              <w:right w:w="67" w:type="dxa"/>
            </w:tcMar>
          </w:tcPr>
          <w:p w14:paraId="6AFE973A"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0.547</w:t>
            </w:r>
          </w:p>
        </w:tc>
        <w:tc>
          <w:tcPr>
            <w:tcW w:w="442" w:type="pct"/>
            <w:tcBorders>
              <w:top w:val="nil"/>
              <w:left w:val="nil"/>
              <w:bottom w:val="nil"/>
              <w:right w:val="nil"/>
            </w:tcBorders>
            <w:shd w:val="clear" w:color="auto" w:fill="FFFFFF"/>
            <w:tcMar>
              <w:left w:w="67" w:type="dxa"/>
              <w:right w:w="67" w:type="dxa"/>
            </w:tcMar>
          </w:tcPr>
          <w:p w14:paraId="43FC8A1A"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0.008</w:t>
            </w:r>
          </w:p>
        </w:tc>
        <w:tc>
          <w:tcPr>
            <w:tcW w:w="382" w:type="pct"/>
            <w:gridSpan w:val="2"/>
            <w:tcBorders>
              <w:top w:val="nil"/>
              <w:left w:val="nil"/>
              <w:bottom w:val="nil"/>
              <w:right w:val="nil"/>
            </w:tcBorders>
            <w:shd w:val="clear" w:color="auto" w:fill="FFFFFF"/>
          </w:tcPr>
          <w:p w14:paraId="4A4ACF00"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0.001</w:t>
            </w:r>
          </w:p>
        </w:tc>
        <w:tc>
          <w:tcPr>
            <w:tcW w:w="200" w:type="pct"/>
            <w:gridSpan w:val="2"/>
            <w:tcBorders>
              <w:top w:val="nil"/>
              <w:left w:val="nil"/>
              <w:bottom w:val="nil"/>
              <w:right w:val="nil"/>
            </w:tcBorders>
            <w:shd w:val="clear" w:color="auto" w:fill="FFFFFF"/>
            <w:tcMar>
              <w:left w:w="67" w:type="dxa"/>
              <w:right w:w="67" w:type="dxa"/>
            </w:tcMar>
          </w:tcPr>
          <w:p w14:paraId="32F41EBF"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726</w:t>
            </w:r>
          </w:p>
        </w:tc>
      </w:tr>
      <w:tr w:rsidR="00B134A7" w:rsidRPr="00563AD3" w14:paraId="443E2B18" w14:textId="77777777" w:rsidTr="006D6035">
        <w:trPr>
          <w:cantSplit/>
          <w:jc w:val="center"/>
        </w:trPr>
        <w:tc>
          <w:tcPr>
            <w:tcW w:w="1473" w:type="pct"/>
            <w:gridSpan w:val="2"/>
            <w:tcBorders>
              <w:top w:val="nil"/>
              <w:left w:val="nil"/>
              <w:bottom w:val="single" w:sz="4" w:space="0" w:color="auto"/>
              <w:right w:val="nil"/>
            </w:tcBorders>
            <w:shd w:val="clear" w:color="auto" w:fill="FFFFFF"/>
            <w:tcMar>
              <w:left w:w="67" w:type="dxa"/>
              <w:right w:w="67" w:type="dxa"/>
            </w:tcMar>
          </w:tcPr>
          <w:p w14:paraId="4013388D" w14:textId="77777777" w:rsidR="00B134A7" w:rsidRPr="00563AD3" w:rsidRDefault="00B134A7" w:rsidP="006D6035">
            <w:pPr>
              <w:spacing w:after="0"/>
              <w:rPr>
                <w:rFonts w:eastAsia="Times New Roman"/>
                <w:color w:val="000000"/>
                <w:sz w:val="20"/>
                <w:szCs w:val="20"/>
              </w:rPr>
            </w:pPr>
            <w:r w:rsidRPr="00563AD3">
              <w:rPr>
                <w:rFonts w:eastAsia="Times New Roman"/>
                <w:color w:val="000000"/>
                <w:sz w:val="20"/>
                <w:szCs w:val="20"/>
              </w:rPr>
              <w:t xml:space="preserve">PAS (PM) </w:t>
            </w:r>
          </w:p>
        </w:tc>
        <w:tc>
          <w:tcPr>
            <w:tcW w:w="304" w:type="pct"/>
            <w:tcBorders>
              <w:top w:val="nil"/>
              <w:left w:val="nil"/>
              <w:bottom w:val="single" w:sz="4" w:space="0" w:color="auto"/>
              <w:right w:val="nil"/>
            </w:tcBorders>
            <w:shd w:val="clear" w:color="auto" w:fill="FFFFFF"/>
          </w:tcPr>
          <w:p w14:paraId="3C6D5443"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1.08</w:t>
            </w:r>
          </w:p>
        </w:tc>
        <w:tc>
          <w:tcPr>
            <w:tcW w:w="457" w:type="pct"/>
            <w:gridSpan w:val="2"/>
            <w:tcBorders>
              <w:top w:val="nil"/>
              <w:left w:val="nil"/>
              <w:bottom w:val="single" w:sz="4" w:space="0" w:color="auto"/>
              <w:right w:val="nil"/>
            </w:tcBorders>
            <w:shd w:val="clear" w:color="auto" w:fill="FFFFFF"/>
          </w:tcPr>
          <w:p w14:paraId="49465C6A"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0.91</w:t>
            </w:r>
          </w:p>
        </w:tc>
        <w:tc>
          <w:tcPr>
            <w:tcW w:w="457" w:type="pct"/>
            <w:gridSpan w:val="2"/>
            <w:tcBorders>
              <w:top w:val="nil"/>
              <w:left w:val="nil"/>
              <w:bottom w:val="single" w:sz="4" w:space="0" w:color="auto"/>
              <w:right w:val="nil"/>
            </w:tcBorders>
            <w:shd w:val="clear" w:color="auto" w:fill="FFFFFF"/>
            <w:tcMar>
              <w:left w:w="67" w:type="dxa"/>
              <w:right w:w="67" w:type="dxa"/>
            </w:tcMar>
          </w:tcPr>
          <w:p w14:paraId="2B5432B0"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-0.17</w:t>
            </w:r>
          </w:p>
        </w:tc>
        <w:tc>
          <w:tcPr>
            <w:tcW w:w="457" w:type="pct"/>
            <w:gridSpan w:val="2"/>
            <w:tcBorders>
              <w:top w:val="nil"/>
              <w:left w:val="nil"/>
              <w:bottom w:val="single" w:sz="4" w:space="0" w:color="auto"/>
              <w:right w:val="nil"/>
            </w:tcBorders>
            <w:shd w:val="clear" w:color="auto" w:fill="FFFFFF"/>
            <w:tcMar>
              <w:left w:w="67" w:type="dxa"/>
              <w:right w:w="67" w:type="dxa"/>
            </w:tcMar>
          </w:tcPr>
          <w:p w14:paraId="58295E28"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-0.67</w:t>
            </w:r>
          </w:p>
        </w:tc>
        <w:tc>
          <w:tcPr>
            <w:tcW w:w="457" w:type="pct"/>
            <w:gridSpan w:val="2"/>
            <w:tcBorders>
              <w:top w:val="nil"/>
              <w:left w:val="nil"/>
              <w:bottom w:val="single" w:sz="4" w:space="0" w:color="auto"/>
              <w:right w:val="nil"/>
            </w:tcBorders>
            <w:shd w:val="clear" w:color="auto" w:fill="FFFFFF"/>
            <w:tcMar>
              <w:left w:w="67" w:type="dxa"/>
              <w:right w:w="67" w:type="dxa"/>
            </w:tcMar>
          </w:tcPr>
          <w:p w14:paraId="460E04AA"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0.33</w:t>
            </w:r>
          </w:p>
        </w:tc>
        <w:tc>
          <w:tcPr>
            <w:tcW w:w="371" w:type="pct"/>
            <w:gridSpan w:val="2"/>
            <w:tcBorders>
              <w:top w:val="nil"/>
              <w:left w:val="nil"/>
              <w:bottom w:val="single" w:sz="4" w:space="0" w:color="auto"/>
              <w:right w:val="nil"/>
            </w:tcBorders>
            <w:shd w:val="clear" w:color="auto" w:fill="FFFFFF"/>
            <w:tcMar>
              <w:left w:w="67" w:type="dxa"/>
              <w:right w:w="67" w:type="dxa"/>
            </w:tcMar>
          </w:tcPr>
          <w:p w14:paraId="22D5C953"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0.502</w:t>
            </w:r>
          </w:p>
        </w:tc>
        <w:tc>
          <w:tcPr>
            <w:tcW w:w="442" w:type="pct"/>
            <w:tcBorders>
              <w:top w:val="nil"/>
              <w:left w:val="nil"/>
              <w:bottom w:val="single" w:sz="4" w:space="0" w:color="auto"/>
              <w:right w:val="nil"/>
            </w:tcBorders>
            <w:shd w:val="clear" w:color="auto" w:fill="FFFFFF"/>
            <w:tcMar>
              <w:left w:w="67" w:type="dxa"/>
              <w:right w:w="67" w:type="dxa"/>
            </w:tcMar>
          </w:tcPr>
          <w:p w14:paraId="7E992747"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0.018</w:t>
            </w:r>
          </w:p>
        </w:tc>
        <w:tc>
          <w:tcPr>
            <w:tcW w:w="382" w:type="pct"/>
            <w:gridSpan w:val="2"/>
            <w:tcBorders>
              <w:top w:val="nil"/>
              <w:left w:val="nil"/>
              <w:bottom w:val="single" w:sz="4" w:space="0" w:color="auto"/>
              <w:right w:val="nil"/>
            </w:tcBorders>
            <w:shd w:val="clear" w:color="auto" w:fill="FFFFFF"/>
          </w:tcPr>
          <w:p w14:paraId="5484BC7D"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0.001</w:t>
            </w:r>
          </w:p>
        </w:tc>
        <w:tc>
          <w:tcPr>
            <w:tcW w:w="200" w:type="pct"/>
            <w:gridSpan w:val="2"/>
            <w:tcBorders>
              <w:top w:val="nil"/>
              <w:left w:val="nil"/>
              <w:bottom w:val="single" w:sz="4" w:space="0" w:color="auto"/>
              <w:right w:val="nil"/>
            </w:tcBorders>
            <w:shd w:val="clear" w:color="auto" w:fill="FFFFFF"/>
            <w:tcMar>
              <w:left w:w="67" w:type="dxa"/>
              <w:right w:w="67" w:type="dxa"/>
            </w:tcMar>
          </w:tcPr>
          <w:p w14:paraId="033FDE42" w14:textId="77777777" w:rsidR="00B134A7" w:rsidRPr="00563AD3" w:rsidRDefault="00B134A7" w:rsidP="006D6035">
            <w:pPr>
              <w:spacing w:after="0"/>
              <w:jc w:val="right"/>
              <w:rPr>
                <w:rFonts w:eastAsia="Calibri"/>
                <w:color w:val="000000"/>
                <w:sz w:val="20"/>
                <w:szCs w:val="20"/>
                <w:lang w:eastAsia="en-US"/>
              </w:rPr>
            </w:pPr>
            <w:r w:rsidRPr="00563AD3">
              <w:rPr>
                <w:rFonts w:eastAsia="Calibri"/>
                <w:color w:val="000000"/>
                <w:sz w:val="20"/>
                <w:szCs w:val="20"/>
                <w:lang w:eastAsia="en-US"/>
              </w:rPr>
              <w:t>726</w:t>
            </w:r>
          </w:p>
        </w:tc>
      </w:tr>
    </w:tbl>
    <w:p w14:paraId="15E510BE" w14:textId="77777777" w:rsidR="00B134A7" w:rsidRDefault="00B134A7" w:rsidP="009E7481">
      <w:pPr>
        <w:rPr>
          <w:lang w:eastAsia="en-US"/>
        </w:rPr>
      </w:pPr>
    </w:p>
    <w:p w14:paraId="2AD3AEC9" w14:textId="77777777" w:rsidR="00B134A7" w:rsidRPr="009E7481" w:rsidRDefault="00B134A7" w:rsidP="009E7481">
      <w:pPr>
        <w:rPr>
          <w:lang w:eastAsia="en-US"/>
        </w:rPr>
      </w:pPr>
    </w:p>
    <w:p w14:paraId="767CACE1" w14:textId="77777777" w:rsidR="00CB59EF" w:rsidRDefault="00CB59EF">
      <w:pPr>
        <w:autoSpaceDE/>
        <w:autoSpaceDN/>
        <w:adjustRightInd/>
        <w:spacing w:line="259" w:lineRule="auto"/>
        <w:rPr>
          <w:rFonts w:eastAsia="Calibri"/>
          <w:b/>
          <w:lang w:eastAsia="en-US"/>
        </w:rPr>
      </w:pPr>
      <w:bookmarkStart w:id="315" w:name="_Toc500935021"/>
      <w:r>
        <w:rPr>
          <w:rFonts w:eastAsia="Calibri"/>
          <w:lang w:eastAsia="en-US"/>
        </w:rPr>
        <w:br w:type="page"/>
      </w:r>
    </w:p>
    <w:p w14:paraId="1E2A7CC3" w14:textId="329434C2" w:rsidR="00E07CDE" w:rsidRPr="00563AD3" w:rsidRDefault="000904BB" w:rsidP="00CB59EF">
      <w:pPr>
        <w:pStyle w:val="Tableheading"/>
        <w:rPr>
          <w:rFonts w:eastAsia="Calibri"/>
          <w:lang w:eastAsia="en-US"/>
        </w:rPr>
      </w:pPr>
      <w:bookmarkStart w:id="316" w:name="_Toc948242"/>
      <w:r>
        <w:rPr>
          <w:rFonts w:eastAsia="Calibri"/>
          <w:lang w:eastAsia="en-US"/>
        </w:rPr>
        <w:t xml:space="preserve">Table 45 </w:t>
      </w:r>
      <w:r w:rsidR="00E07CDE" w:rsidRPr="00563AD3">
        <w:rPr>
          <w:rFonts w:eastAsia="Calibri"/>
          <w:lang w:eastAsia="en-US"/>
        </w:rPr>
        <w:t>Primary and sensitivity analyses – complete cases, cross-section</w:t>
      </w:r>
      <w:bookmarkEnd w:id="315"/>
      <w:bookmarkEnd w:id="316"/>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6"/>
        <w:gridCol w:w="851"/>
        <w:gridCol w:w="850"/>
        <w:gridCol w:w="851"/>
        <w:gridCol w:w="932"/>
        <w:gridCol w:w="913"/>
        <w:gridCol w:w="648"/>
        <w:gridCol w:w="993"/>
        <w:gridCol w:w="908"/>
        <w:gridCol w:w="992"/>
        <w:gridCol w:w="789"/>
        <w:gridCol w:w="487"/>
      </w:tblGrid>
      <w:tr w:rsidR="00E07CDE" w:rsidRPr="00CB59EF" w14:paraId="7B43DF0D" w14:textId="77777777" w:rsidTr="00CB59EF">
        <w:trPr>
          <w:cantSplit/>
          <w:tblHeader/>
          <w:jc w:val="center"/>
        </w:trPr>
        <w:tc>
          <w:tcPr>
            <w:tcW w:w="4106" w:type="dxa"/>
            <w:shd w:val="clear" w:color="auto" w:fill="FFFFFF"/>
            <w:tcMar>
              <w:left w:w="67" w:type="dxa"/>
              <w:right w:w="67" w:type="dxa"/>
            </w:tcMar>
            <w:vAlign w:val="bottom"/>
          </w:tcPr>
          <w:p w14:paraId="5F010D25" w14:textId="77777777" w:rsidR="00E07CDE" w:rsidRPr="00CB59EF" w:rsidRDefault="00E07CDE" w:rsidP="00CB59EF">
            <w:pPr>
              <w:keepNext/>
              <w:spacing w:before="67" w:after="67" w:line="240" w:lineRule="auto"/>
              <w:jc w:val="center"/>
              <w:rPr>
                <w:rFonts w:eastAsia="Times New Roman"/>
                <w:b/>
                <w:bCs/>
                <w:color w:val="000000"/>
                <w:sz w:val="18"/>
                <w:szCs w:val="18"/>
              </w:rPr>
            </w:pPr>
            <w:r w:rsidRPr="00CB59EF">
              <w:rPr>
                <w:rFonts w:eastAsia="Times New Roman"/>
                <w:b/>
                <w:bCs/>
                <w:color w:val="000000"/>
                <w:sz w:val="18"/>
                <w:szCs w:val="18"/>
              </w:rPr>
              <w:t>Analysis</w:t>
            </w:r>
          </w:p>
        </w:tc>
        <w:tc>
          <w:tcPr>
            <w:tcW w:w="851" w:type="dxa"/>
            <w:shd w:val="clear" w:color="auto" w:fill="FFFFFF"/>
            <w:vAlign w:val="bottom"/>
          </w:tcPr>
          <w:p w14:paraId="46622925" w14:textId="77777777" w:rsidR="00E07CDE" w:rsidRPr="00CB59EF" w:rsidRDefault="00E07CDE" w:rsidP="00CB59EF">
            <w:pPr>
              <w:keepNext/>
              <w:spacing w:before="67" w:after="67" w:line="240" w:lineRule="auto"/>
              <w:jc w:val="center"/>
              <w:rPr>
                <w:rFonts w:eastAsia="Times New Roman"/>
                <w:b/>
                <w:bCs/>
                <w:color w:val="000000"/>
                <w:sz w:val="18"/>
                <w:szCs w:val="18"/>
              </w:rPr>
            </w:pPr>
            <w:r w:rsidRPr="00CB59EF">
              <w:rPr>
                <w:rFonts w:eastAsia="Times New Roman"/>
                <w:b/>
                <w:bCs/>
                <w:color w:val="000000"/>
                <w:sz w:val="18"/>
                <w:szCs w:val="18"/>
              </w:rPr>
              <w:t>Estimated mean in control</w:t>
            </w:r>
          </w:p>
        </w:tc>
        <w:tc>
          <w:tcPr>
            <w:tcW w:w="850" w:type="dxa"/>
            <w:shd w:val="clear" w:color="auto" w:fill="FFFFFF"/>
            <w:vAlign w:val="bottom"/>
          </w:tcPr>
          <w:p w14:paraId="3ED14F14" w14:textId="77777777" w:rsidR="00E07CDE" w:rsidRPr="00CB59EF" w:rsidRDefault="00E07CDE" w:rsidP="00CB59EF">
            <w:pPr>
              <w:keepNext/>
              <w:spacing w:before="67" w:after="67" w:line="240" w:lineRule="auto"/>
              <w:jc w:val="center"/>
              <w:rPr>
                <w:rFonts w:eastAsia="Times New Roman"/>
                <w:b/>
                <w:bCs/>
                <w:color w:val="000000"/>
                <w:sz w:val="18"/>
                <w:szCs w:val="18"/>
              </w:rPr>
            </w:pPr>
            <w:r w:rsidRPr="00CB59EF">
              <w:rPr>
                <w:rFonts w:eastAsia="Times New Roman"/>
                <w:b/>
                <w:bCs/>
                <w:color w:val="000000"/>
                <w:sz w:val="18"/>
                <w:szCs w:val="18"/>
              </w:rPr>
              <w:t>Estimated mean in intervention</w:t>
            </w:r>
          </w:p>
        </w:tc>
        <w:tc>
          <w:tcPr>
            <w:tcW w:w="851" w:type="dxa"/>
            <w:shd w:val="clear" w:color="auto" w:fill="FFFFFF"/>
            <w:tcMar>
              <w:left w:w="67" w:type="dxa"/>
              <w:right w:w="67" w:type="dxa"/>
            </w:tcMar>
            <w:vAlign w:val="bottom"/>
          </w:tcPr>
          <w:p w14:paraId="7ED3758C" w14:textId="77777777" w:rsidR="00E07CDE" w:rsidRPr="00CB59EF" w:rsidRDefault="00E07CDE" w:rsidP="00CB59EF">
            <w:pPr>
              <w:keepNext/>
              <w:spacing w:before="67" w:after="67" w:line="240" w:lineRule="auto"/>
              <w:jc w:val="center"/>
              <w:rPr>
                <w:rFonts w:eastAsia="Times New Roman"/>
                <w:b/>
                <w:bCs/>
                <w:color w:val="000000"/>
                <w:sz w:val="18"/>
                <w:szCs w:val="18"/>
              </w:rPr>
            </w:pPr>
            <w:r w:rsidRPr="00CB59EF">
              <w:rPr>
                <w:rFonts w:eastAsia="Times New Roman"/>
                <w:b/>
                <w:bCs/>
                <w:color w:val="000000"/>
                <w:sz w:val="18"/>
                <w:szCs w:val="18"/>
              </w:rPr>
              <w:t>Estimated Mean Difference</w:t>
            </w:r>
          </w:p>
        </w:tc>
        <w:tc>
          <w:tcPr>
            <w:tcW w:w="932" w:type="dxa"/>
            <w:shd w:val="clear" w:color="auto" w:fill="FFFFFF"/>
            <w:tcMar>
              <w:left w:w="67" w:type="dxa"/>
              <w:right w:w="67" w:type="dxa"/>
            </w:tcMar>
            <w:vAlign w:val="bottom"/>
          </w:tcPr>
          <w:p w14:paraId="11518069" w14:textId="77777777" w:rsidR="00E07CDE" w:rsidRPr="00CB59EF" w:rsidRDefault="00E07CDE" w:rsidP="00CB59EF">
            <w:pPr>
              <w:keepNext/>
              <w:spacing w:before="67" w:after="67" w:line="240" w:lineRule="auto"/>
              <w:jc w:val="center"/>
              <w:rPr>
                <w:rFonts w:eastAsia="Times New Roman"/>
                <w:b/>
                <w:bCs/>
                <w:color w:val="000000"/>
                <w:sz w:val="18"/>
                <w:szCs w:val="18"/>
              </w:rPr>
            </w:pPr>
            <w:r w:rsidRPr="00CB59EF">
              <w:rPr>
                <w:rFonts w:eastAsia="Times New Roman"/>
                <w:b/>
                <w:bCs/>
                <w:color w:val="000000"/>
                <w:sz w:val="18"/>
                <w:szCs w:val="18"/>
              </w:rPr>
              <w:t>Lower 95% Confidence Limit</w:t>
            </w:r>
          </w:p>
        </w:tc>
        <w:tc>
          <w:tcPr>
            <w:tcW w:w="913" w:type="dxa"/>
            <w:shd w:val="clear" w:color="auto" w:fill="FFFFFF"/>
            <w:tcMar>
              <w:left w:w="67" w:type="dxa"/>
              <w:right w:w="67" w:type="dxa"/>
            </w:tcMar>
            <w:vAlign w:val="bottom"/>
          </w:tcPr>
          <w:p w14:paraId="7EB7FC0E" w14:textId="77777777" w:rsidR="00E07CDE" w:rsidRPr="00CB59EF" w:rsidRDefault="00E07CDE" w:rsidP="00CB59EF">
            <w:pPr>
              <w:keepNext/>
              <w:spacing w:before="67" w:after="67" w:line="240" w:lineRule="auto"/>
              <w:jc w:val="center"/>
              <w:rPr>
                <w:rFonts w:eastAsia="Times New Roman"/>
                <w:b/>
                <w:bCs/>
                <w:color w:val="000000"/>
                <w:sz w:val="18"/>
                <w:szCs w:val="18"/>
              </w:rPr>
            </w:pPr>
            <w:r w:rsidRPr="00CB59EF">
              <w:rPr>
                <w:rFonts w:eastAsia="Times New Roman"/>
                <w:b/>
                <w:bCs/>
                <w:color w:val="000000"/>
                <w:sz w:val="18"/>
                <w:szCs w:val="18"/>
              </w:rPr>
              <w:t>Upper 95% Confidence Limit</w:t>
            </w:r>
          </w:p>
        </w:tc>
        <w:tc>
          <w:tcPr>
            <w:tcW w:w="648" w:type="dxa"/>
            <w:shd w:val="clear" w:color="auto" w:fill="FFFFFF"/>
            <w:tcMar>
              <w:left w:w="67" w:type="dxa"/>
              <w:right w:w="67" w:type="dxa"/>
            </w:tcMar>
            <w:vAlign w:val="bottom"/>
          </w:tcPr>
          <w:p w14:paraId="734DA2F6" w14:textId="77777777" w:rsidR="00E07CDE" w:rsidRPr="00CB59EF" w:rsidRDefault="00E07CDE" w:rsidP="00CB59EF">
            <w:pPr>
              <w:keepNext/>
              <w:spacing w:before="67" w:after="67" w:line="240" w:lineRule="auto"/>
              <w:jc w:val="center"/>
              <w:rPr>
                <w:rFonts w:eastAsia="Times New Roman"/>
                <w:b/>
                <w:bCs/>
                <w:color w:val="000000"/>
                <w:sz w:val="18"/>
                <w:szCs w:val="18"/>
              </w:rPr>
            </w:pPr>
            <w:r w:rsidRPr="00CB59EF">
              <w:rPr>
                <w:rFonts w:eastAsia="Times New Roman"/>
                <w:b/>
                <w:bCs/>
                <w:color w:val="000000"/>
                <w:sz w:val="18"/>
                <w:szCs w:val="18"/>
              </w:rPr>
              <w:t>p-value</w:t>
            </w:r>
          </w:p>
        </w:tc>
        <w:tc>
          <w:tcPr>
            <w:tcW w:w="993" w:type="dxa"/>
            <w:shd w:val="clear" w:color="auto" w:fill="FFFFFF"/>
            <w:tcMar>
              <w:left w:w="67" w:type="dxa"/>
              <w:right w:w="67" w:type="dxa"/>
            </w:tcMar>
            <w:vAlign w:val="bottom"/>
          </w:tcPr>
          <w:p w14:paraId="0471BD91" w14:textId="77777777" w:rsidR="00E07CDE" w:rsidRPr="00CB59EF" w:rsidRDefault="00E07CDE" w:rsidP="00CB59EF">
            <w:pPr>
              <w:keepNext/>
              <w:spacing w:before="67" w:after="67" w:line="240" w:lineRule="auto"/>
              <w:jc w:val="center"/>
              <w:rPr>
                <w:rFonts w:eastAsia="Times New Roman"/>
                <w:b/>
                <w:bCs/>
                <w:color w:val="000000"/>
                <w:sz w:val="18"/>
                <w:szCs w:val="18"/>
              </w:rPr>
            </w:pPr>
            <w:r w:rsidRPr="00CB59EF">
              <w:rPr>
                <w:rFonts w:eastAsia="Times New Roman"/>
                <w:b/>
                <w:bCs/>
                <w:color w:val="000000"/>
                <w:sz w:val="18"/>
                <w:szCs w:val="18"/>
              </w:rPr>
              <w:t>Unadjusted ICC for Intervention Arm</w:t>
            </w:r>
          </w:p>
        </w:tc>
        <w:tc>
          <w:tcPr>
            <w:tcW w:w="908" w:type="dxa"/>
            <w:shd w:val="clear" w:color="auto" w:fill="FFFFFF"/>
            <w:tcMar>
              <w:left w:w="67" w:type="dxa"/>
              <w:right w:w="67" w:type="dxa"/>
            </w:tcMar>
            <w:vAlign w:val="bottom"/>
          </w:tcPr>
          <w:p w14:paraId="1A822371" w14:textId="77777777" w:rsidR="00E07CDE" w:rsidRPr="00CB59EF" w:rsidRDefault="00E07CDE" w:rsidP="00CB59EF">
            <w:pPr>
              <w:keepNext/>
              <w:spacing w:before="67" w:after="67" w:line="240" w:lineRule="auto"/>
              <w:jc w:val="center"/>
              <w:rPr>
                <w:rFonts w:eastAsia="Times New Roman"/>
                <w:b/>
                <w:bCs/>
                <w:color w:val="000000"/>
                <w:sz w:val="18"/>
                <w:szCs w:val="18"/>
              </w:rPr>
            </w:pPr>
            <w:r w:rsidRPr="00CB59EF">
              <w:rPr>
                <w:rFonts w:eastAsia="Times New Roman"/>
                <w:b/>
                <w:bCs/>
                <w:color w:val="000000"/>
                <w:sz w:val="18"/>
                <w:szCs w:val="18"/>
              </w:rPr>
              <w:t>Unadjusted ICC for Control Arm</w:t>
            </w:r>
          </w:p>
        </w:tc>
        <w:tc>
          <w:tcPr>
            <w:tcW w:w="992" w:type="dxa"/>
            <w:shd w:val="clear" w:color="auto" w:fill="FFFFFF"/>
            <w:tcMar>
              <w:left w:w="67" w:type="dxa"/>
              <w:right w:w="67" w:type="dxa"/>
            </w:tcMar>
            <w:vAlign w:val="bottom"/>
          </w:tcPr>
          <w:p w14:paraId="0D966FA2" w14:textId="77777777" w:rsidR="00E07CDE" w:rsidRPr="00CB59EF" w:rsidRDefault="00E07CDE" w:rsidP="00CB59EF">
            <w:pPr>
              <w:keepNext/>
              <w:spacing w:before="67" w:after="67" w:line="240" w:lineRule="auto"/>
              <w:jc w:val="center"/>
              <w:rPr>
                <w:rFonts w:eastAsia="Times New Roman"/>
                <w:b/>
                <w:bCs/>
                <w:color w:val="000000"/>
                <w:sz w:val="18"/>
                <w:szCs w:val="18"/>
              </w:rPr>
            </w:pPr>
            <w:r w:rsidRPr="00CB59EF">
              <w:rPr>
                <w:rFonts w:eastAsia="Times New Roman"/>
                <w:b/>
                <w:bCs/>
                <w:color w:val="000000"/>
                <w:sz w:val="18"/>
                <w:szCs w:val="18"/>
              </w:rPr>
              <w:t>Adjusted ICC for Intervention Arm</w:t>
            </w:r>
          </w:p>
        </w:tc>
        <w:tc>
          <w:tcPr>
            <w:tcW w:w="789" w:type="dxa"/>
            <w:shd w:val="clear" w:color="auto" w:fill="FFFFFF"/>
            <w:tcMar>
              <w:left w:w="67" w:type="dxa"/>
              <w:right w:w="67" w:type="dxa"/>
            </w:tcMar>
            <w:vAlign w:val="bottom"/>
          </w:tcPr>
          <w:p w14:paraId="5F455B90" w14:textId="77777777" w:rsidR="00E07CDE" w:rsidRPr="00CB59EF" w:rsidRDefault="00E07CDE" w:rsidP="00CB59EF">
            <w:pPr>
              <w:keepNext/>
              <w:spacing w:before="67" w:after="67" w:line="240" w:lineRule="auto"/>
              <w:jc w:val="center"/>
              <w:rPr>
                <w:rFonts w:eastAsia="Times New Roman"/>
                <w:b/>
                <w:bCs/>
                <w:color w:val="000000"/>
                <w:sz w:val="18"/>
                <w:szCs w:val="18"/>
              </w:rPr>
            </w:pPr>
            <w:r w:rsidRPr="00CB59EF">
              <w:rPr>
                <w:rFonts w:eastAsia="Times New Roman"/>
                <w:b/>
                <w:bCs/>
                <w:color w:val="000000"/>
                <w:sz w:val="18"/>
                <w:szCs w:val="18"/>
              </w:rPr>
              <w:t>Adjusted ICC for Control Arm</w:t>
            </w:r>
          </w:p>
        </w:tc>
        <w:tc>
          <w:tcPr>
            <w:tcW w:w="487" w:type="dxa"/>
            <w:shd w:val="clear" w:color="auto" w:fill="FFFFFF"/>
            <w:tcMar>
              <w:left w:w="67" w:type="dxa"/>
              <w:right w:w="67" w:type="dxa"/>
            </w:tcMar>
            <w:vAlign w:val="bottom"/>
          </w:tcPr>
          <w:p w14:paraId="02D6889F" w14:textId="77777777" w:rsidR="00E07CDE" w:rsidRPr="00CB59EF" w:rsidRDefault="00E07CDE" w:rsidP="00CB59EF">
            <w:pPr>
              <w:keepNext/>
              <w:spacing w:before="67" w:after="67" w:line="240" w:lineRule="auto"/>
              <w:jc w:val="center"/>
              <w:rPr>
                <w:rFonts w:eastAsia="Times New Roman"/>
                <w:b/>
                <w:bCs/>
                <w:color w:val="000000"/>
                <w:sz w:val="18"/>
                <w:szCs w:val="18"/>
              </w:rPr>
            </w:pPr>
            <w:r w:rsidRPr="00CB59EF">
              <w:rPr>
                <w:rFonts w:eastAsia="Times New Roman"/>
                <w:b/>
                <w:bCs/>
                <w:color w:val="000000"/>
                <w:sz w:val="18"/>
                <w:szCs w:val="18"/>
              </w:rPr>
              <w:t>N</w:t>
            </w:r>
          </w:p>
        </w:tc>
      </w:tr>
      <w:tr w:rsidR="00E07CDE" w:rsidRPr="00CB59EF" w14:paraId="3AD6D992" w14:textId="77777777" w:rsidTr="00CB59EF">
        <w:trPr>
          <w:cantSplit/>
          <w:jc w:val="center"/>
        </w:trPr>
        <w:tc>
          <w:tcPr>
            <w:tcW w:w="4106" w:type="dxa"/>
            <w:shd w:val="clear" w:color="auto" w:fill="FFFFFF"/>
            <w:tcMar>
              <w:left w:w="67" w:type="dxa"/>
              <w:right w:w="67" w:type="dxa"/>
            </w:tcMar>
          </w:tcPr>
          <w:p w14:paraId="75D0E4C4" w14:textId="77777777" w:rsidR="00E07CDE" w:rsidRPr="00CB59EF" w:rsidRDefault="00E07CDE" w:rsidP="00CB59EF">
            <w:pPr>
              <w:spacing w:before="67" w:after="67" w:line="240" w:lineRule="auto"/>
              <w:rPr>
                <w:rFonts w:eastAsia="Times New Roman"/>
                <w:b/>
                <w:color w:val="000000"/>
                <w:sz w:val="18"/>
                <w:szCs w:val="18"/>
              </w:rPr>
            </w:pPr>
            <w:r w:rsidRPr="00CB59EF">
              <w:rPr>
                <w:rFonts w:eastAsia="Times New Roman"/>
                <w:b/>
                <w:color w:val="000000"/>
                <w:sz w:val="18"/>
                <w:szCs w:val="18"/>
              </w:rPr>
              <w:t xml:space="preserve">Primary analysis </w:t>
            </w:r>
          </w:p>
        </w:tc>
        <w:tc>
          <w:tcPr>
            <w:tcW w:w="851" w:type="dxa"/>
            <w:shd w:val="clear" w:color="auto" w:fill="FFFFFF"/>
          </w:tcPr>
          <w:p w14:paraId="69E52B76" w14:textId="77777777" w:rsidR="00E07CDE" w:rsidRPr="00CB59EF" w:rsidRDefault="00E07CDE" w:rsidP="00CB59EF">
            <w:pPr>
              <w:spacing w:before="67" w:after="67" w:line="240" w:lineRule="auto"/>
              <w:jc w:val="center"/>
              <w:rPr>
                <w:rFonts w:eastAsia="Times New Roman"/>
                <w:color w:val="000000"/>
                <w:sz w:val="18"/>
                <w:szCs w:val="18"/>
              </w:rPr>
            </w:pPr>
            <w:r w:rsidRPr="00CB59EF">
              <w:rPr>
                <w:rFonts w:eastAsia="Times New Roman"/>
                <w:color w:val="000000"/>
                <w:sz w:val="18"/>
                <w:szCs w:val="18"/>
              </w:rPr>
              <w:t>45.52</w:t>
            </w:r>
          </w:p>
        </w:tc>
        <w:tc>
          <w:tcPr>
            <w:tcW w:w="850" w:type="dxa"/>
            <w:shd w:val="clear" w:color="auto" w:fill="FFFFFF"/>
          </w:tcPr>
          <w:p w14:paraId="17C13C3D" w14:textId="77777777" w:rsidR="00E07CDE" w:rsidRPr="00CB59EF" w:rsidRDefault="00E07CDE" w:rsidP="00CB59EF">
            <w:pPr>
              <w:spacing w:before="67" w:after="67" w:line="240" w:lineRule="auto"/>
              <w:jc w:val="center"/>
              <w:rPr>
                <w:rFonts w:eastAsia="Times New Roman"/>
                <w:color w:val="000000"/>
                <w:sz w:val="18"/>
                <w:szCs w:val="18"/>
              </w:rPr>
            </w:pPr>
            <w:r w:rsidRPr="00CB59EF">
              <w:rPr>
                <w:rFonts w:eastAsia="Times New Roman"/>
                <w:color w:val="000000"/>
                <w:sz w:val="18"/>
                <w:szCs w:val="18"/>
              </w:rPr>
              <w:t>43.33</w:t>
            </w:r>
          </w:p>
        </w:tc>
        <w:tc>
          <w:tcPr>
            <w:tcW w:w="851" w:type="dxa"/>
            <w:shd w:val="clear" w:color="auto" w:fill="FFFFFF"/>
            <w:tcMar>
              <w:left w:w="67" w:type="dxa"/>
              <w:right w:w="67" w:type="dxa"/>
            </w:tcMar>
          </w:tcPr>
          <w:p w14:paraId="6B30B8FD"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-2.19</w:t>
            </w:r>
          </w:p>
        </w:tc>
        <w:tc>
          <w:tcPr>
            <w:tcW w:w="932" w:type="dxa"/>
            <w:shd w:val="clear" w:color="auto" w:fill="FFFFFF"/>
            <w:tcMar>
              <w:left w:w="67" w:type="dxa"/>
              <w:right w:w="67" w:type="dxa"/>
            </w:tcMar>
          </w:tcPr>
          <w:p w14:paraId="4735B107"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-4.81</w:t>
            </w:r>
          </w:p>
        </w:tc>
        <w:tc>
          <w:tcPr>
            <w:tcW w:w="913" w:type="dxa"/>
            <w:shd w:val="clear" w:color="auto" w:fill="FFFFFF"/>
            <w:tcMar>
              <w:left w:w="67" w:type="dxa"/>
              <w:right w:w="67" w:type="dxa"/>
            </w:tcMar>
          </w:tcPr>
          <w:p w14:paraId="71D541C4"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0.43</w:t>
            </w:r>
          </w:p>
        </w:tc>
        <w:tc>
          <w:tcPr>
            <w:tcW w:w="648" w:type="dxa"/>
            <w:shd w:val="clear" w:color="auto" w:fill="FFFFFF"/>
            <w:tcMar>
              <w:left w:w="67" w:type="dxa"/>
              <w:right w:w="67" w:type="dxa"/>
            </w:tcMar>
          </w:tcPr>
          <w:p w14:paraId="1D48EF72"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0.099</w:t>
            </w:r>
          </w:p>
        </w:tc>
        <w:tc>
          <w:tcPr>
            <w:tcW w:w="993" w:type="dxa"/>
            <w:shd w:val="clear" w:color="auto" w:fill="FFFFFF"/>
            <w:tcMar>
              <w:left w:w="67" w:type="dxa"/>
              <w:right w:w="67" w:type="dxa"/>
            </w:tcMar>
          </w:tcPr>
          <w:p w14:paraId="1216A9FB"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0.0546</w:t>
            </w:r>
          </w:p>
        </w:tc>
        <w:tc>
          <w:tcPr>
            <w:tcW w:w="908" w:type="dxa"/>
            <w:shd w:val="clear" w:color="auto" w:fill="FFFFFF"/>
            <w:tcMar>
              <w:left w:w="67" w:type="dxa"/>
              <w:right w:w="67" w:type="dxa"/>
            </w:tcMar>
          </w:tcPr>
          <w:p w14:paraId="0A83B331"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0.0002</w:t>
            </w:r>
          </w:p>
        </w:tc>
        <w:tc>
          <w:tcPr>
            <w:tcW w:w="992" w:type="dxa"/>
            <w:shd w:val="clear" w:color="auto" w:fill="FFFFFF"/>
            <w:tcMar>
              <w:left w:w="67" w:type="dxa"/>
              <w:right w:w="67" w:type="dxa"/>
            </w:tcMar>
          </w:tcPr>
          <w:p w14:paraId="797E0A55"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w:t>
            </w:r>
          </w:p>
        </w:tc>
        <w:tc>
          <w:tcPr>
            <w:tcW w:w="789" w:type="dxa"/>
            <w:shd w:val="clear" w:color="auto" w:fill="FFFFFF"/>
            <w:tcMar>
              <w:left w:w="67" w:type="dxa"/>
              <w:right w:w="67" w:type="dxa"/>
            </w:tcMar>
          </w:tcPr>
          <w:p w14:paraId="735F4D2C"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w:t>
            </w:r>
          </w:p>
        </w:tc>
        <w:tc>
          <w:tcPr>
            <w:tcW w:w="487" w:type="dxa"/>
            <w:shd w:val="clear" w:color="auto" w:fill="FFFFFF"/>
            <w:tcMar>
              <w:left w:w="67" w:type="dxa"/>
              <w:right w:w="67" w:type="dxa"/>
            </w:tcMar>
          </w:tcPr>
          <w:p w14:paraId="2A207936"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666</w:t>
            </w:r>
          </w:p>
        </w:tc>
      </w:tr>
      <w:tr w:rsidR="00E07CDE" w:rsidRPr="00CB59EF" w14:paraId="7BB9DEB0" w14:textId="77777777" w:rsidTr="00CB59EF">
        <w:trPr>
          <w:cantSplit/>
          <w:jc w:val="center"/>
        </w:trPr>
        <w:tc>
          <w:tcPr>
            <w:tcW w:w="4106" w:type="dxa"/>
            <w:shd w:val="clear" w:color="auto" w:fill="FFFFFF"/>
            <w:tcMar>
              <w:left w:w="67" w:type="dxa"/>
              <w:right w:w="67" w:type="dxa"/>
            </w:tcMar>
          </w:tcPr>
          <w:p w14:paraId="5F657E6B" w14:textId="77777777" w:rsidR="00E07CDE" w:rsidRPr="00CB59EF" w:rsidRDefault="00E07CDE" w:rsidP="00CB59EF">
            <w:pPr>
              <w:spacing w:before="67" w:after="67" w:line="240" w:lineRule="auto"/>
              <w:rPr>
                <w:rFonts w:eastAsia="Times New Roman"/>
                <w:color w:val="000000"/>
                <w:sz w:val="18"/>
                <w:szCs w:val="18"/>
              </w:rPr>
            </w:pPr>
            <w:r w:rsidRPr="00CB59EF">
              <w:rPr>
                <w:rFonts w:eastAsia="Times New Roman"/>
                <w:color w:val="000000"/>
                <w:sz w:val="18"/>
                <w:szCs w:val="18"/>
              </w:rPr>
              <w:t xml:space="preserve">Key sensitivity analysis  </w:t>
            </w:r>
          </w:p>
        </w:tc>
        <w:tc>
          <w:tcPr>
            <w:tcW w:w="851" w:type="dxa"/>
            <w:shd w:val="clear" w:color="auto" w:fill="FFFFFF"/>
          </w:tcPr>
          <w:p w14:paraId="53AFBA8B" w14:textId="77777777" w:rsidR="00E07CDE" w:rsidRPr="00CB59EF" w:rsidRDefault="00E07CDE" w:rsidP="00CB59EF">
            <w:pPr>
              <w:spacing w:before="67" w:after="67" w:line="240" w:lineRule="auto"/>
              <w:jc w:val="center"/>
              <w:rPr>
                <w:rFonts w:eastAsia="Times New Roman"/>
                <w:color w:val="000000"/>
                <w:sz w:val="18"/>
                <w:szCs w:val="18"/>
              </w:rPr>
            </w:pPr>
            <w:r w:rsidRPr="00CB59EF">
              <w:rPr>
                <w:rFonts w:eastAsia="Times New Roman"/>
                <w:color w:val="000000"/>
                <w:sz w:val="18"/>
                <w:szCs w:val="18"/>
              </w:rPr>
              <w:t>46.01</w:t>
            </w:r>
          </w:p>
        </w:tc>
        <w:tc>
          <w:tcPr>
            <w:tcW w:w="850" w:type="dxa"/>
            <w:shd w:val="clear" w:color="auto" w:fill="FFFFFF"/>
          </w:tcPr>
          <w:p w14:paraId="17944103" w14:textId="77777777" w:rsidR="00E07CDE" w:rsidRPr="00CB59EF" w:rsidRDefault="00E07CDE" w:rsidP="00CB59EF">
            <w:pPr>
              <w:spacing w:before="67" w:after="67" w:line="240" w:lineRule="auto"/>
              <w:jc w:val="center"/>
              <w:rPr>
                <w:rFonts w:eastAsia="Times New Roman"/>
                <w:color w:val="000000"/>
                <w:sz w:val="18"/>
                <w:szCs w:val="18"/>
              </w:rPr>
            </w:pPr>
            <w:r w:rsidRPr="00CB59EF">
              <w:rPr>
                <w:rFonts w:eastAsia="Times New Roman"/>
                <w:color w:val="000000"/>
                <w:sz w:val="18"/>
                <w:szCs w:val="18"/>
              </w:rPr>
              <w:t>43.73</w:t>
            </w:r>
          </w:p>
        </w:tc>
        <w:tc>
          <w:tcPr>
            <w:tcW w:w="851" w:type="dxa"/>
            <w:shd w:val="clear" w:color="auto" w:fill="FFFFFF"/>
            <w:tcMar>
              <w:left w:w="67" w:type="dxa"/>
              <w:right w:w="67" w:type="dxa"/>
            </w:tcMar>
          </w:tcPr>
          <w:p w14:paraId="2D8ED3C0"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-2.28</w:t>
            </w:r>
          </w:p>
        </w:tc>
        <w:tc>
          <w:tcPr>
            <w:tcW w:w="932" w:type="dxa"/>
            <w:shd w:val="clear" w:color="auto" w:fill="FFFFFF"/>
            <w:tcMar>
              <w:left w:w="67" w:type="dxa"/>
              <w:right w:w="67" w:type="dxa"/>
            </w:tcMar>
          </w:tcPr>
          <w:p w14:paraId="5B5E4769"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-4.98</w:t>
            </w:r>
          </w:p>
        </w:tc>
        <w:tc>
          <w:tcPr>
            <w:tcW w:w="913" w:type="dxa"/>
            <w:shd w:val="clear" w:color="auto" w:fill="FFFFFF"/>
            <w:tcMar>
              <w:left w:w="67" w:type="dxa"/>
              <w:right w:w="67" w:type="dxa"/>
            </w:tcMar>
          </w:tcPr>
          <w:p w14:paraId="4AE67F1B"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0.42</w:t>
            </w:r>
          </w:p>
        </w:tc>
        <w:tc>
          <w:tcPr>
            <w:tcW w:w="648" w:type="dxa"/>
            <w:shd w:val="clear" w:color="auto" w:fill="FFFFFF"/>
            <w:tcMar>
              <w:left w:w="67" w:type="dxa"/>
              <w:right w:w="67" w:type="dxa"/>
            </w:tcMar>
          </w:tcPr>
          <w:p w14:paraId="07A7013C"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0.095</w:t>
            </w:r>
          </w:p>
        </w:tc>
        <w:tc>
          <w:tcPr>
            <w:tcW w:w="1901" w:type="dxa"/>
            <w:gridSpan w:val="2"/>
            <w:shd w:val="clear" w:color="auto" w:fill="FFFFFF"/>
            <w:tcMar>
              <w:left w:w="67" w:type="dxa"/>
              <w:right w:w="67" w:type="dxa"/>
            </w:tcMar>
          </w:tcPr>
          <w:p w14:paraId="2CE706C8" w14:textId="77777777" w:rsidR="00E07CDE" w:rsidRPr="00CB59EF" w:rsidRDefault="00E07CDE" w:rsidP="00CB59EF">
            <w:pPr>
              <w:spacing w:before="67" w:after="67" w:line="240" w:lineRule="auto"/>
              <w:jc w:val="center"/>
              <w:rPr>
                <w:rFonts w:eastAsia="Times New Roman"/>
                <w:color w:val="000000"/>
                <w:sz w:val="18"/>
                <w:szCs w:val="18"/>
              </w:rPr>
            </w:pPr>
            <w:r w:rsidRPr="00CB59EF">
              <w:rPr>
                <w:rFonts w:eastAsia="Times New Roman"/>
                <w:color w:val="000000"/>
                <w:sz w:val="18"/>
                <w:szCs w:val="18"/>
              </w:rPr>
              <w:t>0.0497</w:t>
            </w:r>
          </w:p>
        </w:tc>
        <w:tc>
          <w:tcPr>
            <w:tcW w:w="1781" w:type="dxa"/>
            <w:gridSpan w:val="2"/>
            <w:shd w:val="clear" w:color="auto" w:fill="FFFFFF"/>
            <w:tcMar>
              <w:left w:w="67" w:type="dxa"/>
              <w:right w:w="67" w:type="dxa"/>
            </w:tcMar>
          </w:tcPr>
          <w:p w14:paraId="35FBF209" w14:textId="77777777" w:rsidR="00E07CDE" w:rsidRPr="00CB59EF" w:rsidRDefault="00E07CDE" w:rsidP="00CB59EF">
            <w:pPr>
              <w:spacing w:before="67" w:after="67" w:line="240" w:lineRule="auto"/>
              <w:jc w:val="center"/>
              <w:rPr>
                <w:rFonts w:eastAsia="Times New Roman"/>
                <w:color w:val="000000"/>
                <w:sz w:val="18"/>
                <w:szCs w:val="18"/>
              </w:rPr>
            </w:pPr>
            <w:r w:rsidRPr="00CB59EF">
              <w:rPr>
                <w:rFonts w:eastAsia="Times New Roman"/>
                <w:color w:val="000000"/>
                <w:sz w:val="18"/>
                <w:szCs w:val="18"/>
              </w:rPr>
              <w:t>0.007</w:t>
            </w:r>
          </w:p>
        </w:tc>
        <w:tc>
          <w:tcPr>
            <w:tcW w:w="487" w:type="dxa"/>
            <w:shd w:val="clear" w:color="auto" w:fill="FFFFFF"/>
            <w:tcMar>
              <w:left w:w="67" w:type="dxa"/>
              <w:right w:w="67" w:type="dxa"/>
            </w:tcMar>
          </w:tcPr>
          <w:p w14:paraId="1D8112C5"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666</w:t>
            </w:r>
          </w:p>
        </w:tc>
      </w:tr>
      <w:tr w:rsidR="00E07CDE" w:rsidRPr="00CB59EF" w14:paraId="18FC183F" w14:textId="77777777" w:rsidTr="00CB59EF">
        <w:trPr>
          <w:cantSplit/>
          <w:jc w:val="center"/>
        </w:trPr>
        <w:tc>
          <w:tcPr>
            <w:tcW w:w="4106" w:type="dxa"/>
            <w:shd w:val="clear" w:color="auto" w:fill="FFFFFF"/>
            <w:tcMar>
              <w:left w:w="67" w:type="dxa"/>
              <w:right w:w="67" w:type="dxa"/>
            </w:tcMar>
          </w:tcPr>
          <w:p w14:paraId="0C1C5364" w14:textId="3A8643F0" w:rsidR="008A1A04" w:rsidRPr="00CB59EF" w:rsidRDefault="008A1A04" w:rsidP="00CB59EF">
            <w:pPr>
              <w:spacing w:before="67" w:after="67" w:line="240" w:lineRule="auto"/>
              <w:rPr>
                <w:rFonts w:eastAsia="Times New Roman"/>
                <w:color w:val="000000"/>
                <w:sz w:val="18"/>
                <w:szCs w:val="18"/>
              </w:rPr>
            </w:pPr>
            <w:r w:rsidRPr="00CB59EF">
              <w:rPr>
                <w:rFonts w:eastAsia="Times New Roman"/>
                <w:color w:val="000000"/>
                <w:sz w:val="18"/>
                <w:szCs w:val="18"/>
              </w:rPr>
              <w:t xml:space="preserve">Sensitivity analysis (1) </w:t>
            </w:r>
            <w:r w:rsidR="00E07CDE" w:rsidRPr="00CB59EF">
              <w:rPr>
                <w:rFonts w:eastAsia="Times New Roman"/>
                <w:color w:val="000000"/>
                <w:sz w:val="18"/>
                <w:szCs w:val="18"/>
              </w:rPr>
              <w:t xml:space="preserve">adjusting for before after </w:t>
            </w:r>
          </w:p>
          <w:p w14:paraId="24A0FEF3" w14:textId="33CB31F5" w:rsidR="00E07CDE" w:rsidRPr="00CB59EF" w:rsidRDefault="008A1A04" w:rsidP="00CB59EF">
            <w:pPr>
              <w:spacing w:before="67" w:after="67" w:line="240" w:lineRule="auto"/>
              <w:rPr>
                <w:rFonts w:eastAsia="Times New Roman"/>
                <w:color w:val="000000"/>
                <w:sz w:val="18"/>
                <w:szCs w:val="18"/>
              </w:rPr>
            </w:pPr>
            <w:r w:rsidRPr="00CB59EF">
              <w:rPr>
                <w:rFonts w:eastAsia="Times New Roman"/>
                <w:color w:val="000000"/>
                <w:sz w:val="18"/>
                <w:szCs w:val="18"/>
              </w:rPr>
              <w:t xml:space="preserve">                                </w:t>
            </w:r>
            <w:r w:rsidR="00E07CDE" w:rsidRPr="00CB59EF">
              <w:rPr>
                <w:rFonts w:eastAsia="Times New Roman"/>
                <w:color w:val="000000"/>
                <w:sz w:val="18"/>
                <w:szCs w:val="18"/>
              </w:rPr>
              <w:t xml:space="preserve">eligibility change </w:t>
            </w:r>
          </w:p>
        </w:tc>
        <w:tc>
          <w:tcPr>
            <w:tcW w:w="851" w:type="dxa"/>
            <w:shd w:val="clear" w:color="auto" w:fill="FFFFFF"/>
          </w:tcPr>
          <w:p w14:paraId="4F61713D" w14:textId="77777777" w:rsidR="00E07CDE" w:rsidRPr="00CB59EF" w:rsidRDefault="00E07CDE" w:rsidP="00CB59EF">
            <w:pPr>
              <w:spacing w:before="67" w:after="67" w:line="240" w:lineRule="auto"/>
              <w:jc w:val="center"/>
              <w:rPr>
                <w:rFonts w:eastAsia="Times New Roman"/>
                <w:color w:val="000000"/>
                <w:sz w:val="18"/>
                <w:szCs w:val="18"/>
              </w:rPr>
            </w:pPr>
            <w:r w:rsidRPr="00CB59EF">
              <w:rPr>
                <w:rFonts w:eastAsia="Times New Roman"/>
                <w:color w:val="000000"/>
                <w:sz w:val="18"/>
                <w:szCs w:val="18"/>
              </w:rPr>
              <w:t>44.85</w:t>
            </w:r>
          </w:p>
        </w:tc>
        <w:tc>
          <w:tcPr>
            <w:tcW w:w="850" w:type="dxa"/>
            <w:shd w:val="clear" w:color="auto" w:fill="FFFFFF"/>
          </w:tcPr>
          <w:p w14:paraId="68421D81" w14:textId="77777777" w:rsidR="00E07CDE" w:rsidRPr="00CB59EF" w:rsidRDefault="00E07CDE" w:rsidP="00CB59EF">
            <w:pPr>
              <w:spacing w:before="67" w:after="67" w:line="240" w:lineRule="auto"/>
              <w:jc w:val="center"/>
              <w:rPr>
                <w:rFonts w:eastAsia="Times New Roman"/>
                <w:color w:val="000000"/>
                <w:sz w:val="18"/>
                <w:szCs w:val="18"/>
              </w:rPr>
            </w:pPr>
            <w:r w:rsidRPr="00CB59EF">
              <w:rPr>
                <w:rFonts w:eastAsia="Times New Roman"/>
                <w:color w:val="000000"/>
                <w:sz w:val="18"/>
                <w:szCs w:val="18"/>
              </w:rPr>
              <w:t>42.65</w:t>
            </w:r>
          </w:p>
        </w:tc>
        <w:tc>
          <w:tcPr>
            <w:tcW w:w="851" w:type="dxa"/>
            <w:shd w:val="clear" w:color="auto" w:fill="FFFFFF"/>
            <w:tcMar>
              <w:left w:w="67" w:type="dxa"/>
              <w:right w:w="67" w:type="dxa"/>
            </w:tcMar>
          </w:tcPr>
          <w:p w14:paraId="4B72D0BA"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-2.2</w:t>
            </w:r>
          </w:p>
        </w:tc>
        <w:tc>
          <w:tcPr>
            <w:tcW w:w="932" w:type="dxa"/>
            <w:shd w:val="clear" w:color="auto" w:fill="FFFFFF"/>
            <w:tcMar>
              <w:left w:w="67" w:type="dxa"/>
              <w:right w:w="67" w:type="dxa"/>
            </w:tcMar>
          </w:tcPr>
          <w:p w14:paraId="0EBE5ADF"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-4.82</w:t>
            </w:r>
          </w:p>
        </w:tc>
        <w:tc>
          <w:tcPr>
            <w:tcW w:w="913" w:type="dxa"/>
            <w:shd w:val="clear" w:color="auto" w:fill="FFFFFF"/>
            <w:tcMar>
              <w:left w:w="67" w:type="dxa"/>
              <w:right w:w="67" w:type="dxa"/>
            </w:tcMar>
          </w:tcPr>
          <w:p w14:paraId="37B0D4AF"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0.43</w:t>
            </w:r>
          </w:p>
        </w:tc>
        <w:tc>
          <w:tcPr>
            <w:tcW w:w="648" w:type="dxa"/>
            <w:shd w:val="clear" w:color="auto" w:fill="FFFFFF"/>
            <w:tcMar>
              <w:left w:w="67" w:type="dxa"/>
              <w:right w:w="67" w:type="dxa"/>
            </w:tcMar>
          </w:tcPr>
          <w:p w14:paraId="15DC15D8"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0.099</w:t>
            </w:r>
          </w:p>
        </w:tc>
        <w:tc>
          <w:tcPr>
            <w:tcW w:w="993" w:type="dxa"/>
            <w:shd w:val="clear" w:color="auto" w:fill="FFFFFF"/>
            <w:tcMar>
              <w:left w:w="67" w:type="dxa"/>
              <w:right w:w="67" w:type="dxa"/>
            </w:tcMar>
          </w:tcPr>
          <w:p w14:paraId="373EB1E5"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0.0546</w:t>
            </w:r>
          </w:p>
        </w:tc>
        <w:tc>
          <w:tcPr>
            <w:tcW w:w="908" w:type="dxa"/>
            <w:shd w:val="clear" w:color="auto" w:fill="FFFFFF"/>
            <w:tcMar>
              <w:left w:w="67" w:type="dxa"/>
              <w:right w:w="67" w:type="dxa"/>
            </w:tcMar>
          </w:tcPr>
          <w:p w14:paraId="7B3B8165"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0.0002</w:t>
            </w:r>
          </w:p>
        </w:tc>
        <w:tc>
          <w:tcPr>
            <w:tcW w:w="992" w:type="dxa"/>
            <w:shd w:val="clear" w:color="auto" w:fill="FFFFFF"/>
            <w:tcMar>
              <w:left w:w="67" w:type="dxa"/>
              <w:right w:w="67" w:type="dxa"/>
            </w:tcMar>
          </w:tcPr>
          <w:p w14:paraId="34DFEC6A"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w:t>
            </w:r>
          </w:p>
        </w:tc>
        <w:tc>
          <w:tcPr>
            <w:tcW w:w="789" w:type="dxa"/>
            <w:shd w:val="clear" w:color="auto" w:fill="FFFFFF"/>
            <w:tcMar>
              <w:left w:w="67" w:type="dxa"/>
              <w:right w:w="67" w:type="dxa"/>
            </w:tcMar>
          </w:tcPr>
          <w:p w14:paraId="0D7D6791"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w:t>
            </w:r>
          </w:p>
        </w:tc>
        <w:tc>
          <w:tcPr>
            <w:tcW w:w="487" w:type="dxa"/>
            <w:shd w:val="clear" w:color="auto" w:fill="FFFFFF"/>
            <w:tcMar>
              <w:left w:w="67" w:type="dxa"/>
              <w:right w:w="67" w:type="dxa"/>
            </w:tcMar>
          </w:tcPr>
          <w:p w14:paraId="1EFADCFA"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666</w:t>
            </w:r>
          </w:p>
        </w:tc>
      </w:tr>
      <w:tr w:rsidR="00E07CDE" w:rsidRPr="00CB59EF" w14:paraId="5812D4E8" w14:textId="77777777" w:rsidTr="00CB59EF">
        <w:trPr>
          <w:cantSplit/>
          <w:jc w:val="center"/>
        </w:trPr>
        <w:tc>
          <w:tcPr>
            <w:tcW w:w="4106" w:type="dxa"/>
            <w:shd w:val="clear" w:color="auto" w:fill="FFFFFF"/>
            <w:tcMar>
              <w:left w:w="67" w:type="dxa"/>
              <w:right w:w="67" w:type="dxa"/>
            </w:tcMar>
          </w:tcPr>
          <w:p w14:paraId="2E22242F" w14:textId="77777777" w:rsidR="00CB59EF" w:rsidRDefault="00E07CDE" w:rsidP="00CB59EF">
            <w:pPr>
              <w:spacing w:before="67" w:after="67" w:line="240" w:lineRule="auto"/>
              <w:rPr>
                <w:rFonts w:eastAsia="Times New Roman"/>
                <w:color w:val="000000"/>
                <w:sz w:val="18"/>
                <w:szCs w:val="18"/>
              </w:rPr>
            </w:pPr>
            <w:r w:rsidRPr="00CB59EF">
              <w:rPr>
                <w:rFonts w:eastAsia="Times New Roman"/>
                <w:color w:val="000000"/>
                <w:sz w:val="18"/>
                <w:szCs w:val="18"/>
              </w:rPr>
              <w:t xml:space="preserve">                                (2) care home size as a </w:t>
            </w:r>
          </w:p>
          <w:p w14:paraId="1A3AEFEC" w14:textId="08FF1257" w:rsidR="00E07CDE" w:rsidRPr="00CB59EF" w:rsidRDefault="00CB59EF" w:rsidP="00CB59EF">
            <w:pPr>
              <w:spacing w:before="67" w:after="67" w:line="240" w:lineRule="auto"/>
              <w:rPr>
                <w:rFonts w:eastAsia="Times New Roman"/>
                <w:color w:val="000000"/>
                <w:sz w:val="18"/>
                <w:szCs w:val="18"/>
              </w:rPr>
            </w:pPr>
            <w:r>
              <w:rPr>
                <w:rFonts w:eastAsia="Times New Roman"/>
                <w:color w:val="000000"/>
                <w:sz w:val="18"/>
                <w:szCs w:val="18"/>
              </w:rPr>
              <w:t xml:space="preserve">                                </w:t>
            </w:r>
            <w:r w:rsidR="00E07CDE" w:rsidRPr="00CB59EF">
              <w:rPr>
                <w:rFonts w:eastAsia="Times New Roman"/>
                <w:color w:val="000000"/>
                <w:sz w:val="18"/>
                <w:szCs w:val="18"/>
              </w:rPr>
              <w:t>continuous</w:t>
            </w:r>
            <w:r>
              <w:rPr>
                <w:rFonts w:eastAsia="Times New Roman"/>
                <w:color w:val="000000"/>
                <w:sz w:val="18"/>
                <w:szCs w:val="18"/>
              </w:rPr>
              <w:t xml:space="preserve"> variable</w:t>
            </w:r>
            <w:r w:rsidR="00E07CDE" w:rsidRPr="00CB59EF">
              <w:rPr>
                <w:rFonts w:eastAsia="Times New Roman"/>
                <w:color w:val="000000"/>
                <w:sz w:val="18"/>
                <w:szCs w:val="18"/>
              </w:rPr>
              <w:t xml:space="preserve"> </w:t>
            </w:r>
          </w:p>
        </w:tc>
        <w:tc>
          <w:tcPr>
            <w:tcW w:w="851" w:type="dxa"/>
            <w:shd w:val="clear" w:color="auto" w:fill="FFFFFF"/>
          </w:tcPr>
          <w:p w14:paraId="6212EBB4" w14:textId="77777777" w:rsidR="00E07CDE" w:rsidRPr="00CB59EF" w:rsidRDefault="00E07CDE" w:rsidP="00CB59EF">
            <w:pPr>
              <w:spacing w:before="67" w:after="67" w:line="240" w:lineRule="auto"/>
              <w:jc w:val="center"/>
              <w:rPr>
                <w:rFonts w:eastAsia="Times New Roman"/>
                <w:color w:val="000000"/>
                <w:sz w:val="18"/>
                <w:szCs w:val="18"/>
              </w:rPr>
            </w:pPr>
            <w:r w:rsidRPr="00CB59EF">
              <w:rPr>
                <w:rFonts w:eastAsia="Times New Roman"/>
                <w:color w:val="000000"/>
                <w:sz w:val="18"/>
                <w:szCs w:val="18"/>
              </w:rPr>
              <w:t>45.48</w:t>
            </w:r>
          </w:p>
        </w:tc>
        <w:tc>
          <w:tcPr>
            <w:tcW w:w="850" w:type="dxa"/>
            <w:shd w:val="clear" w:color="auto" w:fill="FFFFFF"/>
          </w:tcPr>
          <w:p w14:paraId="0AE9305C" w14:textId="77777777" w:rsidR="00E07CDE" w:rsidRPr="00CB59EF" w:rsidRDefault="00E07CDE" w:rsidP="00CB59EF">
            <w:pPr>
              <w:spacing w:before="67" w:after="67" w:line="240" w:lineRule="auto"/>
              <w:jc w:val="center"/>
              <w:rPr>
                <w:rFonts w:eastAsia="Times New Roman"/>
                <w:color w:val="000000"/>
                <w:sz w:val="18"/>
                <w:szCs w:val="18"/>
              </w:rPr>
            </w:pPr>
            <w:r w:rsidRPr="00CB59EF">
              <w:rPr>
                <w:rFonts w:eastAsia="Times New Roman"/>
                <w:color w:val="000000"/>
                <w:sz w:val="18"/>
                <w:szCs w:val="18"/>
              </w:rPr>
              <w:t>43.16</w:t>
            </w:r>
          </w:p>
        </w:tc>
        <w:tc>
          <w:tcPr>
            <w:tcW w:w="851" w:type="dxa"/>
            <w:shd w:val="clear" w:color="auto" w:fill="FFFFFF"/>
            <w:tcMar>
              <w:left w:w="67" w:type="dxa"/>
              <w:right w:w="67" w:type="dxa"/>
            </w:tcMar>
          </w:tcPr>
          <w:p w14:paraId="2EF0F657"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-2.32</w:t>
            </w:r>
          </w:p>
        </w:tc>
        <w:tc>
          <w:tcPr>
            <w:tcW w:w="932" w:type="dxa"/>
            <w:shd w:val="clear" w:color="auto" w:fill="FFFFFF"/>
            <w:tcMar>
              <w:left w:w="67" w:type="dxa"/>
              <w:right w:w="67" w:type="dxa"/>
            </w:tcMar>
          </w:tcPr>
          <w:p w14:paraId="6D2734EE"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-5.03</w:t>
            </w:r>
          </w:p>
        </w:tc>
        <w:tc>
          <w:tcPr>
            <w:tcW w:w="913" w:type="dxa"/>
            <w:shd w:val="clear" w:color="auto" w:fill="FFFFFF"/>
            <w:tcMar>
              <w:left w:w="67" w:type="dxa"/>
              <w:right w:w="67" w:type="dxa"/>
            </w:tcMar>
          </w:tcPr>
          <w:p w14:paraId="142679B0"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0.38</w:t>
            </w:r>
          </w:p>
        </w:tc>
        <w:tc>
          <w:tcPr>
            <w:tcW w:w="648" w:type="dxa"/>
            <w:shd w:val="clear" w:color="auto" w:fill="FFFFFF"/>
            <w:tcMar>
              <w:left w:w="67" w:type="dxa"/>
              <w:right w:w="67" w:type="dxa"/>
            </w:tcMar>
          </w:tcPr>
          <w:p w14:paraId="231705B8"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0.090</w:t>
            </w:r>
          </w:p>
        </w:tc>
        <w:tc>
          <w:tcPr>
            <w:tcW w:w="993" w:type="dxa"/>
            <w:shd w:val="clear" w:color="auto" w:fill="FFFFFF"/>
            <w:tcMar>
              <w:left w:w="67" w:type="dxa"/>
              <w:right w:w="67" w:type="dxa"/>
            </w:tcMar>
          </w:tcPr>
          <w:p w14:paraId="454320D6"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0.0546</w:t>
            </w:r>
          </w:p>
        </w:tc>
        <w:tc>
          <w:tcPr>
            <w:tcW w:w="908" w:type="dxa"/>
            <w:shd w:val="clear" w:color="auto" w:fill="FFFFFF"/>
            <w:tcMar>
              <w:left w:w="67" w:type="dxa"/>
              <w:right w:w="67" w:type="dxa"/>
            </w:tcMar>
          </w:tcPr>
          <w:p w14:paraId="3B4F860A"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0.0002</w:t>
            </w:r>
          </w:p>
        </w:tc>
        <w:tc>
          <w:tcPr>
            <w:tcW w:w="992" w:type="dxa"/>
            <w:shd w:val="clear" w:color="auto" w:fill="FFFFFF"/>
            <w:tcMar>
              <w:left w:w="67" w:type="dxa"/>
              <w:right w:w="67" w:type="dxa"/>
            </w:tcMar>
          </w:tcPr>
          <w:p w14:paraId="74D5EE5E"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w:t>
            </w:r>
          </w:p>
        </w:tc>
        <w:tc>
          <w:tcPr>
            <w:tcW w:w="789" w:type="dxa"/>
            <w:shd w:val="clear" w:color="auto" w:fill="FFFFFF"/>
            <w:tcMar>
              <w:left w:w="67" w:type="dxa"/>
              <w:right w:w="67" w:type="dxa"/>
            </w:tcMar>
          </w:tcPr>
          <w:p w14:paraId="4E2689F4"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w:t>
            </w:r>
          </w:p>
        </w:tc>
        <w:tc>
          <w:tcPr>
            <w:tcW w:w="487" w:type="dxa"/>
            <w:shd w:val="clear" w:color="auto" w:fill="FFFFFF"/>
            <w:tcMar>
              <w:left w:w="67" w:type="dxa"/>
              <w:right w:w="67" w:type="dxa"/>
            </w:tcMar>
          </w:tcPr>
          <w:p w14:paraId="37872E95"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661</w:t>
            </w:r>
          </w:p>
        </w:tc>
      </w:tr>
      <w:tr w:rsidR="00E07CDE" w:rsidRPr="00CB59EF" w14:paraId="5B5A956C" w14:textId="77777777" w:rsidTr="00CB59EF">
        <w:trPr>
          <w:cantSplit/>
          <w:jc w:val="center"/>
        </w:trPr>
        <w:tc>
          <w:tcPr>
            <w:tcW w:w="4106" w:type="dxa"/>
            <w:shd w:val="clear" w:color="auto" w:fill="FFFFFF"/>
            <w:tcMar>
              <w:left w:w="67" w:type="dxa"/>
              <w:right w:w="67" w:type="dxa"/>
            </w:tcMar>
          </w:tcPr>
          <w:p w14:paraId="4C48C77D" w14:textId="77777777" w:rsidR="008A1A04" w:rsidRPr="00CB59EF" w:rsidRDefault="00E07CDE" w:rsidP="00CB59EF">
            <w:pPr>
              <w:spacing w:before="67" w:after="67" w:line="240" w:lineRule="auto"/>
              <w:rPr>
                <w:rFonts w:eastAsia="Times New Roman"/>
                <w:color w:val="000000"/>
                <w:sz w:val="18"/>
                <w:szCs w:val="18"/>
              </w:rPr>
            </w:pPr>
            <w:r w:rsidRPr="00CB59EF">
              <w:rPr>
                <w:rFonts w:eastAsia="Times New Roman"/>
                <w:color w:val="000000"/>
                <w:sz w:val="18"/>
                <w:szCs w:val="18"/>
              </w:rPr>
              <w:t xml:space="preserve">                                (3) assuming homogeneous </w:t>
            </w:r>
          </w:p>
          <w:p w14:paraId="657EACC2" w14:textId="36E48B3D" w:rsidR="00E07CDE" w:rsidRPr="00CB59EF" w:rsidRDefault="008A1A04" w:rsidP="00CB59EF">
            <w:pPr>
              <w:spacing w:before="67" w:after="67" w:line="240" w:lineRule="auto"/>
              <w:rPr>
                <w:rFonts w:eastAsia="Times New Roman"/>
                <w:color w:val="000000"/>
                <w:sz w:val="18"/>
                <w:szCs w:val="18"/>
              </w:rPr>
            </w:pPr>
            <w:r w:rsidRPr="00CB59EF">
              <w:rPr>
                <w:rFonts w:eastAsia="Times New Roman"/>
                <w:color w:val="000000"/>
                <w:sz w:val="18"/>
                <w:szCs w:val="18"/>
              </w:rPr>
              <w:t xml:space="preserve">                                </w:t>
            </w:r>
            <w:r w:rsidR="00E07CDE" w:rsidRPr="00CB59EF">
              <w:rPr>
                <w:rFonts w:eastAsia="Times New Roman"/>
                <w:color w:val="000000"/>
                <w:sz w:val="18"/>
                <w:szCs w:val="18"/>
              </w:rPr>
              <w:t xml:space="preserve">clustering across arms </w:t>
            </w:r>
          </w:p>
        </w:tc>
        <w:tc>
          <w:tcPr>
            <w:tcW w:w="851" w:type="dxa"/>
            <w:shd w:val="clear" w:color="auto" w:fill="FFFFFF"/>
          </w:tcPr>
          <w:p w14:paraId="47B67E92" w14:textId="77777777" w:rsidR="00E07CDE" w:rsidRPr="00CB59EF" w:rsidRDefault="00E07CDE" w:rsidP="00CB59EF">
            <w:pPr>
              <w:spacing w:before="67" w:after="67" w:line="240" w:lineRule="auto"/>
              <w:jc w:val="center"/>
              <w:rPr>
                <w:rFonts w:eastAsia="Times New Roman"/>
                <w:color w:val="000000"/>
                <w:sz w:val="18"/>
                <w:szCs w:val="18"/>
              </w:rPr>
            </w:pPr>
            <w:r w:rsidRPr="00CB59EF">
              <w:rPr>
                <w:rFonts w:eastAsia="Times New Roman"/>
                <w:color w:val="000000"/>
                <w:sz w:val="18"/>
                <w:szCs w:val="18"/>
              </w:rPr>
              <w:t>45.45</w:t>
            </w:r>
          </w:p>
        </w:tc>
        <w:tc>
          <w:tcPr>
            <w:tcW w:w="850" w:type="dxa"/>
            <w:shd w:val="clear" w:color="auto" w:fill="FFFFFF"/>
          </w:tcPr>
          <w:p w14:paraId="3F2276B0" w14:textId="77777777" w:rsidR="00E07CDE" w:rsidRPr="00CB59EF" w:rsidRDefault="00E07CDE" w:rsidP="00CB59EF">
            <w:pPr>
              <w:spacing w:before="67" w:after="67" w:line="240" w:lineRule="auto"/>
              <w:jc w:val="center"/>
              <w:rPr>
                <w:rFonts w:eastAsia="Times New Roman"/>
                <w:color w:val="000000"/>
                <w:sz w:val="18"/>
                <w:szCs w:val="18"/>
              </w:rPr>
            </w:pPr>
            <w:r w:rsidRPr="00CB59EF">
              <w:rPr>
                <w:rFonts w:eastAsia="Times New Roman"/>
                <w:color w:val="000000"/>
                <w:sz w:val="18"/>
                <w:szCs w:val="18"/>
              </w:rPr>
              <w:t>43.30</w:t>
            </w:r>
          </w:p>
        </w:tc>
        <w:tc>
          <w:tcPr>
            <w:tcW w:w="851" w:type="dxa"/>
            <w:shd w:val="clear" w:color="auto" w:fill="FFFFFF"/>
            <w:tcMar>
              <w:left w:w="67" w:type="dxa"/>
              <w:right w:w="67" w:type="dxa"/>
            </w:tcMar>
          </w:tcPr>
          <w:p w14:paraId="28301B00"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-2.16</w:t>
            </w:r>
          </w:p>
        </w:tc>
        <w:tc>
          <w:tcPr>
            <w:tcW w:w="932" w:type="dxa"/>
            <w:shd w:val="clear" w:color="auto" w:fill="FFFFFF"/>
            <w:tcMar>
              <w:left w:w="67" w:type="dxa"/>
              <w:right w:w="67" w:type="dxa"/>
            </w:tcMar>
          </w:tcPr>
          <w:p w14:paraId="58889967"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-4.75</w:t>
            </w:r>
          </w:p>
        </w:tc>
        <w:tc>
          <w:tcPr>
            <w:tcW w:w="913" w:type="dxa"/>
            <w:shd w:val="clear" w:color="auto" w:fill="FFFFFF"/>
            <w:tcMar>
              <w:left w:w="67" w:type="dxa"/>
              <w:right w:w="67" w:type="dxa"/>
            </w:tcMar>
          </w:tcPr>
          <w:p w14:paraId="0B71EC6C"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0.43</w:t>
            </w:r>
          </w:p>
        </w:tc>
        <w:tc>
          <w:tcPr>
            <w:tcW w:w="648" w:type="dxa"/>
            <w:shd w:val="clear" w:color="auto" w:fill="FFFFFF"/>
            <w:tcMar>
              <w:left w:w="67" w:type="dxa"/>
              <w:right w:w="67" w:type="dxa"/>
            </w:tcMar>
          </w:tcPr>
          <w:p w14:paraId="2C87A335"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0.100</w:t>
            </w:r>
          </w:p>
        </w:tc>
        <w:tc>
          <w:tcPr>
            <w:tcW w:w="1901" w:type="dxa"/>
            <w:gridSpan w:val="2"/>
            <w:shd w:val="clear" w:color="auto" w:fill="FFFFFF"/>
            <w:tcMar>
              <w:left w:w="67" w:type="dxa"/>
              <w:right w:w="67" w:type="dxa"/>
            </w:tcMar>
          </w:tcPr>
          <w:p w14:paraId="6A8CF607"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0.0497</w:t>
            </w:r>
          </w:p>
        </w:tc>
        <w:tc>
          <w:tcPr>
            <w:tcW w:w="1781" w:type="dxa"/>
            <w:gridSpan w:val="2"/>
            <w:shd w:val="clear" w:color="auto" w:fill="FFFFFF"/>
            <w:tcMar>
              <w:left w:w="67" w:type="dxa"/>
              <w:right w:w="67" w:type="dxa"/>
            </w:tcMar>
          </w:tcPr>
          <w:p w14:paraId="3CC75936"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0</w:t>
            </w:r>
          </w:p>
        </w:tc>
        <w:tc>
          <w:tcPr>
            <w:tcW w:w="487" w:type="dxa"/>
            <w:shd w:val="clear" w:color="auto" w:fill="FFFFFF"/>
            <w:tcMar>
              <w:left w:w="67" w:type="dxa"/>
              <w:right w:w="67" w:type="dxa"/>
            </w:tcMar>
          </w:tcPr>
          <w:p w14:paraId="46B65152" w14:textId="77777777" w:rsidR="00E07CDE" w:rsidRPr="00CB59EF" w:rsidRDefault="00E07CDE" w:rsidP="00CB59EF">
            <w:pPr>
              <w:spacing w:before="67" w:after="67" w:line="240" w:lineRule="auto"/>
              <w:jc w:val="right"/>
              <w:rPr>
                <w:rFonts w:eastAsia="Times New Roman"/>
                <w:color w:val="000000"/>
                <w:sz w:val="18"/>
                <w:szCs w:val="18"/>
              </w:rPr>
            </w:pPr>
            <w:r w:rsidRPr="00CB59EF">
              <w:rPr>
                <w:rFonts w:eastAsia="Times New Roman"/>
                <w:color w:val="000000"/>
                <w:sz w:val="18"/>
                <w:szCs w:val="18"/>
              </w:rPr>
              <w:t>666</w:t>
            </w:r>
          </w:p>
        </w:tc>
      </w:tr>
    </w:tbl>
    <w:p w14:paraId="3D2339E2" w14:textId="77777777" w:rsidR="00E07CDE" w:rsidRPr="00563AD3" w:rsidRDefault="00E07CDE" w:rsidP="009B13F3">
      <w:pPr>
        <w:keepNext/>
        <w:autoSpaceDE/>
        <w:autoSpaceDN/>
        <w:adjustRightInd/>
        <w:spacing w:before="120" w:after="0"/>
        <w:rPr>
          <w:rFonts w:eastAsia="Calibri"/>
          <w:b/>
          <w:bCs/>
          <w:sz w:val="24"/>
          <w:szCs w:val="18"/>
          <w:lang w:eastAsia="en-US"/>
        </w:rPr>
      </w:pPr>
    </w:p>
    <w:p w14:paraId="0B70714A" w14:textId="4963EB82" w:rsidR="00E07CDE" w:rsidRPr="00563AD3" w:rsidRDefault="000904BB" w:rsidP="00CB59EF">
      <w:pPr>
        <w:pStyle w:val="Tableheading"/>
        <w:rPr>
          <w:rFonts w:eastAsia="Calibri"/>
          <w:lang w:eastAsia="en-US"/>
        </w:rPr>
      </w:pPr>
      <w:bookmarkStart w:id="317" w:name="_Toc500935022"/>
      <w:bookmarkStart w:id="318" w:name="_Toc948243"/>
      <w:r>
        <w:rPr>
          <w:rFonts w:eastAsia="Calibri"/>
          <w:lang w:eastAsia="en-US"/>
        </w:rPr>
        <w:t xml:space="preserve">Table 46 </w:t>
      </w:r>
      <w:r w:rsidR="00E07CDE" w:rsidRPr="00563AD3">
        <w:rPr>
          <w:rFonts w:eastAsia="Calibri"/>
          <w:lang w:eastAsia="en-US"/>
        </w:rPr>
        <w:t>Sensitivity analyses (</w:t>
      </w:r>
      <w:r w:rsidR="00E35291">
        <w:rPr>
          <w:rFonts w:eastAsia="Calibri"/>
          <w:lang w:eastAsia="en-US"/>
        </w:rPr>
        <w:t>4-5) CMAI, PAS and CMAI-O at 16-</w:t>
      </w:r>
      <w:r w:rsidR="00E07CDE" w:rsidRPr="00563AD3">
        <w:rPr>
          <w:rFonts w:eastAsia="Calibri"/>
          <w:lang w:eastAsia="en-US"/>
        </w:rPr>
        <w:t>months</w:t>
      </w:r>
      <w:bookmarkEnd w:id="317"/>
      <w:r w:rsidR="00E07CDE" w:rsidRPr="00563AD3">
        <w:rPr>
          <w:rFonts w:eastAsia="Calibri"/>
          <w:lang w:eastAsia="en-US"/>
        </w:rPr>
        <w:t xml:space="preserve"> – complete cases</w:t>
      </w:r>
      <w:bookmarkEnd w:id="318"/>
    </w:p>
    <w:tbl>
      <w:tblPr>
        <w:tblW w:w="5000" w:type="pct"/>
        <w:jc w:val="center"/>
        <w:tblCellMar>
          <w:left w:w="0" w:type="dxa"/>
          <w:right w:w="0" w:type="dxa"/>
        </w:tblCellMar>
        <w:tblLook w:val="0000" w:firstRow="0" w:lastRow="0" w:firstColumn="0" w:lastColumn="0" w:noHBand="0" w:noVBand="0"/>
      </w:tblPr>
      <w:tblGrid>
        <w:gridCol w:w="2161"/>
        <w:gridCol w:w="1115"/>
        <w:gridCol w:w="1116"/>
        <w:gridCol w:w="1116"/>
        <w:gridCol w:w="1116"/>
        <w:gridCol w:w="1116"/>
        <w:gridCol w:w="1116"/>
        <w:gridCol w:w="1116"/>
        <w:gridCol w:w="1116"/>
        <w:gridCol w:w="1116"/>
        <w:gridCol w:w="1116"/>
        <w:gridCol w:w="628"/>
      </w:tblGrid>
      <w:tr w:rsidR="00E07CDE" w:rsidRPr="00563AD3" w14:paraId="4A4B00C1" w14:textId="77777777" w:rsidTr="00CB59EF">
        <w:trPr>
          <w:cantSplit/>
          <w:tblHeader/>
          <w:jc w:val="center"/>
        </w:trPr>
        <w:tc>
          <w:tcPr>
            <w:tcW w:w="5000" w:type="pct"/>
            <w:gridSpan w:val="12"/>
            <w:tcBorders>
              <w:top w:val="single" w:sz="4" w:space="0" w:color="auto"/>
              <w:left w:val="single" w:sz="4" w:space="0" w:color="auto"/>
              <w:right w:val="single" w:sz="4" w:space="0" w:color="auto"/>
            </w:tcBorders>
            <w:shd w:val="clear" w:color="auto" w:fill="FFFFFF"/>
          </w:tcPr>
          <w:p w14:paraId="73B6E3B8" w14:textId="1FC30985"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Calibri"/>
                <w:b/>
                <w:sz w:val="20"/>
                <w:szCs w:val="20"/>
                <w:lang w:eastAsia="en-US"/>
              </w:rPr>
              <w:t>Closed-cohort analysis – PAS and CMAI-O at 16</w:t>
            </w:r>
            <w:r w:rsidR="00B80810">
              <w:rPr>
                <w:rFonts w:eastAsia="Calibri"/>
                <w:b/>
                <w:sz w:val="20"/>
                <w:szCs w:val="20"/>
                <w:lang w:eastAsia="en-US"/>
              </w:rPr>
              <w:t>-months</w:t>
            </w:r>
            <w:r w:rsidRPr="00563AD3">
              <w:rPr>
                <w:rFonts w:eastAsia="Calibri"/>
                <w:b/>
                <w:sz w:val="20"/>
                <w:szCs w:val="20"/>
                <w:lang w:eastAsia="en-US"/>
              </w:rPr>
              <w:t>, complete cases</w:t>
            </w:r>
          </w:p>
        </w:tc>
      </w:tr>
      <w:tr w:rsidR="00E07CDE" w:rsidRPr="00563AD3" w14:paraId="4A61F6F3" w14:textId="77777777" w:rsidTr="00CB59EF">
        <w:trPr>
          <w:cantSplit/>
          <w:tblHeader/>
          <w:jc w:val="center"/>
        </w:trPr>
        <w:tc>
          <w:tcPr>
            <w:tcW w:w="775" w:type="pct"/>
            <w:tcBorders>
              <w:left w:val="single" w:sz="4" w:space="0" w:color="auto"/>
              <w:bottom w:val="single" w:sz="4" w:space="0" w:color="000000"/>
              <w:right w:val="nil"/>
            </w:tcBorders>
            <w:shd w:val="clear" w:color="auto" w:fill="FFFFFF"/>
            <w:tcMar>
              <w:left w:w="67" w:type="dxa"/>
              <w:right w:w="67" w:type="dxa"/>
            </w:tcMar>
            <w:vAlign w:val="bottom"/>
          </w:tcPr>
          <w:p w14:paraId="3A68D025" w14:textId="77777777" w:rsidR="00E07CDE" w:rsidRPr="00563AD3" w:rsidRDefault="00E07CDE" w:rsidP="00CB59EF">
            <w:pPr>
              <w:keepNext/>
              <w:spacing w:before="67" w:after="67" w:line="240" w:lineRule="auto"/>
              <w:rPr>
                <w:rFonts w:eastAsia="Times New Roman"/>
                <w:b/>
                <w:bCs/>
                <w:color w:val="000000"/>
                <w:sz w:val="20"/>
                <w:szCs w:val="20"/>
              </w:rPr>
            </w:pPr>
            <w:r w:rsidRPr="00563AD3">
              <w:rPr>
                <w:rFonts w:eastAsia="Times New Roman"/>
                <w:b/>
                <w:bCs/>
                <w:color w:val="000000"/>
                <w:sz w:val="20"/>
                <w:szCs w:val="20"/>
              </w:rPr>
              <w:t>Analysis</w:t>
            </w:r>
          </w:p>
        </w:tc>
        <w:tc>
          <w:tcPr>
            <w:tcW w:w="400" w:type="pct"/>
            <w:tcBorders>
              <w:left w:val="nil"/>
              <w:bottom w:val="single" w:sz="4" w:space="0" w:color="000000"/>
              <w:right w:val="nil"/>
            </w:tcBorders>
            <w:shd w:val="clear" w:color="auto" w:fill="FFFFFF"/>
            <w:vAlign w:val="bottom"/>
          </w:tcPr>
          <w:p w14:paraId="6205E1B9"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Calibri"/>
                <w:b/>
                <w:sz w:val="17"/>
                <w:szCs w:val="17"/>
                <w:lang w:eastAsia="en-US"/>
              </w:rPr>
              <w:t>Estimated mean in control</w:t>
            </w:r>
          </w:p>
        </w:tc>
        <w:tc>
          <w:tcPr>
            <w:tcW w:w="400" w:type="pct"/>
            <w:tcBorders>
              <w:left w:val="nil"/>
              <w:bottom w:val="single" w:sz="4" w:space="0" w:color="000000"/>
              <w:right w:val="nil"/>
            </w:tcBorders>
            <w:shd w:val="clear" w:color="auto" w:fill="FFFFFF"/>
            <w:vAlign w:val="bottom"/>
          </w:tcPr>
          <w:p w14:paraId="16B15E96"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Calibri"/>
                <w:b/>
                <w:sz w:val="17"/>
                <w:szCs w:val="17"/>
                <w:lang w:eastAsia="en-US"/>
              </w:rPr>
              <w:t>Estimated mean in intervention</w:t>
            </w:r>
          </w:p>
        </w:tc>
        <w:tc>
          <w:tcPr>
            <w:tcW w:w="400" w:type="pct"/>
            <w:tcBorders>
              <w:left w:val="nil"/>
              <w:bottom w:val="single" w:sz="4" w:space="0" w:color="000000"/>
              <w:right w:val="nil"/>
            </w:tcBorders>
            <w:shd w:val="clear" w:color="auto" w:fill="FFFFFF"/>
            <w:tcMar>
              <w:left w:w="67" w:type="dxa"/>
              <w:right w:w="67" w:type="dxa"/>
            </w:tcMar>
            <w:vAlign w:val="bottom"/>
          </w:tcPr>
          <w:p w14:paraId="2D8654F2"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Estimated Mean Difference</w:t>
            </w:r>
          </w:p>
        </w:tc>
        <w:tc>
          <w:tcPr>
            <w:tcW w:w="400" w:type="pct"/>
            <w:tcBorders>
              <w:left w:val="nil"/>
              <w:bottom w:val="single" w:sz="4" w:space="0" w:color="000000"/>
              <w:right w:val="nil"/>
            </w:tcBorders>
            <w:shd w:val="clear" w:color="auto" w:fill="FFFFFF"/>
            <w:tcMar>
              <w:left w:w="67" w:type="dxa"/>
              <w:right w:w="67" w:type="dxa"/>
            </w:tcMar>
            <w:vAlign w:val="bottom"/>
          </w:tcPr>
          <w:p w14:paraId="15758116"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Lower 95% Confidence Limit</w:t>
            </w:r>
          </w:p>
        </w:tc>
        <w:tc>
          <w:tcPr>
            <w:tcW w:w="400" w:type="pct"/>
            <w:tcBorders>
              <w:left w:val="nil"/>
              <w:bottom w:val="single" w:sz="4" w:space="0" w:color="000000"/>
              <w:right w:val="nil"/>
            </w:tcBorders>
            <w:shd w:val="clear" w:color="auto" w:fill="FFFFFF"/>
            <w:tcMar>
              <w:left w:w="67" w:type="dxa"/>
              <w:right w:w="67" w:type="dxa"/>
            </w:tcMar>
            <w:vAlign w:val="bottom"/>
          </w:tcPr>
          <w:p w14:paraId="57E5F32C"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Upper 95% Confidence Limit</w:t>
            </w:r>
          </w:p>
        </w:tc>
        <w:tc>
          <w:tcPr>
            <w:tcW w:w="400" w:type="pct"/>
            <w:tcBorders>
              <w:left w:val="nil"/>
              <w:bottom w:val="single" w:sz="4" w:space="0" w:color="000000"/>
              <w:right w:val="nil"/>
            </w:tcBorders>
            <w:shd w:val="clear" w:color="auto" w:fill="FFFFFF"/>
            <w:tcMar>
              <w:left w:w="67" w:type="dxa"/>
              <w:right w:w="67" w:type="dxa"/>
            </w:tcMar>
            <w:vAlign w:val="bottom"/>
          </w:tcPr>
          <w:p w14:paraId="2BAEB215"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p-value</w:t>
            </w:r>
          </w:p>
        </w:tc>
        <w:tc>
          <w:tcPr>
            <w:tcW w:w="400" w:type="pct"/>
            <w:tcBorders>
              <w:left w:val="nil"/>
              <w:bottom w:val="single" w:sz="4" w:space="0" w:color="000000"/>
              <w:right w:val="nil"/>
            </w:tcBorders>
            <w:shd w:val="clear" w:color="auto" w:fill="FFFFFF"/>
            <w:tcMar>
              <w:left w:w="67" w:type="dxa"/>
              <w:right w:w="67" w:type="dxa"/>
            </w:tcMar>
            <w:vAlign w:val="bottom"/>
          </w:tcPr>
          <w:p w14:paraId="67F293F6"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 xml:space="preserve">Unadjusted ICC for Intervention </w:t>
            </w:r>
          </w:p>
        </w:tc>
        <w:tc>
          <w:tcPr>
            <w:tcW w:w="400" w:type="pct"/>
            <w:tcBorders>
              <w:left w:val="nil"/>
              <w:bottom w:val="single" w:sz="4" w:space="0" w:color="000000"/>
              <w:right w:val="nil"/>
            </w:tcBorders>
            <w:shd w:val="clear" w:color="auto" w:fill="FFFFFF"/>
            <w:tcMar>
              <w:left w:w="67" w:type="dxa"/>
              <w:right w:w="67" w:type="dxa"/>
            </w:tcMar>
            <w:vAlign w:val="bottom"/>
          </w:tcPr>
          <w:p w14:paraId="60233761"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 xml:space="preserve">Unadjusted ICC for Control </w:t>
            </w:r>
          </w:p>
        </w:tc>
        <w:tc>
          <w:tcPr>
            <w:tcW w:w="400" w:type="pct"/>
            <w:tcBorders>
              <w:left w:val="nil"/>
              <w:bottom w:val="single" w:sz="4" w:space="0" w:color="000000"/>
              <w:right w:val="nil"/>
            </w:tcBorders>
            <w:shd w:val="clear" w:color="auto" w:fill="FFFFFF"/>
            <w:tcMar>
              <w:left w:w="67" w:type="dxa"/>
              <w:right w:w="67" w:type="dxa"/>
            </w:tcMar>
            <w:vAlign w:val="bottom"/>
          </w:tcPr>
          <w:p w14:paraId="42107D79"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 xml:space="preserve">Adjusted ICC for Intervention </w:t>
            </w:r>
          </w:p>
        </w:tc>
        <w:tc>
          <w:tcPr>
            <w:tcW w:w="400" w:type="pct"/>
            <w:tcBorders>
              <w:left w:val="nil"/>
              <w:bottom w:val="single" w:sz="4" w:space="0" w:color="000000"/>
              <w:right w:val="nil"/>
            </w:tcBorders>
            <w:shd w:val="clear" w:color="auto" w:fill="FFFFFF"/>
            <w:tcMar>
              <w:left w:w="67" w:type="dxa"/>
              <w:right w:w="67" w:type="dxa"/>
            </w:tcMar>
            <w:vAlign w:val="bottom"/>
          </w:tcPr>
          <w:p w14:paraId="0DAA60C1"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 xml:space="preserve">Adjusted ICC for Control </w:t>
            </w:r>
          </w:p>
        </w:tc>
        <w:tc>
          <w:tcPr>
            <w:tcW w:w="223" w:type="pct"/>
            <w:tcBorders>
              <w:left w:val="nil"/>
              <w:bottom w:val="single" w:sz="4" w:space="0" w:color="000000"/>
              <w:right w:val="single" w:sz="4" w:space="0" w:color="auto"/>
            </w:tcBorders>
            <w:shd w:val="clear" w:color="auto" w:fill="FFFFFF"/>
            <w:tcMar>
              <w:left w:w="67" w:type="dxa"/>
              <w:right w:w="67" w:type="dxa"/>
            </w:tcMar>
            <w:vAlign w:val="bottom"/>
          </w:tcPr>
          <w:p w14:paraId="5C4E7EC3"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N</w:t>
            </w:r>
          </w:p>
        </w:tc>
      </w:tr>
      <w:tr w:rsidR="00E07CDE" w:rsidRPr="00563AD3" w14:paraId="0C828F99" w14:textId="77777777" w:rsidTr="00CB59EF">
        <w:trPr>
          <w:cantSplit/>
          <w:jc w:val="center"/>
        </w:trPr>
        <w:tc>
          <w:tcPr>
            <w:tcW w:w="775" w:type="pct"/>
            <w:tcBorders>
              <w:top w:val="nil"/>
              <w:left w:val="single" w:sz="4" w:space="0" w:color="auto"/>
              <w:bottom w:val="nil"/>
              <w:right w:val="nil"/>
            </w:tcBorders>
            <w:shd w:val="clear" w:color="auto" w:fill="FFFFFF"/>
            <w:tcMar>
              <w:left w:w="67" w:type="dxa"/>
              <w:right w:w="67" w:type="dxa"/>
            </w:tcMar>
          </w:tcPr>
          <w:p w14:paraId="2B4BA8A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 xml:space="preserve">CMAI </w:t>
            </w:r>
          </w:p>
        </w:tc>
        <w:tc>
          <w:tcPr>
            <w:tcW w:w="400" w:type="pct"/>
            <w:tcBorders>
              <w:top w:val="nil"/>
              <w:left w:val="nil"/>
              <w:bottom w:val="nil"/>
              <w:right w:val="nil"/>
            </w:tcBorders>
            <w:shd w:val="clear" w:color="auto" w:fill="FFFFFF"/>
          </w:tcPr>
          <w:p w14:paraId="10913F52"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46.00</w:t>
            </w:r>
          </w:p>
        </w:tc>
        <w:tc>
          <w:tcPr>
            <w:tcW w:w="400" w:type="pct"/>
            <w:tcBorders>
              <w:top w:val="nil"/>
              <w:left w:val="nil"/>
              <w:bottom w:val="nil"/>
              <w:right w:val="nil"/>
            </w:tcBorders>
            <w:shd w:val="clear" w:color="auto" w:fill="FFFFFF"/>
          </w:tcPr>
          <w:p w14:paraId="2F36F8EB"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42.44</w:t>
            </w:r>
          </w:p>
        </w:tc>
        <w:tc>
          <w:tcPr>
            <w:tcW w:w="400" w:type="pct"/>
            <w:tcBorders>
              <w:top w:val="nil"/>
              <w:left w:val="nil"/>
              <w:bottom w:val="nil"/>
              <w:right w:val="nil"/>
            </w:tcBorders>
            <w:shd w:val="clear" w:color="auto" w:fill="FFFFFF"/>
            <w:tcMar>
              <w:left w:w="67" w:type="dxa"/>
              <w:right w:w="67" w:type="dxa"/>
            </w:tcMar>
          </w:tcPr>
          <w:p w14:paraId="6AF817D3"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-3.57</w:t>
            </w:r>
          </w:p>
        </w:tc>
        <w:tc>
          <w:tcPr>
            <w:tcW w:w="400" w:type="pct"/>
            <w:tcBorders>
              <w:top w:val="nil"/>
              <w:left w:val="nil"/>
              <w:bottom w:val="nil"/>
              <w:right w:val="nil"/>
            </w:tcBorders>
            <w:shd w:val="clear" w:color="auto" w:fill="FFFFFF"/>
            <w:tcMar>
              <w:left w:w="67" w:type="dxa"/>
              <w:right w:w="67" w:type="dxa"/>
            </w:tcMar>
          </w:tcPr>
          <w:p w14:paraId="4AB6EC4B"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-6.65</w:t>
            </w:r>
          </w:p>
        </w:tc>
        <w:tc>
          <w:tcPr>
            <w:tcW w:w="400" w:type="pct"/>
            <w:tcBorders>
              <w:top w:val="nil"/>
              <w:left w:val="nil"/>
              <w:bottom w:val="nil"/>
              <w:right w:val="nil"/>
            </w:tcBorders>
            <w:shd w:val="clear" w:color="auto" w:fill="FFFFFF"/>
            <w:tcMar>
              <w:left w:w="67" w:type="dxa"/>
              <w:right w:w="67" w:type="dxa"/>
            </w:tcMar>
          </w:tcPr>
          <w:p w14:paraId="6693CFC9"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-0.48</w:t>
            </w:r>
          </w:p>
        </w:tc>
        <w:tc>
          <w:tcPr>
            <w:tcW w:w="400" w:type="pct"/>
            <w:tcBorders>
              <w:top w:val="nil"/>
              <w:left w:val="nil"/>
              <w:bottom w:val="nil"/>
              <w:right w:val="nil"/>
            </w:tcBorders>
            <w:shd w:val="clear" w:color="auto" w:fill="FFFFFF"/>
            <w:tcMar>
              <w:left w:w="67" w:type="dxa"/>
              <w:right w:w="67" w:type="dxa"/>
            </w:tcMar>
          </w:tcPr>
          <w:p w14:paraId="4F974A5B"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0.025</w:t>
            </w:r>
          </w:p>
        </w:tc>
        <w:tc>
          <w:tcPr>
            <w:tcW w:w="400" w:type="pct"/>
            <w:tcBorders>
              <w:top w:val="nil"/>
              <w:left w:val="nil"/>
              <w:bottom w:val="nil"/>
              <w:right w:val="nil"/>
            </w:tcBorders>
            <w:shd w:val="clear" w:color="auto" w:fill="FFFFFF"/>
            <w:tcMar>
              <w:left w:w="67" w:type="dxa"/>
              <w:right w:w="67" w:type="dxa"/>
            </w:tcMar>
          </w:tcPr>
          <w:p w14:paraId="7A0C53F4"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0.0779</w:t>
            </w:r>
          </w:p>
        </w:tc>
        <w:tc>
          <w:tcPr>
            <w:tcW w:w="400" w:type="pct"/>
            <w:tcBorders>
              <w:top w:val="nil"/>
              <w:left w:val="nil"/>
              <w:bottom w:val="nil"/>
              <w:right w:val="nil"/>
            </w:tcBorders>
            <w:shd w:val="clear" w:color="auto" w:fill="FFFFFF"/>
            <w:tcMar>
              <w:left w:w="67" w:type="dxa"/>
              <w:right w:w="67" w:type="dxa"/>
            </w:tcMar>
          </w:tcPr>
          <w:p w14:paraId="45FDC21C"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0.0003</w:t>
            </w:r>
          </w:p>
        </w:tc>
        <w:tc>
          <w:tcPr>
            <w:tcW w:w="400" w:type="pct"/>
            <w:tcBorders>
              <w:top w:val="nil"/>
              <w:left w:val="nil"/>
              <w:bottom w:val="nil"/>
              <w:right w:val="nil"/>
            </w:tcBorders>
            <w:shd w:val="clear" w:color="auto" w:fill="FFFFFF"/>
            <w:tcMar>
              <w:left w:w="67" w:type="dxa"/>
              <w:right w:w="67" w:type="dxa"/>
            </w:tcMar>
          </w:tcPr>
          <w:p w14:paraId="330C796D"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0.0261</w:t>
            </w:r>
          </w:p>
        </w:tc>
        <w:tc>
          <w:tcPr>
            <w:tcW w:w="400" w:type="pct"/>
            <w:tcBorders>
              <w:top w:val="nil"/>
              <w:left w:val="nil"/>
              <w:bottom w:val="nil"/>
              <w:right w:val="nil"/>
            </w:tcBorders>
            <w:shd w:val="clear" w:color="auto" w:fill="FFFFFF"/>
            <w:tcMar>
              <w:left w:w="67" w:type="dxa"/>
              <w:right w:w="67" w:type="dxa"/>
            </w:tcMar>
          </w:tcPr>
          <w:p w14:paraId="009B087E"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0.002</w:t>
            </w:r>
          </w:p>
        </w:tc>
        <w:tc>
          <w:tcPr>
            <w:tcW w:w="223" w:type="pct"/>
            <w:tcBorders>
              <w:top w:val="nil"/>
              <w:left w:val="nil"/>
              <w:bottom w:val="nil"/>
              <w:right w:val="single" w:sz="4" w:space="0" w:color="auto"/>
            </w:tcBorders>
            <w:shd w:val="clear" w:color="auto" w:fill="FFFFFF"/>
            <w:tcMar>
              <w:left w:w="67" w:type="dxa"/>
              <w:right w:w="67" w:type="dxa"/>
            </w:tcMar>
          </w:tcPr>
          <w:p w14:paraId="56A17E99"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400</w:t>
            </w:r>
          </w:p>
        </w:tc>
      </w:tr>
      <w:tr w:rsidR="00E07CDE" w:rsidRPr="00563AD3" w14:paraId="4D280CD6" w14:textId="77777777" w:rsidTr="00CB59EF">
        <w:trPr>
          <w:cantSplit/>
          <w:jc w:val="center"/>
        </w:trPr>
        <w:tc>
          <w:tcPr>
            <w:tcW w:w="775" w:type="pct"/>
            <w:tcBorders>
              <w:top w:val="nil"/>
              <w:left w:val="single" w:sz="4" w:space="0" w:color="auto"/>
              <w:bottom w:val="nil"/>
              <w:right w:val="nil"/>
            </w:tcBorders>
            <w:shd w:val="clear" w:color="auto" w:fill="FFFFFF"/>
            <w:tcMar>
              <w:left w:w="67" w:type="dxa"/>
              <w:right w:w="67" w:type="dxa"/>
            </w:tcMar>
          </w:tcPr>
          <w:p w14:paraId="07CBA1A0"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 xml:space="preserve">PAS (AM) </w:t>
            </w:r>
          </w:p>
        </w:tc>
        <w:tc>
          <w:tcPr>
            <w:tcW w:w="400" w:type="pct"/>
            <w:tcBorders>
              <w:top w:val="nil"/>
              <w:left w:val="nil"/>
              <w:bottom w:val="nil"/>
              <w:right w:val="nil"/>
            </w:tcBorders>
            <w:shd w:val="clear" w:color="auto" w:fill="FFFFFF"/>
          </w:tcPr>
          <w:p w14:paraId="2A041DB7"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1.10</w:t>
            </w:r>
          </w:p>
        </w:tc>
        <w:tc>
          <w:tcPr>
            <w:tcW w:w="400" w:type="pct"/>
            <w:tcBorders>
              <w:top w:val="nil"/>
              <w:left w:val="nil"/>
              <w:bottom w:val="nil"/>
              <w:right w:val="nil"/>
            </w:tcBorders>
            <w:shd w:val="clear" w:color="auto" w:fill="FFFFFF"/>
          </w:tcPr>
          <w:p w14:paraId="7AF4BDDC"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0.66</w:t>
            </w:r>
          </w:p>
        </w:tc>
        <w:tc>
          <w:tcPr>
            <w:tcW w:w="400" w:type="pct"/>
            <w:tcBorders>
              <w:top w:val="nil"/>
              <w:left w:val="nil"/>
              <w:bottom w:val="nil"/>
              <w:right w:val="nil"/>
            </w:tcBorders>
            <w:shd w:val="clear" w:color="auto" w:fill="FFFFFF"/>
            <w:tcMar>
              <w:left w:w="67" w:type="dxa"/>
              <w:right w:w="67" w:type="dxa"/>
            </w:tcMar>
          </w:tcPr>
          <w:p w14:paraId="1A248C99"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-0.44</w:t>
            </w:r>
          </w:p>
        </w:tc>
        <w:tc>
          <w:tcPr>
            <w:tcW w:w="400" w:type="pct"/>
            <w:tcBorders>
              <w:top w:val="nil"/>
              <w:left w:val="nil"/>
              <w:bottom w:val="nil"/>
              <w:right w:val="nil"/>
            </w:tcBorders>
            <w:shd w:val="clear" w:color="auto" w:fill="FFFFFF"/>
            <w:tcMar>
              <w:left w:w="67" w:type="dxa"/>
              <w:right w:w="67" w:type="dxa"/>
            </w:tcMar>
          </w:tcPr>
          <w:p w14:paraId="07327DD0"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-1.04</w:t>
            </w:r>
          </w:p>
        </w:tc>
        <w:tc>
          <w:tcPr>
            <w:tcW w:w="400" w:type="pct"/>
            <w:tcBorders>
              <w:top w:val="nil"/>
              <w:left w:val="nil"/>
              <w:bottom w:val="nil"/>
              <w:right w:val="nil"/>
            </w:tcBorders>
            <w:shd w:val="clear" w:color="auto" w:fill="FFFFFF"/>
            <w:tcMar>
              <w:left w:w="67" w:type="dxa"/>
              <w:right w:w="67" w:type="dxa"/>
            </w:tcMar>
          </w:tcPr>
          <w:p w14:paraId="371138D4"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0.15</w:t>
            </w:r>
          </w:p>
        </w:tc>
        <w:tc>
          <w:tcPr>
            <w:tcW w:w="400" w:type="pct"/>
            <w:tcBorders>
              <w:top w:val="nil"/>
              <w:left w:val="nil"/>
              <w:bottom w:val="nil"/>
              <w:right w:val="nil"/>
            </w:tcBorders>
            <w:shd w:val="clear" w:color="auto" w:fill="FFFFFF"/>
            <w:tcMar>
              <w:left w:w="67" w:type="dxa"/>
              <w:right w:w="67" w:type="dxa"/>
            </w:tcMar>
          </w:tcPr>
          <w:p w14:paraId="2ABDF38F"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0.140</w:t>
            </w:r>
          </w:p>
        </w:tc>
        <w:tc>
          <w:tcPr>
            <w:tcW w:w="400" w:type="pct"/>
            <w:tcBorders>
              <w:top w:val="nil"/>
              <w:left w:val="nil"/>
              <w:bottom w:val="nil"/>
              <w:right w:val="nil"/>
            </w:tcBorders>
            <w:shd w:val="clear" w:color="auto" w:fill="FFFFFF"/>
            <w:tcMar>
              <w:left w:w="67" w:type="dxa"/>
              <w:right w:w="67" w:type="dxa"/>
            </w:tcMar>
          </w:tcPr>
          <w:p w14:paraId="543586EB"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0.0882</w:t>
            </w:r>
          </w:p>
        </w:tc>
        <w:tc>
          <w:tcPr>
            <w:tcW w:w="400" w:type="pct"/>
            <w:tcBorders>
              <w:top w:val="nil"/>
              <w:left w:val="nil"/>
              <w:bottom w:val="nil"/>
              <w:right w:val="nil"/>
            </w:tcBorders>
            <w:shd w:val="clear" w:color="auto" w:fill="FFFFFF"/>
            <w:tcMar>
              <w:left w:w="67" w:type="dxa"/>
              <w:right w:w="67" w:type="dxa"/>
            </w:tcMar>
          </w:tcPr>
          <w:p w14:paraId="2485DAA3"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0.0012</w:t>
            </w:r>
          </w:p>
        </w:tc>
        <w:tc>
          <w:tcPr>
            <w:tcW w:w="400" w:type="pct"/>
            <w:tcBorders>
              <w:top w:val="nil"/>
              <w:left w:val="nil"/>
              <w:bottom w:val="nil"/>
              <w:right w:val="nil"/>
            </w:tcBorders>
            <w:shd w:val="clear" w:color="auto" w:fill="FFFFFF"/>
            <w:tcMar>
              <w:left w:w="67" w:type="dxa"/>
              <w:right w:w="67" w:type="dxa"/>
            </w:tcMar>
          </w:tcPr>
          <w:p w14:paraId="3E215CF5"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0.0031</w:t>
            </w:r>
          </w:p>
        </w:tc>
        <w:tc>
          <w:tcPr>
            <w:tcW w:w="400" w:type="pct"/>
            <w:tcBorders>
              <w:top w:val="nil"/>
              <w:left w:val="nil"/>
              <w:bottom w:val="nil"/>
              <w:right w:val="nil"/>
            </w:tcBorders>
            <w:shd w:val="clear" w:color="auto" w:fill="FFFFFF"/>
            <w:tcMar>
              <w:left w:w="67" w:type="dxa"/>
              <w:right w:w="67" w:type="dxa"/>
            </w:tcMar>
          </w:tcPr>
          <w:p w14:paraId="20F7F042"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0.0024</w:t>
            </w:r>
          </w:p>
        </w:tc>
        <w:tc>
          <w:tcPr>
            <w:tcW w:w="223" w:type="pct"/>
            <w:tcBorders>
              <w:top w:val="nil"/>
              <w:left w:val="nil"/>
              <w:bottom w:val="nil"/>
              <w:right w:val="single" w:sz="4" w:space="0" w:color="auto"/>
            </w:tcBorders>
            <w:shd w:val="clear" w:color="auto" w:fill="FFFFFF"/>
            <w:tcMar>
              <w:left w:w="67" w:type="dxa"/>
              <w:right w:w="67" w:type="dxa"/>
            </w:tcMar>
          </w:tcPr>
          <w:p w14:paraId="62C8D1DE"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170</w:t>
            </w:r>
          </w:p>
        </w:tc>
      </w:tr>
      <w:tr w:rsidR="00E07CDE" w:rsidRPr="00563AD3" w14:paraId="0DC9EF64" w14:textId="77777777" w:rsidTr="00CB59EF">
        <w:trPr>
          <w:cantSplit/>
          <w:jc w:val="center"/>
        </w:trPr>
        <w:tc>
          <w:tcPr>
            <w:tcW w:w="775" w:type="pct"/>
            <w:tcBorders>
              <w:top w:val="nil"/>
              <w:left w:val="single" w:sz="4" w:space="0" w:color="auto"/>
              <w:bottom w:val="nil"/>
              <w:right w:val="nil"/>
            </w:tcBorders>
            <w:shd w:val="clear" w:color="auto" w:fill="FFFFFF"/>
            <w:tcMar>
              <w:left w:w="67" w:type="dxa"/>
              <w:right w:w="67" w:type="dxa"/>
            </w:tcMar>
          </w:tcPr>
          <w:p w14:paraId="148149C2"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 xml:space="preserve">PAS (PM) </w:t>
            </w:r>
          </w:p>
        </w:tc>
        <w:tc>
          <w:tcPr>
            <w:tcW w:w="400" w:type="pct"/>
            <w:tcBorders>
              <w:top w:val="nil"/>
              <w:left w:val="nil"/>
              <w:bottom w:val="nil"/>
              <w:right w:val="nil"/>
            </w:tcBorders>
            <w:shd w:val="clear" w:color="auto" w:fill="FFFFFF"/>
          </w:tcPr>
          <w:p w14:paraId="3EF74D0D"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1.40</w:t>
            </w:r>
          </w:p>
        </w:tc>
        <w:tc>
          <w:tcPr>
            <w:tcW w:w="400" w:type="pct"/>
            <w:tcBorders>
              <w:top w:val="nil"/>
              <w:left w:val="nil"/>
              <w:bottom w:val="nil"/>
              <w:right w:val="nil"/>
            </w:tcBorders>
            <w:shd w:val="clear" w:color="auto" w:fill="FFFFFF"/>
          </w:tcPr>
          <w:p w14:paraId="3053C0B1"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0.75</w:t>
            </w:r>
          </w:p>
        </w:tc>
        <w:tc>
          <w:tcPr>
            <w:tcW w:w="400" w:type="pct"/>
            <w:tcBorders>
              <w:top w:val="nil"/>
              <w:left w:val="nil"/>
              <w:bottom w:val="nil"/>
              <w:right w:val="nil"/>
            </w:tcBorders>
            <w:shd w:val="clear" w:color="auto" w:fill="FFFFFF"/>
            <w:tcMar>
              <w:left w:w="67" w:type="dxa"/>
              <w:right w:w="67" w:type="dxa"/>
            </w:tcMar>
          </w:tcPr>
          <w:p w14:paraId="18141F65"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-0.65</w:t>
            </w:r>
          </w:p>
        </w:tc>
        <w:tc>
          <w:tcPr>
            <w:tcW w:w="400" w:type="pct"/>
            <w:tcBorders>
              <w:top w:val="nil"/>
              <w:left w:val="nil"/>
              <w:bottom w:val="nil"/>
              <w:right w:val="nil"/>
            </w:tcBorders>
            <w:shd w:val="clear" w:color="auto" w:fill="FFFFFF"/>
            <w:tcMar>
              <w:left w:w="67" w:type="dxa"/>
              <w:right w:w="67" w:type="dxa"/>
            </w:tcMar>
          </w:tcPr>
          <w:p w14:paraId="5705180B"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-1.4</w:t>
            </w:r>
          </w:p>
        </w:tc>
        <w:tc>
          <w:tcPr>
            <w:tcW w:w="400" w:type="pct"/>
            <w:tcBorders>
              <w:top w:val="nil"/>
              <w:left w:val="nil"/>
              <w:bottom w:val="nil"/>
              <w:right w:val="nil"/>
            </w:tcBorders>
            <w:shd w:val="clear" w:color="auto" w:fill="FFFFFF"/>
            <w:tcMar>
              <w:left w:w="67" w:type="dxa"/>
              <w:right w:w="67" w:type="dxa"/>
            </w:tcMar>
          </w:tcPr>
          <w:p w14:paraId="79783A3B"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0.09</w:t>
            </w:r>
          </w:p>
        </w:tc>
        <w:tc>
          <w:tcPr>
            <w:tcW w:w="400" w:type="pct"/>
            <w:tcBorders>
              <w:top w:val="nil"/>
              <w:left w:val="nil"/>
              <w:bottom w:val="nil"/>
              <w:right w:val="nil"/>
            </w:tcBorders>
            <w:shd w:val="clear" w:color="auto" w:fill="FFFFFF"/>
            <w:tcMar>
              <w:left w:w="67" w:type="dxa"/>
              <w:right w:w="67" w:type="dxa"/>
            </w:tcMar>
          </w:tcPr>
          <w:p w14:paraId="145EDA47"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0.084</w:t>
            </w:r>
          </w:p>
        </w:tc>
        <w:tc>
          <w:tcPr>
            <w:tcW w:w="400" w:type="pct"/>
            <w:tcBorders>
              <w:top w:val="nil"/>
              <w:left w:val="nil"/>
              <w:bottom w:val="nil"/>
              <w:right w:val="nil"/>
            </w:tcBorders>
            <w:shd w:val="clear" w:color="auto" w:fill="FFFFFF"/>
            <w:tcMar>
              <w:left w:w="67" w:type="dxa"/>
              <w:right w:w="67" w:type="dxa"/>
            </w:tcMar>
          </w:tcPr>
          <w:p w14:paraId="15E89E8D"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0.2394</w:t>
            </w:r>
          </w:p>
        </w:tc>
        <w:tc>
          <w:tcPr>
            <w:tcW w:w="400" w:type="pct"/>
            <w:tcBorders>
              <w:top w:val="nil"/>
              <w:left w:val="nil"/>
              <w:bottom w:val="nil"/>
              <w:right w:val="nil"/>
            </w:tcBorders>
            <w:shd w:val="clear" w:color="auto" w:fill="FFFFFF"/>
            <w:tcMar>
              <w:left w:w="67" w:type="dxa"/>
              <w:right w:w="67" w:type="dxa"/>
            </w:tcMar>
          </w:tcPr>
          <w:p w14:paraId="18174903"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0.0108</w:t>
            </w:r>
          </w:p>
        </w:tc>
        <w:tc>
          <w:tcPr>
            <w:tcW w:w="400" w:type="pct"/>
            <w:tcBorders>
              <w:top w:val="nil"/>
              <w:left w:val="nil"/>
              <w:bottom w:val="nil"/>
              <w:right w:val="nil"/>
            </w:tcBorders>
            <w:shd w:val="clear" w:color="auto" w:fill="FFFFFF"/>
            <w:tcMar>
              <w:left w:w="67" w:type="dxa"/>
              <w:right w:w="67" w:type="dxa"/>
            </w:tcMar>
          </w:tcPr>
          <w:p w14:paraId="5058BDFF"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0.2265</w:t>
            </w:r>
          </w:p>
        </w:tc>
        <w:tc>
          <w:tcPr>
            <w:tcW w:w="400" w:type="pct"/>
            <w:tcBorders>
              <w:top w:val="nil"/>
              <w:left w:val="nil"/>
              <w:bottom w:val="nil"/>
              <w:right w:val="nil"/>
            </w:tcBorders>
            <w:shd w:val="clear" w:color="auto" w:fill="FFFFFF"/>
            <w:tcMar>
              <w:left w:w="67" w:type="dxa"/>
              <w:right w:w="67" w:type="dxa"/>
            </w:tcMar>
          </w:tcPr>
          <w:p w14:paraId="777DCB88"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0.0151</w:t>
            </w:r>
          </w:p>
        </w:tc>
        <w:tc>
          <w:tcPr>
            <w:tcW w:w="223" w:type="pct"/>
            <w:tcBorders>
              <w:top w:val="nil"/>
              <w:left w:val="nil"/>
              <w:bottom w:val="nil"/>
              <w:right w:val="single" w:sz="4" w:space="0" w:color="auto"/>
            </w:tcBorders>
            <w:shd w:val="clear" w:color="auto" w:fill="FFFFFF"/>
            <w:tcMar>
              <w:left w:w="67" w:type="dxa"/>
              <w:right w:w="67" w:type="dxa"/>
            </w:tcMar>
          </w:tcPr>
          <w:p w14:paraId="2FF60FD3"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174</w:t>
            </w:r>
          </w:p>
        </w:tc>
      </w:tr>
      <w:tr w:rsidR="00E07CDE" w:rsidRPr="00563AD3" w14:paraId="78E61137" w14:textId="77777777" w:rsidTr="00CB59EF">
        <w:trPr>
          <w:cantSplit/>
          <w:jc w:val="center"/>
        </w:trPr>
        <w:tc>
          <w:tcPr>
            <w:tcW w:w="775" w:type="pct"/>
            <w:tcBorders>
              <w:top w:val="nil"/>
              <w:left w:val="single" w:sz="4" w:space="0" w:color="auto"/>
              <w:bottom w:val="nil"/>
              <w:right w:val="nil"/>
            </w:tcBorders>
            <w:shd w:val="clear" w:color="auto" w:fill="FFFFFF"/>
            <w:tcMar>
              <w:left w:w="67" w:type="dxa"/>
              <w:right w:w="67" w:type="dxa"/>
            </w:tcMar>
          </w:tcPr>
          <w:p w14:paraId="16F18BB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 xml:space="preserve">CMAI-O (AM) </w:t>
            </w:r>
          </w:p>
        </w:tc>
        <w:tc>
          <w:tcPr>
            <w:tcW w:w="400" w:type="pct"/>
            <w:tcBorders>
              <w:top w:val="nil"/>
              <w:left w:val="nil"/>
              <w:bottom w:val="nil"/>
              <w:right w:val="nil"/>
            </w:tcBorders>
            <w:shd w:val="clear" w:color="auto" w:fill="FFFFFF"/>
          </w:tcPr>
          <w:p w14:paraId="4B89FB1E"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31.08</w:t>
            </w:r>
          </w:p>
        </w:tc>
        <w:tc>
          <w:tcPr>
            <w:tcW w:w="400" w:type="pct"/>
            <w:tcBorders>
              <w:top w:val="nil"/>
              <w:left w:val="nil"/>
              <w:bottom w:val="nil"/>
              <w:right w:val="nil"/>
            </w:tcBorders>
            <w:shd w:val="clear" w:color="auto" w:fill="FFFFFF"/>
          </w:tcPr>
          <w:p w14:paraId="07738F9C"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30.04</w:t>
            </w:r>
          </w:p>
        </w:tc>
        <w:tc>
          <w:tcPr>
            <w:tcW w:w="400" w:type="pct"/>
            <w:tcBorders>
              <w:top w:val="nil"/>
              <w:left w:val="nil"/>
              <w:bottom w:val="nil"/>
              <w:right w:val="nil"/>
            </w:tcBorders>
            <w:shd w:val="clear" w:color="auto" w:fill="FFFFFF"/>
            <w:tcMar>
              <w:left w:w="67" w:type="dxa"/>
              <w:right w:w="67" w:type="dxa"/>
            </w:tcMar>
          </w:tcPr>
          <w:p w14:paraId="775901C0"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-1.04</w:t>
            </w:r>
          </w:p>
        </w:tc>
        <w:tc>
          <w:tcPr>
            <w:tcW w:w="400" w:type="pct"/>
            <w:tcBorders>
              <w:top w:val="nil"/>
              <w:left w:val="nil"/>
              <w:bottom w:val="nil"/>
              <w:right w:val="nil"/>
            </w:tcBorders>
            <w:shd w:val="clear" w:color="auto" w:fill="FFFFFF"/>
            <w:tcMar>
              <w:left w:w="67" w:type="dxa"/>
              <w:right w:w="67" w:type="dxa"/>
            </w:tcMar>
          </w:tcPr>
          <w:p w14:paraId="2CA517CA"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-2.25</w:t>
            </w:r>
          </w:p>
        </w:tc>
        <w:tc>
          <w:tcPr>
            <w:tcW w:w="400" w:type="pct"/>
            <w:tcBorders>
              <w:top w:val="nil"/>
              <w:left w:val="nil"/>
              <w:bottom w:val="nil"/>
              <w:right w:val="nil"/>
            </w:tcBorders>
            <w:shd w:val="clear" w:color="auto" w:fill="FFFFFF"/>
            <w:tcMar>
              <w:left w:w="67" w:type="dxa"/>
              <w:right w:w="67" w:type="dxa"/>
            </w:tcMar>
          </w:tcPr>
          <w:p w14:paraId="548E6FBB"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0.17</w:t>
            </w:r>
          </w:p>
        </w:tc>
        <w:tc>
          <w:tcPr>
            <w:tcW w:w="400" w:type="pct"/>
            <w:tcBorders>
              <w:top w:val="nil"/>
              <w:left w:val="nil"/>
              <w:bottom w:val="nil"/>
              <w:right w:val="nil"/>
            </w:tcBorders>
            <w:shd w:val="clear" w:color="auto" w:fill="FFFFFF"/>
            <w:tcMar>
              <w:left w:w="67" w:type="dxa"/>
              <w:right w:w="67" w:type="dxa"/>
            </w:tcMar>
          </w:tcPr>
          <w:p w14:paraId="7761407B"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0.089</w:t>
            </w:r>
          </w:p>
        </w:tc>
        <w:tc>
          <w:tcPr>
            <w:tcW w:w="400" w:type="pct"/>
            <w:tcBorders>
              <w:top w:val="nil"/>
              <w:left w:val="nil"/>
              <w:bottom w:val="nil"/>
              <w:right w:val="nil"/>
            </w:tcBorders>
            <w:shd w:val="clear" w:color="auto" w:fill="FFFFFF"/>
            <w:tcMar>
              <w:left w:w="67" w:type="dxa"/>
              <w:right w:w="67" w:type="dxa"/>
            </w:tcMar>
          </w:tcPr>
          <w:p w14:paraId="68F3AFEF"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0.1189</w:t>
            </w:r>
          </w:p>
        </w:tc>
        <w:tc>
          <w:tcPr>
            <w:tcW w:w="400" w:type="pct"/>
            <w:tcBorders>
              <w:top w:val="nil"/>
              <w:left w:val="nil"/>
              <w:bottom w:val="nil"/>
              <w:right w:val="nil"/>
            </w:tcBorders>
            <w:shd w:val="clear" w:color="auto" w:fill="FFFFFF"/>
            <w:tcMar>
              <w:left w:w="67" w:type="dxa"/>
              <w:right w:w="67" w:type="dxa"/>
            </w:tcMar>
          </w:tcPr>
          <w:p w14:paraId="67B14A66"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0.0009</w:t>
            </w:r>
          </w:p>
        </w:tc>
        <w:tc>
          <w:tcPr>
            <w:tcW w:w="400" w:type="pct"/>
            <w:tcBorders>
              <w:top w:val="nil"/>
              <w:left w:val="nil"/>
              <w:bottom w:val="nil"/>
              <w:right w:val="nil"/>
            </w:tcBorders>
            <w:shd w:val="clear" w:color="auto" w:fill="FFFFFF"/>
            <w:tcMar>
              <w:left w:w="67" w:type="dxa"/>
              <w:right w:w="67" w:type="dxa"/>
            </w:tcMar>
          </w:tcPr>
          <w:p w14:paraId="17801E72"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0.0251</w:t>
            </w:r>
          </w:p>
        </w:tc>
        <w:tc>
          <w:tcPr>
            <w:tcW w:w="400" w:type="pct"/>
            <w:tcBorders>
              <w:top w:val="nil"/>
              <w:left w:val="nil"/>
              <w:bottom w:val="nil"/>
              <w:right w:val="nil"/>
            </w:tcBorders>
            <w:shd w:val="clear" w:color="auto" w:fill="FFFFFF"/>
            <w:tcMar>
              <w:left w:w="67" w:type="dxa"/>
              <w:right w:w="67" w:type="dxa"/>
            </w:tcMar>
          </w:tcPr>
          <w:p w14:paraId="291CCAC4"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0.0079</w:t>
            </w:r>
          </w:p>
        </w:tc>
        <w:tc>
          <w:tcPr>
            <w:tcW w:w="223" w:type="pct"/>
            <w:tcBorders>
              <w:top w:val="nil"/>
              <w:left w:val="nil"/>
              <w:bottom w:val="nil"/>
              <w:right w:val="single" w:sz="4" w:space="0" w:color="auto"/>
            </w:tcBorders>
            <w:shd w:val="clear" w:color="auto" w:fill="FFFFFF"/>
            <w:tcMar>
              <w:left w:w="67" w:type="dxa"/>
              <w:right w:w="67" w:type="dxa"/>
            </w:tcMar>
          </w:tcPr>
          <w:p w14:paraId="509B8264"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169</w:t>
            </w:r>
          </w:p>
        </w:tc>
      </w:tr>
      <w:tr w:rsidR="00E07CDE" w:rsidRPr="00563AD3" w14:paraId="4E2C4E33" w14:textId="77777777" w:rsidTr="00CB59EF">
        <w:trPr>
          <w:cantSplit/>
          <w:jc w:val="center"/>
        </w:trPr>
        <w:tc>
          <w:tcPr>
            <w:tcW w:w="775" w:type="pct"/>
            <w:tcBorders>
              <w:top w:val="nil"/>
              <w:left w:val="single" w:sz="4" w:space="0" w:color="auto"/>
              <w:bottom w:val="single" w:sz="4" w:space="0" w:color="auto"/>
              <w:right w:val="nil"/>
            </w:tcBorders>
            <w:shd w:val="clear" w:color="auto" w:fill="FFFFFF"/>
            <w:tcMar>
              <w:left w:w="67" w:type="dxa"/>
              <w:right w:w="67" w:type="dxa"/>
            </w:tcMar>
          </w:tcPr>
          <w:p w14:paraId="2D2F517C" w14:textId="77777777" w:rsidR="00E07CDE" w:rsidRPr="00563AD3" w:rsidRDefault="00E07CDE" w:rsidP="00CB59EF">
            <w:pPr>
              <w:keepNext/>
              <w:spacing w:before="67" w:after="67" w:line="240" w:lineRule="auto"/>
              <w:rPr>
                <w:rFonts w:eastAsia="Times New Roman"/>
                <w:color w:val="000000"/>
                <w:sz w:val="20"/>
                <w:szCs w:val="20"/>
              </w:rPr>
            </w:pPr>
            <w:r w:rsidRPr="00563AD3">
              <w:rPr>
                <w:rFonts w:eastAsia="Times New Roman"/>
                <w:color w:val="000000"/>
                <w:sz w:val="20"/>
                <w:szCs w:val="20"/>
              </w:rPr>
              <w:t xml:space="preserve">CMAI-O (PM) </w:t>
            </w:r>
          </w:p>
        </w:tc>
        <w:tc>
          <w:tcPr>
            <w:tcW w:w="400" w:type="pct"/>
            <w:tcBorders>
              <w:top w:val="nil"/>
              <w:left w:val="nil"/>
              <w:bottom w:val="single" w:sz="4" w:space="0" w:color="auto"/>
              <w:right w:val="nil"/>
            </w:tcBorders>
            <w:shd w:val="clear" w:color="auto" w:fill="FFFFFF"/>
          </w:tcPr>
          <w:p w14:paraId="0B55C81C" w14:textId="77777777" w:rsidR="00E07CDE" w:rsidRPr="00563AD3" w:rsidRDefault="00E07CDE" w:rsidP="00CB59EF">
            <w:pPr>
              <w:keepNext/>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31.42</w:t>
            </w:r>
          </w:p>
        </w:tc>
        <w:tc>
          <w:tcPr>
            <w:tcW w:w="400" w:type="pct"/>
            <w:tcBorders>
              <w:top w:val="nil"/>
              <w:left w:val="nil"/>
              <w:bottom w:val="single" w:sz="4" w:space="0" w:color="auto"/>
              <w:right w:val="nil"/>
            </w:tcBorders>
            <w:shd w:val="clear" w:color="auto" w:fill="FFFFFF"/>
          </w:tcPr>
          <w:p w14:paraId="74EA8747" w14:textId="77777777" w:rsidR="00E07CDE" w:rsidRPr="00563AD3" w:rsidRDefault="00E07CDE" w:rsidP="00CB59EF">
            <w:pPr>
              <w:keepNext/>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30.71</w:t>
            </w:r>
          </w:p>
        </w:tc>
        <w:tc>
          <w:tcPr>
            <w:tcW w:w="400" w:type="pct"/>
            <w:tcBorders>
              <w:top w:val="nil"/>
              <w:left w:val="nil"/>
              <w:bottom w:val="single" w:sz="4" w:space="0" w:color="auto"/>
              <w:right w:val="nil"/>
            </w:tcBorders>
            <w:shd w:val="clear" w:color="auto" w:fill="FFFFFF"/>
            <w:tcMar>
              <w:left w:w="67" w:type="dxa"/>
              <w:right w:w="67" w:type="dxa"/>
            </w:tcMar>
          </w:tcPr>
          <w:p w14:paraId="645495F8" w14:textId="77777777" w:rsidR="00E07CDE" w:rsidRPr="00563AD3" w:rsidRDefault="00E07CDE" w:rsidP="00CB59EF">
            <w:pPr>
              <w:keepNext/>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-0.72</w:t>
            </w:r>
          </w:p>
        </w:tc>
        <w:tc>
          <w:tcPr>
            <w:tcW w:w="400" w:type="pct"/>
            <w:tcBorders>
              <w:top w:val="nil"/>
              <w:left w:val="nil"/>
              <w:bottom w:val="single" w:sz="4" w:space="0" w:color="auto"/>
              <w:right w:val="nil"/>
            </w:tcBorders>
            <w:shd w:val="clear" w:color="auto" w:fill="FFFFFF"/>
            <w:tcMar>
              <w:left w:w="67" w:type="dxa"/>
              <w:right w:w="67" w:type="dxa"/>
            </w:tcMar>
          </w:tcPr>
          <w:p w14:paraId="1C0A2995" w14:textId="77777777" w:rsidR="00E07CDE" w:rsidRPr="00563AD3" w:rsidRDefault="00E07CDE" w:rsidP="00CB59EF">
            <w:pPr>
              <w:keepNext/>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-2.12</w:t>
            </w:r>
          </w:p>
        </w:tc>
        <w:tc>
          <w:tcPr>
            <w:tcW w:w="400" w:type="pct"/>
            <w:tcBorders>
              <w:top w:val="nil"/>
              <w:left w:val="nil"/>
              <w:bottom w:val="single" w:sz="4" w:space="0" w:color="auto"/>
              <w:right w:val="nil"/>
            </w:tcBorders>
            <w:shd w:val="clear" w:color="auto" w:fill="FFFFFF"/>
            <w:tcMar>
              <w:left w:w="67" w:type="dxa"/>
              <w:right w:w="67" w:type="dxa"/>
            </w:tcMar>
          </w:tcPr>
          <w:p w14:paraId="4CE9EE7A" w14:textId="77777777" w:rsidR="00E07CDE" w:rsidRPr="00563AD3" w:rsidRDefault="00E07CDE" w:rsidP="00CB59EF">
            <w:pPr>
              <w:keepNext/>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0.69</w:t>
            </w:r>
          </w:p>
        </w:tc>
        <w:tc>
          <w:tcPr>
            <w:tcW w:w="400" w:type="pct"/>
            <w:tcBorders>
              <w:top w:val="nil"/>
              <w:left w:val="nil"/>
              <w:bottom w:val="single" w:sz="4" w:space="0" w:color="auto"/>
              <w:right w:val="nil"/>
            </w:tcBorders>
            <w:shd w:val="clear" w:color="auto" w:fill="FFFFFF"/>
            <w:tcMar>
              <w:left w:w="67" w:type="dxa"/>
              <w:right w:w="67" w:type="dxa"/>
            </w:tcMar>
          </w:tcPr>
          <w:p w14:paraId="456EA4BF" w14:textId="77777777" w:rsidR="00E07CDE" w:rsidRPr="00563AD3" w:rsidRDefault="00E07CDE" w:rsidP="00CB59EF">
            <w:pPr>
              <w:keepNext/>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0.310</w:t>
            </w:r>
          </w:p>
        </w:tc>
        <w:tc>
          <w:tcPr>
            <w:tcW w:w="400" w:type="pct"/>
            <w:tcBorders>
              <w:top w:val="nil"/>
              <w:left w:val="nil"/>
              <w:bottom w:val="single" w:sz="4" w:space="0" w:color="auto"/>
              <w:right w:val="nil"/>
            </w:tcBorders>
            <w:shd w:val="clear" w:color="auto" w:fill="FFFFFF"/>
            <w:tcMar>
              <w:left w:w="67" w:type="dxa"/>
              <w:right w:w="67" w:type="dxa"/>
            </w:tcMar>
          </w:tcPr>
          <w:p w14:paraId="40B318D7" w14:textId="77777777" w:rsidR="00E07CDE" w:rsidRPr="00563AD3" w:rsidRDefault="00E07CDE" w:rsidP="00CB59EF">
            <w:pPr>
              <w:keepNext/>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0.0985</w:t>
            </w:r>
          </w:p>
        </w:tc>
        <w:tc>
          <w:tcPr>
            <w:tcW w:w="400" w:type="pct"/>
            <w:tcBorders>
              <w:top w:val="nil"/>
              <w:left w:val="nil"/>
              <w:bottom w:val="single" w:sz="4" w:space="0" w:color="auto"/>
              <w:right w:val="nil"/>
            </w:tcBorders>
            <w:shd w:val="clear" w:color="auto" w:fill="FFFFFF"/>
            <w:tcMar>
              <w:left w:w="67" w:type="dxa"/>
              <w:right w:w="67" w:type="dxa"/>
            </w:tcMar>
          </w:tcPr>
          <w:p w14:paraId="31CCC7B3" w14:textId="77777777" w:rsidR="00E07CDE" w:rsidRPr="00563AD3" w:rsidRDefault="00E07CDE" w:rsidP="00CB59EF">
            <w:pPr>
              <w:keepNext/>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0.0003</w:t>
            </w:r>
          </w:p>
        </w:tc>
        <w:tc>
          <w:tcPr>
            <w:tcW w:w="400" w:type="pct"/>
            <w:tcBorders>
              <w:top w:val="nil"/>
              <w:left w:val="nil"/>
              <w:bottom w:val="single" w:sz="4" w:space="0" w:color="auto"/>
              <w:right w:val="nil"/>
            </w:tcBorders>
            <w:shd w:val="clear" w:color="auto" w:fill="FFFFFF"/>
            <w:tcMar>
              <w:left w:w="67" w:type="dxa"/>
              <w:right w:w="67" w:type="dxa"/>
            </w:tcMar>
          </w:tcPr>
          <w:p w14:paraId="1815DE78" w14:textId="77777777" w:rsidR="00E07CDE" w:rsidRPr="00563AD3" w:rsidRDefault="00E07CDE" w:rsidP="00CB59EF">
            <w:pPr>
              <w:keepNext/>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0.0272</w:t>
            </w:r>
          </w:p>
        </w:tc>
        <w:tc>
          <w:tcPr>
            <w:tcW w:w="400" w:type="pct"/>
            <w:tcBorders>
              <w:top w:val="nil"/>
              <w:left w:val="nil"/>
              <w:bottom w:val="single" w:sz="4" w:space="0" w:color="auto"/>
              <w:right w:val="nil"/>
            </w:tcBorders>
            <w:shd w:val="clear" w:color="auto" w:fill="FFFFFF"/>
            <w:tcMar>
              <w:left w:w="67" w:type="dxa"/>
              <w:right w:w="67" w:type="dxa"/>
            </w:tcMar>
          </w:tcPr>
          <w:p w14:paraId="1A045D2A" w14:textId="77777777" w:rsidR="00E07CDE" w:rsidRPr="00563AD3" w:rsidRDefault="00E07CDE" w:rsidP="00CB59EF">
            <w:pPr>
              <w:keepNext/>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0.0018</w:t>
            </w:r>
          </w:p>
        </w:tc>
        <w:tc>
          <w:tcPr>
            <w:tcW w:w="223" w:type="pct"/>
            <w:tcBorders>
              <w:top w:val="nil"/>
              <w:left w:val="nil"/>
              <w:bottom w:val="single" w:sz="4" w:space="0" w:color="auto"/>
              <w:right w:val="single" w:sz="4" w:space="0" w:color="auto"/>
            </w:tcBorders>
            <w:shd w:val="clear" w:color="auto" w:fill="FFFFFF"/>
            <w:tcMar>
              <w:left w:w="67" w:type="dxa"/>
              <w:right w:w="67" w:type="dxa"/>
            </w:tcMar>
          </w:tcPr>
          <w:p w14:paraId="3476D73F" w14:textId="77777777" w:rsidR="00E07CDE" w:rsidRPr="00563AD3" w:rsidRDefault="00E07CDE" w:rsidP="00CB59EF">
            <w:pPr>
              <w:keepNext/>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176</w:t>
            </w:r>
          </w:p>
        </w:tc>
      </w:tr>
    </w:tbl>
    <w:p w14:paraId="14C0CADA" w14:textId="77777777" w:rsidR="00E07CDE" w:rsidRPr="00563AD3" w:rsidRDefault="00E07CDE" w:rsidP="009B13F3">
      <w:pPr>
        <w:autoSpaceDE/>
        <w:autoSpaceDN/>
        <w:adjustRightInd/>
        <w:spacing w:before="120" w:after="0"/>
        <w:rPr>
          <w:rFonts w:eastAsia="Calibri"/>
          <w:sz w:val="24"/>
          <w:szCs w:val="24"/>
          <w:lang w:eastAsia="en-US"/>
        </w:rPr>
      </w:pPr>
    </w:p>
    <w:p w14:paraId="2E6330EF" w14:textId="77777777" w:rsidR="00CB59EF" w:rsidRDefault="00CB59EF">
      <w:pPr>
        <w:autoSpaceDE/>
        <w:autoSpaceDN/>
        <w:adjustRightInd/>
        <w:spacing w:line="259" w:lineRule="auto"/>
        <w:rPr>
          <w:rFonts w:eastAsia="Calibri"/>
          <w:b/>
          <w:lang w:eastAsia="en-US"/>
        </w:rPr>
      </w:pPr>
      <w:bookmarkStart w:id="319" w:name="_Toc500935023"/>
      <w:r>
        <w:rPr>
          <w:rFonts w:eastAsia="Calibri"/>
          <w:lang w:eastAsia="en-US"/>
        </w:rPr>
        <w:br w:type="page"/>
      </w:r>
    </w:p>
    <w:p w14:paraId="4332DC3F" w14:textId="6489C357" w:rsidR="00E07CDE" w:rsidRPr="00563AD3" w:rsidRDefault="00E07CDE" w:rsidP="00CB59EF">
      <w:pPr>
        <w:pStyle w:val="Tableheading"/>
        <w:rPr>
          <w:rFonts w:eastAsia="Calibri"/>
          <w:lang w:eastAsia="en-US"/>
        </w:rPr>
      </w:pPr>
      <w:bookmarkStart w:id="320" w:name="_Toc948244"/>
      <w:r w:rsidRPr="00563AD3">
        <w:rPr>
          <w:rFonts w:eastAsia="Calibri"/>
          <w:lang w:eastAsia="en-US"/>
        </w:rPr>
        <w:t xml:space="preserve">Table </w:t>
      </w:r>
      <w:r w:rsidR="005B29F6">
        <w:rPr>
          <w:rFonts w:eastAsia="Calibri"/>
          <w:lang w:eastAsia="en-US"/>
        </w:rPr>
        <w:t>47</w:t>
      </w:r>
      <w:r w:rsidR="005B29F6" w:rsidRPr="00563AD3">
        <w:rPr>
          <w:rFonts w:eastAsia="Calibri"/>
          <w:lang w:eastAsia="en-US"/>
        </w:rPr>
        <w:t xml:space="preserve"> </w:t>
      </w:r>
      <w:r w:rsidRPr="00563AD3">
        <w:rPr>
          <w:rFonts w:eastAsia="Calibri"/>
          <w:lang w:eastAsia="en-US"/>
        </w:rPr>
        <w:t xml:space="preserve">CMAI, </w:t>
      </w:r>
      <w:r w:rsidR="00E35291">
        <w:rPr>
          <w:rFonts w:eastAsia="Calibri"/>
          <w:lang w:eastAsia="en-US"/>
        </w:rPr>
        <w:t>observational CMAI and PAS at 6-</w:t>
      </w:r>
      <w:r w:rsidRPr="00563AD3">
        <w:rPr>
          <w:rFonts w:eastAsia="Calibri"/>
          <w:lang w:eastAsia="en-US"/>
        </w:rPr>
        <w:t>months – complete cases</w:t>
      </w:r>
      <w:bookmarkEnd w:id="319"/>
      <w:bookmarkEnd w:id="320"/>
    </w:p>
    <w:tbl>
      <w:tblPr>
        <w:tblW w:w="5000" w:type="pct"/>
        <w:jc w:val="center"/>
        <w:tblCellMar>
          <w:left w:w="0" w:type="dxa"/>
          <w:right w:w="0" w:type="dxa"/>
        </w:tblCellMar>
        <w:tblLook w:val="0000" w:firstRow="0" w:lastRow="0" w:firstColumn="0" w:lastColumn="0" w:noHBand="0" w:noVBand="0"/>
      </w:tblPr>
      <w:tblGrid>
        <w:gridCol w:w="1611"/>
        <w:gridCol w:w="1169"/>
        <w:gridCol w:w="1169"/>
        <w:gridCol w:w="1169"/>
        <w:gridCol w:w="1169"/>
        <w:gridCol w:w="1169"/>
        <w:gridCol w:w="1169"/>
        <w:gridCol w:w="1169"/>
        <w:gridCol w:w="1169"/>
        <w:gridCol w:w="1169"/>
        <w:gridCol w:w="1169"/>
        <w:gridCol w:w="647"/>
      </w:tblGrid>
      <w:tr w:rsidR="00E07CDE" w:rsidRPr="00563AD3" w14:paraId="327907B0" w14:textId="77777777" w:rsidTr="00CB59EF">
        <w:trPr>
          <w:cantSplit/>
          <w:tblHeader/>
          <w:jc w:val="center"/>
        </w:trPr>
        <w:tc>
          <w:tcPr>
            <w:tcW w:w="5000" w:type="pct"/>
            <w:gridSpan w:val="12"/>
            <w:tcBorders>
              <w:top w:val="single" w:sz="4" w:space="0" w:color="auto"/>
              <w:left w:val="single" w:sz="4" w:space="0" w:color="auto"/>
              <w:right w:val="single" w:sz="4" w:space="0" w:color="auto"/>
            </w:tcBorders>
            <w:shd w:val="clear" w:color="auto" w:fill="FFFFFF"/>
          </w:tcPr>
          <w:p w14:paraId="11382891" w14:textId="0769857E"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Calibri"/>
                <w:b/>
                <w:sz w:val="20"/>
                <w:szCs w:val="20"/>
                <w:lang w:eastAsia="en-US"/>
              </w:rPr>
              <w:t>Closed-cohort analysis – CMAI, PAS and CMAI-O at 6</w:t>
            </w:r>
            <w:r w:rsidR="00B80810">
              <w:rPr>
                <w:rFonts w:eastAsia="Calibri"/>
                <w:b/>
                <w:sz w:val="20"/>
                <w:szCs w:val="20"/>
                <w:lang w:eastAsia="en-US"/>
              </w:rPr>
              <w:t>-months</w:t>
            </w:r>
            <w:r w:rsidRPr="00563AD3">
              <w:rPr>
                <w:rFonts w:eastAsia="Calibri"/>
                <w:b/>
                <w:sz w:val="20"/>
                <w:szCs w:val="20"/>
                <w:lang w:eastAsia="en-US"/>
              </w:rPr>
              <w:t>, complete cases</w:t>
            </w:r>
          </w:p>
        </w:tc>
      </w:tr>
      <w:tr w:rsidR="00E07CDE" w:rsidRPr="00563AD3" w14:paraId="3D3CCB98" w14:textId="77777777" w:rsidTr="00CB59EF">
        <w:trPr>
          <w:cantSplit/>
          <w:tblHeader/>
          <w:jc w:val="center"/>
        </w:trPr>
        <w:tc>
          <w:tcPr>
            <w:tcW w:w="578" w:type="pct"/>
            <w:tcBorders>
              <w:left w:val="single" w:sz="4" w:space="0" w:color="auto"/>
              <w:bottom w:val="single" w:sz="4" w:space="0" w:color="000000"/>
              <w:right w:val="nil"/>
            </w:tcBorders>
            <w:shd w:val="clear" w:color="auto" w:fill="FFFFFF"/>
            <w:tcMar>
              <w:left w:w="67" w:type="dxa"/>
              <w:right w:w="67" w:type="dxa"/>
            </w:tcMar>
            <w:vAlign w:val="bottom"/>
          </w:tcPr>
          <w:p w14:paraId="6828A993" w14:textId="77777777" w:rsidR="00E07CDE" w:rsidRPr="00563AD3" w:rsidRDefault="00E07CDE" w:rsidP="00CB59EF">
            <w:pPr>
              <w:keepNext/>
              <w:spacing w:before="67" w:after="67" w:line="240" w:lineRule="auto"/>
              <w:rPr>
                <w:rFonts w:eastAsia="Times New Roman"/>
                <w:b/>
                <w:bCs/>
                <w:color w:val="000000"/>
                <w:sz w:val="20"/>
                <w:szCs w:val="20"/>
              </w:rPr>
            </w:pPr>
            <w:r w:rsidRPr="00563AD3">
              <w:rPr>
                <w:rFonts w:eastAsia="Times New Roman"/>
                <w:b/>
                <w:bCs/>
                <w:color w:val="000000"/>
                <w:sz w:val="20"/>
                <w:szCs w:val="20"/>
              </w:rPr>
              <w:t xml:space="preserve">Analysis </w:t>
            </w:r>
          </w:p>
        </w:tc>
        <w:tc>
          <w:tcPr>
            <w:tcW w:w="419" w:type="pct"/>
            <w:tcBorders>
              <w:left w:val="nil"/>
              <w:bottom w:val="single" w:sz="4" w:space="0" w:color="000000"/>
              <w:right w:val="nil"/>
            </w:tcBorders>
            <w:shd w:val="clear" w:color="auto" w:fill="FFFFFF"/>
            <w:vAlign w:val="bottom"/>
          </w:tcPr>
          <w:p w14:paraId="7AFE66E8"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Calibri"/>
                <w:b/>
                <w:sz w:val="17"/>
                <w:szCs w:val="17"/>
                <w:lang w:eastAsia="en-US"/>
              </w:rPr>
              <w:t>Estimated mean in control</w:t>
            </w:r>
          </w:p>
        </w:tc>
        <w:tc>
          <w:tcPr>
            <w:tcW w:w="419" w:type="pct"/>
            <w:tcBorders>
              <w:left w:val="nil"/>
              <w:bottom w:val="single" w:sz="4" w:space="0" w:color="000000"/>
              <w:right w:val="nil"/>
            </w:tcBorders>
            <w:shd w:val="clear" w:color="auto" w:fill="FFFFFF"/>
            <w:vAlign w:val="bottom"/>
          </w:tcPr>
          <w:p w14:paraId="0CBED1D0"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Calibri"/>
                <w:b/>
                <w:sz w:val="17"/>
                <w:szCs w:val="17"/>
                <w:lang w:eastAsia="en-US"/>
              </w:rPr>
              <w:t>Estimated mean in intervention</w:t>
            </w:r>
          </w:p>
        </w:tc>
        <w:tc>
          <w:tcPr>
            <w:tcW w:w="419" w:type="pct"/>
            <w:tcBorders>
              <w:left w:val="nil"/>
              <w:bottom w:val="single" w:sz="4" w:space="0" w:color="000000"/>
              <w:right w:val="nil"/>
            </w:tcBorders>
            <w:shd w:val="clear" w:color="auto" w:fill="FFFFFF"/>
            <w:tcMar>
              <w:left w:w="67" w:type="dxa"/>
              <w:right w:w="67" w:type="dxa"/>
            </w:tcMar>
            <w:vAlign w:val="bottom"/>
          </w:tcPr>
          <w:p w14:paraId="0F83D209"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Estimated Mean Difference</w:t>
            </w:r>
          </w:p>
        </w:tc>
        <w:tc>
          <w:tcPr>
            <w:tcW w:w="419" w:type="pct"/>
            <w:tcBorders>
              <w:left w:val="nil"/>
              <w:bottom w:val="single" w:sz="4" w:space="0" w:color="000000"/>
              <w:right w:val="nil"/>
            </w:tcBorders>
            <w:shd w:val="clear" w:color="auto" w:fill="FFFFFF"/>
            <w:tcMar>
              <w:left w:w="67" w:type="dxa"/>
              <w:right w:w="67" w:type="dxa"/>
            </w:tcMar>
            <w:vAlign w:val="bottom"/>
          </w:tcPr>
          <w:p w14:paraId="4F1D62F5"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Lower 95% Confidence Limit</w:t>
            </w:r>
          </w:p>
        </w:tc>
        <w:tc>
          <w:tcPr>
            <w:tcW w:w="419" w:type="pct"/>
            <w:tcBorders>
              <w:left w:val="nil"/>
              <w:bottom w:val="single" w:sz="4" w:space="0" w:color="000000"/>
              <w:right w:val="nil"/>
            </w:tcBorders>
            <w:shd w:val="clear" w:color="auto" w:fill="FFFFFF"/>
            <w:tcMar>
              <w:left w:w="67" w:type="dxa"/>
              <w:right w:w="67" w:type="dxa"/>
            </w:tcMar>
            <w:vAlign w:val="bottom"/>
          </w:tcPr>
          <w:p w14:paraId="356A39FB"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Upper 95% Confidence Limit</w:t>
            </w:r>
          </w:p>
        </w:tc>
        <w:tc>
          <w:tcPr>
            <w:tcW w:w="419" w:type="pct"/>
            <w:tcBorders>
              <w:left w:val="nil"/>
              <w:bottom w:val="single" w:sz="4" w:space="0" w:color="000000"/>
              <w:right w:val="nil"/>
            </w:tcBorders>
            <w:shd w:val="clear" w:color="auto" w:fill="FFFFFF"/>
            <w:tcMar>
              <w:left w:w="67" w:type="dxa"/>
              <w:right w:w="67" w:type="dxa"/>
            </w:tcMar>
            <w:vAlign w:val="bottom"/>
          </w:tcPr>
          <w:p w14:paraId="473F1804"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p-value</w:t>
            </w:r>
          </w:p>
        </w:tc>
        <w:tc>
          <w:tcPr>
            <w:tcW w:w="419" w:type="pct"/>
            <w:tcBorders>
              <w:left w:val="nil"/>
              <w:bottom w:val="single" w:sz="4" w:space="0" w:color="000000"/>
              <w:right w:val="nil"/>
            </w:tcBorders>
            <w:shd w:val="clear" w:color="auto" w:fill="FFFFFF"/>
            <w:tcMar>
              <w:left w:w="67" w:type="dxa"/>
              <w:right w:w="67" w:type="dxa"/>
            </w:tcMar>
            <w:vAlign w:val="bottom"/>
          </w:tcPr>
          <w:p w14:paraId="5A893661"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 xml:space="preserve">Unadjusted ICC for Intervention </w:t>
            </w:r>
          </w:p>
        </w:tc>
        <w:tc>
          <w:tcPr>
            <w:tcW w:w="419" w:type="pct"/>
            <w:tcBorders>
              <w:left w:val="nil"/>
              <w:bottom w:val="single" w:sz="4" w:space="0" w:color="000000"/>
              <w:right w:val="nil"/>
            </w:tcBorders>
            <w:shd w:val="clear" w:color="auto" w:fill="FFFFFF"/>
            <w:tcMar>
              <w:left w:w="67" w:type="dxa"/>
              <w:right w:w="67" w:type="dxa"/>
            </w:tcMar>
            <w:vAlign w:val="bottom"/>
          </w:tcPr>
          <w:p w14:paraId="5CF81AC7"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 xml:space="preserve">Unadjusted ICC for Control </w:t>
            </w:r>
          </w:p>
        </w:tc>
        <w:tc>
          <w:tcPr>
            <w:tcW w:w="419" w:type="pct"/>
            <w:tcBorders>
              <w:left w:val="nil"/>
              <w:bottom w:val="single" w:sz="4" w:space="0" w:color="000000"/>
              <w:right w:val="nil"/>
            </w:tcBorders>
            <w:shd w:val="clear" w:color="auto" w:fill="FFFFFF"/>
            <w:tcMar>
              <w:left w:w="67" w:type="dxa"/>
              <w:right w:w="67" w:type="dxa"/>
            </w:tcMar>
            <w:vAlign w:val="bottom"/>
          </w:tcPr>
          <w:p w14:paraId="35282194"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 xml:space="preserve">Adjusted ICC for Intervention </w:t>
            </w:r>
          </w:p>
        </w:tc>
        <w:tc>
          <w:tcPr>
            <w:tcW w:w="419" w:type="pct"/>
            <w:tcBorders>
              <w:left w:val="nil"/>
              <w:bottom w:val="single" w:sz="4" w:space="0" w:color="000000"/>
              <w:right w:val="nil"/>
            </w:tcBorders>
            <w:shd w:val="clear" w:color="auto" w:fill="FFFFFF"/>
            <w:tcMar>
              <w:left w:w="67" w:type="dxa"/>
              <w:right w:w="67" w:type="dxa"/>
            </w:tcMar>
            <w:vAlign w:val="bottom"/>
          </w:tcPr>
          <w:p w14:paraId="5F9D0A13"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 xml:space="preserve">Adjusted ICC for Control </w:t>
            </w:r>
          </w:p>
        </w:tc>
        <w:tc>
          <w:tcPr>
            <w:tcW w:w="232" w:type="pct"/>
            <w:tcBorders>
              <w:left w:val="nil"/>
              <w:bottom w:val="single" w:sz="4" w:space="0" w:color="000000"/>
              <w:right w:val="single" w:sz="4" w:space="0" w:color="auto"/>
            </w:tcBorders>
            <w:shd w:val="clear" w:color="auto" w:fill="FFFFFF"/>
            <w:tcMar>
              <w:left w:w="67" w:type="dxa"/>
              <w:right w:w="67" w:type="dxa"/>
            </w:tcMar>
            <w:vAlign w:val="bottom"/>
          </w:tcPr>
          <w:p w14:paraId="2698568B" w14:textId="77777777" w:rsidR="00E07CDE" w:rsidRPr="00563AD3" w:rsidRDefault="00E07CDE" w:rsidP="00CB59EF">
            <w:pPr>
              <w:keepNext/>
              <w:spacing w:before="67" w:after="67" w:line="240" w:lineRule="auto"/>
              <w:jc w:val="center"/>
              <w:rPr>
                <w:rFonts w:eastAsia="Times New Roman"/>
                <w:b/>
                <w:bCs/>
                <w:color w:val="000000"/>
                <w:sz w:val="17"/>
                <w:szCs w:val="17"/>
              </w:rPr>
            </w:pPr>
            <w:r w:rsidRPr="00563AD3">
              <w:rPr>
                <w:rFonts w:eastAsia="Times New Roman"/>
                <w:b/>
                <w:bCs/>
                <w:color w:val="000000"/>
                <w:sz w:val="17"/>
                <w:szCs w:val="17"/>
              </w:rPr>
              <w:t>N</w:t>
            </w:r>
          </w:p>
        </w:tc>
      </w:tr>
      <w:tr w:rsidR="00E07CDE" w:rsidRPr="00563AD3" w14:paraId="72B7AA9C" w14:textId="77777777" w:rsidTr="00CB59EF">
        <w:trPr>
          <w:cantSplit/>
          <w:jc w:val="center"/>
        </w:trPr>
        <w:tc>
          <w:tcPr>
            <w:tcW w:w="578" w:type="pct"/>
            <w:tcBorders>
              <w:top w:val="nil"/>
              <w:left w:val="single" w:sz="4" w:space="0" w:color="auto"/>
              <w:bottom w:val="nil"/>
              <w:right w:val="nil"/>
            </w:tcBorders>
            <w:shd w:val="clear" w:color="auto" w:fill="FFFFFF"/>
            <w:tcMar>
              <w:left w:w="67" w:type="dxa"/>
              <w:right w:w="67" w:type="dxa"/>
            </w:tcMar>
          </w:tcPr>
          <w:p w14:paraId="605B496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 xml:space="preserve">CMAI </w:t>
            </w:r>
          </w:p>
        </w:tc>
        <w:tc>
          <w:tcPr>
            <w:tcW w:w="419" w:type="pct"/>
            <w:tcBorders>
              <w:top w:val="nil"/>
              <w:left w:val="nil"/>
              <w:bottom w:val="nil"/>
              <w:right w:val="nil"/>
            </w:tcBorders>
            <w:shd w:val="clear" w:color="auto" w:fill="FFFFFF"/>
          </w:tcPr>
          <w:p w14:paraId="291CD82E"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43.32</w:t>
            </w:r>
          </w:p>
        </w:tc>
        <w:tc>
          <w:tcPr>
            <w:tcW w:w="419" w:type="pct"/>
            <w:tcBorders>
              <w:top w:val="nil"/>
              <w:left w:val="nil"/>
              <w:bottom w:val="nil"/>
              <w:right w:val="nil"/>
            </w:tcBorders>
            <w:shd w:val="clear" w:color="auto" w:fill="FFFFFF"/>
          </w:tcPr>
          <w:p w14:paraId="529E20AC"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43.73</w:t>
            </w:r>
          </w:p>
        </w:tc>
        <w:tc>
          <w:tcPr>
            <w:tcW w:w="419" w:type="pct"/>
            <w:tcBorders>
              <w:top w:val="nil"/>
              <w:left w:val="nil"/>
              <w:bottom w:val="nil"/>
              <w:right w:val="nil"/>
            </w:tcBorders>
            <w:shd w:val="clear" w:color="auto" w:fill="FFFFFF"/>
            <w:tcMar>
              <w:left w:w="67" w:type="dxa"/>
              <w:right w:w="67" w:type="dxa"/>
            </w:tcMar>
          </w:tcPr>
          <w:p w14:paraId="175836A9"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0.41</w:t>
            </w:r>
          </w:p>
        </w:tc>
        <w:tc>
          <w:tcPr>
            <w:tcW w:w="419" w:type="pct"/>
            <w:tcBorders>
              <w:top w:val="nil"/>
              <w:left w:val="nil"/>
              <w:bottom w:val="nil"/>
              <w:right w:val="nil"/>
            </w:tcBorders>
            <w:shd w:val="clear" w:color="auto" w:fill="FFFFFF"/>
            <w:tcMar>
              <w:left w:w="67" w:type="dxa"/>
              <w:right w:w="67" w:type="dxa"/>
            </w:tcMar>
          </w:tcPr>
          <w:p w14:paraId="2E35B282"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-2.6</w:t>
            </w:r>
          </w:p>
        </w:tc>
        <w:tc>
          <w:tcPr>
            <w:tcW w:w="419" w:type="pct"/>
            <w:tcBorders>
              <w:top w:val="nil"/>
              <w:left w:val="nil"/>
              <w:bottom w:val="nil"/>
              <w:right w:val="nil"/>
            </w:tcBorders>
            <w:shd w:val="clear" w:color="auto" w:fill="FFFFFF"/>
            <w:tcMar>
              <w:left w:w="67" w:type="dxa"/>
              <w:right w:w="67" w:type="dxa"/>
            </w:tcMar>
          </w:tcPr>
          <w:p w14:paraId="5D0DF925"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3.42</w:t>
            </w:r>
          </w:p>
        </w:tc>
        <w:tc>
          <w:tcPr>
            <w:tcW w:w="419" w:type="pct"/>
            <w:tcBorders>
              <w:top w:val="nil"/>
              <w:left w:val="nil"/>
              <w:bottom w:val="nil"/>
              <w:right w:val="nil"/>
            </w:tcBorders>
            <w:shd w:val="clear" w:color="auto" w:fill="FFFFFF"/>
            <w:tcMar>
              <w:left w:w="67" w:type="dxa"/>
              <w:right w:w="67" w:type="dxa"/>
            </w:tcMar>
          </w:tcPr>
          <w:p w14:paraId="7C1BEB10"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0.784</w:t>
            </w:r>
          </w:p>
        </w:tc>
        <w:tc>
          <w:tcPr>
            <w:tcW w:w="419" w:type="pct"/>
            <w:tcBorders>
              <w:top w:val="nil"/>
              <w:left w:val="nil"/>
              <w:bottom w:val="nil"/>
              <w:right w:val="nil"/>
            </w:tcBorders>
            <w:shd w:val="clear" w:color="auto" w:fill="FFFFFF"/>
            <w:tcMar>
              <w:left w:w="67" w:type="dxa"/>
              <w:right w:w="67" w:type="dxa"/>
            </w:tcMar>
          </w:tcPr>
          <w:p w14:paraId="5615B0DC"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0.1356</w:t>
            </w:r>
          </w:p>
        </w:tc>
        <w:tc>
          <w:tcPr>
            <w:tcW w:w="419" w:type="pct"/>
            <w:tcBorders>
              <w:top w:val="nil"/>
              <w:left w:val="nil"/>
              <w:bottom w:val="nil"/>
              <w:right w:val="nil"/>
            </w:tcBorders>
            <w:shd w:val="clear" w:color="auto" w:fill="FFFFFF"/>
            <w:tcMar>
              <w:left w:w="67" w:type="dxa"/>
              <w:right w:w="67" w:type="dxa"/>
            </w:tcMar>
          </w:tcPr>
          <w:p w14:paraId="192EBF11"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0.011</w:t>
            </w:r>
          </w:p>
        </w:tc>
        <w:tc>
          <w:tcPr>
            <w:tcW w:w="419" w:type="pct"/>
            <w:tcBorders>
              <w:top w:val="nil"/>
              <w:left w:val="nil"/>
              <w:bottom w:val="nil"/>
              <w:right w:val="nil"/>
            </w:tcBorders>
            <w:shd w:val="clear" w:color="auto" w:fill="FFFFFF"/>
            <w:tcMar>
              <w:left w:w="67" w:type="dxa"/>
              <w:right w:w="67" w:type="dxa"/>
            </w:tcMar>
          </w:tcPr>
          <w:p w14:paraId="3164AC2B"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0.0892</w:t>
            </w:r>
          </w:p>
        </w:tc>
        <w:tc>
          <w:tcPr>
            <w:tcW w:w="419" w:type="pct"/>
            <w:tcBorders>
              <w:top w:val="nil"/>
              <w:left w:val="nil"/>
              <w:bottom w:val="nil"/>
              <w:right w:val="nil"/>
            </w:tcBorders>
            <w:shd w:val="clear" w:color="auto" w:fill="FFFFFF"/>
            <w:tcMar>
              <w:left w:w="67" w:type="dxa"/>
              <w:right w:w="67" w:type="dxa"/>
            </w:tcMar>
          </w:tcPr>
          <w:p w14:paraId="7E2DC1E9"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w:t>
            </w:r>
          </w:p>
        </w:tc>
        <w:tc>
          <w:tcPr>
            <w:tcW w:w="232" w:type="pct"/>
            <w:tcBorders>
              <w:top w:val="nil"/>
              <w:left w:val="nil"/>
              <w:bottom w:val="nil"/>
              <w:right w:val="single" w:sz="4" w:space="0" w:color="auto"/>
            </w:tcBorders>
            <w:shd w:val="clear" w:color="auto" w:fill="FFFFFF"/>
            <w:tcMar>
              <w:left w:w="67" w:type="dxa"/>
              <w:right w:w="67" w:type="dxa"/>
            </w:tcMar>
          </w:tcPr>
          <w:p w14:paraId="3C75151C"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572</w:t>
            </w:r>
          </w:p>
        </w:tc>
      </w:tr>
      <w:tr w:rsidR="00E07CDE" w:rsidRPr="00563AD3" w14:paraId="4EE7F87D" w14:textId="77777777" w:rsidTr="00CB59EF">
        <w:trPr>
          <w:cantSplit/>
          <w:jc w:val="center"/>
        </w:trPr>
        <w:tc>
          <w:tcPr>
            <w:tcW w:w="578" w:type="pct"/>
            <w:tcBorders>
              <w:top w:val="nil"/>
              <w:left w:val="single" w:sz="4" w:space="0" w:color="auto"/>
              <w:bottom w:val="nil"/>
              <w:right w:val="nil"/>
            </w:tcBorders>
            <w:shd w:val="clear" w:color="auto" w:fill="FFFFFF"/>
            <w:tcMar>
              <w:left w:w="67" w:type="dxa"/>
              <w:right w:w="67" w:type="dxa"/>
            </w:tcMar>
          </w:tcPr>
          <w:p w14:paraId="0B1921E7"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 xml:space="preserve">CMAI-O (AM) </w:t>
            </w:r>
          </w:p>
        </w:tc>
        <w:tc>
          <w:tcPr>
            <w:tcW w:w="419" w:type="pct"/>
            <w:tcBorders>
              <w:top w:val="nil"/>
              <w:left w:val="nil"/>
              <w:bottom w:val="nil"/>
              <w:right w:val="nil"/>
            </w:tcBorders>
            <w:shd w:val="clear" w:color="auto" w:fill="FFFFFF"/>
          </w:tcPr>
          <w:p w14:paraId="5E365EE0"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31.41</w:t>
            </w:r>
          </w:p>
        </w:tc>
        <w:tc>
          <w:tcPr>
            <w:tcW w:w="419" w:type="pct"/>
            <w:tcBorders>
              <w:top w:val="nil"/>
              <w:left w:val="nil"/>
              <w:bottom w:val="nil"/>
              <w:right w:val="nil"/>
            </w:tcBorders>
            <w:shd w:val="clear" w:color="auto" w:fill="FFFFFF"/>
          </w:tcPr>
          <w:p w14:paraId="66E2ADE9"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31.79</w:t>
            </w:r>
          </w:p>
        </w:tc>
        <w:tc>
          <w:tcPr>
            <w:tcW w:w="419" w:type="pct"/>
            <w:tcBorders>
              <w:top w:val="nil"/>
              <w:left w:val="nil"/>
              <w:bottom w:val="nil"/>
              <w:right w:val="nil"/>
            </w:tcBorders>
            <w:shd w:val="clear" w:color="auto" w:fill="FFFFFF"/>
            <w:tcMar>
              <w:left w:w="67" w:type="dxa"/>
              <w:right w:w="67" w:type="dxa"/>
            </w:tcMar>
          </w:tcPr>
          <w:p w14:paraId="2136AB1F"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0.38</w:t>
            </w:r>
          </w:p>
        </w:tc>
        <w:tc>
          <w:tcPr>
            <w:tcW w:w="419" w:type="pct"/>
            <w:tcBorders>
              <w:top w:val="nil"/>
              <w:left w:val="nil"/>
              <w:bottom w:val="nil"/>
              <w:right w:val="nil"/>
            </w:tcBorders>
            <w:shd w:val="clear" w:color="auto" w:fill="FFFFFF"/>
            <w:tcMar>
              <w:left w:w="67" w:type="dxa"/>
              <w:right w:w="67" w:type="dxa"/>
            </w:tcMar>
          </w:tcPr>
          <w:p w14:paraId="494F982E"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-0.66</w:t>
            </w:r>
          </w:p>
        </w:tc>
        <w:tc>
          <w:tcPr>
            <w:tcW w:w="419" w:type="pct"/>
            <w:tcBorders>
              <w:top w:val="nil"/>
              <w:left w:val="nil"/>
              <w:bottom w:val="nil"/>
              <w:right w:val="nil"/>
            </w:tcBorders>
            <w:shd w:val="clear" w:color="auto" w:fill="FFFFFF"/>
            <w:tcMar>
              <w:left w:w="67" w:type="dxa"/>
              <w:right w:w="67" w:type="dxa"/>
            </w:tcMar>
          </w:tcPr>
          <w:p w14:paraId="0D8E0756"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1.42</w:t>
            </w:r>
          </w:p>
        </w:tc>
        <w:tc>
          <w:tcPr>
            <w:tcW w:w="419" w:type="pct"/>
            <w:tcBorders>
              <w:top w:val="nil"/>
              <w:left w:val="nil"/>
              <w:bottom w:val="nil"/>
              <w:right w:val="nil"/>
            </w:tcBorders>
            <w:shd w:val="clear" w:color="auto" w:fill="FFFFFF"/>
            <w:tcMar>
              <w:left w:w="67" w:type="dxa"/>
              <w:right w:w="67" w:type="dxa"/>
            </w:tcMar>
          </w:tcPr>
          <w:p w14:paraId="1CBC33EE"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0.468</w:t>
            </w:r>
          </w:p>
        </w:tc>
        <w:tc>
          <w:tcPr>
            <w:tcW w:w="419" w:type="pct"/>
            <w:tcBorders>
              <w:top w:val="nil"/>
              <w:left w:val="nil"/>
              <w:bottom w:val="nil"/>
              <w:right w:val="nil"/>
            </w:tcBorders>
            <w:shd w:val="clear" w:color="auto" w:fill="FFFFFF"/>
            <w:tcMar>
              <w:left w:w="67" w:type="dxa"/>
              <w:right w:w="67" w:type="dxa"/>
            </w:tcMar>
          </w:tcPr>
          <w:p w14:paraId="7B20E216"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0.09</w:t>
            </w:r>
          </w:p>
        </w:tc>
        <w:tc>
          <w:tcPr>
            <w:tcW w:w="419" w:type="pct"/>
            <w:tcBorders>
              <w:top w:val="nil"/>
              <w:left w:val="nil"/>
              <w:bottom w:val="nil"/>
              <w:right w:val="nil"/>
            </w:tcBorders>
            <w:shd w:val="clear" w:color="auto" w:fill="FFFFFF"/>
            <w:tcMar>
              <w:left w:w="67" w:type="dxa"/>
              <w:right w:w="67" w:type="dxa"/>
            </w:tcMar>
          </w:tcPr>
          <w:p w14:paraId="378E61C6"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0.0001</w:t>
            </w:r>
          </w:p>
        </w:tc>
        <w:tc>
          <w:tcPr>
            <w:tcW w:w="419" w:type="pct"/>
            <w:tcBorders>
              <w:top w:val="nil"/>
              <w:left w:val="nil"/>
              <w:bottom w:val="nil"/>
              <w:right w:val="nil"/>
            </w:tcBorders>
            <w:shd w:val="clear" w:color="auto" w:fill="FFFFFF"/>
            <w:tcMar>
              <w:left w:w="67" w:type="dxa"/>
              <w:right w:w="67" w:type="dxa"/>
            </w:tcMar>
          </w:tcPr>
          <w:p w14:paraId="6C49C577"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0.0418</w:t>
            </w:r>
          </w:p>
        </w:tc>
        <w:tc>
          <w:tcPr>
            <w:tcW w:w="419" w:type="pct"/>
            <w:tcBorders>
              <w:top w:val="nil"/>
              <w:left w:val="nil"/>
              <w:bottom w:val="nil"/>
              <w:right w:val="nil"/>
            </w:tcBorders>
            <w:shd w:val="clear" w:color="auto" w:fill="FFFFFF"/>
            <w:tcMar>
              <w:left w:w="67" w:type="dxa"/>
              <w:right w:w="67" w:type="dxa"/>
            </w:tcMar>
          </w:tcPr>
          <w:p w14:paraId="65294C95"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0.0006</w:t>
            </w:r>
          </w:p>
        </w:tc>
        <w:tc>
          <w:tcPr>
            <w:tcW w:w="232" w:type="pct"/>
            <w:tcBorders>
              <w:top w:val="nil"/>
              <w:left w:val="nil"/>
              <w:bottom w:val="nil"/>
              <w:right w:val="single" w:sz="4" w:space="0" w:color="auto"/>
            </w:tcBorders>
            <w:shd w:val="clear" w:color="auto" w:fill="FFFFFF"/>
            <w:tcMar>
              <w:left w:w="67" w:type="dxa"/>
              <w:right w:w="67" w:type="dxa"/>
            </w:tcMar>
          </w:tcPr>
          <w:p w14:paraId="7C6BCEC3"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270</w:t>
            </w:r>
          </w:p>
        </w:tc>
      </w:tr>
      <w:tr w:rsidR="00E07CDE" w:rsidRPr="00563AD3" w14:paraId="4D27A386" w14:textId="77777777" w:rsidTr="00CB59EF">
        <w:trPr>
          <w:cantSplit/>
          <w:jc w:val="center"/>
        </w:trPr>
        <w:tc>
          <w:tcPr>
            <w:tcW w:w="578" w:type="pct"/>
            <w:tcBorders>
              <w:top w:val="nil"/>
              <w:left w:val="single" w:sz="4" w:space="0" w:color="auto"/>
              <w:bottom w:val="nil"/>
              <w:right w:val="nil"/>
            </w:tcBorders>
            <w:shd w:val="clear" w:color="auto" w:fill="FFFFFF"/>
            <w:tcMar>
              <w:left w:w="67" w:type="dxa"/>
              <w:right w:w="67" w:type="dxa"/>
            </w:tcMar>
          </w:tcPr>
          <w:p w14:paraId="3434B1BF"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 xml:space="preserve">CMAI-O (PM) </w:t>
            </w:r>
          </w:p>
        </w:tc>
        <w:tc>
          <w:tcPr>
            <w:tcW w:w="419" w:type="pct"/>
            <w:tcBorders>
              <w:top w:val="nil"/>
              <w:left w:val="nil"/>
              <w:bottom w:val="nil"/>
              <w:right w:val="nil"/>
            </w:tcBorders>
            <w:shd w:val="clear" w:color="auto" w:fill="FFFFFF"/>
          </w:tcPr>
          <w:p w14:paraId="6493BA29"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31.79</w:t>
            </w:r>
          </w:p>
        </w:tc>
        <w:tc>
          <w:tcPr>
            <w:tcW w:w="419" w:type="pct"/>
            <w:tcBorders>
              <w:top w:val="nil"/>
              <w:left w:val="nil"/>
              <w:bottom w:val="nil"/>
              <w:right w:val="nil"/>
            </w:tcBorders>
            <w:shd w:val="clear" w:color="auto" w:fill="FFFFFF"/>
          </w:tcPr>
          <w:p w14:paraId="1259A591"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32.34</w:t>
            </w:r>
          </w:p>
        </w:tc>
        <w:tc>
          <w:tcPr>
            <w:tcW w:w="419" w:type="pct"/>
            <w:tcBorders>
              <w:top w:val="nil"/>
              <w:left w:val="nil"/>
              <w:bottom w:val="nil"/>
              <w:right w:val="nil"/>
            </w:tcBorders>
            <w:shd w:val="clear" w:color="auto" w:fill="FFFFFF"/>
            <w:tcMar>
              <w:left w:w="67" w:type="dxa"/>
              <w:right w:w="67" w:type="dxa"/>
            </w:tcMar>
          </w:tcPr>
          <w:p w14:paraId="14316A05"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0.55</w:t>
            </w:r>
          </w:p>
        </w:tc>
        <w:tc>
          <w:tcPr>
            <w:tcW w:w="419" w:type="pct"/>
            <w:tcBorders>
              <w:top w:val="nil"/>
              <w:left w:val="nil"/>
              <w:bottom w:val="nil"/>
              <w:right w:val="nil"/>
            </w:tcBorders>
            <w:shd w:val="clear" w:color="auto" w:fill="FFFFFF"/>
            <w:tcMar>
              <w:left w:w="67" w:type="dxa"/>
              <w:right w:w="67" w:type="dxa"/>
            </w:tcMar>
          </w:tcPr>
          <w:p w14:paraId="46BCFA16"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-0.73</w:t>
            </w:r>
          </w:p>
        </w:tc>
        <w:tc>
          <w:tcPr>
            <w:tcW w:w="419" w:type="pct"/>
            <w:tcBorders>
              <w:top w:val="nil"/>
              <w:left w:val="nil"/>
              <w:bottom w:val="nil"/>
              <w:right w:val="nil"/>
            </w:tcBorders>
            <w:shd w:val="clear" w:color="auto" w:fill="FFFFFF"/>
            <w:tcMar>
              <w:left w:w="67" w:type="dxa"/>
              <w:right w:w="67" w:type="dxa"/>
            </w:tcMar>
          </w:tcPr>
          <w:p w14:paraId="5AD307A4"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1.83</w:t>
            </w:r>
          </w:p>
        </w:tc>
        <w:tc>
          <w:tcPr>
            <w:tcW w:w="419" w:type="pct"/>
            <w:tcBorders>
              <w:top w:val="nil"/>
              <w:left w:val="nil"/>
              <w:bottom w:val="nil"/>
              <w:right w:val="nil"/>
            </w:tcBorders>
            <w:shd w:val="clear" w:color="auto" w:fill="FFFFFF"/>
            <w:tcMar>
              <w:left w:w="67" w:type="dxa"/>
              <w:right w:w="67" w:type="dxa"/>
            </w:tcMar>
          </w:tcPr>
          <w:p w14:paraId="6CD8FCC3"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0.393</w:t>
            </w:r>
          </w:p>
        </w:tc>
        <w:tc>
          <w:tcPr>
            <w:tcW w:w="419" w:type="pct"/>
            <w:tcBorders>
              <w:top w:val="nil"/>
              <w:left w:val="nil"/>
              <w:bottom w:val="nil"/>
              <w:right w:val="nil"/>
            </w:tcBorders>
            <w:shd w:val="clear" w:color="auto" w:fill="FFFFFF"/>
            <w:tcMar>
              <w:left w:w="67" w:type="dxa"/>
              <w:right w:w="67" w:type="dxa"/>
            </w:tcMar>
          </w:tcPr>
          <w:p w14:paraId="5B65AB0A"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0.121</w:t>
            </w:r>
          </w:p>
        </w:tc>
        <w:tc>
          <w:tcPr>
            <w:tcW w:w="419" w:type="pct"/>
            <w:tcBorders>
              <w:top w:val="nil"/>
              <w:left w:val="nil"/>
              <w:bottom w:val="nil"/>
              <w:right w:val="nil"/>
            </w:tcBorders>
            <w:shd w:val="clear" w:color="auto" w:fill="FFFFFF"/>
            <w:tcMar>
              <w:left w:w="67" w:type="dxa"/>
              <w:right w:w="67" w:type="dxa"/>
            </w:tcMar>
          </w:tcPr>
          <w:p w14:paraId="665F958B"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0.0127</w:t>
            </w:r>
          </w:p>
        </w:tc>
        <w:tc>
          <w:tcPr>
            <w:tcW w:w="419" w:type="pct"/>
            <w:tcBorders>
              <w:top w:val="nil"/>
              <w:left w:val="nil"/>
              <w:bottom w:val="nil"/>
              <w:right w:val="nil"/>
            </w:tcBorders>
            <w:shd w:val="clear" w:color="auto" w:fill="FFFFFF"/>
            <w:tcMar>
              <w:left w:w="67" w:type="dxa"/>
              <w:right w:w="67" w:type="dxa"/>
            </w:tcMar>
          </w:tcPr>
          <w:p w14:paraId="7BF8D972"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0.1445</w:t>
            </w:r>
          </w:p>
        </w:tc>
        <w:tc>
          <w:tcPr>
            <w:tcW w:w="419" w:type="pct"/>
            <w:tcBorders>
              <w:top w:val="nil"/>
              <w:left w:val="nil"/>
              <w:bottom w:val="nil"/>
              <w:right w:val="nil"/>
            </w:tcBorders>
            <w:shd w:val="clear" w:color="auto" w:fill="FFFFFF"/>
            <w:tcMar>
              <w:left w:w="67" w:type="dxa"/>
              <w:right w:w="67" w:type="dxa"/>
            </w:tcMar>
          </w:tcPr>
          <w:p w14:paraId="14BAF675"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0.0353</w:t>
            </w:r>
          </w:p>
        </w:tc>
        <w:tc>
          <w:tcPr>
            <w:tcW w:w="232" w:type="pct"/>
            <w:tcBorders>
              <w:top w:val="nil"/>
              <w:left w:val="nil"/>
              <w:bottom w:val="nil"/>
              <w:right w:val="single" w:sz="4" w:space="0" w:color="auto"/>
            </w:tcBorders>
            <w:shd w:val="clear" w:color="auto" w:fill="FFFFFF"/>
            <w:tcMar>
              <w:left w:w="67" w:type="dxa"/>
              <w:right w:w="67" w:type="dxa"/>
            </w:tcMar>
          </w:tcPr>
          <w:p w14:paraId="638DACB6"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278</w:t>
            </w:r>
          </w:p>
        </w:tc>
      </w:tr>
      <w:tr w:rsidR="00E07CDE" w:rsidRPr="00563AD3" w14:paraId="0C624B41" w14:textId="77777777" w:rsidTr="00CB59EF">
        <w:trPr>
          <w:cantSplit/>
          <w:jc w:val="center"/>
        </w:trPr>
        <w:tc>
          <w:tcPr>
            <w:tcW w:w="578" w:type="pct"/>
            <w:tcBorders>
              <w:top w:val="nil"/>
              <w:left w:val="single" w:sz="4" w:space="0" w:color="auto"/>
              <w:bottom w:val="nil"/>
              <w:right w:val="nil"/>
            </w:tcBorders>
            <w:shd w:val="clear" w:color="auto" w:fill="FFFFFF"/>
            <w:tcMar>
              <w:left w:w="67" w:type="dxa"/>
              <w:right w:w="67" w:type="dxa"/>
            </w:tcMar>
          </w:tcPr>
          <w:p w14:paraId="04B92A9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 xml:space="preserve">PAS (AM) </w:t>
            </w:r>
          </w:p>
        </w:tc>
        <w:tc>
          <w:tcPr>
            <w:tcW w:w="419" w:type="pct"/>
            <w:tcBorders>
              <w:top w:val="nil"/>
              <w:left w:val="nil"/>
              <w:bottom w:val="nil"/>
              <w:right w:val="nil"/>
            </w:tcBorders>
            <w:shd w:val="clear" w:color="auto" w:fill="FFFFFF"/>
          </w:tcPr>
          <w:p w14:paraId="4EA4A832"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0.90</w:t>
            </w:r>
          </w:p>
        </w:tc>
        <w:tc>
          <w:tcPr>
            <w:tcW w:w="419" w:type="pct"/>
            <w:tcBorders>
              <w:top w:val="nil"/>
              <w:left w:val="nil"/>
              <w:bottom w:val="nil"/>
              <w:right w:val="nil"/>
            </w:tcBorders>
            <w:shd w:val="clear" w:color="auto" w:fill="FFFFFF"/>
          </w:tcPr>
          <w:p w14:paraId="1DD553DE"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1.08</w:t>
            </w:r>
          </w:p>
        </w:tc>
        <w:tc>
          <w:tcPr>
            <w:tcW w:w="419" w:type="pct"/>
            <w:tcBorders>
              <w:top w:val="nil"/>
              <w:left w:val="nil"/>
              <w:bottom w:val="nil"/>
              <w:right w:val="nil"/>
            </w:tcBorders>
            <w:shd w:val="clear" w:color="auto" w:fill="FFFFFF"/>
            <w:tcMar>
              <w:left w:w="67" w:type="dxa"/>
              <w:right w:w="67" w:type="dxa"/>
            </w:tcMar>
          </w:tcPr>
          <w:p w14:paraId="1BFF2CFD"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0.18</w:t>
            </w:r>
          </w:p>
        </w:tc>
        <w:tc>
          <w:tcPr>
            <w:tcW w:w="419" w:type="pct"/>
            <w:tcBorders>
              <w:top w:val="nil"/>
              <w:left w:val="nil"/>
              <w:bottom w:val="nil"/>
              <w:right w:val="nil"/>
            </w:tcBorders>
            <w:shd w:val="clear" w:color="auto" w:fill="FFFFFF"/>
            <w:tcMar>
              <w:left w:w="67" w:type="dxa"/>
              <w:right w:w="67" w:type="dxa"/>
            </w:tcMar>
          </w:tcPr>
          <w:p w14:paraId="276DA860"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-0.29</w:t>
            </w:r>
          </w:p>
        </w:tc>
        <w:tc>
          <w:tcPr>
            <w:tcW w:w="419" w:type="pct"/>
            <w:tcBorders>
              <w:top w:val="nil"/>
              <w:left w:val="nil"/>
              <w:bottom w:val="nil"/>
              <w:right w:val="nil"/>
            </w:tcBorders>
            <w:shd w:val="clear" w:color="auto" w:fill="FFFFFF"/>
            <w:tcMar>
              <w:left w:w="67" w:type="dxa"/>
              <w:right w:w="67" w:type="dxa"/>
            </w:tcMar>
          </w:tcPr>
          <w:p w14:paraId="34E122C6"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0.66</w:t>
            </w:r>
          </w:p>
        </w:tc>
        <w:tc>
          <w:tcPr>
            <w:tcW w:w="419" w:type="pct"/>
            <w:tcBorders>
              <w:top w:val="nil"/>
              <w:left w:val="nil"/>
              <w:bottom w:val="nil"/>
              <w:right w:val="nil"/>
            </w:tcBorders>
            <w:shd w:val="clear" w:color="auto" w:fill="FFFFFF"/>
            <w:tcMar>
              <w:left w:w="67" w:type="dxa"/>
              <w:right w:w="67" w:type="dxa"/>
            </w:tcMar>
          </w:tcPr>
          <w:p w14:paraId="3BFFCCBD"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0.446</w:t>
            </w:r>
          </w:p>
        </w:tc>
        <w:tc>
          <w:tcPr>
            <w:tcW w:w="419" w:type="pct"/>
            <w:tcBorders>
              <w:top w:val="nil"/>
              <w:left w:val="nil"/>
              <w:bottom w:val="nil"/>
              <w:right w:val="nil"/>
            </w:tcBorders>
            <w:shd w:val="clear" w:color="auto" w:fill="FFFFFF"/>
            <w:tcMar>
              <w:left w:w="67" w:type="dxa"/>
              <w:right w:w="67" w:type="dxa"/>
            </w:tcMar>
          </w:tcPr>
          <w:p w14:paraId="5F5E3B16"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0.112</w:t>
            </w:r>
          </w:p>
        </w:tc>
        <w:tc>
          <w:tcPr>
            <w:tcW w:w="419" w:type="pct"/>
            <w:tcBorders>
              <w:top w:val="nil"/>
              <w:left w:val="nil"/>
              <w:bottom w:val="nil"/>
              <w:right w:val="nil"/>
            </w:tcBorders>
            <w:shd w:val="clear" w:color="auto" w:fill="FFFFFF"/>
            <w:tcMar>
              <w:left w:w="67" w:type="dxa"/>
              <w:right w:w="67" w:type="dxa"/>
            </w:tcMar>
          </w:tcPr>
          <w:p w14:paraId="3D0D9F52"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0.0018</w:t>
            </w:r>
          </w:p>
        </w:tc>
        <w:tc>
          <w:tcPr>
            <w:tcW w:w="419" w:type="pct"/>
            <w:tcBorders>
              <w:top w:val="nil"/>
              <w:left w:val="nil"/>
              <w:bottom w:val="nil"/>
              <w:right w:val="nil"/>
            </w:tcBorders>
            <w:shd w:val="clear" w:color="auto" w:fill="FFFFFF"/>
            <w:tcMar>
              <w:left w:w="67" w:type="dxa"/>
              <w:right w:w="67" w:type="dxa"/>
            </w:tcMar>
          </w:tcPr>
          <w:p w14:paraId="4EA5EEF2"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0.0862</w:t>
            </w:r>
          </w:p>
        </w:tc>
        <w:tc>
          <w:tcPr>
            <w:tcW w:w="419" w:type="pct"/>
            <w:tcBorders>
              <w:top w:val="nil"/>
              <w:left w:val="nil"/>
              <w:bottom w:val="nil"/>
              <w:right w:val="nil"/>
            </w:tcBorders>
            <w:shd w:val="clear" w:color="auto" w:fill="FFFFFF"/>
            <w:tcMar>
              <w:left w:w="67" w:type="dxa"/>
              <w:right w:w="67" w:type="dxa"/>
            </w:tcMar>
          </w:tcPr>
          <w:p w14:paraId="4ECC91CE"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0.0022</w:t>
            </w:r>
          </w:p>
        </w:tc>
        <w:tc>
          <w:tcPr>
            <w:tcW w:w="232" w:type="pct"/>
            <w:tcBorders>
              <w:top w:val="nil"/>
              <w:left w:val="nil"/>
              <w:bottom w:val="nil"/>
              <w:right w:val="single" w:sz="4" w:space="0" w:color="auto"/>
            </w:tcBorders>
            <w:shd w:val="clear" w:color="auto" w:fill="FFFFFF"/>
            <w:tcMar>
              <w:left w:w="67" w:type="dxa"/>
              <w:right w:w="67" w:type="dxa"/>
            </w:tcMar>
          </w:tcPr>
          <w:p w14:paraId="19026826"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268</w:t>
            </w:r>
          </w:p>
        </w:tc>
      </w:tr>
      <w:tr w:rsidR="00E07CDE" w:rsidRPr="00563AD3" w14:paraId="25C5F986" w14:textId="77777777" w:rsidTr="00CB59EF">
        <w:trPr>
          <w:cantSplit/>
          <w:jc w:val="center"/>
        </w:trPr>
        <w:tc>
          <w:tcPr>
            <w:tcW w:w="578" w:type="pct"/>
            <w:tcBorders>
              <w:top w:val="nil"/>
              <w:left w:val="single" w:sz="4" w:space="0" w:color="auto"/>
              <w:bottom w:val="single" w:sz="4" w:space="0" w:color="auto"/>
              <w:right w:val="nil"/>
            </w:tcBorders>
            <w:shd w:val="clear" w:color="auto" w:fill="FFFFFF"/>
            <w:tcMar>
              <w:left w:w="67" w:type="dxa"/>
              <w:right w:w="67" w:type="dxa"/>
            </w:tcMar>
          </w:tcPr>
          <w:p w14:paraId="31EDC11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 xml:space="preserve">PAS (PM) </w:t>
            </w:r>
          </w:p>
        </w:tc>
        <w:tc>
          <w:tcPr>
            <w:tcW w:w="419" w:type="pct"/>
            <w:tcBorders>
              <w:top w:val="nil"/>
              <w:left w:val="nil"/>
              <w:bottom w:val="single" w:sz="4" w:space="0" w:color="auto"/>
              <w:right w:val="nil"/>
            </w:tcBorders>
            <w:shd w:val="clear" w:color="auto" w:fill="FFFFFF"/>
          </w:tcPr>
          <w:p w14:paraId="0915B6AD"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1.09</w:t>
            </w:r>
          </w:p>
        </w:tc>
        <w:tc>
          <w:tcPr>
            <w:tcW w:w="419" w:type="pct"/>
            <w:tcBorders>
              <w:top w:val="nil"/>
              <w:left w:val="nil"/>
              <w:bottom w:val="single" w:sz="4" w:space="0" w:color="auto"/>
              <w:right w:val="nil"/>
            </w:tcBorders>
            <w:shd w:val="clear" w:color="auto" w:fill="FFFFFF"/>
          </w:tcPr>
          <w:p w14:paraId="210DAF1D" w14:textId="77777777" w:rsidR="00E07CDE" w:rsidRPr="00563AD3" w:rsidRDefault="00E07CDE" w:rsidP="00CB59EF">
            <w:pPr>
              <w:spacing w:before="67" w:after="67" w:line="240" w:lineRule="auto"/>
              <w:jc w:val="right"/>
              <w:rPr>
                <w:rFonts w:eastAsia="Calibri"/>
                <w:color w:val="000000"/>
                <w:sz w:val="20"/>
                <w:szCs w:val="20"/>
                <w:lang w:eastAsia="en-US"/>
              </w:rPr>
            </w:pPr>
            <w:r w:rsidRPr="00563AD3">
              <w:rPr>
                <w:rFonts w:eastAsia="Calibri"/>
                <w:color w:val="000000"/>
                <w:sz w:val="20"/>
                <w:szCs w:val="20"/>
                <w:lang w:eastAsia="en-US"/>
              </w:rPr>
              <w:t>1.23</w:t>
            </w:r>
          </w:p>
        </w:tc>
        <w:tc>
          <w:tcPr>
            <w:tcW w:w="419" w:type="pct"/>
            <w:tcBorders>
              <w:top w:val="nil"/>
              <w:left w:val="nil"/>
              <w:bottom w:val="single" w:sz="4" w:space="0" w:color="auto"/>
              <w:right w:val="nil"/>
            </w:tcBorders>
            <w:shd w:val="clear" w:color="auto" w:fill="FFFFFF"/>
            <w:tcMar>
              <w:left w:w="67" w:type="dxa"/>
              <w:right w:w="67" w:type="dxa"/>
            </w:tcMar>
          </w:tcPr>
          <w:p w14:paraId="2503C214"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0.14</w:t>
            </w:r>
          </w:p>
        </w:tc>
        <w:tc>
          <w:tcPr>
            <w:tcW w:w="419" w:type="pct"/>
            <w:tcBorders>
              <w:top w:val="nil"/>
              <w:left w:val="nil"/>
              <w:bottom w:val="single" w:sz="4" w:space="0" w:color="auto"/>
              <w:right w:val="nil"/>
            </w:tcBorders>
            <w:shd w:val="clear" w:color="auto" w:fill="FFFFFF"/>
            <w:tcMar>
              <w:left w:w="67" w:type="dxa"/>
              <w:right w:w="67" w:type="dxa"/>
            </w:tcMar>
          </w:tcPr>
          <w:p w14:paraId="1C394B3D"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-0.42</w:t>
            </w:r>
          </w:p>
        </w:tc>
        <w:tc>
          <w:tcPr>
            <w:tcW w:w="419" w:type="pct"/>
            <w:tcBorders>
              <w:top w:val="nil"/>
              <w:left w:val="nil"/>
              <w:bottom w:val="single" w:sz="4" w:space="0" w:color="auto"/>
              <w:right w:val="nil"/>
            </w:tcBorders>
            <w:shd w:val="clear" w:color="auto" w:fill="FFFFFF"/>
            <w:tcMar>
              <w:left w:w="67" w:type="dxa"/>
              <w:right w:w="67" w:type="dxa"/>
            </w:tcMar>
          </w:tcPr>
          <w:p w14:paraId="5D08320F"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0.7</w:t>
            </w:r>
          </w:p>
        </w:tc>
        <w:tc>
          <w:tcPr>
            <w:tcW w:w="419" w:type="pct"/>
            <w:tcBorders>
              <w:top w:val="nil"/>
              <w:left w:val="nil"/>
              <w:bottom w:val="single" w:sz="4" w:space="0" w:color="auto"/>
              <w:right w:val="nil"/>
            </w:tcBorders>
            <w:shd w:val="clear" w:color="auto" w:fill="FFFFFF"/>
            <w:tcMar>
              <w:left w:w="67" w:type="dxa"/>
              <w:right w:w="67" w:type="dxa"/>
            </w:tcMar>
          </w:tcPr>
          <w:p w14:paraId="1E754D8E"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0.621</w:t>
            </w:r>
          </w:p>
        </w:tc>
        <w:tc>
          <w:tcPr>
            <w:tcW w:w="419" w:type="pct"/>
            <w:tcBorders>
              <w:top w:val="nil"/>
              <w:left w:val="nil"/>
              <w:bottom w:val="single" w:sz="4" w:space="0" w:color="auto"/>
              <w:right w:val="nil"/>
            </w:tcBorders>
            <w:shd w:val="clear" w:color="auto" w:fill="FFFFFF"/>
            <w:tcMar>
              <w:left w:w="67" w:type="dxa"/>
              <w:right w:w="67" w:type="dxa"/>
            </w:tcMar>
          </w:tcPr>
          <w:p w14:paraId="152D0DD7"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0.1001</w:t>
            </w:r>
          </w:p>
        </w:tc>
        <w:tc>
          <w:tcPr>
            <w:tcW w:w="419" w:type="pct"/>
            <w:tcBorders>
              <w:top w:val="nil"/>
              <w:left w:val="nil"/>
              <w:bottom w:val="single" w:sz="4" w:space="0" w:color="auto"/>
              <w:right w:val="nil"/>
            </w:tcBorders>
            <w:shd w:val="clear" w:color="auto" w:fill="FFFFFF"/>
            <w:tcMar>
              <w:left w:w="67" w:type="dxa"/>
              <w:right w:w="67" w:type="dxa"/>
            </w:tcMar>
          </w:tcPr>
          <w:p w14:paraId="7C78AEFE"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w:t>
            </w:r>
          </w:p>
        </w:tc>
        <w:tc>
          <w:tcPr>
            <w:tcW w:w="419" w:type="pct"/>
            <w:tcBorders>
              <w:top w:val="nil"/>
              <w:left w:val="nil"/>
              <w:bottom w:val="single" w:sz="4" w:space="0" w:color="auto"/>
              <w:right w:val="nil"/>
            </w:tcBorders>
            <w:shd w:val="clear" w:color="auto" w:fill="FFFFFF"/>
            <w:tcMar>
              <w:left w:w="67" w:type="dxa"/>
              <w:right w:w="67" w:type="dxa"/>
            </w:tcMar>
          </w:tcPr>
          <w:p w14:paraId="3CDE47D3"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0.0779</w:t>
            </w:r>
          </w:p>
        </w:tc>
        <w:tc>
          <w:tcPr>
            <w:tcW w:w="419" w:type="pct"/>
            <w:tcBorders>
              <w:top w:val="nil"/>
              <w:left w:val="nil"/>
              <w:bottom w:val="single" w:sz="4" w:space="0" w:color="auto"/>
              <w:right w:val="nil"/>
            </w:tcBorders>
            <w:shd w:val="clear" w:color="auto" w:fill="FFFFFF"/>
            <w:tcMar>
              <w:left w:w="67" w:type="dxa"/>
              <w:right w:w="67" w:type="dxa"/>
            </w:tcMar>
          </w:tcPr>
          <w:p w14:paraId="367645BD"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0.0077</w:t>
            </w:r>
          </w:p>
        </w:tc>
        <w:tc>
          <w:tcPr>
            <w:tcW w:w="232" w:type="pct"/>
            <w:tcBorders>
              <w:top w:val="nil"/>
              <w:left w:val="nil"/>
              <w:bottom w:val="single" w:sz="4" w:space="0" w:color="auto"/>
              <w:right w:val="single" w:sz="4" w:space="0" w:color="auto"/>
            </w:tcBorders>
            <w:shd w:val="clear" w:color="auto" w:fill="FFFFFF"/>
            <w:tcMar>
              <w:left w:w="67" w:type="dxa"/>
              <w:right w:w="67" w:type="dxa"/>
            </w:tcMar>
          </w:tcPr>
          <w:p w14:paraId="725E4690" w14:textId="77777777" w:rsidR="00E07CDE" w:rsidRPr="00563AD3" w:rsidRDefault="00E07CDE" w:rsidP="00CB59EF">
            <w:pPr>
              <w:spacing w:before="67" w:after="67" w:line="240" w:lineRule="auto"/>
              <w:jc w:val="right"/>
              <w:rPr>
                <w:rFonts w:eastAsia="Times New Roman"/>
                <w:color w:val="000000"/>
                <w:sz w:val="20"/>
                <w:szCs w:val="20"/>
                <w:highlight w:val="yellow"/>
              </w:rPr>
            </w:pPr>
            <w:r w:rsidRPr="00563AD3">
              <w:rPr>
                <w:rFonts w:eastAsia="Calibri"/>
                <w:color w:val="000000"/>
                <w:sz w:val="20"/>
                <w:szCs w:val="20"/>
                <w:lang w:eastAsia="en-US"/>
              </w:rPr>
              <w:t>275</w:t>
            </w:r>
          </w:p>
        </w:tc>
      </w:tr>
    </w:tbl>
    <w:p w14:paraId="37026338" w14:textId="77777777" w:rsidR="00E07CDE" w:rsidRPr="00563AD3" w:rsidRDefault="00E07CDE" w:rsidP="009B13F3">
      <w:pPr>
        <w:keepNext/>
        <w:autoSpaceDE/>
        <w:autoSpaceDN/>
        <w:adjustRightInd/>
        <w:spacing w:before="120" w:after="0"/>
        <w:rPr>
          <w:rFonts w:eastAsia="Calibri"/>
          <w:b/>
          <w:bCs/>
          <w:sz w:val="24"/>
          <w:szCs w:val="18"/>
          <w:lang w:eastAsia="en-US"/>
        </w:rPr>
      </w:pPr>
    </w:p>
    <w:p w14:paraId="6D0EA0DC" w14:textId="77777777" w:rsidR="00EE49FD" w:rsidRDefault="00EE49FD" w:rsidP="009B13F3">
      <w:pPr>
        <w:autoSpaceDE/>
        <w:autoSpaceDN/>
        <w:adjustRightInd/>
        <w:rPr>
          <w:rFonts w:eastAsia="Calibri"/>
          <w:b/>
          <w:bCs/>
          <w:sz w:val="24"/>
          <w:szCs w:val="18"/>
          <w:lang w:eastAsia="en-US"/>
        </w:rPr>
      </w:pPr>
      <w:r>
        <w:rPr>
          <w:rFonts w:eastAsia="Calibri"/>
          <w:b/>
          <w:bCs/>
          <w:sz w:val="24"/>
          <w:szCs w:val="18"/>
          <w:lang w:eastAsia="en-US"/>
        </w:rPr>
        <w:br w:type="page"/>
      </w:r>
    </w:p>
    <w:p w14:paraId="71A53781" w14:textId="1AB45E43" w:rsidR="00E07CDE" w:rsidRPr="00563AD3" w:rsidRDefault="00E07CDE" w:rsidP="00CB59EF">
      <w:pPr>
        <w:pStyle w:val="Tableheading"/>
        <w:rPr>
          <w:rFonts w:eastAsia="Calibri"/>
          <w:lang w:eastAsia="en-US"/>
        </w:rPr>
      </w:pPr>
      <w:bookmarkStart w:id="321" w:name="_Toc948245"/>
      <w:r w:rsidRPr="00563AD3">
        <w:rPr>
          <w:rFonts w:eastAsia="Calibri"/>
          <w:lang w:eastAsia="en-US"/>
        </w:rPr>
        <w:t xml:space="preserve">Table </w:t>
      </w:r>
      <w:r w:rsidR="005B29F6">
        <w:rPr>
          <w:rFonts w:eastAsia="Calibri"/>
          <w:lang w:eastAsia="en-US"/>
        </w:rPr>
        <w:t>48</w:t>
      </w:r>
      <w:r w:rsidR="005B29F6" w:rsidRPr="00563AD3">
        <w:rPr>
          <w:rFonts w:eastAsia="Calibri"/>
          <w:lang w:eastAsia="en-US"/>
        </w:rPr>
        <w:t xml:space="preserve"> </w:t>
      </w:r>
      <w:r w:rsidRPr="00563AD3">
        <w:rPr>
          <w:rFonts w:eastAsia="Calibri"/>
          <w:lang w:eastAsia="en-US"/>
        </w:rPr>
        <w:t>Sensitivity analysis (5) - CMAI score at 16</w:t>
      </w:r>
      <w:r w:rsidR="00B80810">
        <w:rPr>
          <w:rFonts w:eastAsia="Calibri"/>
          <w:lang w:eastAsia="en-US"/>
        </w:rPr>
        <w:t>-months</w:t>
      </w:r>
      <w:r w:rsidRPr="00563AD3">
        <w:rPr>
          <w:rFonts w:eastAsia="Calibri"/>
          <w:lang w:eastAsia="en-US"/>
        </w:rPr>
        <w:t xml:space="preserve"> – closed-cohort - deaths and withdrawals assumed MNAR - two-way tipping point analysis</w:t>
      </w:r>
      <w:bookmarkEnd w:id="321"/>
    </w:p>
    <w:tbl>
      <w:tblPr>
        <w:tblW w:w="13809" w:type="dxa"/>
        <w:jc w:val="center"/>
        <w:tblLayout w:type="fixed"/>
        <w:tblCellMar>
          <w:left w:w="0" w:type="dxa"/>
          <w:right w:w="0" w:type="dxa"/>
        </w:tblCellMar>
        <w:tblLook w:val="0000" w:firstRow="0" w:lastRow="0" w:firstColumn="0" w:lastColumn="0" w:noHBand="0" w:noVBand="0"/>
      </w:tblPr>
      <w:tblGrid>
        <w:gridCol w:w="1144"/>
        <w:gridCol w:w="745"/>
        <w:gridCol w:w="745"/>
        <w:gridCol w:w="745"/>
        <w:gridCol w:w="745"/>
        <w:gridCol w:w="745"/>
        <w:gridCol w:w="745"/>
        <w:gridCol w:w="745"/>
        <w:gridCol w:w="745"/>
        <w:gridCol w:w="745"/>
        <w:gridCol w:w="745"/>
        <w:gridCol w:w="745"/>
        <w:gridCol w:w="745"/>
        <w:gridCol w:w="745"/>
        <w:gridCol w:w="745"/>
        <w:gridCol w:w="745"/>
        <w:gridCol w:w="745"/>
        <w:gridCol w:w="745"/>
      </w:tblGrid>
      <w:tr w:rsidR="00E07CDE" w:rsidRPr="00563AD3" w14:paraId="0FF193AE" w14:textId="77777777" w:rsidTr="00C163F3">
        <w:trPr>
          <w:cantSplit/>
          <w:tblHeader/>
          <w:jc w:val="center"/>
        </w:trPr>
        <w:tc>
          <w:tcPr>
            <w:tcW w:w="1144" w:type="dxa"/>
            <w:tcBorders>
              <w:top w:val="single" w:sz="4" w:space="0" w:color="auto"/>
              <w:left w:val="single" w:sz="4" w:space="0" w:color="auto"/>
              <w:right w:val="nil"/>
            </w:tcBorders>
            <w:shd w:val="clear" w:color="auto" w:fill="FFFFFF"/>
            <w:tcMar>
              <w:left w:w="67" w:type="dxa"/>
              <w:right w:w="67" w:type="dxa"/>
            </w:tcMar>
            <w:vAlign w:val="bottom"/>
          </w:tcPr>
          <w:p w14:paraId="6A4F39BC" w14:textId="77777777" w:rsidR="00E07CDE" w:rsidRPr="00563AD3" w:rsidRDefault="00E07CDE" w:rsidP="00CB59EF">
            <w:pPr>
              <w:keepNext/>
              <w:spacing w:before="67" w:after="67" w:line="240" w:lineRule="auto"/>
              <w:jc w:val="center"/>
              <w:rPr>
                <w:rFonts w:eastAsia="Times New Roman"/>
                <w:b/>
                <w:bCs/>
                <w:color w:val="000000"/>
                <w:sz w:val="20"/>
                <w:szCs w:val="20"/>
              </w:rPr>
            </w:pPr>
          </w:p>
        </w:tc>
        <w:tc>
          <w:tcPr>
            <w:tcW w:w="12665" w:type="dxa"/>
            <w:gridSpan w:val="17"/>
            <w:tcBorders>
              <w:top w:val="single" w:sz="4" w:space="0" w:color="auto"/>
              <w:left w:val="nil"/>
              <w:right w:val="single" w:sz="4" w:space="0" w:color="auto"/>
            </w:tcBorders>
            <w:shd w:val="clear" w:color="auto" w:fill="FFFFFF"/>
            <w:tcMar>
              <w:left w:w="67" w:type="dxa"/>
              <w:right w:w="67" w:type="dxa"/>
            </w:tcMar>
            <w:vAlign w:val="bottom"/>
          </w:tcPr>
          <w:p w14:paraId="7C66D475"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Deaths shifted by</w:t>
            </w:r>
          </w:p>
        </w:tc>
      </w:tr>
      <w:tr w:rsidR="00E07CDE" w:rsidRPr="00563AD3" w14:paraId="0C0EE046" w14:textId="77777777" w:rsidTr="00C163F3">
        <w:trPr>
          <w:cantSplit/>
          <w:tblHeader/>
          <w:jc w:val="center"/>
        </w:trPr>
        <w:tc>
          <w:tcPr>
            <w:tcW w:w="1144" w:type="dxa"/>
            <w:tcBorders>
              <w:left w:val="single" w:sz="4" w:space="0" w:color="auto"/>
              <w:bottom w:val="single" w:sz="4" w:space="0" w:color="000000"/>
              <w:right w:val="nil"/>
            </w:tcBorders>
            <w:shd w:val="clear" w:color="auto" w:fill="FFFFFF"/>
            <w:tcMar>
              <w:left w:w="67" w:type="dxa"/>
              <w:right w:w="67" w:type="dxa"/>
            </w:tcMar>
            <w:vAlign w:val="bottom"/>
          </w:tcPr>
          <w:p w14:paraId="41BB2166" w14:textId="77777777" w:rsidR="00E07CDE" w:rsidRPr="00563AD3" w:rsidRDefault="00E07CDE" w:rsidP="00CB59EF">
            <w:pPr>
              <w:keepNext/>
              <w:spacing w:before="67" w:after="67" w:line="240" w:lineRule="auto"/>
              <w:jc w:val="center"/>
              <w:rPr>
                <w:rFonts w:eastAsia="Times New Roman"/>
                <w:b/>
                <w:bCs/>
                <w:color w:val="000000"/>
                <w:sz w:val="20"/>
                <w:szCs w:val="20"/>
              </w:rPr>
            </w:pPr>
            <w:bookmarkStart w:id="322" w:name="IDX"/>
            <w:bookmarkEnd w:id="322"/>
            <w:r w:rsidRPr="00563AD3">
              <w:rPr>
                <w:rFonts w:eastAsia="Times New Roman"/>
                <w:b/>
                <w:bCs/>
                <w:color w:val="000000"/>
                <w:sz w:val="20"/>
                <w:szCs w:val="20"/>
              </w:rPr>
              <w:t>Treatment effect p-values</w:t>
            </w:r>
          </w:p>
        </w:tc>
        <w:tc>
          <w:tcPr>
            <w:tcW w:w="745" w:type="dxa"/>
            <w:tcBorders>
              <w:left w:val="nil"/>
              <w:bottom w:val="single" w:sz="4" w:space="0" w:color="000000"/>
              <w:right w:val="nil"/>
            </w:tcBorders>
            <w:shd w:val="clear" w:color="auto" w:fill="FFFFFF"/>
            <w:tcMar>
              <w:left w:w="67" w:type="dxa"/>
              <w:right w:w="67" w:type="dxa"/>
            </w:tcMar>
            <w:vAlign w:val="bottom"/>
          </w:tcPr>
          <w:p w14:paraId="42FD1FD2"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-40</w:t>
            </w:r>
          </w:p>
        </w:tc>
        <w:tc>
          <w:tcPr>
            <w:tcW w:w="745" w:type="dxa"/>
            <w:tcBorders>
              <w:left w:val="nil"/>
              <w:bottom w:val="single" w:sz="4" w:space="0" w:color="000000"/>
              <w:right w:val="nil"/>
            </w:tcBorders>
            <w:shd w:val="clear" w:color="auto" w:fill="FFFFFF"/>
            <w:tcMar>
              <w:left w:w="67" w:type="dxa"/>
              <w:right w:w="67" w:type="dxa"/>
            </w:tcMar>
            <w:vAlign w:val="bottom"/>
          </w:tcPr>
          <w:p w14:paraId="03BA85FF"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-35</w:t>
            </w:r>
          </w:p>
        </w:tc>
        <w:tc>
          <w:tcPr>
            <w:tcW w:w="745" w:type="dxa"/>
            <w:tcBorders>
              <w:left w:val="nil"/>
              <w:bottom w:val="single" w:sz="4" w:space="0" w:color="000000"/>
              <w:right w:val="nil"/>
            </w:tcBorders>
            <w:shd w:val="clear" w:color="auto" w:fill="FFFFFF"/>
            <w:tcMar>
              <w:left w:w="67" w:type="dxa"/>
              <w:right w:w="67" w:type="dxa"/>
            </w:tcMar>
            <w:vAlign w:val="bottom"/>
          </w:tcPr>
          <w:p w14:paraId="25B33EC9"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-30</w:t>
            </w:r>
          </w:p>
        </w:tc>
        <w:tc>
          <w:tcPr>
            <w:tcW w:w="745" w:type="dxa"/>
            <w:tcBorders>
              <w:left w:val="nil"/>
              <w:bottom w:val="single" w:sz="4" w:space="0" w:color="000000"/>
              <w:right w:val="nil"/>
            </w:tcBorders>
            <w:shd w:val="clear" w:color="auto" w:fill="FFFFFF"/>
            <w:tcMar>
              <w:left w:w="67" w:type="dxa"/>
              <w:right w:w="67" w:type="dxa"/>
            </w:tcMar>
            <w:vAlign w:val="bottom"/>
          </w:tcPr>
          <w:p w14:paraId="687C72DE"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-25</w:t>
            </w:r>
          </w:p>
        </w:tc>
        <w:tc>
          <w:tcPr>
            <w:tcW w:w="745" w:type="dxa"/>
            <w:tcBorders>
              <w:left w:val="nil"/>
              <w:bottom w:val="single" w:sz="4" w:space="0" w:color="000000"/>
              <w:right w:val="nil"/>
            </w:tcBorders>
            <w:shd w:val="clear" w:color="auto" w:fill="FFFFFF"/>
            <w:tcMar>
              <w:left w:w="67" w:type="dxa"/>
              <w:right w:w="67" w:type="dxa"/>
            </w:tcMar>
            <w:vAlign w:val="bottom"/>
          </w:tcPr>
          <w:p w14:paraId="094FA44A"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-20</w:t>
            </w:r>
          </w:p>
        </w:tc>
        <w:tc>
          <w:tcPr>
            <w:tcW w:w="745" w:type="dxa"/>
            <w:tcBorders>
              <w:left w:val="nil"/>
              <w:bottom w:val="single" w:sz="4" w:space="0" w:color="000000"/>
              <w:right w:val="nil"/>
            </w:tcBorders>
            <w:shd w:val="clear" w:color="auto" w:fill="FFFFFF"/>
            <w:tcMar>
              <w:left w:w="67" w:type="dxa"/>
              <w:right w:w="67" w:type="dxa"/>
            </w:tcMar>
            <w:vAlign w:val="bottom"/>
          </w:tcPr>
          <w:p w14:paraId="4F5E651A"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-15</w:t>
            </w:r>
          </w:p>
        </w:tc>
        <w:tc>
          <w:tcPr>
            <w:tcW w:w="745" w:type="dxa"/>
            <w:tcBorders>
              <w:left w:val="nil"/>
              <w:bottom w:val="single" w:sz="4" w:space="0" w:color="000000"/>
              <w:right w:val="nil"/>
            </w:tcBorders>
            <w:shd w:val="clear" w:color="auto" w:fill="FFFFFF"/>
            <w:tcMar>
              <w:left w:w="67" w:type="dxa"/>
              <w:right w:w="67" w:type="dxa"/>
            </w:tcMar>
            <w:vAlign w:val="bottom"/>
          </w:tcPr>
          <w:p w14:paraId="73597574"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-10</w:t>
            </w:r>
          </w:p>
        </w:tc>
        <w:tc>
          <w:tcPr>
            <w:tcW w:w="745" w:type="dxa"/>
            <w:tcBorders>
              <w:left w:val="nil"/>
              <w:bottom w:val="single" w:sz="4" w:space="0" w:color="000000"/>
              <w:right w:val="nil"/>
            </w:tcBorders>
            <w:shd w:val="clear" w:color="auto" w:fill="FFFFFF"/>
            <w:tcMar>
              <w:left w:w="67" w:type="dxa"/>
              <w:right w:w="67" w:type="dxa"/>
            </w:tcMar>
            <w:vAlign w:val="bottom"/>
          </w:tcPr>
          <w:p w14:paraId="49FBC945"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-5</w:t>
            </w:r>
          </w:p>
        </w:tc>
        <w:tc>
          <w:tcPr>
            <w:tcW w:w="745" w:type="dxa"/>
            <w:tcBorders>
              <w:left w:val="nil"/>
              <w:bottom w:val="single" w:sz="4" w:space="0" w:color="000000"/>
              <w:right w:val="nil"/>
            </w:tcBorders>
            <w:shd w:val="clear" w:color="auto" w:fill="FFFFFF"/>
            <w:tcMar>
              <w:left w:w="67" w:type="dxa"/>
              <w:right w:w="67" w:type="dxa"/>
            </w:tcMar>
            <w:vAlign w:val="bottom"/>
          </w:tcPr>
          <w:p w14:paraId="5B6525B8"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0</w:t>
            </w:r>
          </w:p>
        </w:tc>
        <w:tc>
          <w:tcPr>
            <w:tcW w:w="745" w:type="dxa"/>
            <w:tcBorders>
              <w:left w:val="nil"/>
              <w:bottom w:val="single" w:sz="4" w:space="0" w:color="000000"/>
              <w:right w:val="nil"/>
            </w:tcBorders>
            <w:shd w:val="clear" w:color="auto" w:fill="FFFFFF"/>
            <w:tcMar>
              <w:left w:w="67" w:type="dxa"/>
              <w:right w:w="67" w:type="dxa"/>
            </w:tcMar>
            <w:vAlign w:val="bottom"/>
          </w:tcPr>
          <w:p w14:paraId="5264F2E3"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5</w:t>
            </w:r>
          </w:p>
        </w:tc>
        <w:tc>
          <w:tcPr>
            <w:tcW w:w="745" w:type="dxa"/>
            <w:tcBorders>
              <w:left w:val="nil"/>
              <w:bottom w:val="single" w:sz="4" w:space="0" w:color="000000"/>
              <w:right w:val="nil"/>
            </w:tcBorders>
            <w:shd w:val="clear" w:color="auto" w:fill="FFFFFF"/>
            <w:tcMar>
              <w:left w:w="67" w:type="dxa"/>
              <w:right w:w="67" w:type="dxa"/>
            </w:tcMar>
            <w:vAlign w:val="bottom"/>
          </w:tcPr>
          <w:p w14:paraId="05C6CFA7"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10</w:t>
            </w:r>
          </w:p>
        </w:tc>
        <w:tc>
          <w:tcPr>
            <w:tcW w:w="745" w:type="dxa"/>
            <w:tcBorders>
              <w:left w:val="nil"/>
              <w:bottom w:val="single" w:sz="4" w:space="0" w:color="000000"/>
              <w:right w:val="nil"/>
            </w:tcBorders>
            <w:shd w:val="clear" w:color="auto" w:fill="FFFFFF"/>
            <w:tcMar>
              <w:left w:w="67" w:type="dxa"/>
              <w:right w:w="67" w:type="dxa"/>
            </w:tcMar>
            <w:vAlign w:val="bottom"/>
          </w:tcPr>
          <w:p w14:paraId="3718DD56"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15</w:t>
            </w:r>
          </w:p>
        </w:tc>
        <w:tc>
          <w:tcPr>
            <w:tcW w:w="745" w:type="dxa"/>
            <w:tcBorders>
              <w:left w:val="nil"/>
              <w:bottom w:val="single" w:sz="4" w:space="0" w:color="000000"/>
              <w:right w:val="nil"/>
            </w:tcBorders>
            <w:shd w:val="clear" w:color="auto" w:fill="FFFFFF"/>
            <w:tcMar>
              <w:left w:w="67" w:type="dxa"/>
              <w:right w:w="67" w:type="dxa"/>
            </w:tcMar>
            <w:vAlign w:val="bottom"/>
          </w:tcPr>
          <w:p w14:paraId="4FEFF166"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20</w:t>
            </w:r>
          </w:p>
        </w:tc>
        <w:tc>
          <w:tcPr>
            <w:tcW w:w="745" w:type="dxa"/>
            <w:tcBorders>
              <w:left w:val="nil"/>
              <w:bottom w:val="single" w:sz="4" w:space="0" w:color="000000"/>
              <w:right w:val="nil"/>
            </w:tcBorders>
            <w:shd w:val="clear" w:color="auto" w:fill="FFFFFF"/>
            <w:tcMar>
              <w:left w:w="67" w:type="dxa"/>
              <w:right w:w="67" w:type="dxa"/>
            </w:tcMar>
            <w:vAlign w:val="bottom"/>
          </w:tcPr>
          <w:p w14:paraId="430CC8FF"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25</w:t>
            </w:r>
          </w:p>
        </w:tc>
        <w:tc>
          <w:tcPr>
            <w:tcW w:w="745" w:type="dxa"/>
            <w:tcBorders>
              <w:left w:val="nil"/>
              <w:bottom w:val="single" w:sz="4" w:space="0" w:color="000000"/>
              <w:right w:val="nil"/>
            </w:tcBorders>
            <w:shd w:val="clear" w:color="auto" w:fill="FFFFFF"/>
            <w:tcMar>
              <w:left w:w="67" w:type="dxa"/>
              <w:right w:w="67" w:type="dxa"/>
            </w:tcMar>
            <w:vAlign w:val="bottom"/>
          </w:tcPr>
          <w:p w14:paraId="5C87AA8A"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30</w:t>
            </w:r>
          </w:p>
        </w:tc>
        <w:tc>
          <w:tcPr>
            <w:tcW w:w="745" w:type="dxa"/>
            <w:tcBorders>
              <w:left w:val="nil"/>
              <w:bottom w:val="single" w:sz="4" w:space="0" w:color="000000"/>
              <w:right w:val="nil"/>
            </w:tcBorders>
            <w:shd w:val="clear" w:color="auto" w:fill="FFFFFF"/>
            <w:tcMar>
              <w:left w:w="67" w:type="dxa"/>
              <w:right w:w="67" w:type="dxa"/>
            </w:tcMar>
            <w:vAlign w:val="bottom"/>
          </w:tcPr>
          <w:p w14:paraId="5BA64A0C"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35</w:t>
            </w:r>
          </w:p>
        </w:tc>
        <w:tc>
          <w:tcPr>
            <w:tcW w:w="745" w:type="dxa"/>
            <w:tcBorders>
              <w:left w:val="nil"/>
              <w:bottom w:val="single" w:sz="4" w:space="0" w:color="000000"/>
              <w:right w:val="single" w:sz="4" w:space="0" w:color="auto"/>
            </w:tcBorders>
            <w:shd w:val="clear" w:color="auto" w:fill="FFFFFF"/>
            <w:tcMar>
              <w:left w:w="67" w:type="dxa"/>
              <w:right w:w="67" w:type="dxa"/>
            </w:tcMar>
            <w:vAlign w:val="bottom"/>
          </w:tcPr>
          <w:p w14:paraId="15738701" w14:textId="77777777" w:rsidR="00E07CDE" w:rsidRPr="00563AD3" w:rsidRDefault="00E07CDE" w:rsidP="00CB59EF">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40</w:t>
            </w:r>
          </w:p>
        </w:tc>
      </w:tr>
      <w:tr w:rsidR="00E07CDE" w:rsidRPr="00563AD3" w14:paraId="17A84CF2" w14:textId="77777777" w:rsidTr="00C163F3">
        <w:trPr>
          <w:cantSplit/>
          <w:jc w:val="center"/>
        </w:trPr>
        <w:tc>
          <w:tcPr>
            <w:tcW w:w="4124" w:type="dxa"/>
            <w:gridSpan w:val="5"/>
            <w:tcBorders>
              <w:top w:val="nil"/>
              <w:left w:val="single" w:sz="4" w:space="0" w:color="auto"/>
              <w:bottom w:val="nil"/>
              <w:right w:val="nil"/>
            </w:tcBorders>
            <w:shd w:val="clear" w:color="auto" w:fill="FFFFFF"/>
            <w:tcMar>
              <w:left w:w="67" w:type="dxa"/>
              <w:right w:w="67" w:type="dxa"/>
            </w:tcMar>
          </w:tcPr>
          <w:p w14:paraId="31BE85AB"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b/>
                <w:bCs/>
                <w:color w:val="000000"/>
                <w:sz w:val="20"/>
                <w:szCs w:val="20"/>
              </w:rPr>
              <w:t>Withdrawals and moves shifted by</w:t>
            </w:r>
          </w:p>
        </w:tc>
        <w:tc>
          <w:tcPr>
            <w:tcW w:w="745" w:type="dxa"/>
            <w:tcBorders>
              <w:top w:val="nil"/>
              <w:left w:val="nil"/>
              <w:bottom w:val="nil"/>
              <w:right w:val="nil"/>
            </w:tcBorders>
            <w:shd w:val="clear" w:color="auto" w:fill="FFFFFF"/>
            <w:tcMar>
              <w:left w:w="67" w:type="dxa"/>
              <w:right w:w="67" w:type="dxa"/>
            </w:tcMar>
          </w:tcPr>
          <w:p w14:paraId="751AB959" w14:textId="77777777" w:rsidR="00E07CDE" w:rsidRPr="00563AD3" w:rsidRDefault="00E07CDE" w:rsidP="00CB59EF">
            <w:pPr>
              <w:spacing w:before="67" w:after="67" w:line="240" w:lineRule="auto"/>
              <w:rPr>
                <w:rFonts w:eastAsia="Times New Roman"/>
                <w:color w:val="000000"/>
                <w:sz w:val="20"/>
                <w:szCs w:val="20"/>
              </w:rPr>
            </w:pPr>
          </w:p>
        </w:tc>
        <w:tc>
          <w:tcPr>
            <w:tcW w:w="745" w:type="dxa"/>
            <w:tcBorders>
              <w:top w:val="nil"/>
              <w:left w:val="nil"/>
              <w:bottom w:val="nil"/>
              <w:right w:val="nil"/>
            </w:tcBorders>
            <w:shd w:val="clear" w:color="auto" w:fill="FFFFFF"/>
            <w:tcMar>
              <w:left w:w="67" w:type="dxa"/>
              <w:right w:w="67" w:type="dxa"/>
            </w:tcMar>
          </w:tcPr>
          <w:p w14:paraId="1D458F6F" w14:textId="77777777" w:rsidR="00E07CDE" w:rsidRPr="00563AD3" w:rsidRDefault="00E07CDE" w:rsidP="00CB59EF">
            <w:pPr>
              <w:spacing w:before="67" w:after="67" w:line="240" w:lineRule="auto"/>
              <w:rPr>
                <w:rFonts w:eastAsia="Times New Roman"/>
                <w:color w:val="000000"/>
                <w:sz w:val="20"/>
                <w:szCs w:val="20"/>
              </w:rPr>
            </w:pPr>
          </w:p>
        </w:tc>
        <w:tc>
          <w:tcPr>
            <w:tcW w:w="745" w:type="dxa"/>
            <w:tcBorders>
              <w:top w:val="nil"/>
              <w:left w:val="nil"/>
              <w:bottom w:val="nil"/>
              <w:right w:val="nil"/>
            </w:tcBorders>
            <w:shd w:val="clear" w:color="auto" w:fill="FFFFFF"/>
            <w:tcMar>
              <w:left w:w="67" w:type="dxa"/>
              <w:right w:w="67" w:type="dxa"/>
            </w:tcMar>
          </w:tcPr>
          <w:p w14:paraId="109C51CB" w14:textId="77777777" w:rsidR="00E07CDE" w:rsidRPr="00563AD3" w:rsidRDefault="00E07CDE" w:rsidP="00CB59EF">
            <w:pPr>
              <w:spacing w:before="67" w:after="67" w:line="240" w:lineRule="auto"/>
              <w:rPr>
                <w:rFonts w:eastAsia="Times New Roman"/>
                <w:color w:val="000000"/>
                <w:sz w:val="20"/>
                <w:szCs w:val="20"/>
              </w:rPr>
            </w:pPr>
          </w:p>
        </w:tc>
        <w:tc>
          <w:tcPr>
            <w:tcW w:w="745" w:type="dxa"/>
            <w:tcBorders>
              <w:top w:val="nil"/>
              <w:left w:val="nil"/>
              <w:bottom w:val="nil"/>
              <w:right w:val="nil"/>
            </w:tcBorders>
            <w:shd w:val="clear" w:color="auto" w:fill="FFFFFF"/>
            <w:tcMar>
              <w:left w:w="67" w:type="dxa"/>
              <w:right w:w="67" w:type="dxa"/>
            </w:tcMar>
          </w:tcPr>
          <w:p w14:paraId="57FAA2A0" w14:textId="77777777" w:rsidR="00E07CDE" w:rsidRPr="00563AD3" w:rsidRDefault="00E07CDE" w:rsidP="00CB59EF">
            <w:pPr>
              <w:spacing w:before="67" w:after="67" w:line="240" w:lineRule="auto"/>
              <w:rPr>
                <w:rFonts w:eastAsia="Times New Roman"/>
                <w:color w:val="000000"/>
                <w:sz w:val="20"/>
                <w:szCs w:val="20"/>
              </w:rPr>
            </w:pPr>
          </w:p>
        </w:tc>
        <w:tc>
          <w:tcPr>
            <w:tcW w:w="745" w:type="dxa"/>
            <w:tcBorders>
              <w:top w:val="nil"/>
              <w:left w:val="nil"/>
              <w:bottom w:val="nil"/>
              <w:right w:val="nil"/>
            </w:tcBorders>
            <w:shd w:val="clear" w:color="auto" w:fill="FFFFFF"/>
            <w:tcMar>
              <w:left w:w="67" w:type="dxa"/>
              <w:right w:w="67" w:type="dxa"/>
            </w:tcMar>
          </w:tcPr>
          <w:p w14:paraId="453DB1B6" w14:textId="77777777" w:rsidR="00E07CDE" w:rsidRPr="00563AD3" w:rsidRDefault="00E07CDE" w:rsidP="00CB59EF">
            <w:pPr>
              <w:spacing w:before="67" w:after="67" w:line="240" w:lineRule="auto"/>
              <w:rPr>
                <w:rFonts w:eastAsia="Times New Roman"/>
                <w:color w:val="000000"/>
                <w:sz w:val="20"/>
                <w:szCs w:val="20"/>
              </w:rPr>
            </w:pPr>
          </w:p>
        </w:tc>
        <w:tc>
          <w:tcPr>
            <w:tcW w:w="745" w:type="dxa"/>
            <w:tcBorders>
              <w:top w:val="nil"/>
              <w:left w:val="nil"/>
              <w:bottom w:val="nil"/>
              <w:right w:val="nil"/>
            </w:tcBorders>
            <w:shd w:val="clear" w:color="auto" w:fill="FFFFFF"/>
            <w:tcMar>
              <w:left w:w="67" w:type="dxa"/>
              <w:right w:w="67" w:type="dxa"/>
            </w:tcMar>
          </w:tcPr>
          <w:p w14:paraId="6AD767EF" w14:textId="77777777" w:rsidR="00E07CDE" w:rsidRPr="00563AD3" w:rsidRDefault="00E07CDE" w:rsidP="00CB59EF">
            <w:pPr>
              <w:spacing w:before="67" w:after="67" w:line="240" w:lineRule="auto"/>
              <w:rPr>
                <w:rFonts w:eastAsia="Times New Roman"/>
                <w:color w:val="000000"/>
                <w:sz w:val="20"/>
                <w:szCs w:val="20"/>
              </w:rPr>
            </w:pPr>
          </w:p>
        </w:tc>
        <w:tc>
          <w:tcPr>
            <w:tcW w:w="745" w:type="dxa"/>
            <w:tcBorders>
              <w:top w:val="nil"/>
              <w:left w:val="nil"/>
              <w:bottom w:val="nil"/>
              <w:right w:val="nil"/>
            </w:tcBorders>
            <w:shd w:val="clear" w:color="auto" w:fill="FFFFFF"/>
            <w:tcMar>
              <w:left w:w="67" w:type="dxa"/>
              <w:right w:w="67" w:type="dxa"/>
            </w:tcMar>
          </w:tcPr>
          <w:p w14:paraId="64BB2D57" w14:textId="77777777" w:rsidR="00E07CDE" w:rsidRPr="00563AD3" w:rsidRDefault="00E07CDE" w:rsidP="00CB59EF">
            <w:pPr>
              <w:spacing w:before="67" w:after="67" w:line="240" w:lineRule="auto"/>
              <w:rPr>
                <w:rFonts w:eastAsia="Times New Roman"/>
                <w:color w:val="000000"/>
                <w:sz w:val="20"/>
                <w:szCs w:val="20"/>
              </w:rPr>
            </w:pPr>
          </w:p>
        </w:tc>
        <w:tc>
          <w:tcPr>
            <w:tcW w:w="745" w:type="dxa"/>
            <w:tcBorders>
              <w:top w:val="nil"/>
              <w:left w:val="nil"/>
              <w:bottom w:val="nil"/>
              <w:right w:val="nil"/>
            </w:tcBorders>
            <w:shd w:val="clear" w:color="auto" w:fill="FFFFFF"/>
            <w:tcMar>
              <w:left w:w="67" w:type="dxa"/>
              <w:right w:w="67" w:type="dxa"/>
            </w:tcMar>
          </w:tcPr>
          <w:p w14:paraId="7BC743A2" w14:textId="77777777" w:rsidR="00E07CDE" w:rsidRPr="00563AD3" w:rsidRDefault="00E07CDE" w:rsidP="00CB59EF">
            <w:pPr>
              <w:spacing w:before="67" w:after="67" w:line="240" w:lineRule="auto"/>
              <w:rPr>
                <w:rFonts w:eastAsia="Times New Roman"/>
                <w:color w:val="000000"/>
                <w:sz w:val="20"/>
                <w:szCs w:val="20"/>
              </w:rPr>
            </w:pPr>
          </w:p>
        </w:tc>
        <w:tc>
          <w:tcPr>
            <w:tcW w:w="745" w:type="dxa"/>
            <w:tcBorders>
              <w:top w:val="nil"/>
              <w:left w:val="nil"/>
              <w:bottom w:val="nil"/>
              <w:right w:val="nil"/>
            </w:tcBorders>
            <w:shd w:val="clear" w:color="auto" w:fill="FFFFFF"/>
            <w:tcMar>
              <w:left w:w="67" w:type="dxa"/>
              <w:right w:w="67" w:type="dxa"/>
            </w:tcMar>
          </w:tcPr>
          <w:p w14:paraId="267AA6AC" w14:textId="77777777" w:rsidR="00E07CDE" w:rsidRPr="00563AD3" w:rsidRDefault="00E07CDE" w:rsidP="00CB59EF">
            <w:pPr>
              <w:spacing w:before="67" w:after="67" w:line="240" w:lineRule="auto"/>
              <w:rPr>
                <w:rFonts w:eastAsia="Times New Roman"/>
                <w:color w:val="000000"/>
                <w:sz w:val="20"/>
                <w:szCs w:val="20"/>
              </w:rPr>
            </w:pPr>
          </w:p>
        </w:tc>
        <w:tc>
          <w:tcPr>
            <w:tcW w:w="745" w:type="dxa"/>
            <w:tcBorders>
              <w:top w:val="nil"/>
              <w:left w:val="nil"/>
              <w:bottom w:val="nil"/>
              <w:right w:val="nil"/>
            </w:tcBorders>
            <w:shd w:val="clear" w:color="auto" w:fill="FFFFFF"/>
            <w:tcMar>
              <w:left w:w="67" w:type="dxa"/>
              <w:right w:w="67" w:type="dxa"/>
            </w:tcMar>
          </w:tcPr>
          <w:p w14:paraId="4A58E209" w14:textId="77777777" w:rsidR="00E07CDE" w:rsidRPr="00563AD3" w:rsidRDefault="00E07CDE" w:rsidP="00CB59EF">
            <w:pPr>
              <w:spacing w:before="67" w:after="67" w:line="240" w:lineRule="auto"/>
              <w:rPr>
                <w:rFonts w:eastAsia="Times New Roman"/>
                <w:color w:val="000000"/>
                <w:sz w:val="20"/>
                <w:szCs w:val="20"/>
              </w:rPr>
            </w:pPr>
          </w:p>
        </w:tc>
        <w:tc>
          <w:tcPr>
            <w:tcW w:w="745" w:type="dxa"/>
            <w:tcBorders>
              <w:top w:val="nil"/>
              <w:left w:val="nil"/>
              <w:bottom w:val="nil"/>
              <w:right w:val="nil"/>
            </w:tcBorders>
            <w:shd w:val="clear" w:color="auto" w:fill="FFFFFF"/>
            <w:tcMar>
              <w:left w:w="67" w:type="dxa"/>
              <w:right w:w="67" w:type="dxa"/>
            </w:tcMar>
          </w:tcPr>
          <w:p w14:paraId="4EE44D08" w14:textId="77777777" w:rsidR="00E07CDE" w:rsidRPr="00563AD3" w:rsidRDefault="00E07CDE" w:rsidP="00CB59EF">
            <w:pPr>
              <w:spacing w:before="67" w:after="67" w:line="240" w:lineRule="auto"/>
              <w:rPr>
                <w:rFonts w:eastAsia="Times New Roman"/>
                <w:color w:val="000000"/>
                <w:sz w:val="20"/>
                <w:szCs w:val="20"/>
              </w:rPr>
            </w:pPr>
          </w:p>
        </w:tc>
        <w:tc>
          <w:tcPr>
            <w:tcW w:w="745" w:type="dxa"/>
            <w:tcBorders>
              <w:top w:val="nil"/>
              <w:left w:val="nil"/>
              <w:bottom w:val="nil"/>
              <w:right w:val="nil"/>
            </w:tcBorders>
            <w:shd w:val="clear" w:color="auto" w:fill="FFFFFF"/>
            <w:tcMar>
              <w:left w:w="67" w:type="dxa"/>
              <w:right w:w="67" w:type="dxa"/>
            </w:tcMar>
          </w:tcPr>
          <w:p w14:paraId="276C1CFA" w14:textId="77777777" w:rsidR="00E07CDE" w:rsidRPr="00563AD3" w:rsidRDefault="00E07CDE" w:rsidP="00CB59EF">
            <w:pPr>
              <w:spacing w:before="67" w:after="67" w:line="240" w:lineRule="auto"/>
              <w:rPr>
                <w:rFonts w:eastAsia="Times New Roman"/>
                <w:color w:val="000000"/>
                <w:sz w:val="20"/>
                <w:szCs w:val="20"/>
              </w:rPr>
            </w:pPr>
          </w:p>
        </w:tc>
        <w:tc>
          <w:tcPr>
            <w:tcW w:w="745" w:type="dxa"/>
            <w:tcBorders>
              <w:top w:val="nil"/>
              <w:left w:val="nil"/>
              <w:bottom w:val="nil"/>
              <w:right w:val="single" w:sz="4" w:space="0" w:color="auto"/>
            </w:tcBorders>
            <w:shd w:val="clear" w:color="auto" w:fill="FFFFFF"/>
            <w:tcMar>
              <w:left w:w="67" w:type="dxa"/>
              <w:right w:w="67" w:type="dxa"/>
            </w:tcMar>
          </w:tcPr>
          <w:p w14:paraId="79A059F7" w14:textId="77777777" w:rsidR="00E07CDE" w:rsidRPr="00563AD3" w:rsidRDefault="00E07CDE" w:rsidP="00CB59EF">
            <w:pPr>
              <w:spacing w:before="67" w:after="67" w:line="240" w:lineRule="auto"/>
              <w:rPr>
                <w:rFonts w:eastAsia="Times New Roman"/>
                <w:color w:val="000000"/>
                <w:sz w:val="20"/>
                <w:szCs w:val="20"/>
              </w:rPr>
            </w:pPr>
          </w:p>
        </w:tc>
      </w:tr>
      <w:tr w:rsidR="00E07CDE" w:rsidRPr="00563AD3" w14:paraId="64441FBF"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2E9CAF44"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-40</w:t>
            </w:r>
          </w:p>
        </w:tc>
        <w:tc>
          <w:tcPr>
            <w:tcW w:w="745" w:type="dxa"/>
            <w:tcBorders>
              <w:top w:val="nil"/>
              <w:left w:val="nil"/>
              <w:bottom w:val="nil"/>
              <w:right w:val="nil"/>
            </w:tcBorders>
            <w:shd w:val="clear" w:color="auto" w:fill="FFFFFF"/>
            <w:tcMar>
              <w:left w:w="67" w:type="dxa"/>
              <w:right w:w="67" w:type="dxa"/>
            </w:tcMar>
          </w:tcPr>
          <w:p w14:paraId="4BFC84E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0.028</w:t>
            </w:r>
          </w:p>
        </w:tc>
        <w:tc>
          <w:tcPr>
            <w:tcW w:w="745" w:type="dxa"/>
            <w:tcBorders>
              <w:top w:val="nil"/>
              <w:left w:val="nil"/>
              <w:bottom w:val="nil"/>
              <w:right w:val="nil"/>
            </w:tcBorders>
            <w:shd w:val="clear" w:color="auto" w:fill="FFFFFF"/>
            <w:tcMar>
              <w:left w:w="67" w:type="dxa"/>
              <w:right w:w="67" w:type="dxa"/>
            </w:tcMar>
          </w:tcPr>
          <w:p w14:paraId="3182F9B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0.025</w:t>
            </w:r>
          </w:p>
        </w:tc>
        <w:tc>
          <w:tcPr>
            <w:tcW w:w="745" w:type="dxa"/>
            <w:tcBorders>
              <w:top w:val="nil"/>
              <w:left w:val="nil"/>
              <w:bottom w:val="nil"/>
              <w:right w:val="nil"/>
            </w:tcBorders>
            <w:shd w:val="clear" w:color="auto" w:fill="FFFFFF"/>
            <w:tcMar>
              <w:left w:w="67" w:type="dxa"/>
              <w:right w:w="67" w:type="dxa"/>
            </w:tcMar>
          </w:tcPr>
          <w:p w14:paraId="08B2C7F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0.023</w:t>
            </w:r>
          </w:p>
        </w:tc>
        <w:tc>
          <w:tcPr>
            <w:tcW w:w="745" w:type="dxa"/>
            <w:tcBorders>
              <w:top w:val="nil"/>
              <w:left w:val="nil"/>
              <w:bottom w:val="nil"/>
              <w:right w:val="nil"/>
            </w:tcBorders>
            <w:shd w:val="clear" w:color="auto" w:fill="FFFFFF"/>
            <w:tcMar>
              <w:left w:w="67" w:type="dxa"/>
              <w:right w:w="67" w:type="dxa"/>
            </w:tcMar>
          </w:tcPr>
          <w:p w14:paraId="4DAED49B"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0.022</w:t>
            </w:r>
          </w:p>
        </w:tc>
        <w:tc>
          <w:tcPr>
            <w:tcW w:w="745" w:type="dxa"/>
            <w:tcBorders>
              <w:top w:val="nil"/>
              <w:left w:val="nil"/>
              <w:bottom w:val="nil"/>
              <w:right w:val="nil"/>
            </w:tcBorders>
            <w:shd w:val="clear" w:color="auto" w:fill="FFFFFF"/>
            <w:tcMar>
              <w:left w:w="67" w:type="dxa"/>
              <w:right w:w="67" w:type="dxa"/>
            </w:tcMar>
          </w:tcPr>
          <w:p w14:paraId="471F11C7"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w:t>
            </w:r>
          </w:p>
        </w:tc>
        <w:tc>
          <w:tcPr>
            <w:tcW w:w="745" w:type="dxa"/>
            <w:tcBorders>
              <w:top w:val="nil"/>
              <w:left w:val="nil"/>
              <w:bottom w:val="nil"/>
              <w:right w:val="nil"/>
            </w:tcBorders>
            <w:shd w:val="clear" w:color="auto" w:fill="FFFFFF"/>
            <w:tcMar>
              <w:left w:w="67" w:type="dxa"/>
              <w:right w:w="67" w:type="dxa"/>
            </w:tcMar>
          </w:tcPr>
          <w:p w14:paraId="0DF9E67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0.019</w:t>
            </w:r>
          </w:p>
        </w:tc>
        <w:tc>
          <w:tcPr>
            <w:tcW w:w="745" w:type="dxa"/>
            <w:tcBorders>
              <w:top w:val="nil"/>
              <w:left w:val="nil"/>
              <w:bottom w:val="nil"/>
              <w:right w:val="nil"/>
            </w:tcBorders>
            <w:shd w:val="clear" w:color="auto" w:fill="FFFFFF"/>
            <w:tcMar>
              <w:left w:w="67" w:type="dxa"/>
              <w:right w:w="67" w:type="dxa"/>
            </w:tcMar>
          </w:tcPr>
          <w:p w14:paraId="470B680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0.019</w:t>
            </w:r>
          </w:p>
        </w:tc>
        <w:tc>
          <w:tcPr>
            <w:tcW w:w="745" w:type="dxa"/>
            <w:tcBorders>
              <w:top w:val="nil"/>
              <w:left w:val="nil"/>
              <w:bottom w:val="nil"/>
              <w:right w:val="nil"/>
            </w:tcBorders>
            <w:shd w:val="clear" w:color="auto" w:fill="FFFFFF"/>
            <w:tcMar>
              <w:left w:w="67" w:type="dxa"/>
              <w:right w:w="67" w:type="dxa"/>
            </w:tcMar>
          </w:tcPr>
          <w:p w14:paraId="1BA1C31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0.018</w:t>
            </w:r>
          </w:p>
        </w:tc>
        <w:tc>
          <w:tcPr>
            <w:tcW w:w="745" w:type="dxa"/>
            <w:tcBorders>
              <w:top w:val="nil"/>
              <w:left w:val="nil"/>
              <w:bottom w:val="nil"/>
              <w:right w:val="nil"/>
            </w:tcBorders>
            <w:shd w:val="clear" w:color="auto" w:fill="FFFFFF"/>
            <w:tcMar>
              <w:left w:w="67" w:type="dxa"/>
              <w:right w:w="67" w:type="dxa"/>
            </w:tcMar>
          </w:tcPr>
          <w:p w14:paraId="27C6CD5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0.018</w:t>
            </w:r>
          </w:p>
        </w:tc>
        <w:tc>
          <w:tcPr>
            <w:tcW w:w="745" w:type="dxa"/>
            <w:tcBorders>
              <w:top w:val="nil"/>
              <w:left w:val="nil"/>
              <w:bottom w:val="nil"/>
              <w:right w:val="nil"/>
            </w:tcBorders>
            <w:shd w:val="clear" w:color="auto" w:fill="FFFFFF"/>
            <w:tcMar>
              <w:left w:w="67" w:type="dxa"/>
              <w:right w:w="67" w:type="dxa"/>
            </w:tcMar>
          </w:tcPr>
          <w:p w14:paraId="10C1012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0.018</w:t>
            </w:r>
          </w:p>
        </w:tc>
        <w:tc>
          <w:tcPr>
            <w:tcW w:w="745" w:type="dxa"/>
            <w:tcBorders>
              <w:top w:val="nil"/>
              <w:left w:val="nil"/>
              <w:bottom w:val="nil"/>
              <w:right w:val="nil"/>
            </w:tcBorders>
            <w:shd w:val="clear" w:color="auto" w:fill="FFFFFF"/>
            <w:tcMar>
              <w:left w:w="67" w:type="dxa"/>
              <w:right w:w="67" w:type="dxa"/>
            </w:tcMar>
          </w:tcPr>
          <w:p w14:paraId="575576D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0.018</w:t>
            </w:r>
          </w:p>
        </w:tc>
        <w:tc>
          <w:tcPr>
            <w:tcW w:w="745" w:type="dxa"/>
            <w:tcBorders>
              <w:top w:val="nil"/>
              <w:left w:val="nil"/>
              <w:bottom w:val="nil"/>
              <w:right w:val="nil"/>
            </w:tcBorders>
            <w:shd w:val="clear" w:color="auto" w:fill="FFFFFF"/>
            <w:tcMar>
              <w:left w:w="67" w:type="dxa"/>
              <w:right w:w="67" w:type="dxa"/>
            </w:tcMar>
          </w:tcPr>
          <w:p w14:paraId="04BC7810"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0.019</w:t>
            </w:r>
          </w:p>
        </w:tc>
        <w:tc>
          <w:tcPr>
            <w:tcW w:w="745" w:type="dxa"/>
            <w:tcBorders>
              <w:top w:val="nil"/>
              <w:left w:val="nil"/>
              <w:bottom w:val="nil"/>
              <w:right w:val="nil"/>
            </w:tcBorders>
            <w:shd w:val="clear" w:color="auto" w:fill="FFFFFF"/>
            <w:tcMar>
              <w:left w:w="67" w:type="dxa"/>
              <w:right w:w="67" w:type="dxa"/>
            </w:tcMar>
          </w:tcPr>
          <w:p w14:paraId="4D56B782"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w:t>
            </w:r>
          </w:p>
        </w:tc>
        <w:tc>
          <w:tcPr>
            <w:tcW w:w="745" w:type="dxa"/>
            <w:tcBorders>
              <w:top w:val="nil"/>
              <w:left w:val="nil"/>
              <w:bottom w:val="nil"/>
              <w:right w:val="nil"/>
            </w:tcBorders>
            <w:shd w:val="clear" w:color="auto" w:fill="FFFFFF"/>
            <w:tcMar>
              <w:left w:w="67" w:type="dxa"/>
              <w:right w:w="67" w:type="dxa"/>
            </w:tcMar>
          </w:tcPr>
          <w:p w14:paraId="12CACAD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0.021</w:t>
            </w:r>
          </w:p>
        </w:tc>
        <w:tc>
          <w:tcPr>
            <w:tcW w:w="745" w:type="dxa"/>
            <w:tcBorders>
              <w:top w:val="nil"/>
              <w:left w:val="nil"/>
              <w:bottom w:val="nil"/>
              <w:right w:val="nil"/>
            </w:tcBorders>
            <w:shd w:val="clear" w:color="auto" w:fill="FFFFFF"/>
            <w:tcMar>
              <w:left w:w="67" w:type="dxa"/>
              <w:right w:w="67" w:type="dxa"/>
            </w:tcMar>
          </w:tcPr>
          <w:p w14:paraId="08D3B6E7"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0.023</w:t>
            </w:r>
          </w:p>
        </w:tc>
        <w:tc>
          <w:tcPr>
            <w:tcW w:w="745" w:type="dxa"/>
            <w:tcBorders>
              <w:top w:val="nil"/>
              <w:left w:val="nil"/>
              <w:bottom w:val="nil"/>
              <w:right w:val="nil"/>
            </w:tcBorders>
            <w:shd w:val="clear" w:color="auto" w:fill="FFFFFF"/>
            <w:tcMar>
              <w:left w:w="67" w:type="dxa"/>
              <w:right w:w="67" w:type="dxa"/>
            </w:tcMar>
          </w:tcPr>
          <w:p w14:paraId="3D1C82E0"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0.025</w:t>
            </w:r>
          </w:p>
        </w:tc>
        <w:tc>
          <w:tcPr>
            <w:tcW w:w="745" w:type="dxa"/>
            <w:tcBorders>
              <w:top w:val="nil"/>
              <w:left w:val="nil"/>
              <w:bottom w:val="nil"/>
              <w:right w:val="single" w:sz="4" w:space="0" w:color="auto"/>
            </w:tcBorders>
            <w:shd w:val="clear" w:color="auto" w:fill="FFFFFF"/>
            <w:tcMar>
              <w:left w:w="67" w:type="dxa"/>
              <w:right w:w="67" w:type="dxa"/>
            </w:tcMar>
          </w:tcPr>
          <w:p w14:paraId="09D5A5B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0.028</w:t>
            </w:r>
          </w:p>
        </w:tc>
      </w:tr>
      <w:tr w:rsidR="00E07CDE" w:rsidRPr="00563AD3" w14:paraId="06EF2A85"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2482C54B"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-35</w:t>
            </w:r>
          </w:p>
        </w:tc>
        <w:tc>
          <w:tcPr>
            <w:tcW w:w="745" w:type="dxa"/>
            <w:tcBorders>
              <w:top w:val="nil"/>
              <w:left w:val="nil"/>
              <w:bottom w:val="nil"/>
              <w:right w:val="nil"/>
            </w:tcBorders>
            <w:shd w:val="clear" w:color="auto" w:fill="FFFFFF"/>
            <w:tcMar>
              <w:left w:w="67" w:type="dxa"/>
              <w:right w:w="67" w:type="dxa"/>
            </w:tcMar>
          </w:tcPr>
          <w:p w14:paraId="47D79F1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0.029</w:t>
            </w:r>
          </w:p>
        </w:tc>
        <w:tc>
          <w:tcPr>
            <w:tcW w:w="745" w:type="dxa"/>
            <w:tcBorders>
              <w:top w:val="nil"/>
              <w:left w:val="nil"/>
              <w:bottom w:val="nil"/>
              <w:right w:val="nil"/>
            </w:tcBorders>
            <w:shd w:val="clear" w:color="auto" w:fill="FFFFFF"/>
            <w:tcMar>
              <w:left w:w="67" w:type="dxa"/>
              <w:right w:w="67" w:type="dxa"/>
            </w:tcMar>
          </w:tcPr>
          <w:p w14:paraId="35FF352F"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0.027</w:t>
            </w:r>
          </w:p>
        </w:tc>
        <w:tc>
          <w:tcPr>
            <w:tcW w:w="745" w:type="dxa"/>
            <w:tcBorders>
              <w:top w:val="nil"/>
              <w:left w:val="nil"/>
              <w:bottom w:val="nil"/>
              <w:right w:val="nil"/>
            </w:tcBorders>
            <w:shd w:val="clear" w:color="auto" w:fill="FFFFFF"/>
            <w:tcMar>
              <w:left w:w="67" w:type="dxa"/>
              <w:right w:w="67" w:type="dxa"/>
            </w:tcMar>
          </w:tcPr>
          <w:p w14:paraId="1AA8214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0.025</w:t>
            </w:r>
          </w:p>
        </w:tc>
        <w:tc>
          <w:tcPr>
            <w:tcW w:w="745" w:type="dxa"/>
            <w:tcBorders>
              <w:top w:val="nil"/>
              <w:left w:val="nil"/>
              <w:bottom w:val="nil"/>
              <w:right w:val="nil"/>
            </w:tcBorders>
            <w:shd w:val="clear" w:color="auto" w:fill="FFFFFF"/>
            <w:tcMar>
              <w:left w:w="67" w:type="dxa"/>
              <w:right w:w="67" w:type="dxa"/>
            </w:tcMar>
          </w:tcPr>
          <w:p w14:paraId="3F111BB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0.023</w:t>
            </w:r>
          </w:p>
        </w:tc>
        <w:tc>
          <w:tcPr>
            <w:tcW w:w="745" w:type="dxa"/>
            <w:tcBorders>
              <w:top w:val="nil"/>
              <w:left w:val="nil"/>
              <w:bottom w:val="nil"/>
              <w:right w:val="nil"/>
            </w:tcBorders>
            <w:shd w:val="clear" w:color="auto" w:fill="FFFFFF"/>
            <w:tcMar>
              <w:left w:w="67" w:type="dxa"/>
              <w:right w:w="67" w:type="dxa"/>
            </w:tcMar>
          </w:tcPr>
          <w:p w14:paraId="0E606E62"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0.021</w:t>
            </w:r>
          </w:p>
        </w:tc>
        <w:tc>
          <w:tcPr>
            <w:tcW w:w="745" w:type="dxa"/>
            <w:tcBorders>
              <w:top w:val="nil"/>
              <w:left w:val="nil"/>
              <w:bottom w:val="nil"/>
              <w:right w:val="nil"/>
            </w:tcBorders>
            <w:shd w:val="clear" w:color="auto" w:fill="FFFFFF"/>
            <w:tcMar>
              <w:left w:w="67" w:type="dxa"/>
              <w:right w:w="67" w:type="dxa"/>
            </w:tcMar>
          </w:tcPr>
          <w:p w14:paraId="24775C9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w:t>
            </w:r>
          </w:p>
        </w:tc>
        <w:tc>
          <w:tcPr>
            <w:tcW w:w="745" w:type="dxa"/>
            <w:tcBorders>
              <w:top w:val="nil"/>
              <w:left w:val="nil"/>
              <w:bottom w:val="nil"/>
              <w:right w:val="nil"/>
            </w:tcBorders>
            <w:shd w:val="clear" w:color="auto" w:fill="FFFFFF"/>
            <w:tcMar>
              <w:left w:w="67" w:type="dxa"/>
              <w:right w:w="67" w:type="dxa"/>
            </w:tcMar>
          </w:tcPr>
          <w:p w14:paraId="12283FDD"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w:t>
            </w:r>
          </w:p>
        </w:tc>
        <w:tc>
          <w:tcPr>
            <w:tcW w:w="745" w:type="dxa"/>
            <w:tcBorders>
              <w:top w:val="nil"/>
              <w:left w:val="nil"/>
              <w:bottom w:val="nil"/>
              <w:right w:val="nil"/>
            </w:tcBorders>
            <w:shd w:val="clear" w:color="auto" w:fill="FFFFFF"/>
            <w:tcMar>
              <w:left w:w="67" w:type="dxa"/>
              <w:right w:w="67" w:type="dxa"/>
            </w:tcMar>
          </w:tcPr>
          <w:p w14:paraId="2D26B27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0.019</w:t>
            </w:r>
          </w:p>
        </w:tc>
        <w:tc>
          <w:tcPr>
            <w:tcW w:w="745" w:type="dxa"/>
            <w:tcBorders>
              <w:top w:val="nil"/>
              <w:left w:val="nil"/>
              <w:bottom w:val="nil"/>
              <w:right w:val="nil"/>
            </w:tcBorders>
            <w:shd w:val="clear" w:color="auto" w:fill="FFFFFF"/>
            <w:tcMar>
              <w:left w:w="67" w:type="dxa"/>
              <w:right w:w="67" w:type="dxa"/>
            </w:tcMar>
          </w:tcPr>
          <w:p w14:paraId="4098528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0.019</w:t>
            </w:r>
          </w:p>
        </w:tc>
        <w:tc>
          <w:tcPr>
            <w:tcW w:w="745" w:type="dxa"/>
            <w:tcBorders>
              <w:top w:val="nil"/>
              <w:left w:val="nil"/>
              <w:bottom w:val="nil"/>
              <w:right w:val="nil"/>
            </w:tcBorders>
            <w:shd w:val="clear" w:color="auto" w:fill="FFFFFF"/>
            <w:tcMar>
              <w:left w:w="67" w:type="dxa"/>
              <w:right w:w="67" w:type="dxa"/>
            </w:tcMar>
          </w:tcPr>
          <w:p w14:paraId="2EA29E5F"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0.019</w:t>
            </w:r>
          </w:p>
        </w:tc>
        <w:tc>
          <w:tcPr>
            <w:tcW w:w="745" w:type="dxa"/>
            <w:tcBorders>
              <w:top w:val="nil"/>
              <w:left w:val="nil"/>
              <w:bottom w:val="nil"/>
              <w:right w:val="nil"/>
            </w:tcBorders>
            <w:shd w:val="clear" w:color="auto" w:fill="FFFFFF"/>
            <w:tcMar>
              <w:left w:w="67" w:type="dxa"/>
              <w:right w:w="67" w:type="dxa"/>
            </w:tcMar>
          </w:tcPr>
          <w:p w14:paraId="2FA26520"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0.019</w:t>
            </w:r>
          </w:p>
        </w:tc>
        <w:tc>
          <w:tcPr>
            <w:tcW w:w="745" w:type="dxa"/>
            <w:tcBorders>
              <w:top w:val="nil"/>
              <w:left w:val="nil"/>
              <w:bottom w:val="nil"/>
              <w:right w:val="nil"/>
            </w:tcBorders>
            <w:shd w:val="clear" w:color="auto" w:fill="FFFFFF"/>
            <w:tcMar>
              <w:left w:w="67" w:type="dxa"/>
              <w:right w:w="67" w:type="dxa"/>
            </w:tcMar>
          </w:tcPr>
          <w:p w14:paraId="040E4276"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w:t>
            </w:r>
          </w:p>
        </w:tc>
        <w:tc>
          <w:tcPr>
            <w:tcW w:w="745" w:type="dxa"/>
            <w:tcBorders>
              <w:top w:val="nil"/>
              <w:left w:val="nil"/>
              <w:bottom w:val="nil"/>
              <w:right w:val="nil"/>
            </w:tcBorders>
            <w:shd w:val="clear" w:color="auto" w:fill="FFFFFF"/>
            <w:tcMar>
              <w:left w:w="67" w:type="dxa"/>
              <w:right w:w="67" w:type="dxa"/>
            </w:tcMar>
          </w:tcPr>
          <w:p w14:paraId="3218676F"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0.021</w:t>
            </w:r>
          </w:p>
        </w:tc>
        <w:tc>
          <w:tcPr>
            <w:tcW w:w="745" w:type="dxa"/>
            <w:tcBorders>
              <w:top w:val="nil"/>
              <w:left w:val="nil"/>
              <w:bottom w:val="nil"/>
              <w:right w:val="nil"/>
            </w:tcBorders>
            <w:shd w:val="clear" w:color="auto" w:fill="FFFFFF"/>
            <w:tcMar>
              <w:left w:w="67" w:type="dxa"/>
              <w:right w:w="67" w:type="dxa"/>
            </w:tcMar>
          </w:tcPr>
          <w:p w14:paraId="6D44DA7F"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0.022</w:t>
            </w:r>
          </w:p>
        </w:tc>
        <w:tc>
          <w:tcPr>
            <w:tcW w:w="745" w:type="dxa"/>
            <w:tcBorders>
              <w:top w:val="nil"/>
              <w:left w:val="nil"/>
              <w:bottom w:val="nil"/>
              <w:right w:val="nil"/>
            </w:tcBorders>
            <w:shd w:val="clear" w:color="auto" w:fill="FFFFFF"/>
            <w:tcMar>
              <w:left w:w="67" w:type="dxa"/>
              <w:right w:w="67" w:type="dxa"/>
            </w:tcMar>
          </w:tcPr>
          <w:p w14:paraId="057F3DC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0.024</w:t>
            </w:r>
          </w:p>
        </w:tc>
        <w:tc>
          <w:tcPr>
            <w:tcW w:w="745" w:type="dxa"/>
            <w:tcBorders>
              <w:top w:val="nil"/>
              <w:left w:val="nil"/>
              <w:bottom w:val="nil"/>
              <w:right w:val="nil"/>
            </w:tcBorders>
            <w:shd w:val="clear" w:color="auto" w:fill="FFFFFF"/>
            <w:tcMar>
              <w:left w:w="67" w:type="dxa"/>
              <w:right w:w="67" w:type="dxa"/>
            </w:tcMar>
          </w:tcPr>
          <w:p w14:paraId="7D722766"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0.026</w:t>
            </w:r>
          </w:p>
        </w:tc>
        <w:tc>
          <w:tcPr>
            <w:tcW w:w="745" w:type="dxa"/>
            <w:tcBorders>
              <w:top w:val="nil"/>
              <w:left w:val="nil"/>
              <w:bottom w:val="nil"/>
              <w:right w:val="single" w:sz="4" w:space="0" w:color="auto"/>
            </w:tcBorders>
            <w:shd w:val="clear" w:color="auto" w:fill="FFFFFF"/>
            <w:tcMar>
              <w:left w:w="67" w:type="dxa"/>
              <w:right w:w="67" w:type="dxa"/>
            </w:tcMar>
          </w:tcPr>
          <w:p w14:paraId="1F5E7D07"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0.029</w:t>
            </w:r>
          </w:p>
        </w:tc>
      </w:tr>
      <w:tr w:rsidR="00E07CDE" w:rsidRPr="00563AD3" w14:paraId="465C4600"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203EF3E7"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-30</w:t>
            </w:r>
          </w:p>
        </w:tc>
        <w:tc>
          <w:tcPr>
            <w:tcW w:w="745" w:type="dxa"/>
            <w:tcBorders>
              <w:top w:val="nil"/>
              <w:left w:val="nil"/>
              <w:bottom w:val="nil"/>
              <w:right w:val="nil"/>
            </w:tcBorders>
            <w:shd w:val="clear" w:color="auto" w:fill="FFFFFF"/>
            <w:tcMar>
              <w:left w:w="67" w:type="dxa"/>
              <w:right w:w="67" w:type="dxa"/>
            </w:tcMar>
          </w:tcPr>
          <w:p w14:paraId="2A1FB89D"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w:t>
            </w:r>
          </w:p>
        </w:tc>
        <w:tc>
          <w:tcPr>
            <w:tcW w:w="745" w:type="dxa"/>
            <w:tcBorders>
              <w:top w:val="nil"/>
              <w:left w:val="nil"/>
              <w:bottom w:val="nil"/>
              <w:right w:val="nil"/>
            </w:tcBorders>
            <w:shd w:val="clear" w:color="auto" w:fill="FFFFFF"/>
            <w:tcMar>
              <w:left w:w="67" w:type="dxa"/>
              <w:right w:w="67" w:type="dxa"/>
            </w:tcMar>
          </w:tcPr>
          <w:p w14:paraId="1DFA34C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0.028</w:t>
            </w:r>
          </w:p>
        </w:tc>
        <w:tc>
          <w:tcPr>
            <w:tcW w:w="745" w:type="dxa"/>
            <w:tcBorders>
              <w:top w:val="nil"/>
              <w:left w:val="nil"/>
              <w:bottom w:val="nil"/>
              <w:right w:val="nil"/>
            </w:tcBorders>
            <w:shd w:val="clear" w:color="auto" w:fill="FFFFFF"/>
            <w:tcMar>
              <w:left w:w="67" w:type="dxa"/>
              <w:right w:w="67" w:type="dxa"/>
            </w:tcMar>
          </w:tcPr>
          <w:p w14:paraId="22C6A22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0.026</w:t>
            </w:r>
          </w:p>
        </w:tc>
        <w:tc>
          <w:tcPr>
            <w:tcW w:w="745" w:type="dxa"/>
            <w:tcBorders>
              <w:top w:val="nil"/>
              <w:left w:val="nil"/>
              <w:bottom w:val="nil"/>
              <w:right w:val="nil"/>
            </w:tcBorders>
            <w:shd w:val="clear" w:color="auto" w:fill="FFFFFF"/>
            <w:tcMar>
              <w:left w:w="67" w:type="dxa"/>
              <w:right w:w="67" w:type="dxa"/>
            </w:tcMar>
          </w:tcPr>
          <w:p w14:paraId="3947D4C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0.024</w:t>
            </w:r>
          </w:p>
        </w:tc>
        <w:tc>
          <w:tcPr>
            <w:tcW w:w="745" w:type="dxa"/>
            <w:tcBorders>
              <w:top w:val="nil"/>
              <w:left w:val="nil"/>
              <w:bottom w:val="nil"/>
              <w:right w:val="nil"/>
            </w:tcBorders>
            <w:shd w:val="clear" w:color="auto" w:fill="FFFFFF"/>
            <w:tcMar>
              <w:left w:w="67" w:type="dxa"/>
              <w:right w:w="67" w:type="dxa"/>
            </w:tcMar>
          </w:tcPr>
          <w:p w14:paraId="13BA1CD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0.023</w:t>
            </w:r>
          </w:p>
        </w:tc>
        <w:tc>
          <w:tcPr>
            <w:tcW w:w="745" w:type="dxa"/>
            <w:tcBorders>
              <w:top w:val="nil"/>
              <w:left w:val="nil"/>
              <w:bottom w:val="nil"/>
              <w:right w:val="nil"/>
            </w:tcBorders>
            <w:shd w:val="clear" w:color="auto" w:fill="FFFFFF"/>
            <w:tcMar>
              <w:left w:w="67" w:type="dxa"/>
              <w:right w:w="67" w:type="dxa"/>
            </w:tcMar>
          </w:tcPr>
          <w:p w14:paraId="65F09847"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0.022</w:t>
            </w:r>
          </w:p>
        </w:tc>
        <w:tc>
          <w:tcPr>
            <w:tcW w:w="745" w:type="dxa"/>
            <w:tcBorders>
              <w:top w:val="nil"/>
              <w:left w:val="nil"/>
              <w:bottom w:val="nil"/>
              <w:right w:val="nil"/>
            </w:tcBorders>
            <w:shd w:val="clear" w:color="auto" w:fill="FFFFFF"/>
            <w:tcMar>
              <w:left w:w="67" w:type="dxa"/>
              <w:right w:w="67" w:type="dxa"/>
            </w:tcMar>
          </w:tcPr>
          <w:p w14:paraId="5A0EBC86"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0.021</w:t>
            </w:r>
          </w:p>
        </w:tc>
        <w:tc>
          <w:tcPr>
            <w:tcW w:w="745" w:type="dxa"/>
            <w:tcBorders>
              <w:top w:val="nil"/>
              <w:left w:val="nil"/>
              <w:bottom w:val="nil"/>
              <w:right w:val="nil"/>
            </w:tcBorders>
            <w:shd w:val="clear" w:color="auto" w:fill="FFFFFF"/>
            <w:tcMar>
              <w:left w:w="67" w:type="dxa"/>
              <w:right w:w="67" w:type="dxa"/>
            </w:tcMar>
          </w:tcPr>
          <w:p w14:paraId="02634DA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w:t>
            </w:r>
          </w:p>
        </w:tc>
        <w:tc>
          <w:tcPr>
            <w:tcW w:w="745" w:type="dxa"/>
            <w:tcBorders>
              <w:top w:val="nil"/>
              <w:left w:val="nil"/>
              <w:bottom w:val="nil"/>
              <w:right w:val="nil"/>
            </w:tcBorders>
            <w:shd w:val="clear" w:color="auto" w:fill="FFFFFF"/>
            <w:tcMar>
              <w:left w:w="67" w:type="dxa"/>
              <w:right w:w="67" w:type="dxa"/>
            </w:tcMar>
          </w:tcPr>
          <w:p w14:paraId="36A5D10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w:t>
            </w:r>
          </w:p>
        </w:tc>
        <w:tc>
          <w:tcPr>
            <w:tcW w:w="745" w:type="dxa"/>
            <w:tcBorders>
              <w:top w:val="nil"/>
              <w:left w:val="nil"/>
              <w:bottom w:val="nil"/>
              <w:right w:val="nil"/>
            </w:tcBorders>
            <w:shd w:val="clear" w:color="auto" w:fill="FFFFFF"/>
            <w:tcMar>
              <w:left w:w="67" w:type="dxa"/>
              <w:right w:w="67" w:type="dxa"/>
            </w:tcMar>
          </w:tcPr>
          <w:p w14:paraId="12502A6D"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w:t>
            </w:r>
          </w:p>
        </w:tc>
        <w:tc>
          <w:tcPr>
            <w:tcW w:w="745" w:type="dxa"/>
            <w:tcBorders>
              <w:top w:val="nil"/>
              <w:left w:val="nil"/>
              <w:bottom w:val="nil"/>
              <w:right w:val="nil"/>
            </w:tcBorders>
            <w:shd w:val="clear" w:color="auto" w:fill="FFFFFF"/>
            <w:tcMar>
              <w:left w:w="67" w:type="dxa"/>
              <w:right w:w="67" w:type="dxa"/>
            </w:tcMar>
          </w:tcPr>
          <w:p w14:paraId="287842E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0.021</w:t>
            </w:r>
          </w:p>
        </w:tc>
        <w:tc>
          <w:tcPr>
            <w:tcW w:w="745" w:type="dxa"/>
            <w:tcBorders>
              <w:top w:val="nil"/>
              <w:left w:val="nil"/>
              <w:bottom w:val="nil"/>
              <w:right w:val="nil"/>
            </w:tcBorders>
            <w:shd w:val="clear" w:color="auto" w:fill="FFFFFF"/>
            <w:tcMar>
              <w:left w:w="67" w:type="dxa"/>
              <w:right w:w="67" w:type="dxa"/>
            </w:tcMar>
          </w:tcPr>
          <w:p w14:paraId="28AB97A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0.021</w:t>
            </w:r>
          </w:p>
        </w:tc>
        <w:tc>
          <w:tcPr>
            <w:tcW w:w="745" w:type="dxa"/>
            <w:tcBorders>
              <w:top w:val="nil"/>
              <w:left w:val="nil"/>
              <w:bottom w:val="nil"/>
              <w:right w:val="nil"/>
            </w:tcBorders>
            <w:shd w:val="clear" w:color="auto" w:fill="FFFFFF"/>
            <w:tcMar>
              <w:left w:w="67" w:type="dxa"/>
              <w:right w:w="67" w:type="dxa"/>
            </w:tcMar>
          </w:tcPr>
          <w:p w14:paraId="59E66FB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0.022</w:t>
            </w:r>
          </w:p>
        </w:tc>
        <w:tc>
          <w:tcPr>
            <w:tcW w:w="745" w:type="dxa"/>
            <w:tcBorders>
              <w:top w:val="nil"/>
              <w:left w:val="nil"/>
              <w:bottom w:val="nil"/>
              <w:right w:val="nil"/>
            </w:tcBorders>
            <w:shd w:val="clear" w:color="auto" w:fill="FFFFFF"/>
            <w:tcMar>
              <w:left w:w="67" w:type="dxa"/>
              <w:right w:w="67" w:type="dxa"/>
            </w:tcMar>
          </w:tcPr>
          <w:p w14:paraId="785864D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0.024</w:t>
            </w:r>
          </w:p>
        </w:tc>
        <w:tc>
          <w:tcPr>
            <w:tcW w:w="745" w:type="dxa"/>
            <w:tcBorders>
              <w:top w:val="nil"/>
              <w:left w:val="nil"/>
              <w:bottom w:val="nil"/>
              <w:right w:val="nil"/>
            </w:tcBorders>
            <w:shd w:val="clear" w:color="auto" w:fill="FFFFFF"/>
            <w:tcMar>
              <w:left w:w="67" w:type="dxa"/>
              <w:right w:w="67" w:type="dxa"/>
            </w:tcMar>
          </w:tcPr>
          <w:p w14:paraId="72228AF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0.026</w:t>
            </w:r>
          </w:p>
        </w:tc>
        <w:tc>
          <w:tcPr>
            <w:tcW w:w="745" w:type="dxa"/>
            <w:tcBorders>
              <w:top w:val="nil"/>
              <w:left w:val="nil"/>
              <w:bottom w:val="nil"/>
              <w:right w:val="nil"/>
            </w:tcBorders>
            <w:shd w:val="clear" w:color="auto" w:fill="FFFFFF"/>
            <w:tcMar>
              <w:left w:w="67" w:type="dxa"/>
              <w:right w:w="67" w:type="dxa"/>
            </w:tcMar>
          </w:tcPr>
          <w:p w14:paraId="323AECF2"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0.028</w:t>
            </w:r>
          </w:p>
        </w:tc>
        <w:tc>
          <w:tcPr>
            <w:tcW w:w="745" w:type="dxa"/>
            <w:tcBorders>
              <w:top w:val="nil"/>
              <w:left w:val="nil"/>
              <w:bottom w:val="nil"/>
              <w:right w:val="single" w:sz="4" w:space="0" w:color="auto"/>
            </w:tcBorders>
            <w:shd w:val="clear" w:color="auto" w:fill="FFFFFF"/>
            <w:tcMar>
              <w:left w:w="67" w:type="dxa"/>
              <w:right w:w="67" w:type="dxa"/>
            </w:tcMar>
          </w:tcPr>
          <w:p w14:paraId="19A0BC16"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w:t>
            </w:r>
          </w:p>
        </w:tc>
      </w:tr>
      <w:tr w:rsidR="00E07CDE" w:rsidRPr="00563AD3" w14:paraId="30C9917F"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5CF635B4"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-25</w:t>
            </w:r>
          </w:p>
        </w:tc>
        <w:tc>
          <w:tcPr>
            <w:tcW w:w="745" w:type="dxa"/>
            <w:tcBorders>
              <w:top w:val="nil"/>
              <w:left w:val="nil"/>
              <w:bottom w:val="nil"/>
              <w:right w:val="nil"/>
            </w:tcBorders>
            <w:shd w:val="clear" w:color="auto" w:fill="FFFFFF"/>
            <w:tcMar>
              <w:left w:w="67" w:type="dxa"/>
              <w:right w:w="67" w:type="dxa"/>
            </w:tcMar>
          </w:tcPr>
          <w:p w14:paraId="6C773412"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0.032</w:t>
            </w:r>
          </w:p>
        </w:tc>
        <w:tc>
          <w:tcPr>
            <w:tcW w:w="745" w:type="dxa"/>
            <w:tcBorders>
              <w:top w:val="nil"/>
              <w:left w:val="nil"/>
              <w:bottom w:val="nil"/>
              <w:right w:val="nil"/>
            </w:tcBorders>
            <w:shd w:val="clear" w:color="auto" w:fill="FFFFFF"/>
            <w:tcMar>
              <w:left w:w="67" w:type="dxa"/>
              <w:right w:w="67" w:type="dxa"/>
            </w:tcMar>
          </w:tcPr>
          <w:p w14:paraId="3415962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w:t>
            </w:r>
          </w:p>
        </w:tc>
        <w:tc>
          <w:tcPr>
            <w:tcW w:w="745" w:type="dxa"/>
            <w:tcBorders>
              <w:top w:val="nil"/>
              <w:left w:val="nil"/>
              <w:bottom w:val="nil"/>
              <w:right w:val="nil"/>
            </w:tcBorders>
            <w:shd w:val="clear" w:color="auto" w:fill="FFFFFF"/>
            <w:tcMar>
              <w:left w:w="67" w:type="dxa"/>
              <w:right w:w="67" w:type="dxa"/>
            </w:tcMar>
          </w:tcPr>
          <w:p w14:paraId="3B2DC9C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0.027</w:t>
            </w:r>
          </w:p>
        </w:tc>
        <w:tc>
          <w:tcPr>
            <w:tcW w:w="745" w:type="dxa"/>
            <w:tcBorders>
              <w:top w:val="nil"/>
              <w:left w:val="nil"/>
              <w:bottom w:val="nil"/>
              <w:right w:val="nil"/>
            </w:tcBorders>
            <w:shd w:val="clear" w:color="auto" w:fill="FFFFFF"/>
            <w:tcMar>
              <w:left w:w="67" w:type="dxa"/>
              <w:right w:w="67" w:type="dxa"/>
            </w:tcMar>
          </w:tcPr>
          <w:p w14:paraId="66A3BEC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0.026</w:t>
            </w:r>
          </w:p>
        </w:tc>
        <w:tc>
          <w:tcPr>
            <w:tcW w:w="745" w:type="dxa"/>
            <w:tcBorders>
              <w:top w:val="nil"/>
              <w:left w:val="nil"/>
              <w:bottom w:val="nil"/>
              <w:right w:val="nil"/>
            </w:tcBorders>
            <w:shd w:val="clear" w:color="auto" w:fill="FFFFFF"/>
            <w:tcMar>
              <w:left w:w="67" w:type="dxa"/>
              <w:right w:w="67" w:type="dxa"/>
            </w:tcMar>
          </w:tcPr>
          <w:p w14:paraId="32DB859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0.024</w:t>
            </w:r>
          </w:p>
        </w:tc>
        <w:tc>
          <w:tcPr>
            <w:tcW w:w="745" w:type="dxa"/>
            <w:tcBorders>
              <w:top w:val="nil"/>
              <w:left w:val="nil"/>
              <w:bottom w:val="nil"/>
              <w:right w:val="nil"/>
            </w:tcBorders>
            <w:shd w:val="clear" w:color="auto" w:fill="FFFFFF"/>
            <w:tcMar>
              <w:left w:w="67" w:type="dxa"/>
              <w:right w:w="67" w:type="dxa"/>
            </w:tcMar>
          </w:tcPr>
          <w:p w14:paraId="2AA0671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0.023</w:t>
            </w:r>
          </w:p>
        </w:tc>
        <w:tc>
          <w:tcPr>
            <w:tcW w:w="745" w:type="dxa"/>
            <w:tcBorders>
              <w:top w:val="nil"/>
              <w:left w:val="nil"/>
              <w:bottom w:val="nil"/>
              <w:right w:val="nil"/>
            </w:tcBorders>
            <w:shd w:val="clear" w:color="auto" w:fill="FFFFFF"/>
            <w:tcMar>
              <w:left w:w="67" w:type="dxa"/>
              <w:right w:w="67" w:type="dxa"/>
            </w:tcMar>
          </w:tcPr>
          <w:p w14:paraId="669ECB0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0.022</w:t>
            </w:r>
          </w:p>
        </w:tc>
        <w:tc>
          <w:tcPr>
            <w:tcW w:w="745" w:type="dxa"/>
            <w:tcBorders>
              <w:top w:val="nil"/>
              <w:left w:val="nil"/>
              <w:bottom w:val="nil"/>
              <w:right w:val="nil"/>
            </w:tcBorders>
            <w:shd w:val="clear" w:color="auto" w:fill="FFFFFF"/>
            <w:tcMar>
              <w:left w:w="67" w:type="dxa"/>
              <w:right w:w="67" w:type="dxa"/>
            </w:tcMar>
          </w:tcPr>
          <w:p w14:paraId="74DF627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0.022</w:t>
            </w:r>
          </w:p>
        </w:tc>
        <w:tc>
          <w:tcPr>
            <w:tcW w:w="745" w:type="dxa"/>
            <w:tcBorders>
              <w:top w:val="nil"/>
              <w:left w:val="nil"/>
              <w:bottom w:val="nil"/>
              <w:right w:val="nil"/>
            </w:tcBorders>
            <w:shd w:val="clear" w:color="auto" w:fill="FFFFFF"/>
            <w:tcMar>
              <w:left w:w="67" w:type="dxa"/>
              <w:right w:w="67" w:type="dxa"/>
            </w:tcMar>
          </w:tcPr>
          <w:p w14:paraId="38D185C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0.021</w:t>
            </w:r>
          </w:p>
        </w:tc>
        <w:tc>
          <w:tcPr>
            <w:tcW w:w="745" w:type="dxa"/>
            <w:tcBorders>
              <w:top w:val="nil"/>
              <w:left w:val="nil"/>
              <w:bottom w:val="nil"/>
              <w:right w:val="nil"/>
            </w:tcBorders>
            <w:shd w:val="clear" w:color="auto" w:fill="FFFFFF"/>
            <w:tcMar>
              <w:left w:w="67" w:type="dxa"/>
              <w:right w:w="67" w:type="dxa"/>
            </w:tcMar>
          </w:tcPr>
          <w:p w14:paraId="5905608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0.021</w:t>
            </w:r>
          </w:p>
        </w:tc>
        <w:tc>
          <w:tcPr>
            <w:tcW w:w="745" w:type="dxa"/>
            <w:tcBorders>
              <w:top w:val="nil"/>
              <w:left w:val="nil"/>
              <w:bottom w:val="nil"/>
              <w:right w:val="nil"/>
            </w:tcBorders>
            <w:shd w:val="clear" w:color="auto" w:fill="FFFFFF"/>
            <w:tcMar>
              <w:left w:w="67" w:type="dxa"/>
              <w:right w:w="67" w:type="dxa"/>
            </w:tcMar>
          </w:tcPr>
          <w:p w14:paraId="3E55215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0.022</w:t>
            </w:r>
          </w:p>
        </w:tc>
        <w:tc>
          <w:tcPr>
            <w:tcW w:w="745" w:type="dxa"/>
            <w:tcBorders>
              <w:top w:val="nil"/>
              <w:left w:val="nil"/>
              <w:bottom w:val="nil"/>
              <w:right w:val="nil"/>
            </w:tcBorders>
            <w:shd w:val="clear" w:color="auto" w:fill="FFFFFF"/>
            <w:tcMar>
              <w:left w:w="67" w:type="dxa"/>
              <w:right w:w="67" w:type="dxa"/>
            </w:tcMar>
          </w:tcPr>
          <w:p w14:paraId="62EBE71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0.023</w:t>
            </w:r>
          </w:p>
        </w:tc>
        <w:tc>
          <w:tcPr>
            <w:tcW w:w="745" w:type="dxa"/>
            <w:tcBorders>
              <w:top w:val="nil"/>
              <w:left w:val="nil"/>
              <w:bottom w:val="nil"/>
              <w:right w:val="nil"/>
            </w:tcBorders>
            <w:shd w:val="clear" w:color="auto" w:fill="FFFFFF"/>
            <w:tcMar>
              <w:left w:w="67" w:type="dxa"/>
              <w:right w:w="67" w:type="dxa"/>
            </w:tcMar>
          </w:tcPr>
          <w:p w14:paraId="0F0CF57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0.024</w:t>
            </w:r>
          </w:p>
        </w:tc>
        <w:tc>
          <w:tcPr>
            <w:tcW w:w="745" w:type="dxa"/>
            <w:tcBorders>
              <w:top w:val="nil"/>
              <w:left w:val="nil"/>
              <w:bottom w:val="nil"/>
              <w:right w:val="nil"/>
            </w:tcBorders>
            <w:shd w:val="clear" w:color="auto" w:fill="FFFFFF"/>
            <w:tcMar>
              <w:left w:w="67" w:type="dxa"/>
              <w:right w:w="67" w:type="dxa"/>
            </w:tcMar>
          </w:tcPr>
          <w:p w14:paraId="7F325C40"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0.025</w:t>
            </w:r>
          </w:p>
        </w:tc>
        <w:tc>
          <w:tcPr>
            <w:tcW w:w="745" w:type="dxa"/>
            <w:tcBorders>
              <w:top w:val="nil"/>
              <w:left w:val="nil"/>
              <w:bottom w:val="nil"/>
              <w:right w:val="nil"/>
            </w:tcBorders>
            <w:shd w:val="clear" w:color="auto" w:fill="FFFFFF"/>
            <w:tcMar>
              <w:left w:w="67" w:type="dxa"/>
              <w:right w:w="67" w:type="dxa"/>
            </w:tcMar>
          </w:tcPr>
          <w:p w14:paraId="4A0A0B0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0.027</w:t>
            </w:r>
          </w:p>
        </w:tc>
        <w:tc>
          <w:tcPr>
            <w:tcW w:w="745" w:type="dxa"/>
            <w:tcBorders>
              <w:top w:val="nil"/>
              <w:left w:val="nil"/>
              <w:bottom w:val="nil"/>
              <w:right w:val="nil"/>
            </w:tcBorders>
            <w:shd w:val="clear" w:color="auto" w:fill="FFFFFF"/>
            <w:tcMar>
              <w:left w:w="67" w:type="dxa"/>
              <w:right w:w="67" w:type="dxa"/>
            </w:tcMar>
          </w:tcPr>
          <w:p w14:paraId="7E559DBF"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0.029</w:t>
            </w:r>
          </w:p>
        </w:tc>
        <w:tc>
          <w:tcPr>
            <w:tcW w:w="745" w:type="dxa"/>
            <w:tcBorders>
              <w:top w:val="nil"/>
              <w:left w:val="nil"/>
              <w:bottom w:val="nil"/>
              <w:right w:val="single" w:sz="4" w:space="0" w:color="auto"/>
            </w:tcBorders>
            <w:shd w:val="clear" w:color="auto" w:fill="FFFFFF"/>
            <w:tcMar>
              <w:left w:w="67" w:type="dxa"/>
              <w:right w:w="67" w:type="dxa"/>
            </w:tcMar>
          </w:tcPr>
          <w:p w14:paraId="3591ADE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0.032</w:t>
            </w:r>
          </w:p>
        </w:tc>
      </w:tr>
      <w:tr w:rsidR="00E07CDE" w:rsidRPr="00563AD3" w14:paraId="1EF26226"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3FDF8469"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-20</w:t>
            </w:r>
          </w:p>
        </w:tc>
        <w:tc>
          <w:tcPr>
            <w:tcW w:w="745" w:type="dxa"/>
            <w:tcBorders>
              <w:top w:val="nil"/>
              <w:left w:val="nil"/>
              <w:bottom w:val="nil"/>
              <w:right w:val="nil"/>
            </w:tcBorders>
            <w:shd w:val="clear" w:color="auto" w:fill="FFFFFF"/>
            <w:tcMar>
              <w:left w:w="67" w:type="dxa"/>
              <w:right w:w="67" w:type="dxa"/>
            </w:tcMar>
          </w:tcPr>
          <w:p w14:paraId="7CE790B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0.034</w:t>
            </w:r>
          </w:p>
        </w:tc>
        <w:tc>
          <w:tcPr>
            <w:tcW w:w="745" w:type="dxa"/>
            <w:tcBorders>
              <w:top w:val="nil"/>
              <w:left w:val="nil"/>
              <w:bottom w:val="nil"/>
              <w:right w:val="nil"/>
            </w:tcBorders>
            <w:shd w:val="clear" w:color="auto" w:fill="FFFFFF"/>
            <w:tcMar>
              <w:left w:w="67" w:type="dxa"/>
              <w:right w:w="67" w:type="dxa"/>
            </w:tcMar>
          </w:tcPr>
          <w:p w14:paraId="5AA80E9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0.031</w:t>
            </w:r>
          </w:p>
        </w:tc>
        <w:tc>
          <w:tcPr>
            <w:tcW w:w="745" w:type="dxa"/>
            <w:tcBorders>
              <w:top w:val="nil"/>
              <w:left w:val="nil"/>
              <w:bottom w:val="nil"/>
              <w:right w:val="nil"/>
            </w:tcBorders>
            <w:shd w:val="clear" w:color="auto" w:fill="FFFFFF"/>
            <w:tcMar>
              <w:left w:w="67" w:type="dxa"/>
              <w:right w:w="67" w:type="dxa"/>
            </w:tcMar>
          </w:tcPr>
          <w:p w14:paraId="7C4429E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0.029</w:t>
            </w:r>
          </w:p>
        </w:tc>
        <w:tc>
          <w:tcPr>
            <w:tcW w:w="745" w:type="dxa"/>
            <w:tcBorders>
              <w:top w:val="nil"/>
              <w:left w:val="nil"/>
              <w:bottom w:val="nil"/>
              <w:right w:val="nil"/>
            </w:tcBorders>
            <w:shd w:val="clear" w:color="auto" w:fill="FFFFFF"/>
            <w:tcMar>
              <w:left w:w="67" w:type="dxa"/>
              <w:right w:w="67" w:type="dxa"/>
            </w:tcMar>
          </w:tcPr>
          <w:p w14:paraId="5E07FFC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0.027</w:t>
            </w:r>
          </w:p>
        </w:tc>
        <w:tc>
          <w:tcPr>
            <w:tcW w:w="745" w:type="dxa"/>
            <w:tcBorders>
              <w:top w:val="nil"/>
              <w:left w:val="nil"/>
              <w:bottom w:val="nil"/>
              <w:right w:val="nil"/>
            </w:tcBorders>
            <w:shd w:val="clear" w:color="auto" w:fill="FFFFFF"/>
            <w:tcMar>
              <w:left w:w="67" w:type="dxa"/>
              <w:right w:w="67" w:type="dxa"/>
            </w:tcMar>
          </w:tcPr>
          <w:p w14:paraId="73EC10C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0.026</w:t>
            </w:r>
          </w:p>
        </w:tc>
        <w:tc>
          <w:tcPr>
            <w:tcW w:w="745" w:type="dxa"/>
            <w:tcBorders>
              <w:top w:val="nil"/>
              <w:left w:val="nil"/>
              <w:bottom w:val="nil"/>
              <w:right w:val="nil"/>
            </w:tcBorders>
            <w:shd w:val="clear" w:color="auto" w:fill="FFFFFF"/>
            <w:tcMar>
              <w:left w:w="67" w:type="dxa"/>
              <w:right w:w="67" w:type="dxa"/>
            </w:tcMar>
          </w:tcPr>
          <w:p w14:paraId="424D089F"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0.024</w:t>
            </w:r>
          </w:p>
        </w:tc>
        <w:tc>
          <w:tcPr>
            <w:tcW w:w="745" w:type="dxa"/>
            <w:tcBorders>
              <w:top w:val="nil"/>
              <w:left w:val="nil"/>
              <w:bottom w:val="nil"/>
              <w:right w:val="nil"/>
            </w:tcBorders>
            <w:shd w:val="clear" w:color="auto" w:fill="FFFFFF"/>
            <w:tcMar>
              <w:left w:w="67" w:type="dxa"/>
              <w:right w:w="67" w:type="dxa"/>
            </w:tcMar>
          </w:tcPr>
          <w:p w14:paraId="2050A3B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0.024</w:t>
            </w:r>
          </w:p>
        </w:tc>
        <w:tc>
          <w:tcPr>
            <w:tcW w:w="745" w:type="dxa"/>
            <w:tcBorders>
              <w:top w:val="nil"/>
              <w:left w:val="nil"/>
              <w:bottom w:val="nil"/>
              <w:right w:val="nil"/>
            </w:tcBorders>
            <w:shd w:val="clear" w:color="auto" w:fill="FFFFFF"/>
            <w:tcMar>
              <w:left w:w="67" w:type="dxa"/>
              <w:right w:w="67" w:type="dxa"/>
            </w:tcMar>
          </w:tcPr>
          <w:p w14:paraId="50A46E4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0.023</w:t>
            </w:r>
          </w:p>
        </w:tc>
        <w:tc>
          <w:tcPr>
            <w:tcW w:w="745" w:type="dxa"/>
            <w:tcBorders>
              <w:top w:val="nil"/>
              <w:left w:val="nil"/>
              <w:bottom w:val="nil"/>
              <w:right w:val="nil"/>
            </w:tcBorders>
            <w:shd w:val="clear" w:color="auto" w:fill="FFFFFF"/>
            <w:tcMar>
              <w:left w:w="67" w:type="dxa"/>
              <w:right w:w="67" w:type="dxa"/>
            </w:tcMar>
          </w:tcPr>
          <w:p w14:paraId="4F28783B"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0.023</w:t>
            </w:r>
          </w:p>
        </w:tc>
        <w:tc>
          <w:tcPr>
            <w:tcW w:w="745" w:type="dxa"/>
            <w:tcBorders>
              <w:top w:val="nil"/>
              <w:left w:val="nil"/>
              <w:bottom w:val="nil"/>
              <w:right w:val="nil"/>
            </w:tcBorders>
            <w:shd w:val="clear" w:color="auto" w:fill="FFFFFF"/>
            <w:tcMar>
              <w:left w:w="67" w:type="dxa"/>
              <w:right w:w="67" w:type="dxa"/>
            </w:tcMar>
          </w:tcPr>
          <w:p w14:paraId="5E995DB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0.023</w:t>
            </w:r>
          </w:p>
        </w:tc>
        <w:tc>
          <w:tcPr>
            <w:tcW w:w="745" w:type="dxa"/>
            <w:tcBorders>
              <w:top w:val="nil"/>
              <w:left w:val="nil"/>
              <w:bottom w:val="nil"/>
              <w:right w:val="nil"/>
            </w:tcBorders>
            <w:shd w:val="clear" w:color="auto" w:fill="FFFFFF"/>
            <w:tcMar>
              <w:left w:w="67" w:type="dxa"/>
              <w:right w:w="67" w:type="dxa"/>
            </w:tcMar>
          </w:tcPr>
          <w:p w14:paraId="3CAD90C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0.023</w:t>
            </w:r>
          </w:p>
        </w:tc>
        <w:tc>
          <w:tcPr>
            <w:tcW w:w="745" w:type="dxa"/>
            <w:tcBorders>
              <w:top w:val="nil"/>
              <w:left w:val="nil"/>
              <w:bottom w:val="nil"/>
              <w:right w:val="nil"/>
            </w:tcBorders>
            <w:shd w:val="clear" w:color="auto" w:fill="FFFFFF"/>
            <w:tcMar>
              <w:left w:w="67" w:type="dxa"/>
              <w:right w:w="67" w:type="dxa"/>
            </w:tcMar>
          </w:tcPr>
          <w:p w14:paraId="6998AEF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0.024</w:t>
            </w:r>
          </w:p>
        </w:tc>
        <w:tc>
          <w:tcPr>
            <w:tcW w:w="745" w:type="dxa"/>
            <w:tcBorders>
              <w:top w:val="nil"/>
              <w:left w:val="nil"/>
              <w:bottom w:val="nil"/>
              <w:right w:val="nil"/>
            </w:tcBorders>
            <w:shd w:val="clear" w:color="auto" w:fill="FFFFFF"/>
            <w:tcMar>
              <w:left w:w="67" w:type="dxa"/>
              <w:right w:w="67" w:type="dxa"/>
            </w:tcMar>
          </w:tcPr>
          <w:p w14:paraId="217DE15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0.025</w:t>
            </w:r>
          </w:p>
        </w:tc>
        <w:tc>
          <w:tcPr>
            <w:tcW w:w="745" w:type="dxa"/>
            <w:tcBorders>
              <w:top w:val="nil"/>
              <w:left w:val="nil"/>
              <w:bottom w:val="nil"/>
              <w:right w:val="nil"/>
            </w:tcBorders>
            <w:shd w:val="clear" w:color="auto" w:fill="FFFFFF"/>
            <w:tcMar>
              <w:left w:w="67" w:type="dxa"/>
              <w:right w:w="67" w:type="dxa"/>
            </w:tcMar>
          </w:tcPr>
          <w:p w14:paraId="7539F69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0.027</w:t>
            </w:r>
          </w:p>
        </w:tc>
        <w:tc>
          <w:tcPr>
            <w:tcW w:w="745" w:type="dxa"/>
            <w:tcBorders>
              <w:top w:val="nil"/>
              <w:left w:val="nil"/>
              <w:bottom w:val="nil"/>
              <w:right w:val="nil"/>
            </w:tcBorders>
            <w:shd w:val="clear" w:color="auto" w:fill="FFFFFF"/>
            <w:tcMar>
              <w:left w:w="67" w:type="dxa"/>
              <w:right w:w="67" w:type="dxa"/>
            </w:tcMar>
          </w:tcPr>
          <w:p w14:paraId="4BB58C4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0.029</w:t>
            </w:r>
          </w:p>
        </w:tc>
        <w:tc>
          <w:tcPr>
            <w:tcW w:w="745" w:type="dxa"/>
            <w:tcBorders>
              <w:top w:val="nil"/>
              <w:left w:val="nil"/>
              <w:bottom w:val="nil"/>
              <w:right w:val="nil"/>
            </w:tcBorders>
            <w:shd w:val="clear" w:color="auto" w:fill="FFFFFF"/>
            <w:tcMar>
              <w:left w:w="67" w:type="dxa"/>
              <w:right w:w="67" w:type="dxa"/>
            </w:tcMar>
          </w:tcPr>
          <w:p w14:paraId="0ED2FA5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0.031</w:t>
            </w:r>
          </w:p>
        </w:tc>
        <w:tc>
          <w:tcPr>
            <w:tcW w:w="745" w:type="dxa"/>
            <w:tcBorders>
              <w:top w:val="nil"/>
              <w:left w:val="nil"/>
              <w:bottom w:val="nil"/>
              <w:right w:val="single" w:sz="4" w:space="0" w:color="auto"/>
            </w:tcBorders>
            <w:shd w:val="clear" w:color="auto" w:fill="FFFFFF"/>
            <w:tcMar>
              <w:left w:w="67" w:type="dxa"/>
              <w:right w:w="67" w:type="dxa"/>
            </w:tcMar>
          </w:tcPr>
          <w:p w14:paraId="4EDA1206"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0.034</w:t>
            </w:r>
          </w:p>
        </w:tc>
      </w:tr>
      <w:tr w:rsidR="00E07CDE" w:rsidRPr="00563AD3" w14:paraId="5DFB4415"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53AC09D8"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-15</w:t>
            </w:r>
          </w:p>
        </w:tc>
        <w:tc>
          <w:tcPr>
            <w:tcW w:w="745" w:type="dxa"/>
            <w:tcBorders>
              <w:top w:val="nil"/>
              <w:left w:val="nil"/>
              <w:bottom w:val="nil"/>
              <w:right w:val="nil"/>
            </w:tcBorders>
            <w:shd w:val="clear" w:color="auto" w:fill="FFFFFF"/>
            <w:tcMar>
              <w:left w:w="67" w:type="dxa"/>
              <w:right w:w="67" w:type="dxa"/>
            </w:tcMar>
          </w:tcPr>
          <w:p w14:paraId="0A028C9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0.036</w:t>
            </w:r>
          </w:p>
        </w:tc>
        <w:tc>
          <w:tcPr>
            <w:tcW w:w="745" w:type="dxa"/>
            <w:tcBorders>
              <w:top w:val="nil"/>
              <w:left w:val="nil"/>
              <w:bottom w:val="nil"/>
              <w:right w:val="nil"/>
            </w:tcBorders>
            <w:shd w:val="clear" w:color="auto" w:fill="FFFFFF"/>
            <w:tcMar>
              <w:left w:w="67" w:type="dxa"/>
              <w:right w:w="67" w:type="dxa"/>
            </w:tcMar>
          </w:tcPr>
          <w:p w14:paraId="1ED876F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0.033</w:t>
            </w:r>
          </w:p>
        </w:tc>
        <w:tc>
          <w:tcPr>
            <w:tcW w:w="745" w:type="dxa"/>
            <w:tcBorders>
              <w:top w:val="nil"/>
              <w:left w:val="nil"/>
              <w:bottom w:val="nil"/>
              <w:right w:val="nil"/>
            </w:tcBorders>
            <w:shd w:val="clear" w:color="auto" w:fill="FFFFFF"/>
            <w:tcMar>
              <w:left w:w="67" w:type="dxa"/>
              <w:right w:w="67" w:type="dxa"/>
            </w:tcMar>
          </w:tcPr>
          <w:p w14:paraId="7159A49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0.031</w:t>
            </w:r>
          </w:p>
        </w:tc>
        <w:tc>
          <w:tcPr>
            <w:tcW w:w="745" w:type="dxa"/>
            <w:tcBorders>
              <w:top w:val="nil"/>
              <w:left w:val="nil"/>
              <w:bottom w:val="nil"/>
              <w:right w:val="nil"/>
            </w:tcBorders>
            <w:shd w:val="clear" w:color="auto" w:fill="FFFFFF"/>
            <w:tcMar>
              <w:left w:w="67" w:type="dxa"/>
              <w:right w:w="67" w:type="dxa"/>
            </w:tcMar>
          </w:tcPr>
          <w:p w14:paraId="170C4F8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0.029</w:t>
            </w:r>
          </w:p>
        </w:tc>
        <w:tc>
          <w:tcPr>
            <w:tcW w:w="745" w:type="dxa"/>
            <w:tcBorders>
              <w:top w:val="nil"/>
              <w:left w:val="nil"/>
              <w:bottom w:val="nil"/>
              <w:right w:val="nil"/>
            </w:tcBorders>
            <w:shd w:val="clear" w:color="auto" w:fill="FFFFFF"/>
            <w:tcMar>
              <w:left w:w="67" w:type="dxa"/>
              <w:right w:w="67" w:type="dxa"/>
            </w:tcMar>
          </w:tcPr>
          <w:p w14:paraId="4E53047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0.027</w:t>
            </w:r>
          </w:p>
        </w:tc>
        <w:tc>
          <w:tcPr>
            <w:tcW w:w="745" w:type="dxa"/>
            <w:tcBorders>
              <w:top w:val="nil"/>
              <w:left w:val="nil"/>
              <w:bottom w:val="nil"/>
              <w:right w:val="nil"/>
            </w:tcBorders>
            <w:shd w:val="clear" w:color="auto" w:fill="FFFFFF"/>
            <w:tcMar>
              <w:left w:w="67" w:type="dxa"/>
              <w:right w:w="67" w:type="dxa"/>
            </w:tcMar>
          </w:tcPr>
          <w:p w14:paraId="61DF4C0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0.026</w:t>
            </w:r>
          </w:p>
        </w:tc>
        <w:tc>
          <w:tcPr>
            <w:tcW w:w="745" w:type="dxa"/>
            <w:tcBorders>
              <w:top w:val="nil"/>
              <w:left w:val="nil"/>
              <w:bottom w:val="nil"/>
              <w:right w:val="nil"/>
            </w:tcBorders>
            <w:shd w:val="clear" w:color="auto" w:fill="FFFFFF"/>
            <w:tcMar>
              <w:left w:w="67" w:type="dxa"/>
              <w:right w:w="67" w:type="dxa"/>
            </w:tcMar>
          </w:tcPr>
          <w:p w14:paraId="4E75947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0.025</w:t>
            </w:r>
          </w:p>
        </w:tc>
        <w:tc>
          <w:tcPr>
            <w:tcW w:w="745" w:type="dxa"/>
            <w:tcBorders>
              <w:top w:val="nil"/>
              <w:left w:val="nil"/>
              <w:bottom w:val="nil"/>
              <w:right w:val="nil"/>
            </w:tcBorders>
            <w:shd w:val="clear" w:color="auto" w:fill="FFFFFF"/>
            <w:tcMar>
              <w:left w:w="67" w:type="dxa"/>
              <w:right w:w="67" w:type="dxa"/>
            </w:tcMar>
          </w:tcPr>
          <w:p w14:paraId="0FCDA23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0.025</w:t>
            </w:r>
          </w:p>
        </w:tc>
        <w:tc>
          <w:tcPr>
            <w:tcW w:w="745" w:type="dxa"/>
            <w:tcBorders>
              <w:top w:val="nil"/>
              <w:left w:val="nil"/>
              <w:bottom w:val="nil"/>
              <w:right w:val="nil"/>
            </w:tcBorders>
            <w:shd w:val="clear" w:color="auto" w:fill="FFFFFF"/>
            <w:tcMar>
              <w:left w:w="67" w:type="dxa"/>
              <w:right w:w="67" w:type="dxa"/>
            </w:tcMar>
          </w:tcPr>
          <w:p w14:paraId="5ED459DD"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0.025</w:t>
            </w:r>
          </w:p>
        </w:tc>
        <w:tc>
          <w:tcPr>
            <w:tcW w:w="745" w:type="dxa"/>
            <w:tcBorders>
              <w:top w:val="nil"/>
              <w:left w:val="nil"/>
              <w:bottom w:val="nil"/>
              <w:right w:val="nil"/>
            </w:tcBorders>
            <w:shd w:val="clear" w:color="auto" w:fill="FFFFFF"/>
            <w:tcMar>
              <w:left w:w="67" w:type="dxa"/>
              <w:right w:w="67" w:type="dxa"/>
            </w:tcMar>
          </w:tcPr>
          <w:p w14:paraId="13885D3D"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0.025</w:t>
            </w:r>
          </w:p>
        </w:tc>
        <w:tc>
          <w:tcPr>
            <w:tcW w:w="745" w:type="dxa"/>
            <w:tcBorders>
              <w:top w:val="nil"/>
              <w:left w:val="nil"/>
              <w:bottom w:val="nil"/>
              <w:right w:val="nil"/>
            </w:tcBorders>
            <w:shd w:val="clear" w:color="auto" w:fill="FFFFFF"/>
            <w:tcMar>
              <w:left w:w="67" w:type="dxa"/>
              <w:right w:w="67" w:type="dxa"/>
            </w:tcMar>
          </w:tcPr>
          <w:p w14:paraId="716D9A7D"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0.025</w:t>
            </w:r>
          </w:p>
        </w:tc>
        <w:tc>
          <w:tcPr>
            <w:tcW w:w="745" w:type="dxa"/>
            <w:tcBorders>
              <w:top w:val="nil"/>
              <w:left w:val="nil"/>
              <w:bottom w:val="nil"/>
              <w:right w:val="nil"/>
            </w:tcBorders>
            <w:shd w:val="clear" w:color="auto" w:fill="FFFFFF"/>
            <w:tcMar>
              <w:left w:w="67" w:type="dxa"/>
              <w:right w:w="67" w:type="dxa"/>
            </w:tcMar>
          </w:tcPr>
          <w:p w14:paraId="14CCA97F"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0.026</w:t>
            </w:r>
          </w:p>
        </w:tc>
        <w:tc>
          <w:tcPr>
            <w:tcW w:w="745" w:type="dxa"/>
            <w:tcBorders>
              <w:top w:val="nil"/>
              <w:left w:val="nil"/>
              <w:bottom w:val="nil"/>
              <w:right w:val="nil"/>
            </w:tcBorders>
            <w:shd w:val="clear" w:color="auto" w:fill="FFFFFF"/>
            <w:tcMar>
              <w:left w:w="67" w:type="dxa"/>
              <w:right w:w="67" w:type="dxa"/>
            </w:tcMar>
          </w:tcPr>
          <w:p w14:paraId="0A8F18D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0.027</w:t>
            </w:r>
          </w:p>
        </w:tc>
        <w:tc>
          <w:tcPr>
            <w:tcW w:w="745" w:type="dxa"/>
            <w:tcBorders>
              <w:top w:val="nil"/>
              <w:left w:val="nil"/>
              <w:bottom w:val="nil"/>
              <w:right w:val="nil"/>
            </w:tcBorders>
            <w:shd w:val="clear" w:color="auto" w:fill="FFFFFF"/>
            <w:tcMar>
              <w:left w:w="67" w:type="dxa"/>
              <w:right w:w="67" w:type="dxa"/>
            </w:tcMar>
          </w:tcPr>
          <w:p w14:paraId="2EB8062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0.029</w:t>
            </w:r>
          </w:p>
        </w:tc>
        <w:tc>
          <w:tcPr>
            <w:tcW w:w="745" w:type="dxa"/>
            <w:tcBorders>
              <w:top w:val="nil"/>
              <w:left w:val="nil"/>
              <w:bottom w:val="nil"/>
              <w:right w:val="nil"/>
            </w:tcBorders>
            <w:shd w:val="clear" w:color="auto" w:fill="FFFFFF"/>
            <w:tcMar>
              <w:left w:w="67" w:type="dxa"/>
              <w:right w:w="67" w:type="dxa"/>
            </w:tcMar>
          </w:tcPr>
          <w:p w14:paraId="64D10C8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0.031</w:t>
            </w:r>
          </w:p>
        </w:tc>
        <w:tc>
          <w:tcPr>
            <w:tcW w:w="745" w:type="dxa"/>
            <w:tcBorders>
              <w:top w:val="nil"/>
              <w:left w:val="nil"/>
              <w:bottom w:val="nil"/>
              <w:right w:val="nil"/>
            </w:tcBorders>
            <w:shd w:val="clear" w:color="auto" w:fill="FFFFFF"/>
            <w:tcMar>
              <w:left w:w="67" w:type="dxa"/>
              <w:right w:w="67" w:type="dxa"/>
            </w:tcMar>
          </w:tcPr>
          <w:p w14:paraId="42D9F19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0.033</w:t>
            </w:r>
          </w:p>
        </w:tc>
        <w:tc>
          <w:tcPr>
            <w:tcW w:w="745" w:type="dxa"/>
            <w:tcBorders>
              <w:top w:val="nil"/>
              <w:left w:val="nil"/>
              <w:bottom w:val="nil"/>
              <w:right w:val="single" w:sz="4" w:space="0" w:color="auto"/>
            </w:tcBorders>
            <w:shd w:val="clear" w:color="auto" w:fill="FFFFFF"/>
            <w:tcMar>
              <w:left w:w="67" w:type="dxa"/>
              <w:right w:w="67" w:type="dxa"/>
            </w:tcMar>
          </w:tcPr>
          <w:p w14:paraId="3E159B80"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0.036</w:t>
            </w:r>
          </w:p>
        </w:tc>
      </w:tr>
      <w:tr w:rsidR="00E07CDE" w:rsidRPr="00563AD3" w14:paraId="04FD1985"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0B6FB785"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-10</w:t>
            </w:r>
          </w:p>
        </w:tc>
        <w:tc>
          <w:tcPr>
            <w:tcW w:w="745" w:type="dxa"/>
            <w:tcBorders>
              <w:top w:val="nil"/>
              <w:left w:val="nil"/>
              <w:bottom w:val="nil"/>
              <w:right w:val="nil"/>
            </w:tcBorders>
            <w:shd w:val="clear" w:color="auto" w:fill="FFFFFF"/>
            <w:tcMar>
              <w:left w:w="67" w:type="dxa"/>
              <w:right w:w="67" w:type="dxa"/>
            </w:tcMar>
          </w:tcPr>
          <w:p w14:paraId="57E00D4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0.038</w:t>
            </w:r>
          </w:p>
        </w:tc>
        <w:tc>
          <w:tcPr>
            <w:tcW w:w="745" w:type="dxa"/>
            <w:tcBorders>
              <w:top w:val="nil"/>
              <w:left w:val="nil"/>
              <w:bottom w:val="nil"/>
              <w:right w:val="nil"/>
            </w:tcBorders>
            <w:shd w:val="clear" w:color="auto" w:fill="FFFFFF"/>
            <w:tcMar>
              <w:left w:w="67" w:type="dxa"/>
              <w:right w:w="67" w:type="dxa"/>
            </w:tcMar>
          </w:tcPr>
          <w:p w14:paraId="496A6430"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0.036</w:t>
            </w:r>
          </w:p>
        </w:tc>
        <w:tc>
          <w:tcPr>
            <w:tcW w:w="745" w:type="dxa"/>
            <w:tcBorders>
              <w:top w:val="nil"/>
              <w:left w:val="nil"/>
              <w:bottom w:val="nil"/>
              <w:right w:val="nil"/>
            </w:tcBorders>
            <w:shd w:val="clear" w:color="auto" w:fill="FFFFFF"/>
            <w:tcMar>
              <w:left w:w="67" w:type="dxa"/>
              <w:right w:w="67" w:type="dxa"/>
            </w:tcMar>
          </w:tcPr>
          <w:p w14:paraId="119267E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0.033</w:t>
            </w:r>
          </w:p>
        </w:tc>
        <w:tc>
          <w:tcPr>
            <w:tcW w:w="745" w:type="dxa"/>
            <w:tcBorders>
              <w:top w:val="nil"/>
              <w:left w:val="nil"/>
              <w:bottom w:val="nil"/>
              <w:right w:val="nil"/>
            </w:tcBorders>
            <w:shd w:val="clear" w:color="auto" w:fill="FFFFFF"/>
            <w:tcMar>
              <w:left w:w="67" w:type="dxa"/>
              <w:right w:w="67" w:type="dxa"/>
            </w:tcMar>
          </w:tcPr>
          <w:p w14:paraId="38A8899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0.031</w:t>
            </w:r>
          </w:p>
        </w:tc>
        <w:tc>
          <w:tcPr>
            <w:tcW w:w="745" w:type="dxa"/>
            <w:tcBorders>
              <w:top w:val="nil"/>
              <w:left w:val="nil"/>
              <w:bottom w:val="nil"/>
              <w:right w:val="nil"/>
            </w:tcBorders>
            <w:shd w:val="clear" w:color="auto" w:fill="FFFFFF"/>
            <w:tcMar>
              <w:left w:w="67" w:type="dxa"/>
              <w:right w:w="67" w:type="dxa"/>
            </w:tcMar>
          </w:tcPr>
          <w:p w14:paraId="34B3580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w:t>
            </w:r>
          </w:p>
        </w:tc>
        <w:tc>
          <w:tcPr>
            <w:tcW w:w="745" w:type="dxa"/>
            <w:tcBorders>
              <w:top w:val="nil"/>
              <w:left w:val="nil"/>
              <w:bottom w:val="nil"/>
              <w:right w:val="nil"/>
            </w:tcBorders>
            <w:shd w:val="clear" w:color="auto" w:fill="FFFFFF"/>
            <w:tcMar>
              <w:left w:w="67" w:type="dxa"/>
              <w:right w:w="67" w:type="dxa"/>
            </w:tcMar>
          </w:tcPr>
          <w:p w14:paraId="5F45974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0.028</w:t>
            </w:r>
          </w:p>
        </w:tc>
        <w:tc>
          <w:tcPr>
            <w:tcW w:w="745" w:type="dxa"/>
            <w:tcBorders>
              <w:top w:val="nil"/>
              <w:left w:val="nil"/>
              <w:bottom w:val="nil"/>
              <w:right w:val="nil"/>
            </w:tcBorders>
            <w:shd w:val="clear" w:color="auto" w:fill="FFFFFF"/>
            <w:tcMar>
              <w:left w:w="67" w:type="dxa"/>
              <w:right w:w="67" w:type="dxa"/>
            </w:tcMar>
          </w:tcPr>
          <w:p w14:paraId="0BCA681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0.027</w:t>
            </w:r>
          </w:p>
        </w:tc>
        <w:tc>
          <w:tcPr>
            <w:tcW w:w="745" w:type="dxa"/>
            <w:tcBorders>
              <w:top w:val="nil"/>
              <w:left w:val="nil"/>
              <w:bottom w:val="nil"/>
              <w:right w:val="nil"/>
            </w:tcBorders>
            <w:shd w:val="clear" w:color="auto" w:fill="FFFFFF"/>
            <w:tcMar>
              <w:left w:w="67" w:type="dxa"/>
              <w:right w:w="67" w:type="dxa"/>
            </w:tcMar>
          </w:tcPr>
          <w:p w14:paraId="6F085BF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0.027</w:t>
            </w:r>
          </w:p>
        </w:tc>
        <w:tc>
          <w:tcPr>
            <w:tcW w:w="745" w:type="dxa"/>
            <w:tcBorders>
              <w:top w:val="nil"/>
              <w:left w:val="nil"/>
              <w:bottom w:val="nil"/>
              <w:right w:val="nil"/>
            </w:tcBorders>
            <w:shd w:val="clear" w:color="auto" w:fill="FFFFFF"/>
            <w:tcMar>
              <w:left w:w="67" w:type="dxa"/>
              <w:right w:w="67" w:type="dxa"/>
            </w:tcMar>
          </w:tcPr>
          <w:p w14:paraId="2EBD57F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0.027</w:t>
            </w:r>
          </w:p>
        </w:tc>
        <w:tc>
          <w:tcPr>
            <w:tcW w:w="745" w:type="dxa"/>
            <w:tcBorders>
              <w:top w:val="nil"/>
              <w:left w:val="nil"/>
              <w:bottom w:val="nil"/>
              <w:right w:val="nil"/>
            </w:tcBorders>
            <w:shd w:val="clear" w:color="auto" w:fill="FFFFFF"/>
            <w:tcMar>
              <w:left w:w="67" w:type="dxa"/>
              <w:right w:w="67" w:type="dxa"/>
            </w:tcMar>
          </w:tcPr>
          <w:p w14:paraId="30E3956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0.027</w:t>
            </w:r>
          </w:p>
        </w:tc>
        <w:tc>
          <w:tcPr>
            <w:tcW w:w="745" w:type="dxa"/>
            <w:tcBorders>
              <w:top w:val="nil"/>
              <w:left w:val="nil"/>
              <w:bottom w:val="nil"/>
              <w:right w:val="nil"/>
            </w:tcBorders>
            <w:shd w:val="clear" w:color="auto" w:fill="FFFFFF"/>
            <w:tcMar>
              <w:left w:w="67" w:type="dxa"/>
              <w:right w:w="67" w:type="dxa"/>
            </w:tcMar>
          </w:tcPr>
          <w:p w14:paraId="25E6D2D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0.027</w:t>
            </w:r>
          </w:p>
        </w:tc>
        <w:tc>
          <w:tcPr>
            <w:tcW w:w="745" w:type="dxa"/>
            <w:tcBorders>
              <w:top w:val="nil"/>
              <w:left w:val="nil"/>
              <w:bottom w:val="nil"/>
              <w:right w:val="nil"/>
            </w:tcBorders>
            <w:shd w:val="clear" w:color="auto" w:fill="FFFFFF"/>
            <w:tcMar>
              <w:left w:w="67" w:type="dxa"/>
              <w:right w:w="67" w:type="dxa"/>
            </w:tcMar>
          </w:tcPr>
          <w:p w14:paraId="2332DD0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0.028</w:t>
            </w:r>
          </w:p>
        </w:tc>
        <w:tc>
          <w:tcPr>
            <w:tcW w:w="745" w:type="dxa"/>
            <w:tcBorders>
              <w:top w:val="nil"/>
              <w:left w:val="nil"/>
              <w:bottom w:val="nil"/>
              <w:right w:val="nil"/>
            </w:tcBorders>
            <w:shd w:val="clear" w:color="auto" w:fill="FFFFFF"/>
            <w:tcMar>
              <w:left w:w="67" w:type="dxa"/>
              <w:right w:w="67" w:type="dxa"/>
            </w:tcMar>
          </w:tcPr>
          <w:p w14:paraId="7155BFA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0.029</w:t>
            </w:r>
          </w:p>
        </w:tc>
        <w:tc>
          <w:tcPr>
            <w:tcW w:w="745" w:type="dxa"/>
            <w:tcBorders>
              <w:top w:val="nil"/>
              <w:left w:val="nil"/>
              <w:bottom w:val="nil"/>
              <w:right w:val="nil"/>
            </w:tcBorders>
            <w:shd w:val="clear" w:color="auto" w:fill="FFFFFF"/>
            <w:tcMar>
              <w:left w:w="67" w:type="dxa"/>
              <w:right w:w="67" w:type="dxa"/>
            </w:tcMar>
          </w:tcPr>
          <w:p w14:paraId="01A6B51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0.031</w:t>
            </w:r>
          </w:p>
        </w:tc>
        <w:tc>
          <w:tcPr>
            <w:tcW w:w="745" w:type="dxa"/>
            <w:tcBorders>
              <w:top w:val="nil"/>
              <w:left w:val="nil"/>
              <w:bottom w:val="nil"/>
              <w:right w:val="nil"/>
            </w:tcBorders>
            <w:shd w:val="clear" w:color="auto" w:fill="FFFFFF"/>
            <w:tcMar>
              <w:left w:w="67" w:type="dxa"/>
              <w:right w:w="67" w:type="dxa"/>
            </w:tcMar>
          </w:tcPr>
          <w:p w14:paraId="737E5FE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0.033</w:t>
            </w:r>
          </w:p>
        </w:tc>
        <w:tc>
          <w:tcPr>
            <w:tcW w:w="745" w:type="dxa"/>
            <w:tcBorders>
              <w:top w:val="nil"/>
              <w:left w:val="nil"/>
              <w:bottom w:val="nil"/>
              <w:right w:val="nil"/>
            </w:tcBorders>
            <w:shd w:val="clear" w:color="auto" w:fill="FFFFFF"/>
            <w:tcMar>
              <w:left w:w="67" w:type="dxa"/>
              <w:right w:w="67" w:type="dxa"/>
            </w:tcMar>
          </w:tcPr>
          <w:p w14:paraId="52327A0F"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0.036</w:t>
            </w:r>
          </w:p>
        </w:tc>
        <w:tc>
          <w:tcPr>
            <w:tcW w:w="745" w:type="dxa"/>
            <w:tcBorders>
              <w:top w:val="nil"/>
              <w:left w:val="nil"/>
              <w:bottom w:val="nil"/>
              <w:right w:val="single" w:sz="4" w:space="0" w:color="auto"/>
            </w:tcBorders>
            <w:shd w:val="clear" w:color="auto" w:fill="FFFFFF"/>
            <w:tcMar>
              <w:left w:w="67" w:type="dxa"/>
              <w:right w:w="67" w:type="dxa"/>
            </w:tcMar>
          </w:tcPr>
          <w:p w14:paraId="758185F6"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0.039</w:t>
            </w:r>
          </w:p>
        </w:tc>
      </w:tr>
      <w:tr w:rsidR="00E07CDE" w:rsidRPr="00563AD3" w14:paraId="2C524DDD"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7CC8AD33"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-5</w:t>
            </w:r>
          </w:p>
        </w:tc>
        <w:tc>
          <w:tcPr>
            <w:tcW w:w="745" w:type="dxa"/>
            <w:tcBorders>
              <w:top w:val="nil"/>
              <w:left w:val="nil"/>
              <w:bottom w:val="nil"/>
              <w:right w:val="nil"/>
            </w:tcBorders>
            <w:shd w:val="clear" w:color="auto" w:fill="FFFFFF"/>
            <w:tcMar>
              <w:left w:w="67" w:type="dxa"/>
              <w:right w:w="67" w:type="dxa"/>
            </w:tcMar>
          </w:tcPr>
          <w:p w14:paraId="39A96BF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0.041</w:t>
            </w:r>
          </w:p>
        </w:tc>
        <w:tc>
          <w:tcPr>
            <w:tcW w:w="745" w:type="dxa"/>
            <w:tcBorders>
              <w:top w:val="nil"/>
              <w:left w:val="nil"/>
              <w:bottom w:val="nil"/>
              <w:right w:val="nil"/>
            </w:tcBorders>
            <w:shd w:val="clear" w:color="auto" w:fill="FFFFFF"/>
            <w:tcMar>
              <w:left w:w="67" w:type="dxa"/>
              <w:right w:w="67" w:type="dxa"/>
            </w:tcMar>
          </w:tcPr>
          <w:p w14:paraId="339FFF6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0.038</w:t>
            </w:r>
          </w:p>
        </w:tc>
        <w:tc>
          <w:tcPr>
            <w:tcW w:w="745" w:type="dxa"/>
            <w:tcBorders>
              <w:top w:val="nil"/>
              <w:left w:val="nil"/>
              <w:bottom w:val="nil"/>
              <w:right w:val="nil"/>
            </w:tcBorders>
            <w:shd w:val="clear" w:color="auto" w:fill="FFFFFF"/>
            <w:tcMar>
              <w:left w:w="67" w:type="dxa"/>
              <w:right w:w="67" w:type="dxa"/>
            </w:tcMar>
          </w:tcPr>
          <w:p w14:paraId="1C160B5B"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0.036</w:t>
            </w:r>
          </w:p>
        </w:tc>
        <w:tc>
          <w:tcPr>
            <w:tcW w:w="745" w:type="dxa"/>
            <w:tcBorders>
              <w:top w:val="nil"/>
              <w:left w:val="nil"/>
              <w:bottom w:val="nil"/>
              <w:right w:val="nil"/>
            </w:tcBorders>
            <w:shd w:val="clear" w:color="auto" w:fill="FFFFFF"/>
            <w:tcMar>
              <w:left w:w="67" w:type="dxa"/>
              <w:right w:w="67" w:type="dxa"/>
            </w:tcMar>
          </w:tcPr>
          <w:p w14:paraId="14BE5BFB"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0.034</w:t>
            </w:r>
          </w:p>
        </w:tc>
        <w:tc>
          <w:tcPr>
            <w:tcW w:w="745" w:type="dxa"/>
            <w:tcBorders>
              <w:top w:val="nil"/>
              <w:left w:val="nil"/>
              <w:bottom w:val="nil"/>
              <w:right w:val="nil"/>
            </w:tcBorders>
            <w:shd w:val="clear" w:color="auto" w:fill="FFFFFF"/>
            <w:tcMar>
              <w:left w:w="67" w:type="dxa"/>
              <w:right w:w="67" w:type="dxa"/>
            </w:tcMar>
          </w:tcPr>
          <w:p w14:paraId="65DB6F5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0.032</w:t>
            </w:r>
          </w:p>
        </w:tc>
        <w:tc>
          <w:tcPr>
            <w:tcW w:w="745" w:type="dxa"/>
            <w:tcBorders>
              <w:top w:val="nil"/>
              <w:left w:val="nil"/>
              <w:bottom w:val="nil"/>
              <w:right w:val="nil"/>
            </w:tcBorders>
            <w:shd w:val="clear" w:color="auto" w:fill="FFFFFF"/>
            <w:tcMar>
              <w:left w:w="67" w:type="dxa"/>
              <w:right w:w="67" w:type="dxa"/>
            </w:tcMar>
          </w:tcPr>
          <w:p w14:paraId="2E4A6D0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0.031</w:t>
            </w:r>
          </w:p>
        </w:tc>
        <w:tc>
          <w:tcPr>
            <w:tcW w:w="745" w:type="dxa"/>
            <w:tcBorders>
              <w:top w:val="nil"/>
              <w:left w:val="nil"/>
              <w:bottom w:val="nil"/>
              <w:right w:val="nil"/>
            </w:tcBorders>
            <w:shd w:val="clear" w:color="auto" w:fill="FFFFFF"/>
            <w:tcMar>
              <w:left w:w="67" w:type="dxa"/>
              <w:right w:w="67" w:type="dxa"/>
            </w:tcMar>
          </w:tcPr>
          <w:p w14:paraId="7845E0B6"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w:t>
            </w:r>
          </w:p>
        </w:tc>
        <w:tc>
          <w:tcPr>
            <w:tcW w:w="745" w:type="dxa"/>
            <w:tcBorders>
              <w:top w:val="nil"/>
              <w:left w:val="nil"/>
              <w:bottom w:val="nil"/>
              <w:right w:val="nil"/>
            </w:tcBorders>
            <w:shd w:val="clear" w:color="auto" w:fill="FFFFFF"/>
            <w:tcMar>
              <w:left w:w="67" w:type="dxa"/>
              <w:right w:w="67" w:type="dxa"/>
            </w:tcMar>
          </w:tcPr>
          <w:p w14:paraId="2BCA9C4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0.029</w:t>
            </w:r>
          </w:p>
        </w:tc>
        <w:tc>
          <w:tcPr>
            <w:tcW w:w="745" w:type="dxa"/>
            <w:tcBorders>
              <w:top w:val="nil"/>
              <w:left w:val="nil"/>
              <w:bottom w:val="nil"/>
              <w:right w:val="nil"/>
            </w:tcBorders>
            <w:shd w:val="clear" w:color="auto" w:fill="FFFFFF"/>
            <w:tcMar>
              <w:left w:w="67" w:type="dxa"/>
              <w:right w:w="67" w:type="dxa"/>
            </w:tcMar>
          </w:tcPr>
          <w:p w14:paraId="16DA3AD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0.029</w:t>
            </w:r>
          </w:p>
        </w:tc>
        <w:tc>
          <w:tcPr>
            <w:tcW w:w="745" w:type="dxa"/>
            <w:tcBorders>
              <w:top w:val="nil"/>
              <w:left w:val="nil"/>
              <w:bottom w:val="nil"/>
              <w:right w:val="nil"/>
            </w:tcBorders>
            <w:shd w:val="clear" w:color="auto" w:fill="FFFFFF"/>
            <w:tcMar>
              <w:left w:w="67" w:type="dxa"/>
              <w:right w:w="67" w:type="dxa"/>
            </w:tcMar>
          </w:tcPr>
          <w:p w14:paraId="4D111FC7"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0.029</w:t>
            </w:r>
          </w:p>
        </w:tc>
        <w:tc>
          <w:tcPr>
            <w:tcW w:w="745" w:type="dxa"/>
            <w:tcBorders>
              <w:top w:val="nil"/>
              <w:left w:val="nil"/>
              <w:bottom w:val="nil"/>
              <w:right w:val="nil"/>
            </w:tcBorders>
            <w:shd w:val="clear" w:color="auto" w:fill="FFFFFF"/>
            <w:tcMar>
              <w:left w:w="67" w:type="dxa"/>
              <w:right w:w="67" w:type="dxa"/>
            </w:tcMar>
          </w:tcPr>
          <w:p w14:paraId="24FCF9E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0.029</w:t>
            </w:r>
          </w:p>
        </w:tc>
        <w:tc>
          <w:tcPr>
            <w:tcW w:w="745" w:type="dxa"/>
            <w:tcBorders>
              <w:top w:val="nil"/>
              <w:left w:val="nil"/>
              <w:bottom w:val="nil"/>
              <w:right w:val="nil"/>
            </w:tcBorders>
            <w:shd w:val="clear" w:color="auto" w:fill="FFFFFF"/>
            <w:tcMar>
              <w:left w:w="67" w:type="dxa"/>
              <w:right w:w="67" w:type="dxa"/>
            </w:tcMar>
          </w:tcPr>
          <w:p w14:paraId="180CAA67"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w:t>
            </w:r>
          </w:p>
        </w:tc>
        <w:tc>
          <w:tcPr>
            <w:tcW w:w="745" w:type="dxa"/>
            <w:tcBorders>
              <w:top w:val="nil"/>
              <w:left w:val="nil"/>
              <w:bottom w:val="nil"/>
              <w:right w:val="nil"/>
            </w:tcBorders>
            <w:shd w:val="clear" w:color="auto" w:fill="FFFFFF"/>
            <w:tcMar>
              <w:left w:w="67" w:type="dxa"/>
              <w:right w:w="67" w:type="dxa"/>
            </w:tcMar>
          </w:tcPr>
          <w:p w14:paraId="38F1F8D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0.032</w:t>
            </w:r>
          </w:p>
        </w:tc>
        <w:tc>
          <w:tcPr>
            <w:tcW w:w="745" w:type="dxa"/>
            <w:tcBorders>
              <w:top w:val="nil"/>
              <w:left w:val="nil"/>
              <w:bottom w:val="nil"/>
              <w:right w:val="nil"/>
            </w:tcBorders>
            <w:shd w:val="clear" w:color="auto" w:fill="FFFFFF"/>
            <w:tcMar>
              <w:left w:w="67" w:type="dxa"/>
              <w:right w:w="67" w:type="dxa"/>
            </w:tcMar>
          </w:tcPr>
          <w:p w14:paraId="35E39477"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0.033</w:t>
            </w:r>
          </w:p>
        </w:tc>
        <w:tc>
          <w:tcPr>
            <w:tcW w:w="745" w:type="dxa"/>
            <w:tcBorders>
              <w:top w:val="nil"/>
              <w:left w:val="nil"/>
              <w:bottom w:val="nil"/>
              <w:right w:val="nil"/>
            </w:tcBorders>
            <w:shd w:val="clear" w:color="auto" w:fill="FFFFFF"/>
            <w:tcMar>
              <w:left w:w="67" w:type="dxa"/>
              <w:right w:w="67" w:type="dxa"/>
            </w:tcMar>
          </w:tcPr>
          <w:p w14:paraId="76C35C97"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0.036</w:t>
            </w:r>
          </w:p>
        </w:tc>
        <w:tc>
          <w:tcPr>
            <w:tcW w:w="745" w:type="dxa"/>
            <w:tcBorders>
              <w:top w:val="nil"/>
              <w:left w:val="nil"/>
              <w:bottom w:val="nil"/>
              <w:right w:val="nil"/>
            </w:tcBorders>
            <w:shd w:val="clear" w:color="auto" w:fill="FFFFFF"/>
            <w:tcMar>
              <w:left w:w="67" w:type="dxa"/>
              <w:right w:w="67" w:type="dxa"/>
            </w:tcMar>
          </w:tcPr>
          <w:p w14:paraId="3FC3F202"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0.038</w:t>
            </w:r>
          </w:p>
        </w:tc>
        <w:tc>
          <w:tcPr>
            <w:tcW w:w="745" w:type="dxa"/>
            <w:tcBorders>
              <w:top w:val="nil"/>
              <w:left w:val="nil"/>
              <w:bottom w:val="nil"/>
              <w:right w:val="single" w:sz="4" w:space="0" w:color="auto"/>
            </w:tcBorders>
            <w:shd w:val="clear" w:color="auto" w:fill="FFFFFF"/>
            <w:tcMar>
              <w:left w:w="67" w:type="dxa"/>
              <w:right w:w="67" w:type="dxa"/>
            </w:tcMar>
          </w:tcPr>
          <w:p w14:paraId="5B2818F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0.041</w:t>
            </w:r>
          </w:p>
        </w:tc>
      </w:tr>
      <w:tr w:rsidR="00E07CDE" w:rsidRPr="00563AD3" w14:paraId="0BD19575"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6C81EF79"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0</w:t>
            </w:r>
          </w:p>
        </w:tc>
        <w:tc>
          <w:tcPr>
            <w:tcW w:w="745" w:type="dxa"/>
            <w:tcBorders>
              <w:top w:val="nil"/>
              <w:left w:val="nil"/>
              <w:bottom w:val="nil"/>
              <w:right w:val="nil"/>
            </w:tcBorders>
            <w:shd w:val="clear" w:color="auto" w:fill="FFFFFF"/>
            <w:tcMar>
              <w:left w:w="67" w:type="dxa"/>
              <w:right w:w="67" w:type="dxa"/>
            </w:tcMar>
          </w:tcPr>
          <w:p w14:paraId="4FCCED2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0.044</w:t>
            </w:r>
          </w:p>
        </w:tc>
        <w:tc>
          <w:tcPr>
            <w:tcW w:w="745" w:type="dxa"/>
            <w:tcBorders>
              <w:top w:val="nil"/>
              <w:left w:val="nil"/>
              <w:bottom w:val="nil"/>
              <w:right w:val="nil"/>
            </w:tcBorders>
            <w:shd w:val="clear" w:color="auto" w:fill="FFFFFF"/>
            <w:tcMar>
              <w:left w:w="67" w:type="dxa"/>
              <w:right w:w="67" w:type="dxa"/>
            </w:tcMar>
          </w:tcPr>
          <w:p w14:paraId="03B2656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0.041</w:t>
            </w:r>
          </w:p>
        </w:tc>
        <w:tc>
          <w:tcPr>
            <w:tcW w:w="745" w:type="dxa"/>
            <w:tcBorders>
              <w:top w:val="nil"/>
              <w:left w:val="nil"/>
              <w:bottom w:val="nil"/>
              <w:right w:val="nil"/>
            </w:tcBorders>
            <w:shd w:val="clear" w:color="auto" w:fill="FFFFFF"/>
            <w:tcMar>
              <w:left w:w="67" w:type="dxa"/>
              <w:right w:w="67" w:type="dxa"/>
            </w:tcMar>
          </w:tcPr>
          <w:p w14:paraId="6DE90CC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0.038</w:t>
            </w:r>
          </w:p>
        </w:tc>
        <w:tc>
          <w:tcPr>
            <w:tcW w:w="745" w:type="dxa"/>
            <w:tcBorders>
              <w:top w:val="nil"/>
              <w:left w:val="nil"/>
              <w:bottom w:val="nil"/>
              <w:right w:val="nil"/>
            </w:tcBorders>
            <w:shd w:val="clear" w:color="auto" w:fill="FFFFFF"/>
            <w:tcMar>
              <w:left w:w="67" w:type="dxa"/>
              <w:right w:w="67" w:type="dxa"/>
            </w:tcMar>
          </w:tcPr>
          <w:p w14:paraId="209B87B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0.036</w:t>
            </w:r>
          </w:p>
        </w:tc>
        <w:tc>
          <w:tcPr>
            <w:tcW w:w="745" w:type="dxa"/>
            <w:tcBorders>
              <w:top w:val="nil"/>
              <w:left w:val="nil"/>
              <w:bottom w:val="nil"/>
              <w:right w:val="nil"/>
            </w:tcBorders>
            <w:shd w:val="clear" w:color="auto" w:fill="FFFFFF"/>
            <w:tcMar>
              <w:left w:w="67" w:type="dxa"/>
              <w:right w:w="67" w:type="dxa"/>
            </w:tcMar>
          </w:tcPr>
          <w:p w14:paraId="09B1EFC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0.034</w:t>
            </w:r>
          </w:p>
        </w:tc>
        <w:tc>
          <w:tcPr>
            <w:tcW w:w="745" w:type="dxa"/>
            <w:tcBorders>
              <w:top w:val="nil"/>
              <w:left w:val="nil"/>
              <w:bottom w:val="nil"/>
              <w:right w:val="nil"/>
            </w:tcBorders>
            <w:shd w:val="clear" w:color="auto" w:fill="FFFFFF"/>
            <w:tcMar>
              <w:left w:w="67" w:type="dxa"/>
              <w:right w:w="67" w:type="dxa"/>
            </w:tcMar>
          </w:tcPr>
          <w:p w14:paraId="0A47F0D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0.033</w:t>
            </w:r>
          </w:p>
        </w:tc>
        <w:tc>
          <w:tcPr>
            <w:tcW w:w="745" w:type="dxa"/>
            <w:tcBorders>
              <w:top w:val="nil"/>
              <w:left w:val="nil"/>
              <w:bottom w:val="nil"/>
              <w:right w:val="nil"/>
            </w:tcBorders>
            <w:shd w:val="clear" w:color="auto" w:fill="FFFFFF"/>
            <w:tcMar>
              <w:left w:w="67" w:type="dxa"/>
              <w:right w:w="67" w:type="dxa"/>
            </w:tcMar>
          </w:tcPr>
          <w:p w14:paraId="04EF629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0.032</w:t>
            </w:r>
          </w:p>
        </w:tc>
        <w:tc>
          <w:tcPr>
            <w:tcW w:w="745" w:type="dxa"/>
            <w:tcBorders>
              <w:top w:val="nil"/>
              <w:left w:val="nil"/>
              <w:bottom w:val="nil"/>
              <w:right w:val="nil"/>
            </w:tcBorders>
            <w:shd w:val="clear" w:color="auto" w:fill="FFFFFF"/>
            <w:tcMar>
              <w:left w:w="67" w:type="dxa"/>
              <w:right w:w="67" w:type="dxa"/>
            </w:tcMar>
          </w:tcPr>
          <w:p w14:paraId="6EA6FA3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0.032</w:t>
            </w:r>
          </w:p>
        </w:tc>
        <w:tc>
          <w:tcPr>
            <w:tcW w:w="745" w:type="dxa"/>
            <w:tcBorders>
              <w:top w:val="nil"/>
              <w:left w:val="nil"/>
              <w:bottom w:val="nil"/>
              <w:right w:val="nil"/>
            </w:tcBorders>
            <w:shd w:val="clear" w:color="auto" w:fill="FFFFFF"/>
            <w:tcMar>
              <w:left w:w="67" w:type="dxa"/>
              <w:right w:w="67" w:type="dxa"/>
            </w:tcMar>
          </w:tcPr>
          <w:p w14:paraId="16D95637"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0.031</w:t>
            </w:r>
          </w:p>
        </w:tc>
        <w:tc>
          <w:tcPr>
            <w:tcW w:w="745" w:type="dxa"/>
            <w:tcBorders>
              <w:top w:val="nil"/>
              <w:left w:val="nil"/>
              <w:bottom w:val="nil"/>
              <w:right w:val="nil"/>
            </w:tcBorders>
            <w:shd w:val="clear" w:color="auto" w:fill="FFFFFF"/>
            <w:tcMar>
              <w:left w:w="67" w:type="dxa"/>
              <w:right w:w="67" w:type="dxa"/>
            </w:tcMar>
          </w:tcPr>
          <w:p w14:paraId="2ACD2DCF"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0.031</w:t>
            </w:r>
          </w:p>
        </w:tc>
        <w:tc>
          <w:tcPr>
            <w:tcW w:w="745" w:type="dxa"/>
            <w:tcBorders>
              <w:top w:val="nil"/>
              <w:left w:val="nil"/>
              <w:bottom w:val="nil"/>
              <w:right w:val="nil"/>
            </w:tcBorders>
            <w:shd w:val="clear" w:color="auto" w:fill="FFFFFF"/>
            <w:tcMar>
              <w:left w:w="67" w:type="dxa"/>
              <w:right w:w="67" w:type="dxa"/>
            </w:tcMar>
          </w:tcPr>
          <w:p w14:paraId="1C633006"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0.032</w:t>
            </w:r>
          </w:p>
        </w:tc>
        <w:tc>
          <w:tcPr>
            <w:tcW w:w="745" w:type="dxa"/>
            <w:tcBorders>
              <w:top w:val="nil"/>
              <w:left w:val="nil"/>
              <w:bottom w:val="nil"/>
              <w:right w:val="nil"/>
            </w:tcBorders>
            <w:shd w:val="clear" w:color="auto" w:fill="FFFFFF"/>
            <w:tcMar>
              <w:left w:w="67" w:type="dxa"/>
              <w:right w:w="67" w:type="dxa"/>
            </w:tcMar>
          </w:tcPr>
          <w:p w14:paraId="2436172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0.033</w:t>
            </w:r>
          </w:p>
        </w:tc>
        <w:tc>
          <w:tcPr>
            <w:tcW w:w="745" w:type="dxa"/>
            <w:tcBorders>
              <w:top w:val="nil"/>
              <w:left w:val="nil"/>
              <w:bottom w:val="nil"/>
              <w:right w:val="nil"/>
            </w:tcBorders>
            <w:shd w:val="clear" w:color="auto" w:fill="FFFFFF"/>
            <w:tcMar>
              <w:left w:w="67" w:type="dxa"/>
              <w:right w:w="67" w:type="dxa"/>
            </w:tcMar>
          </w:tcPr>
          <w:p w14:paraId="4A22AC6D"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0.034</w:t>
            </w:r>
          </w:p>
        </w:tc>
        <w:tc>
          <w:tcPr>
            <w:tcW w:w="745" w:type="dxa"/>
            <w:tcBorders>
              <w:top w:val="nil"/>
              <w:left w:val="nil"/>
              <w:bottom w:val="nil"/>
              <w:right w:val="nil"/>
            </w:tcBorders>
            <w:shd w:val="clear" w:color="auto" w:fill="FFFFFF"/>
            <w:tcMar>
              <w:left w:w="67" w:type="dxa"/>
              <w:right w:w="67" w:type="dxa"/>
            </w:tcMar>
          </w:tcPr>
          <w:p w14:paraId="2F3D9E1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0.036</w:t>
            </w:r>
          </w:p>
        </w:tc>
        <w:tc>
          <w:tcPr>
            <w:tcW w:w="745" w:type="dxa"/>
            <w:tcBorders>
              <w:top w:val="nil"/>
              <w:left w:val="nil"/>
              <w:bottom w:val="nil"/>
              <w:right w:val="nil"/>
            </w:tcBorders>
            <w:shd w:val="clear" w:color="auto" w:fill="FFFFFF"/>
            <w:tcMar>
              <w:left w:w="67" w:type="dxa"/>
              <w:right w:w="67" w:type="dxa"/>
            </w:tcMar>
          </w:tcPr>
          <w:p w14:paraId="69E7106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0.038</w:t>
            </w:r>
          </w:p>
        </w:tc>
        <w:tc>
          <w:tcPr>
            <w:tcW w:w="745" w:type="dxa"/>
            <w:tcBorders>
              <w:top w:val="nil"/>
              <w:left w:val="nil"/>
              <w:bottom w:val="nil"/>
              <w:right w:val="nil"/>
            </w:tcBorders>
            <w:shd w:val="clear" w:color="auto" w:fill="FFFFFF"/>
            <w:tcMar>
              <w:left w:w="67" w:type="dxa"/>
              <w:right w:w="67" w:type="dxa"/>
            </w:tcMar>
          </w:tcPr>
          <w:p w14:paraId="606C3746"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0.041</w:t>
            </w:r>
          </w:p>
        </w:tc>
        <w:tc>
          <w:tcPr>
            <w:tcW w:w="745" w:type="dxa"/>
            <w:tcBorders>
              <w:top w:val="nil"/>
              <w:left w:val="nil"/>
              <w:bottom w:val="nil"/>
              <w:right w:val="single" w:sz="4" w:space="0" w:color="auto"/>
            </w:tcBorders>
            <w:shd w:val="clear" w:color="auto" w:fill="FFFFFF"/>
            <w:tcMar>
              <w:left w:w="67" w:type="dxa"/>
              <w:right w:w="67" w:type="dxa"/>
            </w:tcMar>
          </w:tcPr>
          <w:p w14:paraId="329150B2"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0.044</w:t>
            </w:r>
          </w:p>
        </w:tc>
      </w:tr>
      <w:tr w:rsidR="00E07CDE" w:rsidRPr="00563AD3" w14:paraId="70F4E48C"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025F665A"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5</w:t>
            </w:r>
          </w:p>
        </w:tc>
        <w:tc>
          <w:tcPr>
            <w:tcW w:w="745" w:type="dxa"/>
            <w:tcBorders>
              <w:top w:val="nil"/>
              <w:left w:val="nil"/>
              <w:bottom w:val="nil"/>
              <w:right w:val="nil"/>
            </w:tcBorders>
            <w:shd w:val="clear" w:color="auto" w:fill="FFFFFF"/>
            <w:tcMar>
              <w:left w:w="67" w:type="dxa"/>
              <w:right w:w="67" w:type="dxa"/>
            </w:tcMar>
          </w:tcPr>
          <w:p w14:paraId="20E62AB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0.047</w:t>
            </w:r>
          </w:p>
        </w:tc>
        <w:tc>
          <w:tcPr>
            <w:tcW w:w="745" w:type="dxa"/>
            <w:tcBorders>
              <w:top w:val="nil"/>
              <w:left w:val="nil"/>
              <w:bottom w:val="nil"/>
              <w:right w:val="nil"/>
            </w:tcBorders>
            <w:shd w:val="clear" w:color="auto" w:fill="FFFFFF"/>
            <w:tcMar>
              <w:left w:w="67" w:type="dxa"/>
              <w:right w:w="67" w:type="dxa"/>
            </w:tcMar>
          </w:tcPr>
          <w:p w14:paraId="3900914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0.044</w:t>
            </w:r>
          </w:p>
        </w:tc>
        <w:tc>
          <w:tcPr>
            <w:tcW w:w="745" w:type="dxa"/>
            <w:tcBorders>
              <w:top w:val="nil"/>
              <w:left w:val="nil"/>
              <w:bottom w:val="nil"/>
              <w:right w:val="nil"/>
            </w:tcBorders>
            <w:shd w:val="clear" w:color="auto" w:fill="FFFFFF"/>
            <w:tcMar>
              <w:left w:w="67" w:type="dxa"/>
              <w:right w:w="67" w:type="dxa"/>
            </w:tcMar>
          </w:tcPr>
          <w:p w14:paraId="65D264D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0.041</w:t>
            </w:r>
          </w:p>
        </w:tc>
        <w:tc>
          <w:tcPr>
            <w:tcW w:w="745" w:type="dxa"/>
            <w:tcBorders>
              <w:top w:val="nil"/>
              <w:left w:val="nil"/>
              <w:bottom w:val="nil"/>
              <w:right w:val="nil"/>
            </w:tcBorders>
            <w:shd w:val="clear" w:color="auto" w:fill="FFFFFF"/>
            <w:tcMar>
              <w:left w:w="67" w:type="dxa"/>
              <w:right w:w="67" w:type="dxa"/>
            </w:tcMar>
          </w:tcPr>
          <w:p w14:paraId="5373D60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0.039</w:t>
            </w:r>
          </w:p>
        </w:tc>
        <w:tc>
          <w:tcPr>
            <w:tcW w:w="745" w:type="dxa"/>
            <w:tcBorders>
              <w:top w:val="nil"/>
              <w:left w:val="nil"/>
              <w:bottom w:val="nil"/>
              <w:right w:val="nil"/>
            </w:tcBorders>
            <w:shd w:val="clear" w:color="auto" w:fill="FFFFFF"/>
            <w:tcMar>
              <w:left w:w="67" w:type="dxa"/>
              <w:right w:w="67" w:type="dxa"/>
            </w:tcMar>
          </w:tcPr>
          <w:p w14:paraId="1DE7051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0.037</w:t>
            </w:r>
          </w:p>
        </w:tc>
        <w:tc>
          <w:tcPr>
            <w:tcW w:w="745" w:type="dxa"/>
            <w:tcBorders>
              <w:top w:val="nil"/>
              <w:left w:val="nil"/>
              <w:bottom w:val="nil"/>
              <w:right w:val="nil"/>
            </w:tcBorders>
            <w:shd w:val="clear" w:color="auto" w:fill="FFFFFF"/>
            <w:tcMar>
              <w:left w:w="67" w:type="dxa"/>
              <w:right w:w="67" w:type="dxa"/>
            </w:tcMar>
          </w:tcPr>
          <w:p w14:paraId="42BC0E50"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0.036</w:t>
            </w:r>
          </w:p>
        </w:tc>
        <w:tc>
          <w:tcPr>
            <w:tcW w:w="745" w:type="dxa"/>
            <w:tcBorders>
              <w:top w:val="nil"/>
              <w:left w:val="nil"/>
              <w:bottom w:val="nil"/>
              <w:right w:val="nil"/>
            </w:tcBorders>
            <w:shd w:val="clear" w:color="auto" w:fill="FFFFFF"/>
            <w:tcMar>
              <w:left w:w="67" w:type="dxa"/>
              <w:right w:w="67" w:type="dxa"/>
            </w:tcMar>
          </w:tcPr>
          <w:p w14:paraId="437DF8A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0.035</w:t>
            </w:r>
          </w:p>
        </w:tc>
        <w:tc>
          <w:tcPr>
            <w:tcW w:w="745" w:type="dxa"/>
            <w:tcBorders>
              <w:top w:val="nil"/>
              <w:left w:val="nil"/>
              <w:bottom w:val="nil"/>
              <w:right w:val="nil"/>
            </w:tcBorders>
            <w:shd w:val="clear" w:color="auto" w:fill="FFFFFF"/>
            <w:tcMar>
              <w:left w:w="67" w:type="dxa"/>
              <w:right w:w="67" w:type="dxa"/>
            </w:tcMar>
          </w:tcPr>
          <w:p w14:paraId="52B9774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0.034</w:t>
            </w:r>
          </w:p>
        </w:tc>
        <w:tc>
          <w:tcPr>
            <w:tcW w:w="745" w:type="dxa"/>
            <w:tcBorders>
              <w:top w:val="nil"/>
              <w:left w:val="nil"/>
              <w:bottom w:val="nil"/>
              <w:right w:val="nil"/>
            </w:tcBorders>
            <w:shd w:val="clear" w:color="auto" w:fill="FFFFFF"/>
            <w:tcMar>
              <w:left w:w="67" w:type="dxa"/>
              <w:right w:w="67" w:type="dxa"/>
            </w:tcMar>
          </w:tcPr>
          <w:p w14:paraId="30220A1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0.034</w:t>
            </w:r>
          </w:p>
        </w:tc>
        <w:tc>
          <w:tcPr>
            <w:tcW w:w="745" w:type="dxa"/>
            <w:tcBorders>
              <w:top w:val="nil"/>
              <w:left w:val="nil"/>
              <w:bottom w:val="nil"/>
              <w:right w:val="nil"/>
            </w:tcBorders>
            <w:shd w:val="clear" w:color="auto" w:fill="FFFFFF"/>
            <w:tcMar>
              <w:left w:w="67" w:type="dxa"/>
              <w:right w:w="67" w:type="dxa"/>
            </w:tcMar>
          </w:tcPr>
          <w:p w14:paraId="24E983F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0.034</w:t>
            </w:r>
          </w:p>
        </w:tc>
        <w:tc>
          <w:tcPr>
            <w:tcW w:w="745" w:type="dxa"/>
            <w:tcBorders>
              <w:top w:val="nil"/>
              <w:left w:val="nil"/>
              <w:bottom w:val="nil"/>
              <w:right w:val="nil"/>
            </w:tcBorders>
            <w:shd w:val="clear" w:color="auto" w:fill="FFFFFF"/>
            <w:tcMar>
              <w:left w:w="67" w:type="dxa"/>
              <w:right w:w="67" w:type="dxa"/>
            </w:tcMar>
          </w:tcPr>
          <w:p w14:paraId="2D77BD3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0.035</w:t>
            </w:r>
          </w:p>
        </w:tc>
        <w:tc>
          <w:tcPr>
            <w:tcW w:w="745" w:type="dxa"/>
            <w:tcBorders>
              <w:top w:val="nil"/>
              <w:left w:val="nil"/>
              <w:bottom w:val="nil"/>
              <w:right w:val="nil"/>
            </w:tcBorders>
            <w:shd w:val="clear" w:color="auto" w:fill="FFFFFF"/>
            <w:tcMar>
              <w:left w:w="67" w:type="dxa"/>
              <w:right w:w="67" w:type="dxa"/>
            </w:tcMar>
          </w:tcPr>
          <w:p w14:paraId="65A2F32B"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0.036</w:t>
            </w:r>
          </w:p>
        </w:tc>
        <w:tc>
          <w:tcPr>
            <w:tcW w:w="745" w:type="dxa"/>
            <w:tcBorders>
              <w:top w:val="nil"/>
              <w:left w:val="nil"/>
              <w:bottom w:val="nil"/>
              <w:right w:val="nil"/>
            </w:tcBorders>
            <w:shd w:val="clear" w:color="auto" w:fill="FFFFFF"/>
            <w:tcMar>
              <w:left w:w="67" w:type="dxa"/>
              <w:right w:w="67" w:type="dxa"/>
            </w:tcMar>
          </w:tcPr>
          <w:p w14:paraId="3757B30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0.037</w:t>
            </w:r>
          </w:p>
        </w:tc>
        <w:tc>
          <w:tcPr>
            <w:tcW w:w="745" w:type="dxa"/>
            <w:tcBorders>
              <w:top w:val="nil"/>
              <w:left w:val="nil"/>
              <w:bottom w:val="nil"/>
              <w:right w:val="nil"/>
            </w:tcBorders>
            <w:shd w:val="clear" w:color="auto" w:fill="FFFFFF"/>
            <w:tcMar>
              <w:left w:w="67" w:type="dxa"/>
              <w:right w:w="67" w:type="dxa"/>
            </w:tcMar>
          </w:tcPr>
          <w:p w14:paraId="3A7CF24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0.039</w:t>
            </w:r>
          </w:p>
        </w:tc>
        <w:tc>
          <w:tcPr>
            <w:tcW w:w="745" w:type="dxa"/>
            <w:tcBorders>
              <w:top w:val="nil"/>
              <w:left w:val="nil"/>
              <w:bottom w:val="nil"/>
              <w:right w:val="nil"/>
            </w:tcBorders>
            <w:shd w:val="clear" w:color="auto" w:fill="FFFFFF"/>
            <w:tcMar>
              <w:left w:w="67" w:type="dxa"/>
              <w:right w:w="67" w:type="dxa"/>
            </w:tcMar>
          </w:tcPr>
          <w:p w14:paraId="666797F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0.041</w:t>
            </w:r>
          </w:p>
        </w:tc>
        <w:tc>
          <w:tcPr>
            <w:tcW w:w="745" w:type="dxa"/>
            <w:tcBorders>
              <w:top w:val="nil"/>
              <w:left w:val="nil"/>
              <w:bottom w:val="nil"/>
              <w:right w:val="nil"/>
            </w:tcBorders>
            <w:shd w:val="clear" w:color="auto" w:fill="FFFFFF"/>
            <w:tcMar>
              <w:left w:w="67" w:type="dxa"/>
              <w:right w:w="67" w:type="dxa"/>
            </w:tcMar>
          </w:tcPr>
          <w:p w14:paraId="2F3D901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0.044</w:t>
            </w:r>
          </w:p>
        </w:tc>
        <w:tc>
          <w:tcPr>
            <w:tcW w:w="745" w:type="dxa"/>
            <w:tcBorders>
              <w:top w:val="nil"/>
              <w:left w:val="nil"/>
              <w:bottom w:val="nil"/>
              <w:right w:val="single" w:sz="4" w:space="0" w:color="auto"/>
            </w:tcBorders>
            <w:shd w:val="clear" w:color="auto" w:fill="FFFFFF"/>
            <w:tcMar>
              <w:left w:w="67" w:type="dxa"/>
              <w:right w:w="67" w:type="dxa"/>
            </w:tcMar>
          </w:tcPr>
          <w:p w14:paraId="67CE508B"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0.048</w:t>
            </w:r>
          </w:p>
        </w:tc>
      </w:tr>
      <w:tr w:rsidR="00E07CDE" w:rsidRPr="00563AD3" w14:paraId="4646B6E6"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7DF0B8F4"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10</w:t>
            </w:r>
          </w:p>
        </w:tc>
        <w:tc>
          <w:tcPr>
            <w:tcW w:w="745" w:type="dxa"/>
            <w:tcBorders>
              <w:top w:val="nil"/>
              <w:left w:val="nil"/>
              <w:bottom w:val="nil"/>
              <w:right w:val="nil"/>
            </w:tcBorders>
            <w:shd w:val="clear" w:color="auto" w:fill="FFFFFF"/>
            <w:tcMar>
              <w:left w:w="67" w:type="dxa"/>
              <w:right w:w="67" w:type="dxa"/>
            </w:tcMar>
          </w:tcPr>
          <w:p w14:paraId="16F470A3"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w:t>
            </w:r>
          </w:p>
        </w:tc>
        <w:tc>
          <w:tcPr>
            <w:tcW w:w="745" w:type="dxa"/>
            <w:tcBorders>
              <w:top w:val="nil"/>
              <w:left w:val="nil"/>
              <w:bottom w:val="nil"/>
              <w:right w:val="nil"/>
            </w:tcBorders>
            <w:shd w:val="clear" w:color="auto" w:fill="FFFFFF"/>
            <w:tcMar>
              <w:left w:w="67" w:type="dxa"/>
              <w:right w:w="67" w:type="dxa"/>
            </w:tcMar>
          </w:tcPr>
          <w:p w14:paraId="3A91EAC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0.047</w:t>
            </w:r>
          </w:p>
        </w:tc>
        <w:tc>
          <w:tcPr>
            <w:tcW w:w="745" w:type="dxa"/>
            <w:tcBorders>
              <w:top w:val="nil"/>
              <w:left w:val="nil"/>
              <w:bottom w:val="nil"/>
              <w:right w:val="nil"/>
            </w:tcBorders>
            <w:shd w:val="clear" w:color="auto" w:fill="FFFFFF"/>
            <w:tcMar>
              <w:left w:w="67" w:type="dxa"/>
              <w:right w:w="67" w:type="dxa"/>
            </w:tcMar>
          </w:tcPr>
          <w:p w14:paraId="0AE83AF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0.045</w:t>
            </w:r>
          </w:p>
        </w:tc>
        <w:tc>
          <w:tcPr>
            <w:tcW w:w="745" w:type="dxa"/>
            <w:tcBorders>
              <w:top w:val="nil"/>
              <w:left w:val="nil"/>
              <w:bottom w:val="nil"/>
              <w:right w:val="nil"/>
            </w:tcBorders>
            <w:shd w:val="clear" w:color="auto" w:fill="FFFFFF"/>
            <w:tcMar>
              <w:left w:w="67" w:type="dxa"/>
              <w:right w:w="67" w:type="dxa"/>
            </w:tcMar>
          </w:tcPr>
          <w:p w14:paraId="0A2B06CD"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0.042</w:t>
            </w:r>
          </w:p>
        </w:tc>
        <w:tc>
          <w:tcPr>
            <w:tcW w:w="745" w:type="dxa"/>
            <w:tcBorders>
              <w:top w:val="nil"/>
              <w:left w:val="nil"/>
              <w:bottom w:val="nil"/>
              <w:right w:val="nil"/>
            </w:tcBorders>
            <w:shd w:val="clear" w:color="auto" w:fill="FFFFFF"/>
            <w:tcMar>
              <w:left w:w="67" w:type="dxa"/>
              <w:right w:w="67" w:type="dxa"/>
            </w:tcMar>
          </w:tcPr>
          <w:p w14:paraId="2FB09D9F"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w:t>
            </w:r>
          </w:p>
        </w:tc>
        <w:tc>
          <w:tcPr>
            <w:tcW w:w="745" w:type="dxa"/>
            <w:tcBorders>
              <w:top w:val="nil"/>
              <w:left w:val="nil"/>
              <w:bottom w:val="nil"/>
              <w:right w:val="nil"/>
            </w:tcBorders>
            <w:shd w:val="clear" w:color="auto" w:fill="FFFFFF"/>
            <w:tcMar>
              <w:left w:w="67" w:type="dxa"/>
              <w:right w:w="67" w:type="dxa"/>
            </w:tcMar>
          </w:tcPr>
          <w:p w14:paraId="259BAA9D"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0.039</w:t>
            </w:r>
          </w:p>
        </w:tc>
        <w:tc>
          <w:tcPr>
            <w:tcW w:w="745" w:type="dxa"/>
            <w:tcBorders>
              <w:top w:val="nil"/>
              <w:left w:val="nil"/>
              <w:bottom w:val="nil"/>
              <w:right w:val="nil"/>
            </w:tcBorders>
            <w:shd w:val="clear" w:color="auto" w:fill="FFFFFF"/>
            <w:tcMar>
              <w:left w:w="67" w:type="dxa"/>
              <w:right w:w="67" w:type="dxa"/>
            </w:tcMar>
          </w:tcPr>
          <w:p w14:paraId="5FED184F"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0.038</w:t>
            </w:r>
          </w:p>
        </w:tc>
        <w:tc>
          <w:tcPr>
            <w:tcW w:w="745" w:type="dxa"/>
            <w:tcBorders>
              <w:top w:val="nil"/>
              <w:left w:val="nil"/>
              <w:bottom w:val="nil"/>
              <w:right w:val="nil"/>
            </w:tcBorders>
            <w:shd w:val="clear" w:color="auto" w:fill="FFFFFF"/>
            <w:tcMar>
              <w:left w:w="67" w:type="dxa"/>
              <w:right w:w="67" w:type="dxa"/>
            </w:tcMar>
          </w:tcPr>
          <w:p w14:paraId="25CA6F4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0.037</w:t>
            </w:r>
          </w:p>
        </w:tc>
        <w:tc>
          <w:tcPr>
            <w:tcW w:w="745" w:type="dxa"/>
            <w:tcBorders>
              <w:top w:val="nil"/>
              <w:left w:val="nil"/>
              <w:bottom w:val="nil"/>
              <w:right w:val="nil"/>
            </w:tcBorders>
            <w:shd w:val="clear" w:color="auto" w:fill="FFFFFF"/>
            <w:tcMar>
              <w:left w:w="67" w:type="dxa"/>
              <w:right w:w="67" w:type="dxa"/>
            </w:tcMar>
          </w:tcPr>
          <w:p w14:paraId="621BFC2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0.037</w:t>
            </w:r>
          </w:p>
        </w:tc>
        <w:tc>
          <w:tcPr>
            <w:tcW w:w="745" w:type="dxa"/>
            <w:tcBorders>
              <w:top w:val="nil"/>
              <w:left w:val="nil"/>
              <w:bottom w:val="nil"/>
              <w:right w:val="nil"/>
            </w:tcBorders>
            <w:shd w:val="clear" w:color="auto" w:fill="FFFFFF"/>
            <w:tcMar>
              <w:left w:w="67" w:type="dxa"/>
              <w:right w:w="67" w:type="dxa"/>
            </w:tcMar>
          </w:tcPr>
          <w:p w14:paraId="66A5BD62"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0.037</w:t>
            </w:r>
          </w:p>
        </w:tc>
        <w:tc>
          <w:tcPr>
            <w:tcW w:w="745" w:type="dxa"/>
            <w:tcBorders>
              <w:top w:val="nil"/>
              <w:left w:val="nil"/>
              <w:bottom w:val="nil"/>
              <w:right w:val="nil"/>
            </w:tcBorders>
            <w:shd w:val="clear" w:color="auto" w:fill="FFFFFF"/>
            <w:tcMar>
              <w:left w:w="67" w:type="dxa"/>
              <w:right w:w="67" w:type="dxa"/>
            </w:tcMar>
          </w:tcPr>
          <w:p w14:paraId="7F5F488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0.038</w:t>
            </w:r>
          </w:p>
        </w:tc>
        <w:tc>
          <w:tcPr>
            <w:tcW w:w="745" w:type="dxa"/>
            <w:tcBorders>
              <w:top w:val="nil"/>
              <w:left w:val="nil"/>
              <w:bottom w:val="nil"/>
              <w:right w:val="nil"/>
            </w:tcBorders>
            <w:shd w:val="clear" w:color="auto" w:fill="FFFFFF"/>
            <w:tcMar>
              <w:left w:w="67" w:type="dxa"/>
              <w:right w:w="67" w:type="dxa"/>
            </w:tcMar>
          </w:tcPr>
          <w:p w14:paraId="056EE49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0.039</w:t>
            </w:r>
          </w:p>
        </w:tc>
        <w:tc>
          <w:tcPr>
            <w:tcW w:w="745" w:type="dxa"/>
            <w:tcBorders>
              <w:top w:val="nil"/>
              <w:left w:val="nil"/>
              <w:bottom w:val="nil"/>
              <w:right w:val="nil"/>
            </w:tcBorders>
            <w:shd w:val="clear" w:color="auto" w:fill="FFFFFF"/>
            <w:tcMar>
              <w:left w:w="67" w:type="dxa"/>
              <w:right w:w="67" w:type="dxa"/>
            </w:tcMar>
          </w:tcPr>
          <w:p w14:paraId="0A439A6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0.041</w:t>
            </w:r>
          </w:p>
        </w:tc>
        <w:tc>
          <w:tcPr>
            <w:tcW w:w="745" w:type="dxa"/>
            <w:tcBorders>
              <w:top w:val="nil"/>
              <w:left w:val="nil"/>
              <w:bottom w:val="nil"/>
              <w:right w:val="nil"/>
            </w:tcBorders>
            <w:shd w:val="clear" w:color="auto" w:fill="FFFFFF"/>
            <w:tcMar>
              <w:left w:w="67" w:type="dxa"/>
              <w:right w:w="67" w:type="dxa"/>
            </w:tcMar>
          </w:tcPr>
          <w:p w14:paraId="5E87CB7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0.042</w:t>
            </w:r>
          </w:p>
        </w:tc>
        <w:tc>
          <w:tcPr>
            <w:tcW w:w="745" w:type="dxa"/>
            <w:tcBorders>
              <w:top w:val="nil"/>
              <w:left w:val="nil"/>
              <w:bottom w:val="nil"/>
              <w:right w:val="nil"/>
            </w:tcBorders>
            <w:shd w:val="clear" w:color="auto" w:fill="FFFFFF"/>
            <w:tcMar>
              <w:left w:w="67" w:type="dxa"/>
              <w:right w:w="67" w:type="dxa"/>
            </w:tcMar>
          </w:tcPr>
          <w:p w14:paraId="1A968BB3"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0.045</w:t>
            </w:r>
          </w:p>
        </w:tc>
        <w:tc>
          <w:tcPr>
            <w:tcW w:w="745" w:type="dxa"/>
            <w:tcBorders>
              <w:top w:val="nil"/>
              <w:left w:val="nil"/>
              <w:bottom w:val="nil"/>
              <w:right w:val="nil"/>
            </w:tcBorders>
            <w:shd w:val="clear" w:color="auto" w:fill="FFFFFF"/>
            <w:tcMar>
              <w:left w:w="67" w:type="dxa"/>
              <w:right w:w="67" w:type="dxa"/>
            </w:tcMar>
          </w:tcPr>
          <w:p w14:paraId="1C7A0D3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0.048</w:t>
            </w:r>
          </w:p>
        </w:tc>
        <w:tc>
          <w:tcPr>
            <w:tcW w:w="745" w:type="dxa"/>
            <w:tcBorders>
              <w:top w:val="nil"/>
              <w:left w:val="nil"/>
              <w:bottom w:val="nil"/>
              <w:right w:val="single" w:sz="4" w:space="0" w:color="auto"/>
            </w:tcBorders>
            <w:shd w:val="clear" w:color="auto" w:fill="FFFFFF"/>
            <w:tcMar>
              <w:left w:w="67" w:type="dxa"/>
              <w:right w:w="67" w:type="dxa"/>
            </w:tcMar>
          </w:tcPr>
          <w:p w14:paraId="115A0A38"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0.051</w:t>
            </w:r>
          </w:p>
        </w:tc>
      </w:tr>
      <w:tr w:rsidR="00E07CDE" w:rsidRPr="00563AD3" w14:paraId="200616FF"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21E36402"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15</w:t>
            </w:r>
          </w:p>
        </w:tc>
        <w:tc>
          <w:tcPr>
            <w:tcW w:w="745" w:type="dxa"/>
            <w:tcBorders>
              <w:top w:val="nil"/>
              <w:left w:val="nil"/>
              <w:bottom w:val="nil"/>
              <w:right w:val="nil"/>
            </w:tcBorders>
            <w:shd w:val="clear" w:color="auto" w:fill="FFFFFF"/>
            <w:tcMar>
              <w:left w:w="67" w:type="dxa"/>
              <w:right w:w="67" w:type="dxa"/>
            </w:tcMar>
          </w:tcPr>
          <w:p w14:paraId="2B805B06"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0.054</w:t>
            </w:r>
          </w:p>
        </w:tc>
        <w:tc>
          <w:tcPr>
            <w:tcW w:w="745" w:type="dxa"/>
            <w:tcBorders>
              <w:top w:val="nil"/>
              <w:left w:val="nil"/>
              <w:bottom w:val="nil"/>
              <w:right w:val="nil"/>
            </w:tcBorders>
            <w:shd w:val="clear" w:color="auto" w:fill="FFFFFF"/>
            <w:tcMar>
              <w:left w:w="67" w:type="dxa"/>
              <w:right w:w="67" w:type="dxa"/>
            </w:tcMar>
          </w:tcPr>
          <w:p w14:paraId="7630B4CA"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0.051</w:t>
            </w:r>
          </w:p>
        </w:tc>
        <w:tc>
          <w:tcPr>
            <w:tcW w:w="745" w:type="dxa"/>
            <w:tcBorders>
              <w:top w:val="nil"/>
              <w:left w:val="nil"/>
              <w:bottom w:val="nil"/>
              <w:right w:val="nil"/>
            </w:tcBorders>
            <w:shd w:val="clear" w:color="auto" w:fill="FFFFFF"/>
            <w:tcMar>
              <w:left w:w="67" w:type="dxa"/>
              <w:right w:w="67" w:type="dxa"/>
            </w:tcMar>
          </w:tcPr>
          <w:p w14:paraId="4594B1C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0.048</w:t>
            </w:r>
          </w:p>
        </w:tc>
        <w:tc>
          <w:tcPr>
            <w:tcW w:w="745" w:type="dxa"/>
            <w:tcBorders>
              <w:top w:val="nil"/>
              <w:left w:val="nil"/>
              <w:bottom w:val="nil"/>
              <w:right w:val="nil"/>
            </w:tcBorders>
            <w:shd w:val="clear" w:color="auto" w:fill="FFFFFF"/>
            <w:tcMar>
              <w:left w:w="67" w:type="dxa"/>
              <w:right w:w="67" w:type="dxa"/>
            </w:tcMar>
          </w:tcPr>
          <w:p w14:paraId="7474031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0.046</w:t>
            </w:r>
          </w:p>
        </w:tc>
        <w:tc>
          <w:tcPr>
            <w:tcW w:w="745" w:type="dxa"/>
            <w:tcBorders>
              <w:top w:val="nil"/>
              <w:left w:val="nil"/>
              <w:bottom w:val="nil"/>
              <w:right w:val="nil"/>
            </w:tcBorders>
            <w:shd w:val="clear" w:color="auto" w:fill="FFFFFF"/>
            <w:tcMar>
              <w:left w:w="67" w:type="dxa"/>
              <w:right w:w="67" w:type="dxa"/>
            </w:tcMar>
          </w:tcPr>
          <w:p w14:paraId="21A687BB"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0.044</w:t>
            </w:r>
          </w:p>
        </w:tc>
        <w:tc>
          <w:tcPr>
            <w:tcW w:w="745" w:type="dxa"/>
            <w:tcBorders>
              <w:top w:val="nil"/>
              <w:left w:val="nil"/>
              <w:bottom w:val="nil"/>
              <w:right w:val="nil"/>
            </w:tcBorders>
            <w:shd w:val="clear" w:color="auto" w:fill="FFFFFF"/>
            <w:tcMar>
              <w:left w:w="67" w:type="dxa"/>
              <w:right w:w="67" w:type="dxa"/>
            </w:tcMar>
          </w:tcPr>
          <w:p w14:paraId="0CB1E1C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0.042</w:t>
            </w:r>
          </w:p>
        </w:tc>
        <w:tc>
          <w:tcPr>
            <w:tcW w:w="745" w:type="dxa"/>
            <w:tcBorders>
              <w:top w:val="nil"/>
              <w:left w:val="nil"/>
              <w:bottom w:val="nil"/>
              <w:right w:val="nil"/>
            </w:tcBorders>
            <w:shd w:val="clear" w:color="auto" w:fill="FFFFFF"/>
            <w:tcMar>
              <w:left w:w="67" w:type="dxa"/>
              <w:right w:w="67" w:type="dxa"/>
            </w:tcMar>
          </w:tcPr>
          <w:p w14:paraId="1F2F8F1F"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0.041</w:t>
            </w:r>
          </w:p>
        </w:tc>
        <w:tc>
          <w:tcPr>
            <w:tcW w:w="745" w:type="dxa"/>
            <w:tcBorders>
              <w:top w:val="nil"/>
              <w:left w:val="nil"/>
              <w:bottom w:val="nil"/>
              <w:right w:val="nil"/>
            </w:tcBorders>
            <w:shd w:val="clear" w:color="auto" w:fill="FFFFFF"/>
            <w:tcMar>
              <w:left w:w="67" w:type="dxa"/>
              <w:right w:w="67" w:type="dxa"/>
            </w:tcMar>
          </w:tcPr>
          <w:p w14:paraId="7E926D74"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0.041</w:t>
            </w:r>
          </w:p>
        </w:tc>
        <w:tc>
          <w:tcPr>
            <w:tcW w:w="745" w:type="dxa"/>
            <w:tcBorders>
              <w:top w:val="nil"/>
              <w:left w:val="nil"/>
              <w:bottom w:val="nil"/>
              <w:right w:val="nil"/>
            </w:tcBorders>
            <w:shd w:val="clear" w:color="auto" w:fill="FFFFFF"/>
            <w:tcMar>
              <w:left w:w="67" w:type="dxa"/>
              <w:right w:w="67" w:type="dxa"/>
            </w:tcMar>
          </w:tcPr>
          <w:p w14:paraId="527DE922"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0.041</w:t>
            </w:r>
          </w:p>
        </w:tc>
        <w:tc>
          <w:tcPr>
            <w:tcW w:w="745" w:type="dxa"/>
            <w:tcBorders>
              <w:top w:val="nil"/>
              <w:left w:val="nil"/>
              <w:bottom w:val="nil"/>
              <w:right w:val="nil"/>
            </w:tcBorders>
            <w:shd w:val="clear" w:color="auto" w:fill="FFFFFF"/>
            <w:tcMar>
              <w:left w:w="67" w:type="dxa"/>
              <w:right w:w="67" w:type="dxa"/>
            </w:tcMar>
          </w:tcPr>
          <w:p w14:paraId="4365B01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0.041</w:t>
            </w:r>
          </w:p>
        </w:tc>
        <w:tc>
          <w:tcPr>
            <w:tcW w:w="745" w:type="dxa"/>
            <w:tcBorders>
              <w:top w:val="nil"/>
              <w:left w:val="nil"/>
              <w:bottom w:val="nil"/>
              <w:right w:val="nil"/>
            </w:tcBorders>
            <w:shd w:val="clear" w:color="auto" w:fill="FFFFFF"/>
            <w:tcMar>
              <w:left w:w="67" w:type="dxa"/>
              <w:right w:w="67" w:type="dxa"/>
            </w:tcMar>
          </w:tcPr>
          <w:p w14:paraId="2F20598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0.041</w:t>
            </w:r>
          </w:p>
        </w:tc>
        <w:tc>
          <w:tcPr>
            <w:tcW w:w="745" w:type="dxa"/>
            <w:tcBorders>
              <w:top w:val="nil"/>
              <w:left w:val="nil"/>
              <w:bottom w:val="nil"/>
              <w:right w:val="nil"/>
            </w:tcBorders>
            <w:shd w:val="clear" w:color="auto" w:fill="FFFFFF"/>
            <w:tcMar>
              <w:left w:w="67" w:type="dxa"/>
              <w:right w:w="67" w:type="dxa"/>
            </w:tcMar>
          </w:tcPr>
          <w:p w14:paraId="0717C30D"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0.043</w:t>
            </w:r>
          </w:p>
        </w:tc>
        <w:tc>
          <w:tcPr>
            <w:tcW w:w="745" w:type="dxa"/>
            <w:tcBorders>
              <w:top w:val="nil"/>
              <w:left w:val="nil"/>
              <w:bottom w:val="nil"/>
              <w:right w:val="nil"/>
            </w:tcBorders>
            <w:shd w:val="clear" w:color="auto" w:fill="FFFFFF"/>
            <w:tcMar>
              <w:left w:w="67" w:type="dxa"/>
              <w:right w:w="67" w:type="dxa"/>
            </w:tcMar>
          </w:tcPr>
          <w:p w14:paraId="35A27AE0"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0.044</w:t>
            </w:r>
          </w:p>
        </w:tc>
        <w:tc>
          <w:tcPr>
            <w:tcW w:w="745" w:type="dxa"/>
            <w:tcBorders>
              <w:top w:val="nil"/>
              <w:left w:val="nil"/>
              <w:bottom w:val="nil"/>
              <w:right w:val="nil"/>
            </w:tcBorders>
            <w:shd w:val="clear" w:color="auto" w:fill="FFFFFF"/>
            <w:tcMar>
              <w:left w:w="67" w:type="dxa"/>
              <w:right w:w="67" w:type="dxa"/>
            </w:tcMar>
          </w:tcPr>
          <w:p w14:paraId="3550C336"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0.046</w:t>
            </w:r>
          </w:p>
        </w:tc>
        <w:tc>
          <w:tcPr>
            <w:tcW w:w="745" w:type="dxa"/>
            <w:tcBorders>
              <w:top w:val="nil"/>
              <w:left w:val="nil"/>
              <w:bottom w:val="nil"/>
              <w:right w:val="nil"/>
            </w:tcBorders>
            <w:shd w:val="clear" w:color="auto" w:fill="FFFFFF"/>
            <w:tcMar>
              <w:left w:w="67" w:type="dxa"/>
              <w:right w:w="67" w:type="dxa"/>
            </w:tcMar>
          </w:tcPr>
          <w:p w14:paraId="765DAE4E"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0.049</w:t>
            </w:r>
          </w:p>
        </w:tc>
        <w:tc>
          <w:tcPr>
            <w:tcW w:w="745" w:type="dxa"/>
            <w:tcBorders>
              <w:top w:val="nil"/>
              <w:left w:val="nil"/>
              <w:bottom w:val="nil"/>
              <w:right w:val="nil"/>
            </w:tcBorders>
            <w:shd w:val="clear" w:color="auto" w:fill="FFFFFF"/>
            <w:tcMar>
              <w:left w:w="67" w:type="dxa"/>
              <w:right w:w="67" w:type="dxa"/>
            </w:tcMar>
          </w:tcPr>
          <w:p w14:paraId="02F4CF51"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0.052</w:t>
            </w:r>
          </w:p>
        </w:tc>
        <w:tc>
          <w:tcPr>
            <w:tcW w:w="745" w:type="dxa"/>
            <w:tcBorders>
              <w:top w:val="nil"/>
              <w:left w:val="nil"/>
              <w:bottom w:val="nil"/>
              <w:right w:val="single" w:sz="4" w:space="0" w:color="auto"/>
            </w:tcBorders>
            <w:shd w:val="clear" w:color="auto" w:fill="FFFFFF"/>
            <w:tcMar>
              <w:left w:w="67" w:type="dxa"/>
              <w:right w:w="67" w:type="dxa"/>
            </w:tcMar>
          </w:tcPr>
          <w:p w14:paraId="04C1F5F9"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0.055</w:t>
            </w:r>
          </w:p>
        </w:tc>
      </w:tr>
      <w:tr w:rsidR="00E07CDE" w:rsidRPr="00563AD3" w14:paraId="4B42D9BA"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24ACEE53"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20</w:t>
            </w:r>
          </w:p>
        </w:tc>
        <w:tc>
          <w:tcPr>
            <w:tcW w:w="745" w:type="dxa"/>
            <w:tcBorders>
              <w:top w:val="nil"/>
              <w:left w:val="nil"/>
              <w:bottom w:val="nil"/>
              <w:right w:val="nil"/>
            </w:tcBorders>
            <w:shd w:val="clear" w:color="auto" w:fill="FFFFFF"/>
            <w:tcMar>
              <w:left w:w="67" w:type="dxa"/>
              <w:right w:w="67" w:type="dxa"/>
            </w:tcMar>
          </w:tcPr>
          <w:p w14:paraId="193FAB80"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0.058</w:t>
            </w:r>
          </w:p>
        </w:tc>
        <w:tc>
          <w:tcPr>
            <w:tcW w:w="745" w:type="dxa"/>
            <w:tcBorders>
              <w:top w:val="nil"/>
              <w:left w:val="nil"/>
              <w:bottom w:val="nil"/>
              <w:right w:val="nil"/>
            </w:tcBorders>
            <w:shd w:val="clear" w:color="auto" w:fill="FFFFFF"/>
            <w:tcMar>
              <w:left w:w="67" w:type="dxa"/>
              <w:right w:w="67" w:type="dxa"/>
            </w:tcMar>
          </w:tcPr>
          <w:p w14:paraId="3AA31851"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0.055</w:t>
            </w:r>
          </w:p>
        </w:tc>
        <w:tc>
          <w:tcPr>
            <w:tcW w:w="745" w:type="dxa"/>
            <w:tcBorders>
              <w:top w:val="nil"/>
              <w:left w:val="nil"/>
              <w:bottom w:val="nil"/>
              <w:right w:val="nil"/>
            </w:tcBorders>
            <w:shd w:val="clear" w:color="auto" w:fill="FFFFFF"/>
            <w:tcMar>
              <w:left w:w="67" w:type="dxa"/>
              <w:right w:w="67" w:type="dxa"/>
            </w:tcMar>
          </w:tcPr>
          <w:p w14:paraId="1DE8B036"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0.052</w:t>
            </w:r>
          </w:p>
        </w:tc>
        <w:tc>
          <w:tcPr>
            <w:tcW w:w="745" w:type="dxa"/>
            <w:tcBorders>
              <w:top w:val="nil"/>
              <w:left w:val="nil"/>
              <w:bottom w:val="nil"/>
              <w:right w:val="nil"/>
            </w:tcBorders>
            <w:shd w:val="clear" w:color="auto" w:fill="FFFFFF"/>
            <w:tcMar>
              <w:left w:w="67" w:type="dxa"/>
              <w:right w:w="67" w:type="dxa"/>
            </w:tcMar>
          </w:tcPr>
          <w:p w14:paraId="02BCBC12"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0.05</w:t>
            </w:r>
          </w:p>
        </w:tc>
        <w:tc>
          <w:tcPr>
            <w:tcW w:w="745" w:type="dxa"/>
            <w:tcBorders>
              <w:top w:val="nil"/>
              <w:left w:val="nil"/>
              <w:bottom w:val="nil"/>
              <w:right w:val="nil"/>
            </w:tcBorders>
            <w:shd w:val="clear" w:color="auto" w:fill="FFFFFF"/>
            <w:tcMar>
              <w:left w:w="67" w:type="dxa"/>
              <w:right w:w="67" w:type="dxa"/>
            </w:tcMar>
          </w:tcPr>
          <w:p w14:paraId="1D87B7B6"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0.048</w:t>
            </w:r>
          </w:p>
        </w:tc>
        <w:tc>
          <w:tcPr>
            <w:tcW w:w="745" w:type="dxa"/>
            <w:tcBorders>
              <w:top w:val="nil"/>
              <w:left w:val="nil"/>
              <w:bottom w:val="nil"/>
              <w:right w:val="nil"/>
            </w:tcBorders>
            <w:shd w:val="clear" w:color="auto" w:fill="FFFFFF"/>
            <w:tcMar>
              <w:left w:w="67" w:type="dxa"/>
              <w:right w:w="67" w:type="dxa"/>
            </w:tcMar>
          </w:tcPr>
          <w:p w14:paraId="7A9F8B4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0.046</w:t>
            </w:r>
          </w:p>
        </w:tc>
        <w:tc>
          <w:tcPr>
            <w:tcW w:w="745" w:type="dxa"/>
            <w:tcBorders>
              <w:top w:val="nil"/>
              <w:left w:val="nil"/>
              <w:bottom w:val="nil"/>
              <w:right w:val="nil"/>
            </w:tcBorders>
            <w:shd w:val="clear" w:color="auto" w:fill="FFFFFF"/>
            <w:tcMar>
              <w:left w:w="67" w:type="dxa"/>
              <w:right w:w="67" w:type="dxa"/>
            </w:tcMar>
          </w:tcPr>
          <w:p w14:paraId="55AFCCB5"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0.045</w:t>
            </w:r>
          </w:p>
        </w:tc>
        <w:tc>
          <w:tcPr>
            <w:tcW w:w="745" w:type="dxa"/>
            <w:tcBorders>
              <w:top w:val="nil"/>
              <w:left w:val="nil"/>
              <w:bottom w:val="nil"/>
              <w:right w:val="nil"/>
            </w:tcBorders>
            <w:shd w:val="clear" w:color="auto" w:fill="FFFFFF"/>
            <w:tcMar>
              <w:left w:w="67" w:type="dxa"/>
              <w:right w:w="67" w:type="dxa"/>
            </w:tcMar>
          </w:tcPr>
          <w:p w14:paraId="544D1D62"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0.045</w:t>
            </w:r>
          </w:p>
        </w:tc>
        <w:tc>
          <w:tcPr>
            <w:tcW w:w="745" w:type="dxa"/>
            <w:tcBorders>
              <w:top w:val="nil"/>
              <w:left w:val="nil"/>
              <w:bottom w:val="nil"/>
              <w:right w:val="nil"/>
            </w:tcBorders>
            <w:shd w:val="clear" w:color="auto" w:fill="FFFFFF"/>
            <w:tcMar>
              <w:left w:w="67" w:type="dxa"/>
              <w:right w:w="67" w:type="dxa"/>
            </w:tcMar>
          </w:tcPr>
          <w:p w14:paraId="2D6D2C71"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0.044</w:t>
            </w:r>
          </w:p>
        </w:tc>
        <w:tc>
          <w:tcPr>
            <w:tcW w:w="745" w:type="dxa"/>
            <w:tcBorders>
              <w:top w:val="nil"/>
              <w:left w:val="nil"/>
              <w:bottom w:val="nil"/>
              <w:right w:val="nil"/>
            </w:tcBorders>
            <w:shd w:val="clear" w:color="auto" w:fill="FFFFFF"/>
            <w:tcMar>
              <w:left w:w="67" w:type="dxa"/>
              <w:right w:w="67" w:type="dxa"/>
            </w:tcMar>
          </w:tcPr>
          <w:p w14:paraId="504EBDD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0.045</w:t>
            </w:r>
          </w:p>
        </w:tc>
        <w:tc>
          <w:tcPr>
            <w:tcW w:w="745" w:type="dxa"/>
            <w:tcBorders>
              <w:top w:val="nil"/>
              <w:left w:val="nil"/>
              <w:bottom w:val="nil"/>
              <w:right w:val="nil"/>
            </w:tcBorders>
            <w:shd w:val="clear" w:color="auto" w:fill="FFFFFF"/>
            <w:tcMar>
              <w:left w:w="67" w:type="dxa"/>
              <w:right w:w="67" w:type="dxa"/>
            </w:tcMar>
          </w:tcPr>
          <w:p w14:paraId="77D5FCA7"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0.045</w:t>
            </w:r>
          </w:p>
        </w:tc>
        <w:tc>
          <w:tcPr>
            <w:tcW w:w="745" w:type="dxa"/>
            <w:tcBorders>
              <w:top w:val="nil"/>
              <w:left w:val="nil"/>
              <w:bottom w:val="nil"/>
              <w:right w:val="nil"/>
            </w:tcBorders>
            <w:shd w:val="clear" w:color="auto" w:fill="FFFFFF"/>
            <w:tcMar>
              <w:left w:w="67" w:type="dxa"/>
              <w:right w:w="67" w:type="dxa"/>
            </w:tcMar>
          </w:tcPr>
          <w:p w14:paraId="674A962A"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0.046</w:t>
            </w:r>
          </w:p>
        </w:tc>
        <w:tc>
          <w:tcPr>
            <w:tcW w:w="745" w:type="dxa"/>
            <w:tcBorders>
              <w:top w:val="nil"/>
              <w:left w:val="nil"/>
              <w:bottom w:val="nil"/>
              <w:right w:val="nil"/>
            </w:tcBorders>
            <w:shd w:val="clear" w:color="auto" w:fill="FFFFFF"/>
            <w:tcMar>
              <w:left w:w="67" w:type="dxa"/>
              <w:right w:w="67" w:type="dxa"/>
            </w:tcMar>
          </w:tcPr>
          <w:p w14:paraId="336FC112"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0.048</w:t>
            </w:r>
          </w:p>
        </w:tc>
        <w:tc>
          <w:tcPr>
            <w:tcW w:w="745" w:type="dxa"/>
            <w:tcBorders>
              <w:top w:val="nil"/>
              <w:left w:val="nil"/>
              <w:bottom w:val="nil"/>
              <w:right w:val="nil"/>
            </w:tcBorders>
            <w:shd w:val="clear" w:color="auto" w:fill="FFFFFF"/>
            <w:tcMar>
              <w:left w:w="67" w:type="dxa"/>
              <w:right w:w="67" w:type="dxa"/>
            </w:tcMar>
          </w:tcPr>
          <w:p w14:paraId="614E9406"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w:t>
            </w:r>
          </w:p>
        </w:tc>
        <w:tc>
          <w:tcPr>
            <w:tcW w:w="745" w:type="dxa"/>
            <w:tcBorders>
              <w:top w:val="nil"/>
              <w:left w:val="nil"/>
              <w:bottom w:val="nil"/>
              <w:right w:val="nil"/>
            </w:tcBorders>
            <w:shd w:val="clear" w:color="auto" w:fill="FFFFFF"/>
            <w:tcMar>
              <w:left w:w="67" w:type="dxa"/>
              <w:right w:w="67" w:type="dxa"/>
            </w:tcMar>
          </w:tcPr>
          <w:p w14:paraId="1E9184C5"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0.053</w:t>
            </w:r>
          </w:p>
        </w:tc>
        <w:tc>
          <w:tcPr>
            <w:tcW w:w="745" w:type="dxa"/>
            <w:tcBorders>
              <w:top w:val="nil"/>
              <w:left w:val="nil"/>
              <w:bottom w:val="nil"/>
              <w:right w:val="nil"/>
            </w:tcBorders>
            <w:shd w:val="clear" w:color="auto" w:fill="FFFFFF"/>
            <w:tcMar>
              <w:left w:w="67" w:type="dxa"/>
              <w:right w:w="67" w:type="dxa"/>
            </w:tcMar>
          </w:tcPr>
          <w:p w14:paraId="4F9F4432"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0.056</w:t>
            </w:r>
          </w:p>
        </w:tc>
        <w:tc>
          <w:tcPr>
            <w:tcW w:w="745" w:type="dxa"/>
            <w:tcBorders>
              <w:top w:val="nil"/>
              <w:left w:val="nil"/>
              <w:bottom w:val="nil"/>
              <w:right w:val="single" w:sz="4" w:space="0" w:color="auto"/>
            </w:tcBorders>
            <w:shd w:val="clear" w:color="auto" w:fill="FFFFFF"/>
            <w:tcMar>
              <w:left w:w="67" w:type="dxa"/>
              <w:right w:w="67" w:type="dxa"/>
            </w:tcMar>
          </w:tcPr>
          <w:p w14:paraId="2C0808B5"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w:t>
            </w:r>
          </w:p>
        </w:tc>
      </w:tr>
      <w:tr w:rsidR="00E07CDE" w:rsidRPr="00563AD3" w14:paraId="4A2E9345"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5EA78378"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25</w:t>
            </w:r>
          </w:p>
        </w:tc>
        <w:tc>
          <w:tcPr>
            <w:tcW w:w="745" w:type="dxa"/>
            <w:tcBorders>
              <w:top w:val="nil"/>
              <w:left w:val="nil"/>
              <w:bottom w:val="nil"/>
              <w:right w:val="nil"/>
            </w:tcBorders>
            <w:shd w:val="clear" w:color="auto" w:fill="FFFFFF"/>
            <w:tcMar>
              <w:left w:w="67" w:type="dxa"/>
              <w:right w:w="67" w:type="dxa"/>
            </w:tcMar>
          </w:tcPr>
          <w:p w14:paraId="5B6B76B2"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0.062</w:t>
            </w:r>
          </w:p>
        </w:tc>
        <w:tc>
          <w:tcPr>
            <w:tcW w:w="745" w:type="dxa"/>
            <w:tcBorders>
              <w:top w:val="nil"/>
              <w:left w:val="nil"/>
              <w:bottom w:val="nil"/>
              <w:right w:val="nil"/>
            </w:tcBorders>
            <w:shd w:val="clear" w:color="auto" w:fill="FFFFFF"/>
            <w:tcMar>
              <w:left w:w="67" w:type="dxa"/>
              <w:right w:w="67" w:type="dxa"/>
            </w:tcMar>
          </w:tcPr>
          <w:p w14:paraId="44B57E47"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0.059</w:t>
            </w:r>
          </w:p>
        </w:tc>
        <w:tc>
          <w:tcPr>
            <w:tcW w:w="745" w:type="dxa"/>
            <w:tcBorders>
              <w:top w:val="nil"/>
              <w:left w:val="nil"/>
              <w:bottom w:val="nil"/>
              <w:right w:val="nil"/>
            </w:tcBorders>
            <w:shd w:val="clear" w:color="auto" w:fill="FFFFFF"/>
            <w:tcMar>
              <w:left w:w="67" w:type="dxa"/>
              <w:right w:w="67" w:type="dxa"/>
            </w:tcMar>
          </w:tcPr>
          <w:p w14:paraId="01BA4E0D"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0.056</w:t>
            </w:r>
          </w:p>
        </w:tc>
        <w:tc>
          <w:tcPr>
            <w:tcW w:w="745" w:type="dxa"/>
            <w:tcBorders>
              <w:top w:val="nil"/>
              <w:left w:val="nil"/>
              <w:bottom w:val="nil"/>
              <w:right w:val="nil"/>
            </w:tcBorders>
            <w:shd w:val="clear" w:color="auto" w:fill="FFFFFF"/>
            <w:tcMar>
              <w:left w:w="67" w:type="dxa"/>
              <w:right w:w="67" w:type="dxa"/>
            </w:tcMar>
          </w:tcPr>
          <w:p w14:paraId="6350FD8C"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0.054</w:t>
            </w:r>
          </w:p>
        </w:tc>
        <w:tc>
          <w:tcPr>
            <w:tcW w:w="745" w:type="dxa"/>
            <w:tcBorders>
              <w:top w:val="nil"/>
              <w:left w:val="nil"/>
              <w:bottom w:val="nil"/>
              <w:right w:val="nil"/>
            </w:tcBorders>
            <w:shd w:val="clear" w:color="auto" w:fill="FFFFFF"/>
            <w:tcMar>
              <w:left w:w="67" w:type="dxa"/>
              <w:right w:w="67" w:type="dxa"/>
            </w:tcMar>
          </w:tcPr>
          <w:p w14:paraId="351BBFE0"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0.052</w:t>
            </w:r>
          </w:p>
        </w:tc>
        <w:tc>
          <w:tcPr>
            <w:tcW w:w="745" w:type="dxa"/>
            <w:tcBorders>
              <w:top w:val="nil"/>
              <w:left w:val="nil"/>
              <w:bottom w:val="nil"/>
              <w:right w:val="nil"/>
            </w:tcBorders>
            <w:shd w:val="clear" w:color="auto" w:fill="FFFFFF"/>
            <w:tcMar>
              <w:left w:w="67" w:type="dxa"/>
              <w:right w:w="67" w:type="dxa"/>
            </w:tcMar>
          </w:tcPr>
          <w:p w14:paraId="049CC0F5"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w:t>
            </w:r>
          </w:p>
        </w:tc>
        <w:tc>
          <w:tcPr>
            <w:tcW w:w="745" w:type="dxa"/>
            <w:tcBorders>
              <w:top w:val="nil"/>
              <w:left w:val="nil"/>
              <w:bottom w:val="nil"/>
              <w:right w:val="nil"/>
            </w:tcBorders>
            <w:shd w:val="clear" w:color="auto" w:fill="FFFFFF"/>
            <w:tcMar>
              <w:left w:w="67" w:type="dxa"/>
              <w:right w:w="67" w:type="dxa"/>
            </w:tcMar>
          </w:tcPr>
          <w:p w14:paraId="0CA31C8C"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0.049</w:t>
            </w:r>
          </w:p>
        </w:tc>
        <w:tc>
          <w:tcPr>
            <w:tcW w:w="745" w:type="dxa"/>
            <w:tcBorders>
              <w:top w:val="nil"/>
              <w:left w:val="nil"/>
              <w:bottom w:val="nil"/>
              <w:right w:val="nil"/>
            </w:tcBorders>
            <w:shd w:val="clear" w:color="auto" w:fill="FFFFFF"/>
            <w:tcMar>
              <w:left w:w="67" w:type="dxa"/>
              <w:right w:w="67" w:type="dxa"/>
            </w:tcMar>
          </w:tcPr>
          <w:p w14:paraId="688ADA68"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0.049</w:t>
            </w:r>
          </w:p>
        </w:tc>
        <w:tc>
          <w:tcPr>
            <w:tcW w:w="745" w:type="dxa"/>
            <w:tcBorders>
              <w:top w:val="nil"/>
              <w:left w:val="nil"/>
              <w:bottom w:val="nil"/>
              <w:right w:val="nil"/>
            </w:tcBorders>
            <w:shd w:val="clear" w:color="auto" w:fill="FFFFFF"/>
            <w:tcMar>
              <w:left w:w="67" w:type="dxa"/>
              <w:right w:w="67" w:type="dxa"/>
            </w:tcMar>
          </w:tcPr>
          <w:p w14:paraId="31E9C6C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0.048</w:t>
            </w:r>
          </w:p>
        </w:tc>
        <w:tc>
          <w:tcPr>
            <w:tcW w:w="745" w:type="dxa"/>
            <w:tcBorders>
              <w:top w:val="nil"/>
              <w:left w:val="nil"/>
              <w:bottom w:val="nil"/>
              <w:right w:val="nil"/>
            </w:tcBorders>
            <w:shd w:val="clear" w:color="auto" w:fill="FFFFFF"/>
            <w:tcMar>
              <w:left w:w="67" w:type="dxa"/>
              <w:right w:w="67" w:type="dxa"/>
            </w:tcMar>
          </w:tcPr>
          <w:p w14:paraId="707BE249"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0.049</w:t>
            </w:r>
          </w:p>
        </w:tc>
        <w:tc>
          <w:tcPr>
            <w:tcW w:w="745" w:type="dxa"/>
            <w:tcBorders>
              <w:top w:val="nil"/>
              <w:left w:val="nil"/>
              <w:bottom w:val="nil"/>
              <w:right w:val="nil"/>
            </w:tcBorders>
            <w:shd w:val="clear" w:color="auto" w:fill="FFFFFF"/>
            <w:tcMar>
              <w:left w:w="67" w:type="dxa"/>
              <w:right w:w="67" w:type="dxa"/>
            </w:tcMar>
          </w:tcPr>
          <w:p w14:paraId="5BA4FF7B" w14:textId="77777777" w:rsidR="00E07CDE" w:rsidRPr="00563AD3" w:rsidRDefault="00E07CDE" w:rsidP="00CB59EF">
            <w:pPr>
              <w:spacing w:before="67" w:after="67" w:line="240" w:lineRule="auto"/>
              <w:rPr>
                <w:rFonts w:eastAsia="Times New Roman"/>
                <w:color w:val="000000"/>
                <w:sz w:val="20"/>
                <w:szCs w:val="20"/>
              </w:rPr>
            </w:pPr>
            <w:r w:rsidRPr="00563AD3">
              <w:rPr>
                <w:rFonts w:eastAsia="Times New Roman"/>
                <w:color w:val="000000"/>
                <w:sz w:val="20"/>
                <w:szCs w:val="20"/>
              </w:rPr>
              <w:t>0.049</w:t>
            </w:r>
          </w:p>
        </w:tc>
        <w:tc>
          <w:tcPr>
            <w:tcW w:w="745" w:type="dxa"/>
            <w:tcBorders>
              <w:top w:val="nil"/>
              <w:left w:val="nil"/>
              <w:bottom w:val="nil"/>
              <w:right w:val="nil"/>
            </w:tcBorders>
            <w:shd w:val="clear" w:color="auto" w:fill="FFFFFF"/>
            <w:tcMar>
              <w:left w:w="67" w:type="dxa"/>
              <w:right w:w="67" w:type="dxa"/>
            </w:tcMar>
          </w:tcPr>
          <w:p w14:paraId="63EA005A"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0.051</w:t>
            </w:r>
          </w:p>
        </w:tc>
        <w:tc>
          <w:tcPr>
            <w:tcW w:w="745" w:type="dxa"/>
            <w:tcBorders>
              <w:top w:val="nil"/>
              <w:left w:val="nil"/>
              <w:bottom w:val="nil"/>
              <w:right w:val="nil"/>
            </w:tcBorders>
            <w:shd w:val="clear" w:color="auto" w:fill="FFFFFF"/>
            <w:tcMar>
              <w:left w:w="67" w:type="dxa"/>
              <w:right w:w="67" w:type="dxa"/>
            </w:tcMar>
          </w:tcPr>
          <w:p w14:paraId="231C6167"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0.052</w:t>
            </w:r>
          </w:p>
        </w:tc>
        <w:tc>
          <w:tcPr>
            <w:tcW w:w="745" w:type="dxa"/>
            <w:tcBorders>
              <w:top w:val="nil"/>
              <w:left w:val="nil"/>
              <w:bottom w:val="nil"/>
              <w:right w:val="nil"/>
            </w:tcBorders>
            <w:shd w:val="clear" w:color="auto" w:fill="FFFFFF"/>
            <w:tcMar>
              <w:left w:w="67" w:type="dxa"/>
              <w:right w:w="67" w:type="dxa"/>
            </w:tcMar>
          </w:tcPr>
          <w:p w14:paraId="12D164B1"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0.055</w:t>
            </w:r>
          </w:p>
        </w:tc>
        <w:tc>
          <w:tcPr>
            <w:tcW w:w="745" w:type="dxa"/>
            <w:tcBorders>
              <w:top w:val="nil"/>
              <w:left w:val="nil"/>
              <w:bottom w:val="nil"/>
              <w:right w:val="nil"/>
            </w:tcBorders>
            <w:shd w:val="clear" w:color="auto" w:fill="FFFFFF"/>
            <w:tcMar>
              <w:left w:w="67" w:type="dxa"/>
              <w:right w:w="67" w:type="dxa"/>
            </w:tcMar>
          </w:tcPr>
          <w:p w14:paraId="06109D97"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0.057</w:t>
            </w:r>
          </w:p>
        </w:tc>
        <w:tc>
          <w:tcPr>
            <w:tcW w:w="745" w:type="dxa"/>
            <w:tcBorders>
              <w:top w:val="nil"/>
              <w:left w:val="nil"/>
              <w:bottom w:val="nil"/>
              <w:right w:val="nil"/>
            </w:tcBorders>
            <w:shd w:val="clear" w:color="auto" w:fill="FFFFFF"/>
            <w:tcMar>
              <w:left w:w="67" w:type="dxa"/>
              <w:right w:w="67" w:type="dxa"/>
            </w:tcMar>
          </w:tcPr>
          <w:p w14:paraId="467A61AD"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0.061</w:t>
            </w:r>
          </w:p>
        </w:tc>
        <w:tc>
          <w:tcPr>
            <w:tcW w:w="745" w:type="dxa"/>
            <w:tcBorders>
              <w:top w:val="nil"/>
              <w:left w:val="nil"/>
              <w:bottom w:val="nil"/>
              <w:right w:val="single" w:sz="4" w:space="0" w:color="auto"/>
            </w:tcBorders>
            <w:shd w:val="clear" w:color="auto" w:fill="FFFFFF"/>
            <w:tcMar>
              <w:left w:w="67" w:type="dxa"/>
              <w:right w:w="67" w:type="dxa"/>
            </w:tcMar>
          </w:tcPr>
          <w:p w14:paraId="6002100C"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0.065</w:t>
            </w:r>
          </w:p>
        </w:tc>
      </w:tr>
      <w:tr w:rsidR="00E07CDE" w:rsidRPr="00563AD3" w14:paraId="3676CCFF"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77D4A205"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30</w:t>
            </w:r>
          </w:p>
        </w:tc>
        <w:tc>
          <w:tcPr>
            <w:tcW w:w="745" w:type="dxa"/>
            <w:tcBorders>
              <w:top w:val="nil"/>
              <w:left w:val="nil"/>
              <w:bottom w:val="nil"/>
              <w:right w:val="nil"/>
            </w:tcBorders>
            <w:shd w:val="clear" w:color="auto" w:fill="FFFFFF"/>
            <w:tcMar>
              <w:left w:w="67" w:type="dxa"/>
              <w:right w:w="67" w:type="dxa"/>
            </w:tcMar>
          </w:tcPr>
          <w:p w14:paraId="33587F7F"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0.067</w:t>
            </w:r>
          </w:p>
        </w:tc>
        <w:tc>
          <w:tcPr>
            <w:tcW w:w="745" w:type="dxa"/>
            <w:tcBorders>
              <w:top w:val="nil"/>
              <w:left w:val="nil"/>
              <w:bottom w:val="nil"/>
              <w:right w:val="nil"/>
            </w:tcBorders>
            <w:shd w:val="clear" w:color="auto" w:fill="FFFFFF"/>
            <w:tcMar>
              <w:left w:w="67" w:type="dxa"/>
              <w:right w:w="67" w:type="dxa"/>
            </w:tcMar>
          </w:tcPr>
          <w:p w14:paraId="651FF158"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0.064</w:t>
            </w:r>
          </w:p>
        </w:tc>
        <w:tc>
          <w:tcPr>
            <w:tcW w:w="745" w:type="dxa"/>
            <w:tcBorders>
              <w:top w:val="nil"/>
              <w:left w:val="nil"/>
              <w:bottom w:val="nil"/>
              <w:right w:val="nil"/>
            </w:tcBorders>
            <w:shd w:val="clear" w:color="auto" w:fill="FFFFFF"/>
            <w:tcMar>
              <w:left w:w="67" w:type="dxa"/>
              <w:right w:w="67" w:type="dxa"/>
            </w:tcMar>
          </w:tcPr>
          <w:p w14:paraId="157A9E61"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0.061</w:t>
            </w:r>
          </w:p>
        </w:tc>
        <w:tc>
          <w:tcPr>
            <w:tcW w:w="745" w:type="dxa"/>
            <w:tcBorders>
              <w:top w:val="nil"/>
              <w:left w:val="nil"/>
              <w:bottom w:val="nil"/>
              <w:right w:val="nil"/>
            </w:tcBorders>
            <w:shd w:val="clear" w:color="auto" w:fill="FFFFFF"/>
            <w:tcMar>
              <w:left w:w="67" w:type="dxa"/>
              <w:right w:w="67" w:type="dxa"/>
            </w:tcMar>
          </w:tcPr>
          <w:p w14:paraId="1C1AA7D0"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0.058</w:t>
            </w:r>
          </w:p>
        </w:tc>
        <w:tc>
          <w:tcPr>
            <w:tcW w:w="745" w:type="dxa"/>
            <w:tcBorders>
              <w:top w:val="nil"/>
              <w:left w:val="nil"/>
              <w:bottom w:val="nil"/>
              <w:right w:val="nil"/>
            </w:tcBorders>
            <w:shd w:val="clear" w:color="auto" w:fill="FFFFFF"/>
            <w:tcMar>
              <w:left w:w="67" w:type="dxa"/>
              <w:right w:w="67" w:type="dxa"/>
            </w:tcMar>
          </w:tcPr>
          <w:p w14:paraId="45A48F5C"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0.056</w:t>
            </w:r>
          </w:p>
        </w:tc>
        <w:tc>
          <w:tcPr>
            <w:tcW w:w="745" w:type="dxa"/>
            <w:tcBorders>
              <w:top w:val="nil"/>
              <w:left w:val="nil"/>
              <w:bottom w:val="nil"/>
              <w:right w:val="nil"/>
            </w:tcBorders>
            <w:shd w:val="clear" w:color="auto" w:fill="FFFFFF"/>
            <w:tcMar>
              <w:left w:w="67" w:type="dxa"/>
              <w:right w:w="67" w:type="dxa"/>
            </w:tcMar>
          </w:tcPr>
          <w:p w14:paraId="551C8A1F"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0.055</w:t>
            </w:r>
          </w:p>
        </w:tc>
        <w:tc>
          <w:tcPr>
            <w:tcW w:w="745" w:type="dxa"/>
            <w:tcBorders>
              <w:top w:val="nil"/>
              <w:left w:val="nil"/>
              <w:bottom w:val="nil"/>
              <w:right w:val="nil"/>
            </w:tcBorders>
            <w:shd w:val="clear" w:color="auto" w:fill="FFFFFF"/>
            <w:tcMar>
              <w:left w:w="67" w:type="dxa"/>
              <w:right w:w="67" w:type="dxa"/>
            </w:tcMar>
          </w:tcPr>
          <w:p w14:paraId="42EBAEF6"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0.054</w:t>
            </w:r>
          </w:p>
        </w:tc>
        <w:tc>
          <w:tcPr>
            <w:tcW w:w="745" w:type="dxa"/>
            <w:tcBorders>
              <w:top w:val="nil"/>
              <w:left w:val="nil"/>
              <w:bottom w:val="nil"/>
              <w:right w:val="nil"/>
            </w:tcBorders>
            <w:shd w:val="clear" w:color="auto" w:fill="FFFFFF"/>
            <w:tcMar>
              <w:left w:w="67" w:type="dxa"/>
              <w:right w:w="67" w:type="dxa"/>
            </w:tcMar>
          </w:tcPr>
          <w:p w14:paraId="66A3FC31"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0.053</w:t>
            </w:r>
          </w:p>
        </w:tc>
        <w:tc>
          <w:tcPr>
            <w:tcW w:w="745" w:type="dxa"/>
            <w:tcBorders>
              <w:top w:val="nil"/>
              <w:left w:val="nil"/>
              <w:bottom w:val="nil"/>
              <w:right w:val="nil"/>
            </w:tcBorders>
            <w:shd w:val="clear" w:color="auto" w:fill="FFFFFF"/>
            <w:tcMar>
              <w:left w:w="67" w:type="dxa"/>
              <w:right w:w="67" w:type="dxa"/>
            </w:tcMar>
          </w:tcPr>
          <w:p w14:paraId="3C0EC210"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0.053</w:t>
            </w:r>
          </w:p>
        </w:tc>
        <w:tc>
          <w:tcPr>
            <w:tcW w:w="745" w:type="dxa"/>
            <w:tcBorders>
              <w:top w:val="nil"/>
              <w:left w:val="nil"/>
              <w:bottom w:val="nil"/>
              <w:right w:val="nil"/>
            </w:tcBorders>
            <w:shd w:val="clear" w:color="auto" w:fill="FFFFFF"/>
            <w:tcMar>
              <w:left w:w="67" w:type="dxa"/>
              <w:right w:w="67" w:type="dxa"/>
            </w:tcMar>
          </w:tcPr>
          <w:p w14:paraId="1D37A69F"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0.053</w:t>
            </w:r>
          </w:p>
        </w:tc>
        <w:tc>
          <w:tcPr>
            <w:tcW w:w="745" w:type="dxa"/>
            <w:tcBorders>
              <w:top w:val="nil"/>
              <w:left w:val="nil"/>
              <w:bottom w:val="nil"/>
              <w:right w:val="nil"/>
            </w:tcBorders>
            <w:shd w:val="clear" w:color="auto" w:fill="FFFFFF"/>
            <w:tcMar>
              <w:left w:w="67" w:type="dxa"/>
              <w:right w:w="67" w:type="dxa"/>
            </w:tcMar>
          </w:tcPr>
          <w:p w14:paraId="7AFFEE2F"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0.054</w:t>
            </w:r>
          </w:p>
        </w:tc>
        <w:tc>
          <w:tcPr>
            <w:tcW w:w="745" w:type="dxa"/>
            <w:tcBorders>
              <w:top w:val="nil"/>
              <w:left w:val="nil"/>
              <w:bottom w:val="nil"/>
              <w:right w:val="nil"/>
            </w:tcBorders>
            <w:shd w:val="clear" w:color="auto" w:fill="FFFFFF"/>
            <w:tcMar>
              <w:left w:w="67" w:type="dxa"/>
              <w:right w:w="67" w:type="dxa"/>
            </w:tcMar>
          </w:tcPr>
          <w:p w14:paraId="47618BC4"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0.055</w:t>
            </w:r>
          </w:p>
        </w:tc>
        <w:tc>
          <w:tcPr>
            <w:tcW w:w="745" w:type="dxa"/>
            <w:tcBorders>
              <w:top w:val="nil"/>
              <w:left w:val="nil"/>
              <w:bottom w:val="nil"/>
              <w:right w:val="nil"/>
            </w:tcBorders>
            <w:shd w:val="clear" w:color="auto" w:fill="FFFFFF"/>
            <w:tcMar>
              <w:left w:w="67" w:type="dxa"/>
              <w:right w:w="67" w:type="dxa"/>
            </w:tcMar>
          </w:tcPr>
          <w:p w14:paraId="043BC070"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0.057</w:t>
            </w:r>
          </w:p>
        </w:tc>
        <w:tc>
          <w:tcPr>
            <w:tcW w:w="745" w:type="dxa"/>
            <w:tcBorders>
              <w:top w:val="nil"/>
              <w:left w:val="nil"/>
              <w:bottom w:val="nil"/>
              <w:right w:val="nil"/>
            </w:tcBorders>
            <w:shd w:val="clear" w:color="auto" w:fill="FFFFFF"/>
            <w:tcMar>
              <w:left w:w="67" w:type="dxa"/>
              <w:right w:w="67" w:type="dxa"/>
            </w:tcMar>
          </w:tcPr>
          <w:p w14:paraId="03524130"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0.059</w:t>
            </w:r>
          </w:p>
        </w:tc>
        <w:tc>
          <w:tcPr>
            <w:tcW w:w="745" w:type="dxa"/>
            <w:tcBorders>
              <w:top w:val="nil"/>
              <w:left w:val="nil"/>
              <w:bottom w:val="nil"/>
              <w:right w:val="nil"/>
            </w:tcBorders>
            <w:shd w:val="clear" w:color="auto" w:fill="FFFFFF"/>
            <w:tcMar>
              <w:left w:w="67" w:type="dxa"/>
              <w:right w:w="67" w:type="dxa"/>
            </w:tcMar>
          </w:tcPr>
          <w:p w14:paraId="059B8045"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0.062</w:t>
            </w:r>
          </w:p>
        </w:tc>
        <w:tc>
          <w:tcPr>
            <w:tcW w:w="745" w:type="dxa"/>
            <w:tcBorders>
              <w:top w:val="nil"/>
              <w:left w:val="nil"/>
              <w:bottom w:val="nil"/>
              <w:right w:val="nil"/>
            </w:tcBorders>
            <w:shd w:val="clear" w:color="auto" w:fill="FFFFFF"/>
            <w:tcMar>
              <w:left w:w="67" w:type="dxa"/>
              <w:right w:w="67" w:type="dxa"/>
            </w:tcMar>
          </w:tcPr>
          <w:p w14:paraId="39948287"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0.066</w:t>
            </w:r>
          </w:p>
        </w:tc>
        <w:tc>
          <w:tcPr>
            <w:tcW w:w="745" w:type="dxa"/>
            <w:tcBorders>
              <w:top w:val="nil"/>
              <w:left w:val="nil"/>
              <w:bottom w:val="nil"/>
              <w:right w:val="single" w:sz="4" w:space="0" w:color="auto"/>
            </w:tcBorders>
            <w:shd w:val="clear" w:color="auto" w:fill="FFFFFF"/>
            <w:tcMar>
              <w:left w:w="67" w:type="dxa"/>
              <w:right w:w="67" w:type="dxa"/>
            </w:tcMar>
          </w:tcPr>
          <w:p w14:paraId="11604D01"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0.07</w:t>
            </w:r>
          </w:p>
        </w:tc>
      </w:tr>
      <w:tr w:rsidR="00E07CDE" w:rsidRPr="00563AD3" w14:paraId="4A97A126" w14:textId="77777777" w:rsidTr="00C163F3">
        <w:trPr>
          <w:cantSplit/>
          <w:jc w:val="center"/>
        </w:trPr>
        <w:tc>
          <w:tcPr>
            <w:tcW w:w="1144" w:type="dxa"/>
            <w:tcBorders>
              <w:top w:val="nil"/>
              <w:left w:val="single" w:sz="4" w:space="0" w:color="auto"/>
              <w:bottom w:val="nil"/>
              <w:right w:val="nil"/>
            </w:tcBorders>
            <w:shd w:val="clear" w:color="auto" w:fill="FFFFFF"/>
            <w:tcMar>
              <w:left w:w="67" w:type="dxa"/>
              <w:right w:w="67" w:type="dxa"/>
            </w:tcMar>
          </w:tcPr>
          <w:p w14:paraId="06A31DDE" w14:textId="77777777" w:rsidR="00E07CDE" w:rsidRPr="00563AD3" w:rsidRDefault="00E07CDE" w:rsidP="00CB59EF">
            <w:pPr>
              <w:keepNext/>
              <w:spacing w:before="67" w:after="67" w:line="240" w:lineRule="auto"/>
              <w:rPr>
                <w:rFonts w:eastAsia="Times New Roman"/>
                <w:b/>
                <w:bCs/>
                <w:color w:val="000000"/>
                <w:sz w:val="20"/>
                <w:szCs w:val="20"/>
              </w:rPr>
            </w:pPr>
            <w:r w:rsidRPr="00563AD3">
              <w:rPr>
                <w:rFonts w:eastAsia="Times New Roman"/>
                <w:b/>
                <w:bCs/>
                <w:color w:val="000000"/>
                <w:sz w:val="20"/>
                <w:szCs w:val="20"/>
              </w:rPr>
              <w:t>35</w:t>
            </w:r>
          </w:p>
        </w:tc>
        <w:tc>
          <w:tcPr>
            <w:tcW w:w="745" w:type="dxa"/>
            <w:tcBorders>
              <w:top w:val="nil"/>
              <w:left w:val="nil"/>
              <w:bottom w:val="nil"/>
              <w:right w:val="nil"/>
            </w:tcBorders>
            <w:shd w:val="clear" w:color="auto" w:fill="FFFFFF"/>
            <w:tcMar>
              <w:left w:w="67" w:type="dxa"/>
              <w:right w:w="67" w:type="dxa"/>
            </w:tcMar>
          </w:tcPr>
          <w:p w14:paraId="3ABD8F36"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0.072</w:t>
            </w:r>
          </w:p>
        </w:tc>
        <w:tc>
          <w:tcPr>
            <w:tcW w:w="745" w:type="dxa"/>
            <w:tcBorders>
              <w:top w:val="nil"/>
              <w:left w:val="nil"/>
              <w:bottom w:val="nil"/>
              <w:right w:val="nil"/>
            </w:tcBorders>
            <w:shd w:val="clear" w:color="auto" w:fill="FFFFFF"/>
            <w:tcMar>
              <w:left w:w="67" w:type="dxa"/>
              <w:right w:w="67" w:type="dxa"/>
            </w:tcMar>
          </w:tcPr>
          <w:p w14:paraId="152BE1FD"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0.069</w:t>
            </w:r>
          </w:p>
        </w:tc>
        <w:tc>
          <w:tcPr>
            <w:tcW w:w="745" w:type="dxa"/>
            <w:tcBorders>
              <w:top w:val="nil"/>
              <w:left w:val="nil"/>
              <w:bottom w:val="nil"/>
              <w:right w:val="nil"/>
            </w:tcBorders>
            <w:shd w:val="clear" w:color="auto" w:fill="FFFFFF"/>
            <w:tcMar>
              <w:left w:w="67" w:type="dxa"/>
              <w:right w:w="67" w:type="dxa"/>
            </w:tcMar>
          </w:tcPr>
          <w:p w14:paraId="4F895271"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0.066</w:t>
            </w:r>
          </w:p>
        </w:tc>
        <w:tc>
          <w:tcPr>
            <w:tcW w:w="745" w:type="dxa"/>
            <w:tcBorders>
              <w:top w:val="nil"/>
              <w:left w:val="nil"/>
              <w:bottom w:val="nil"/>
              <w:right w:val="nil"/>
            </w:tcBorders>
            <w:shd w:val="clear" w:color="auto" w:fill="FFFFFF"/>
            <w:tcMar>
              <w:left w:w="67" w:type="dxa"/>
              <w:right w:w="67" w:type="dxa"/>
            </w:tcMar>
          </w:tcPr>
          <w:p w14:paraId="622CA758"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0.063</w:t>
            </w:r>
          </w:p>
        </w:tc>
        <w:tc>
          <w:tcPr>
            <w:tcW w:w="745" w:type="dxa"/>
            <w:tcBorders>
              <w:top w:val="nil"/>
              <w:left w:val="nil"/>
              <w:bottom w:val="nil"/>
              <w:right w:val="nil"/>
            </w:tcBorders>
            <w:shd w:val="clear" w:color="auto" w:fill="FFFFFF"/>
            <w:tcMar>
              <w:left w:w="67" w:type="dxa"/>
              <w:right w:w="67" w:type="dxa"/>
            </w:tcMar>
          </w:tcPr>
          <w:p w14:paraId="661CC331"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0.061</w:t>
            </w:r>
          </w:p>
        </w:tc>
        <w:tc>
          <w:tcPr>
            <w:tcW w:w="745" w:type="dxa"/>
            <w:tcBorders>
              <w:top w:val="nil"/>
              <w:left w:val="nil"/>
              <w:bottom w:val="nil"/>
              <w:right w:val="nil"/>
            </w:tcBorders>
            <w:shd w:val="clear" w:color="auto" w:fill="FFFFFF"/>
            <w:tcMar>
              <w:left w:w="67" w:type="dxa"/>
              <w:right w:w="67" w:type="dxa"/>
            </w:tcMar>
          </w:tcPr>
          <w:p w14:paraId="7879220A"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0.06</w:t>
            </w:r>
          </w:p>
        </w:tc>
        <w:tc>
          <w:tcPr>
            <w:tcW w:w="745" w:type="dxa"/>
            <w:tcBorders>
              <w:top w:val="nil"/>
              <w:left w:val="nil"/>
              <w:bottom w:val="nil"/>
              <w:right w:val="nil"/>
            </w:tcBorders>
            <w:shd w:val="clear" w:color="auto" w:fill="FFFFFF"/>
            <w:tcMar>
              <w:left w:w="67" w:type="dxa"/>
              <w:right w:w="67" w:type="dxa"/>
            </w:tcMar>
          </w:tcPr>
          <w:p w14:paraId="5A1BC168"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0.058</w:t>
            </w:r>
          </w:p>
        </w:tc>
        <w:tc>
          <w:tcPr>
            <w:tcW w:w="745" w:type="dxa"/>
            <w:tcBorders>
              <w:top w:val="nil"/>
              <w:left w:val="nil"/>
              <w:bottom w:val="nil"/>
              <w:right w:val="nil"/>
            </w:tcBorders>
            <w:shd w:val="clear" w:color="auto" w:fill="FFFFFF"/>
            <w:tcMar>
              <w:left w:w="67" w:type="dxa"/>
              <w:right w:w="67" w:type="dxa"/>
            </w:tcMar>
          </w:tcPr>
          <w:p w14:paraId="75D7A2A5"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0.058</w:t>
            </w:r>
          </w:p>
        </w:tc>
        <w:tc>
          <w:tcPr>
            <w:tcW w:w="745" w:type="dxa"/>
            <w:tcBorders>
              <w:top w:val="nil"/>
              <w:left w:val="nil"/>
              <w:bottom w:val="nil"/>
              <w:right w:val="nil"/>
            </w:tcBorders>
            <w:shd w:val="clear" w:color="auto" w:fill="FFFFFF"/>
            <w:tcMar>
              <w:left w:w="67" w:type="dxa"/>
              <w:right w:w="67" w:type="dxa"/>
            </w:tcMar>
          </w:tcPr>
          <w:p w14:paraId="6C879B69"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0.058</w:t>
            </w:r>
          </w:p>
        </w:tc>
        <w:tc>
          <w:tcPr>
            <w:tcW w:w="745" w:type="dxa"/>
            <w:tcBorders>
              <w:top w:val="nil"/>
              <w:left w:val="nil"/>
              <w:bottom w:val="nil"/>
              <w:right w:val="nil"/>
            </w:tcBorders>
            <w:shd w:val="clear" w:color="auto" w:fill="FFFFFF"/>
            <w:tcMar>
              <w:left w:w="67" w:type="dxa"/>
              <w:right w:w="67" w:type="dxa"/>
            </w:tcMar>
          </w:tcPr>
          <w:p w14:paraId="2961F492"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0.058</w:t>
            </w:r>
          </w:p>
        </w:tc>
        <w:tc>
          <w:tcPr>
            <w:tcW w:w="745" w:type="dxa"/>
            <w:tcBorders>
              <w:top w:val="nil"/>
              <w:left w:val="nil"/>
              <w:bottom w:val="nil"/>
              <w:right w:val="nil"/>
            </w:tcBorders>
            <w:shd w:val="clear" w:color="auto" w:fill="FFFFFF"/>
            <w:tcMar>
              <w:left w:w="67" w:type="dxa"/>
              <w:right w:w="67" w:type="dxa"/>
            </w:tcMar>
          </w:tcPr>
          <w:p w14:paraId="2DF04E65"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0.059</w:t>
            </w:r>
          </w:p>
        </w:tc>
        <w:tc>
          <w:tcPr>
            <w:tcW w:w="745" w:type="dxa"/>
            <w:tcBorders>
              <w:top w:val="nil"/>
              <w:left w:val="nil"/>
              <w:bottom w:val="nil"/>
              <w:right w:val="nil"/>
            </w:tcBorders>
            <w:shd w:val="clear" w:color="auto" w:fill="FFFFFF"/>
            <w:tcMar>
              <w:left w:w="67" w:type="dxa"/>
              <w:right w:w="67" w:type="dxa"/>
            </w:tcMar>
          </w:tcPr>
          <w:p w14:paraId="76FC4BDC"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0.06</w:t>
            </w:r>
          </w:p>
        </w:tc>
        <w:tc>
          <w:tcPr>
            <w:tcW w:w="745" w:type="dxa"/>
            <w:tcBorders>
              <w:top w:val="nil"/>
              <w:left w:val="nil"/>
              <w:bottom w:val="nil"/>
              <w:right w:val="nil"/>
            </w:tcBorders>
            <w:shd w:val="clear" w:color="auto" w:fill="FFFFFF"/>
            <w:tcMar>
              <w:left w:w="67" w:type="dxa"/>
              <w:right w:w="67" w:type="dxa"/>
            </w:tcMar>
          </w:tcPr>
          <w:p w14:paraId="47F72897"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0.062</w:t>
            </w:r>
          </w:p>
        </w:tc>
        <w:tc>
          <w:tcPr>
            <w:tcW w:w="745" w:type="dxa"/>
            <w:tcBorders>
              <w:top w:val="nil"/>
              <w:left w:val="nil"/>
              <w:bottom w:val="nil"/>
              <w:right w:val="nil"/>
            </w:tcBorders>
            <w:shd w:val="clear" w:color="auto" w:fill="FFFFFF"/>
            <w:tcMar>
              <w:left w:w="67" w:type="dxa"/>
              <w:right w:w="67" w:type="dxa"/>
            </w:tcMar>
          </w:tcPr>
          <w:p w14:paraId="6FDCF175"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0.064</w:t>
            </w:r>
          </w:p>
        </w:tc>
        <w:tc>
          <w:tcPr>
            <w:tcW w:w="745" w:type="dxa"/>
            <w:tcBorders>
              <w:top w:val="nil"/>
              <w:left w:val="nil"/>
              <w:bottom w:val="nil"/>
              <w:right w:val="nil"/>
            </w:tcBorders>
            <w:shd w:val="clear" w:color="auto" w:fill="FFFFFF"/>
            <w:tcMar>
              <w:left w:w="67" w:type="dxa"/>
              <w:right w:w="67" w:type="dxa"/>
            </w:tcMar>
          </w:tcPr>
          <w:p w14:paraId="0A281616"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0.067</w:t>
            </w:r>
          </w:p>
        </w:tc>
        <w:tc>
          <w:tcPr>
            <w:tcW w:w="745" w:type="dxa"/>
            <w:tcBorders>
              <w:top w:val="nil"/>
              <w:left w:val="nil"/>
              <w:bottom w:val="nil"/>
              <w:right w:val="nil"/>
            </w:tcBorders>
            <w:shd w:val="clear" w:color="auto" w:fill="FFFFFF"/>
            <w:tcMar>
              <w:left w:w="67" w:type="dxa"/>
              <w:right w:w="67" w:type="dxa"/>
            </w:tcMar>
          </w:tcPr>
          <w:p w14:paraId="3EE3F1C8"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0.071</w:t>
            </w:r>
          </w:p>
        </w:tc>
        <w:tc>
          <w:tcPr>
            <w:tcW w:w="745" w:type="dxa"/>
            <w:tcBorders>
              <w:top w:val="nil"/>
              <w:left w:val="nil"/>
              <w:bottom w:val="nil"/>
              <w:right w:val="single" w:sz="4" w:space="0" w:color="auto"/>
            </w:tcBorders>
            <w:shd w:val="clear" w:color="auto" w:fill="FFFFFF"/>
            <w:tcMar>
              <w:left w:w="67" w:type="dxa"/>
              <w:right w:w="67" w:type="dxa"/>
            </w:tcMar>
          </w:tcPr>
          <w:p w14:paraId="49BF4A71" w14:textId="77777777" w:rsidR="00E07CDE" w:rsidRPr="00563AD3" w:rsidRDefault="00E07CDE" w:rsidP="00CB59EF">
            <w:pPr>
              <w:keepNext/>
              <w:spacing w:before="67" w:after="67" w:line="240" w:lineRule="auto"/>
              <w:rPr>
                <w:rFonts w:eastAsia="Times New Roman"/>
                <w:color w:val="FF0000"/>
                <w:sz w:val="20"/>
                <w:szCs w:val="20"/>
              </w:rPr>
            </w:pPr>
            <w:r w:rsidRPr="00563AD3">
              <w:rPr>
                <w:rFonts w:eastAsia="Times New Roman"/>
                <w:color w:val="FF0000"/>
                <w:sz w:val="20"/>
                <w:szCs w:val="20"/>
              </w:rPr>
              <w:t>0.075</w:t>
            </w:r>
          </w:p>
        </w:tc>
      </w:tr>
      <w:tr w:rsidR="00E07CDE" w:rsidRPr="00563AD3" w14:paraId="62209617" w14:textId="77777777" w:rsidTr="00C163F3">
        <w:trPr>
          <w:cantSplit/>
          <w:jc w:val="center"/>
        </w:trPr>
        <w:tc>
          <w:tcPr>
            <w:tcW w:w="1144" w:type="dxa"/>
            <w:tcBorders>
              <w:top w:val="nil"/>
              <w:left w:val="single" w:sz="4" w:space="0" w:color="auto"/>
              <w:bottom w:val="single" w:sz="4" w:space="0" w:color="auto"/>
              <w:right w:val="nil"/>
            </w:tcBorders>
            <w:shd w:val="clear" w:color="auto" w:fill="FFFFFF"/>
            <w:tcMar>
              <w:left w:w="67" w:type="dxa"/>
              <w:right w:w="67" w:type="dxa"/>
            </w:tcMar>
          </w:tcPr>
          <w:p w14:paraId="360E0F50" w14:textId="77777777" w:rsidR="00E07CDE" w:rsidRPr="00563AD3" w:rsidRDefault="00E07CDE" w:rsidP="00CB59EF">
            <w:pPr>
              <w:spacing w:before="67" w:after="67" w:line="240" w:lineRule="auto"/>
              <w:rPr>
                <w:rFonts w:eastAsia="Times New Roman"/>
                <w:b/>
                <w:bCs/>
                <w:color w:val="000000"/>
                <w:sz w:val="20"/>
                <w:szCs w:val="20"/>
              </w:rPr>
            </w:pPr>
            <w:r w:rsidRPr="00563AD3">
              <w:rPr>
                <w:rFonts w:eastAsia="Times New Roman"/>
                <w:b/>
                <w:bCs/>
                <w:color w:val="000000"/>
                <w:sz w:val="20"/>
                <w:szCs w:val="20"/>
              </w:rPr>
              <w:t>40</w:t>
            </w:r>
          </w:p>
        </w:tc>
        <w:tc>
          <w:tcPr>
            <w:tcW w:w="745" w:type="dxa"/>
            <w:tcBorders>
              <w:top w:val="nil"/>
              <w:left w:val="nil"/>
              <w:bottom w:val="single" w:sz="4" w:space="0" w:color="auto"/>
              <w:right w:val="nil"/>
            </w:tcBorders>
            <w:shd w:val="clear" w:color="auto" w:fill="FFFFFF"/>
            <w:tcMar>
              <w:left w:w="67" w:type="dxa"/>
              <w:right w:w="67" w:type="dxa"/>
            </w:tcMar>
          </w:tcPr>
          <w:p w14:paraId="546E481A"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0.077</w:t>
            </w:r>
          </w:p>
        </w:tc>
        <w:tc>
          <w:tcPr>
            <w:tcW w:w="745" w:type="dxa"/>
            <w:tcBorders>
              <w:top w:val="nil"/>
              <w:left w:val="nil"/>
              <w:bottom w:val="single" w:sz="4" w:space="0" w:color="auto"/>
              <w:right w:val="nil"/>
            </w:tcBorders>
            <w:shd w:val="clear" w:color="auto" w:fill="FFFFFF"/>
            <w:tcMar>
              <w:left w:w="67" w:type="dxa"/>
              <w:right w:w="67" w:type="dxa"/>
            </w:tcMar>
          </w:tcPr>
          <w:p w14:paraId="25D0F7B2"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0.074</w:t>
            </w:r>
          </w:p>
        </w:tc>
        <w:tc>
          <w:tcPr>
            <w:tcW w:w="745" w:type="dxa"/>
            <w:tcBorders>
              <w:top w:val="nil"/>
              <w:left w:val="nil"/>
              <w:bottom w:val="single" w:sz="4" w:space="0" w:color="auto"/>
              <w:right w:val="nil"/>
            </w:tcBorders>
            <w:shd w:val="clear" w:color="auto" w:fill="FFFFFF"/>
            <w:tcMar>
              <w:left w:w="67" w:type="dxa"/>
              <w:right w:w="67" w:type="dxa"/>
            </w:tcMar>
          </w:tcPr>
          <w:p w14:paraId="5CBB30DE"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0.071</w:t>
            </w:r>
          </w:p>
        </w:tc>
        <w:tc>
          <w:tcPr>
            <w:tcW w:w="745" w:type="dxa"/>
            <w:tcBorders>
              <w:top w:val="nil"/>
              <w:left w:val="nil"/>
              <w:bottom w:val="single" w:sz="4" w:space="0" w:color="auto"/>
              <w:right w:val="nil"/>
            </w:tcBorders>
            <w:shd w:val="clear" w:color="auto" w:fill="FFFFFF"/>
            <w:tcMar>
              <w:left w:w="67" w:type="dxa"/>
              <w:right w:w="67" w:type="dxa"/>
            </w:tcMar>
          </w:tcPr>
          <w:p w14:paraId="144EA040"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0.068</w:t>
            </w:r>
          </w:p>
        </w:tc>
        <w:tc>
          <w:tcPr>
            <w:tcW w:w="745" w:type="dxa"/>
            <w:tcBorders>
              <w:top w:val="nil"/>
              <w:left w:val="nil"/>
              <w:bottom w:val="single" w:sz="4" w:space="0" w:color="auto"/>
              <w:right w:val="nil"/>
            </w:tcBorders>
            <w:shd w:val="clear" w:color="auto" w:fill="FFFFFF"/>
            <w:tcMar>
              <w:left w:w="67" w:type="dxa"/>
              <w:right w:w="67" w:type="dxa"/>
            </w:tcMar>
          </w:tcPr>
          <w:p w14:paraId="2766646F"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0.066</w:t>
            </w:r>
          </w:p>
        </w:tc>
        <w:tc>
          <w:tcPr>
            <w:tcW w:w="745" w:type="dxa"/>
            <w:tcBorders>
              <w:top w:val="nil"/>
              <w:left w:val="nil"/>
              <w:bottom w:val="single" w:sz="4" w:space="0" w:color="auto"/>
              <w:right w:val="nil"/>
            </w:tcBorders>
            <w:shd w:val="clear" w:color="auto" w:fill="FFFFFF"/>
            <w:tcMar>
              <w:left w:w="67" w:type="dxa"/>
              <w:right w:w="67" w:type="dxa"/>
            </w:tcMar>
          </w:tcPr>
          <w:p w14:paraId="1E27BE1C"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0.065</w:t>
            </w:r>
          </w:p>
        </w:tc>
        <w:tc>
          <w:tcPr>
            <w:tcW w:w="745" w:type="dxa"/>
            <w:tcBorders>
              <w:top w:val="nil"/>
              <w:left w:val="nil"/>
              <w:bottom w:val="single" w:sz="4" w:space="0" w:color="auto"/>
              <w:right w:val="nil"/>
            </w:tcBorders>
            <w:shd w:val="clear" w:color="auto" w:fill="FFFFFF"/>
            <w:tcMar>
              <w:left w:w="67" w:type="dxa"/>
              <w:right w:w="67" w:type="dxa"/>
            </w:tcMar>
          </w:tcPr>
          <w:p w14:paraId="75B4EC18"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0.064</w:t>
            </w:r>
          </w:p>
        </w:tc>
        <w:tc>
          <w:tcPr>
            <w:tcW w:w="745" w:type="dxa"/>
            <w:tcBorders>
              <w:top w:val="nil"/>
              <w:left w:val="nil"/>
              <w:bottom w:val="single" w:sz="4" w:space="0" w:color="auto"/>
              <w:right w:val="nil"/>
            </w:tcBorders>
            <w:shd w:val="clear" w:color="auto" w:fill="FFFFFF"/>
            <w:tcMar>
              <w:left w:w="67" w:type="dxa"/>
              <w:right w:w="67" w:type="dxa"/>
            </w:tcMar>
          </w:tcPr>
          <w:p w14:paraId="38D25034"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0.063</w:t>
            </w:r>
          </w:p>
        </w:tc>
        <w:tc>
          <w:tcPr>
            <w:tcW w:w="745" w:type="dxa"/>
            <w:tcBorders>
              <w:top w:val="nil"/>
              <w:left w:val="nil"/>
              <w:bottom w:val="single" w:sz="4" w:space="0" w:color="auto"/>
              <w:right w:val="nil"/>
            </w:tcBorders>
            <w:shd w:val="clear" w:color="auto" w:fill="FFFFFF"/>
            <w:tcMar>
              <w:left w:w="67" w:type="dxa"/>
              <w:right w:w="67" w:type="dxa"/>
            </w:tcMar>
          </w:tcPr>
          <w:p w14:paraId="775B9B8D"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0.063</w:t>
            </w:r>
          </w:p>
        </w:tc>
        <w:tc>
          <w:tcPr>
            <w:tcW w:w="745" w:type="dxa"/>
            <w:tcBorders>
              <w:top w:val="nil"/>
              <w:left w:val="nil"/>
              <w:bottom w:val="single" w:sz="4" w:space="0" w:color="auto"/>
              <w:right w:val="nil"/>
            </w:tcBorders>
            <w:shd w:val="clear" w:color="auto" w:fill="FFFFFF"/>
            <w:tcMar>
              <w:left w:w="67" w:type="dxa"/>
              <w:right w:w="67" w:type="dxa"/>
            </w:tcMar>
          </w:tcPr>
          <w:p w14:paraId="106B6710"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0.063</w:t>
            </w:r>
          </w:p>
        </w:tc>
        <w:tc>
          <w:tcPr>
            <w:tcW w:w="745" w:type="dxa"/>
            <w:tcBorders>
              <w:top w:val="nil"/>
              <w:left w:val="nil"/>
              <w:bottom w:val="single" w:sz="4" w:space="0" w:color="auto"/>
              <w:right w:val="nil"/>
            </w:tcBorders>
            <w:shd w:val="clear" w:color="auto" w:fill="FFFFFF"/>
            <w:tcMar>
              <w:left w:w="67" w:type="dxa"/>
              <w:right w:w="67" w:type="dxa"/>
            </w:tcMar>
          </w:tcPr>
          <w:p w14:paraId="035D8797"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0.064</w:t>
            </w:r>
          </w:p>
        </w:tc>
        <w:tc>
          <w:tcPr>
            <w:tcW w:w="745" w:type="dxa"/>
            <w:tcBorders>
              <w:top w:val="nil"/>
              <w:left w:val="nil"/>
              <w:bottom w:val="single" w:sz="4" w:space="0" w:color="auto"/>
              <w:right w:val="nil"/>
            </w:tcBorders>
            <w:shd w:val="clear" w:color="auto" w:fill="FFFFFF"/>
            <w:tcMar>
              <w:left w:w="67" w:type="dxa"/>
              <w:right w:w="67" w:type="dxa"/>
            </w:tcMar>
          </w:tcPr>
          <w:p w14:paraId="362756DE"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0.065</w:t>
            </w:r>
          </w:p>
        </w:tc>
        <w:tc>
          <w:tcPr>
            <w:tcW w:w="745" w:type="dxa"/>
            <w:tcBorders>
              <w:top w:val="nil"/>
              <w:left w:val="nil"/>
              <w:bottom w:val="single" w:sz="4" w:space="0" w:color="auto"/>
              <w:right w:val="nil"/>
            </w:tcBorders>
            <w:shd w:val="clear" w:color="auto" w:fill="FFFFFF"/>
            <w:tcMar>
              <w:left w:w="67" w:type="dxa"/>
              <w:right w:w="67" w:type="dxa"/>
            </w:tcMar>
          </w:tcPr>
          <w:p w14:paraId="1E3C402B"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0.067</w:t>
            </w:r>
          </w:p>
        </w:tc>
        <w:tc>
          <w:tcPr>
            <w:tcW w:w="745" w:type="dxa"/>
            <w:tcBorders>
              <w:top w:val="nil"/>
              <w:left w:val="nil"/>
              <w:bottom w:val="single" w:sz="4" w:space="0" w:color="auto"/>
              <w:right w:val="nil"/>
            </w:tcBorders>
            <w:shd w:val="clear" w:color="auto" w:fill="FFFFFF"/>
            <w:tcMar>
              <w:left w:w="67" w:type="dxa"/>
              <w:right w:w="67" w:type="dxa"/>
            </w:tcMar>
          </w:tcPr>
          <w:p w14:paraId="087669F9"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0.07</w:t>
            </w:r>
          </w:p>
        </w:tc>
        <w:tc>
          <w:tcPr>
            <w:tcW w:w="745" w:type="dxa"/>
            <w:tcBorders>
              <w:top w:val="nil"/>
              <w:left w:val="nil"/>
              <w:bottom w:val="single" w:sz="4" w:space="0" w:color="auto"/>
              <w:right w:val="nil"/>
            </w:tcBorders>
            <w:shd w:val="clear" w:color="auto" w:fill="FFFFFF"/>
            <w:tcMar>
              <w:left w:w="67" w:type="dxa"/>
              <w:right w:w="67" w:type="dxa"/>
            </w:tcMar>
          </w:tcPr>
          <w:p w14:paraId="41CC1959"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0.073</w:t>
            </w:r>
          </w:p>
        </w:tc>
        <w:tc>
          <w:tcPr>
            <w:tcW w:w="745" w:type="dxa"/>
            <w:tcBorders>
              <w:top w:val="nil"/>
              <w:left w:val="nil"/>
              <w:bottom w:val="single" w:sz="4" w:space="0" w:color="auto"/>
              <w:right w:val="nil"/>
            </w:tcBorders>
            <w:shd w:val="clear" w:color="auto" w:fill="FFFFFF"/>
            <w:tcMar>
              <w:left w:w="67" w:type="dxa"/>
              <w:right w:w="67" w:type="dxa"/>
            </w:tcMar>
          </w:tcPr>
          <w:p w14:paraId="4DF54565"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0.077</w:t>
            </w:r>
          </w:p>
        </w:tc>
        <w:tc>
          <w:tcPr>
            <w:tcW w:w="745" w:type="dxa"/>
            <w:tcBorders>
              <w:top w:val="nil"/>
              <w:left w:val="nil"/>
              <w:bottom w:val="single" w:sz="4" w:space="0" w:color="auto"/>
              <w:right w:val="single" w:sz="4" w:space="0" w:color="auto"/>
            </w:tcBorders>
            <w:shd w:val="clear" w:color="auto" w:fill="FFFFFF"/>
            <w:tcMar>
              <w:left w:w="67" w:type="dxa"/>
              <w:right w:w="67" w:type="dxa"/>
            </w:tcMar>
          </w:tcPr>
          <w:p w14:paraId="55741A44" w14:textId="77777777" w:rsidR="00E07CDE" w:rsidRPr="00563AD3" w:rsidRDefault="00E07CDE" w:rsidP="00CB59EF">
            <w:pPr>
              <w:spacing w:before="67" w:after="67" w:line="240" w:lineRule="auto"/>
              <w:rPr>
                <w:rFonts w:eastAsia="Times New Roman"/>
                <w:color w:val="FF0000"/>
                <w:sz w:val="20"/>
                <w:szCs w:val="20"/>
              </w:rPr>
            </w:pPr>
            <w:r w:rsidRPr="00563AD3">
              <w:rPr>
                <w:rFonts w:eastAsia="Times New Roman"/>
                <w:color w:val="FF0000"/>
                <w:sz w:val="20"/>
                <w:szCs w:val="20"/>
              </w:rPr>
              <w:t>0.081</w:t>
            </w:r>
          </w:p>
        </w:tc>
      </w:tr>
    </w:tbl>
    <w:p w14:paraId="172AE612" w14:textId="77777777" w:rsidR="00E07CDE" w:rsidRPr="00563AD3" w:rsidRDefault="00E07CDE" w:rsidP="009B13F3">
      <w:pPr>
        <w:autoSpaceDE/>
        <w:autoSpaceDN/>
        <w:adjustRightInd/>
        <w:spacing w:before="120" w:after="0"/>
        <w:rPr>
          <w:rFonts w:eastAsia="Calibri"/>
          <w:sz w:val="24"/>
          <w:szCs w:val="24"/>
          <w:lang w:eastAsia="en-US"/>
        </w:rPr>
      </w:pPr>
    </w:p>
    <w:p w14:paraId="31541776" w14:textId="366F8050" w:rsidR="00E07CDE" w:rsidRPr="00563AD3" w:rsidRDefault="00E07CDE" w:rsidP="00CB59EF">
      <w:pPr>
        <w:pStyle w:val="Tableheading"/>
        <w:rPr>
          <w:rFonts w:eastAsia="Calibri"/>
          <w:lang w:eastAsia="en-US"/>
        </w:rPr>
      </w:pPr>
      <w:bookmarkStart w:id="323" w:name="_Toc500935001"/>
      <w:bookmarkStart w:id="324" w:name="_Toc948246"/>
      <w:r w:rsidRPr="00563AD3">
        <w:rPr>
          <w:rFonts w:eastAsia="Calibri"/>
          <w:lang w:eastAsia="en-US"/>
        </w:rPr>
        <w:t xml:space="preserve">Table </w:t>
      </w:r>
      <w:r w:rsidR="005B29F6">
        <w:rPr>
          <w:rFonts w:eastAsia="Calibri"/>
          <w:lang w:eastAsia="en-US"/>
        </w:rPr>
        <w:t>49</w:t>
      </w:r>
      <w:r w:rsidR="005B29F6" w:rsidRPr="00563AD3">
        <w:rPr>
          <w:rFonts w:eastAsia="Calibri"/>
          <w:lang w:eastAsia="en-US"/>
        </w:rPr>
        <w:t xml:space="preserve"> </w:t>
      </w:r>
      <w:r w:rsidRPr="00563AD3">
        <w:rPr>
          <w:rFonts w:eastAsia="Calibri"/>
          <w:lang w:eastAsia="en-US"/>
        </w:rPr>
        <w:t>NPI-NH at baseline</w:t>
      </w:r>
      <w:bookmarkEnd w:id="323"/>
      <w:r w:rsidRPr="00563AD3">
        <w:rPr>
          <w:rFonts w:eastAsia="Calibri"/>
          <w:lang w:eastAsia="en-US"/>
        </w:rPr>
        <w:t xml:space="preserve"> – unadjusted scores</w:t>
      </w:r>
      <w:bookmarkEnd w:id="324"/>
    </w:p>
    <w:tbl>
      <w:tblPr>
        <w:tblW w:w="15233" w:type="dxa"/>
        <w:jc w:val="center"/>
        <w:tblLayout w:type="fixed"/>
        <w:tblCellMar>
          <w:left w:w="0" w:type="dxa"/>
          <w:right w:w="0" w:type="dxa"/>
        </w:tblCellMar>
        <w:tblLook w:val="0000" w:firstRow="0" w:lastRow="0" w:firstColumn="0" w:lastColumn="0" w:noHBand="0" w:noVBand="0"/>
      </w:tblPr>
      <w:tblGrid>
        <w:gridCol w:w="1417"/>
        <w:gridCol w:w="1039"/>
        <w:gridCol w:w="1039"/>
        <w:gridCol w:w="1040"/>
        <w:gridCol w:w="259"/>
        <w:gridCol w:w="632"/>
        <w:gridCol w:w="891"/>
        <w:gridCol w:w="892"/>
        <w:gridCol w:w="172"/>
        <w:gridCol w:w="719"/>
        <w:gridCol w:w="891"/>
        <w:gridCol w:w="892"/>
        <w:gridCol w:w="85"/>
        <w:gridCol w:w="806"/>
        <w:gridCol w:w="891"/>
        <w:gridCol w:w="892"/>
        <w:gridCol w:w="891"/>
        <w:gridCol w:w="891"/>
        <w:gridCol w:w="894"/>
      </w:tblGrid>
      <w:tr w:rsidR="00E07CDE" w:rsidRPr="00563AD3" w14:paraId="716AB7A9" w14:textId="77777777" w:rsidTr="00C163F3">
        <w:trPr>
          <w:cantSplit/>
          <w:tblHeader/>
          <w:jc w:val="center"/>
        </w:trPr>
        <w:tc>
          <w:tcPr>
            <w:tcW w:w="1417" w:type="dxa"/>
            <w:tcBorders>
              <w:top w:val="single" w:sz="4" w:space="0" w:color="auto"/>
              <w:left w:val="single" w:sz="4" w:space="0" w:color="auto"/>
              <w:bottom w:val="nil"/>
              <w:right w:val="nil"/>
            </w:tcBorders>
            <w:shd w:val="clear" w:color="auto" w:fill="FFFFFF"/>
            <w:tcMar>
              <w:left w:w="67" w:type="dxa"/>
              <w:right w:w="67" w:type="dxa"/>
            </w:tcMar>
            <w:vAlign w:val="bottom"/>
          </w:tcPr>
          <w:p w14:paraId="0214CA03" w14:textId="77777777" w:rsidR="00E07CDE" w:rsidRPr="00563AD3" w:rsidRDefault="00E07CDE" w:rsidP="00CB59EF">
            <w:pPr>
              <w:keepNext/>
              <w:spacing w:before="67" w:after="67" w:line="240" w:lineRule="auto"/>
              <w:jc w:val="center"/>
              <w:rPr>
                <w:rFonts w:eastAsia="Times New Roman"/>
                <w:b/>
                <w:bCs/>
                <w:color w:val="000000"/>
                <w:sz w:val="14"/>
                <w:szCs w:val="14"/>
              </w:rPr>
            </w:pPr>
          </w:p>
        </w:tc>
        <w:tc>
          <w:tcPr>
            <w:tcW w:w="13816" w:type="dxa"/>
            <w:gridSpan w:val="18"/>
            <w:tcBorders>
              <w:top w:val="single" w:sz="4" w:space="0" w:color="auto"/>
              <w:left w:val="nil"/>
              <w:bottom w:val="nil"/>
              <w:right w:val="single" w:sz="4" w:space="0" w:color="auto"/>
            </w:tcBorders>
            <w:shd w:val="clear" w:color="auto" w:fill="FFFFFF"/>
            <w:tcMar>
              <w:left w:w="67" w:type="dxa"/>
              <w:right w:w="67" w:type="dxa"/>
            </w:tcMar>
            <w:vAlign w:val="bottom"/>
          </w:tcPr>
          <w:p w14:paraId="729674C8"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Baseline </w:t>
            </w:r>
          </w:p>
          <w:p w14:paraId="110B167F"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Mean (SD) Missing</w:t>
            </w:r>
          </w:p>
        </w:tc>
      </w:tr>
      <w:tr w:rsidR="00E07CDE" w:rsidRPr="00563AD3" w14:paraId="5927B42C" w14:textId="77777777" w:rsidTr="00C163F3">
        <w:trPr>
          <w:cantSplit/>
          <w:tblHeader/>
          <w:jc w:val="center"/>
        </w:trPr>
        <w:tc>
          <w:tcPr>
            <w:tcW w:w="1417" w:type="dxa"/>
            <w:tcBorders>
              <w:top w:val="nil"/>
              <w:left w:val="single" w:sz="4" w:space="0" w:color="auto"/>
              <w:bottom w:val="nil"/>
              <w:right w:val="nil"/>
            </w:tcBorders>
            <w:shd w:val="clear" w:color="auto" w:fill="FFFFFF"/>
            <w:tcMar>
              <w:left w:w="67" w:type="dxa"/>
              <w:right w:w="67" w:type="dxa"/>
            </w:tcMar>
            <w:vAlign w:val="bottom"/>
          </w:tcPr>
          <w:p w14:paraId="2614D112" w14:textId="77777777" w:rsidR="00E07CDE" w:rsidRPr="00563AD3" w:rsidRDefault="00E07CDE" w:rsidP="00CB59EF">
            <w:pPr>
              <w:keepNext/>
              <w:spacing w:before="67" w:after="67" w:line="240" w:lineRule="auto"/>
              <w:jc w:val="center"/>
              <w:rPr>
                <w:rFonts w:eastAsia="Times New Roman"/>
                <w:b/>
                <w:bCs/>
                <w:color w:val="000000"/>
                <w:sz w:val="14"/>
                <w:szCs w:val="14"/>
              </w:rPr>
            </w:pPr>
          </w:p>
        </w:tc>
        <w:tc>
          <w:tcPr>
            <w:tcW w:w="3377" w:type="dxa"/>
            <w:gridSpan w:val="4"/>
            <w:tcBorders>
              <w:top w:val="nil"/>
              <w:left w:val="nil"/>
              <w:bottom w:val="nil"/>
              <w:right w:val="nil"/>
            </w:tcBorders>
            <w:shd w:val="clear" w:color="auto" w:fill="FFFFFF"/>
            <w:tcMar>
              <w:left w:w="67" w:type="dxa"/>
              <w:right w:w="67" w:type="dxa"/>
            </w:tcMar>
            <w:vAlign w:val="bottom"/>
          </w:tcPr>
          <w:p w14:paraId="07A570FD"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Number experiencing the behaviour</w:t>
            </w:r>
            <w:r w:rsidRPr="00563AD3">
              <w:rPr>
                <w:rFonts w:eastAsia="Times New Roman"/>
                <w:b/>
                <w:bCs/>
                <w:color w:val="000000"/>
                <w:sz w:val="14"/>
                <w:szCs w:val="14"/>
              </w:rPr>
              <w:br/>
              <w:t>N (%) completed</w:t>
            </w:r>
          </w:p>
        </w:tc>
        <w:tc>
          <w:tcPr>
            <w:tcW w:w="2587" w:type="dxa"/>
            <w:gridSpan w:val="4"/>
            <w:tcBorders>
              <w:top w:val="nil"/>
              <w:left w:val="nil"/>
              <w:bottom w:val="nil"/>
              <w:right w:val="nil"/>
            </w:tcBorders>
            <w:shd w:val="clear" w:color="auto" w:fill="FFFFFF"/>
            <w:tcMar>
              <w:left w:w="67" w:type="dxa"/>
              <w:right w:w="67" w:type="dxa"/>
            </w:tcMar>
            <w:vAlign w:val="bottom"/>
          </w:tcPr>
          <w:p w14:paraId="70EC5E64"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Frequency</w:t>
            </w:r>
            <w:r w:rsidRPr="00563AD3">
              <w:rPr>
                <w:rFonts w:eastAsia="Times New Roman"/>
                <w:b/>
                <w:bCs/>
                <w:color w:val="000000"/>
                <w:sz w:val="14"/>
                <w:szCs w:val="14"/>
              </w:rPr>
              <w:br/>
              <w:t>score</w:t>
            </w:r>
          </w:p>
        </w:tc>
        <w:tc>
          <w:tcPr>
            <w:tcW w:w="2587" w:type="dxa"/>
            <w:gridSpan w:val="4"/>
            <w:tcBorders>
              <w:top w:val="nil"/>
              <w:left w:val="nil"/>
              <w:bottom w:val="nil"/>
              <w:right w:val="nil"/>
            </w:tcBorders>
            <w:shd w:val="clear" w:color="auto" w:fill="FFFFFF"/>
            <w:tcMar>
              <w:left w:w="67" w:type="dxa"/>
              <w:right w:w="67" w:type="dxa"/>
            </w:tcMar>
            <w:vAlign w:val="bottom"/>
          </w:tcPr>
          <w:p w14:paraId="36EE2348"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Severity</w:t>
            </w:r>
            <w:r w:rsidRPr="00563AD3">
              <w:rPr>
                <w:rFonts w:eastAsia="Times New Roman"/>
                <w:b/>
                <w:bCs/>
                <w:color w:val="000000"/>
                <w:sz w:val="14"/>
                <w:szCs w:val="14"/>
              </w:rPr>
              <w:br/>
              <w:t>score</w:t>
            </w:r>
          </w:p>
        </w:tc>
        <w:tc>
          <w:tcPr>
            <w:tcW w:w="2589" w:type="dxa"/>
            <w:gridSpan w:val="3"/>
            <w:tcBorders>
              <w:top w:val="nil"/>
              <w:left w:val="nil"/>
              <w:bottom w:val="nil"/>
              <w:right w:val="nil"/>
            </w:tcBorders>
            <w:shd w:val="clear" w:color="auto" w:fill="FFFFFF"/>
            <w:tcMar>
              <w:left w:w="67" w:type="dxa"/>
              <w:right w:w="67" w:type="dxa"/>
            </w:tcMar>
            <w:vAlign w:val="bottom"/>
          </w:tcPr>
          <w:p w14:paraId="68CC4BDC"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Caregiver</w:t>
            </w:r>
            <w:r w:rsidRPr="00563AD3">
              <w:rPr>
                <w:rFonts w:eastAsia="Times New Roman"/>
                <w:b/>
                <w:bCs/>
                <w:color w:val="000000"/>
                <w:sz w:val="14"/>
                <w:szCs w:val="14"/>
              </w:rPr>
              <w:br/>
              <w:t>distress score</w:t>
            </w:r>
          </w:p>
        </w:tc>
        <w:tc>
          <w:tcPr>
            <w:tcW w:w="2676" w:type="dxa"/>
            <w:gridSpan w:val="3"/>
            <w:tcBorders>
              <w:top w:val="nil"/>
              <w:left w:val="nil"/>
              <w:bottom w:val="nil"/>
              <w:right w:val="single" w:sz="4" w:space="0" w:color="auto"/>
            </w:tcBorders>
            <w:shd w:val="clear" w:color="auto" w:fill="FFFFFF"/>
            <w:tcMar>
              <w:left w:w="67" w:type="dxa"/>
              <w:right w:w="67" w:type="dxa"/>
            </w:tcMar>
            <w:vAlign w:val="bottom"/>
          </w:tcPr>
          <w:p w14:paraId="00871470"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Total domain</w:t>
            </w:r>
            <w:r w:rsidRPr="00563AD3">
              <w:rPr>
                <w:rFonts w:eastAsia="Times New Roman"/>
                <w:b/>
                <w:bCs/>
                <w:color w:val="000000"/>
                <w:sz w:val="14"/>
                <w:szCs w:val="14"/>
              </w:rPr>
              <w:br/>
              <w:t>score</w:t>
            </w:r>
          </w:p>
        </w:tc>
      </w:tr>
      <w:tr w:rsidR="00E07CDE" w:rsidRPr="00563AD3" w14:paraId="548F0327" w14:textId="77777777" w:rsidTr="00C163F3">
        <w:trPr>
          <w:cantSplit/>
          <w:tblHeader/>
          <w:jc w:val="center"/>
        </w:trPr>
        <w:tc>
          <w:tcPr>
            <w:tcW w:w="1417" w:type="dxa"/>
            <w:tcBorders>
              <w:top w:val="nil"/>
              <w:left w:val="single" w:sz="4" w:space="0" w:color="auto"/>
              <w:bottom w:val="single" w:sz="4" w:space="0" w:color="000000"/>
              <w:right w:val="nil"/>
            </w:tcBorders>
            <w:shd w:val="clear" w:color="auto" w:fill="FFFFFF"/>
            <w:tcMar>
              <w:left w:w="67" w:type="dxa"/>
              <w:right w:w="67" w:type="dxa"/>
            </w:tcMar>
            <w:vAlign w:val="bottom"/>
          </w:tcPr>
          <w:p w14:paraId="6337F19F" w14:textId="77777777" w:rsidR="00E07CDE" w:rsidRPr="00563AD3" w:rsidRDefault="00E07CDE" w:rsidP="00CB59EF">
            <w:pPr>
              <w:keepNext/>
              <w:spacing w:before="67" w:after="67" w:line="240" w:lineRule="auto"/>
              <w:jc w:val="center"/>
              <w:rPr>
                <w:rFonts w:eastAsia="Times New Roman"/>
                <w:b/>
                <w:bCs/>
                <w:color w:val="000000"/>
                <w:sz w:val="14"/>
                <w:szCs w:val="14"/>
              </w:rPr>
            </w:pPr>
          </w:p>
        </w:tc>
        <w:tc>
          <w:tcPr>
            <w:tcW w:w="1039" w:type="dxa"/>
            <w:tcBorders>
              <w:top w:val="nil"/>
              <w:left w:val="nil"/>
              <w:bottom w:val="single" w:sz="4" w:space="0" w:color="000000"/>
              <w:right w:val="nil"/>
            </w:tcBorders>
            <w:shd w:val="clear" w:color="auto" w:fill="FFFFFF"/>
            <w:tcMar>
              <w:left w:w="67" w:type="dxa"/>
              <w:right w:w="67" w:type="dxa"/>
            </w:tcMar>
            <w:vAlign w:val="bottom"/>
          </w:tcPr>
          <w:p w14:paraId="743D4CCE" w14:textId="18B01F94"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Control</w:t>
            </w:r>
            <w:r w:rsidR="00E35291">
              <w:rPr>
                <w:rFonts w:eastAsia="Times New Roman"/>
                <w:b/>
                <w:bCs/>
                <w:color w:val="000000"/>
                <w:sz w:val="14"/>
                <w:szCs w:val="14"/>
              </w:rPr>
              <w:t xml:space="preserve">       </w:t>
            </w:r>
            <w:r w:rsidRPr="00563AD3">
              <w:rPr>
                <w:rFonts w:eastAsia="Times New Roman"/>
                <w:b/>
                <w:bCs/>
                <w:color w:val="000000"/>
                <w:sz w:val="14"/>
                <w:szCs w:val="14"/>
              </w:rPr>
              <w:t xml:space="preserve"> (n = 308)</w:t>
            </w:r>
          </w:p>
        </w:tc>
        <w:tc>
          <w:tcPr>
            <w:tcW w:w="1039" w:type="dxa"/>
            <w:tcBorders>
              <w:top w:val="nil"/>
              <w:left w:val="nil"/>
              <w:bottom w:val="single" w:sz="4" w:space="0" w:color="000000"/>
              <w:right w:val="nil"/>
            </w:tcBorders>
            <w:shd w:val="clear" w:color="auto" w:fill="FFFFFF"/>
            <w:tcMar>
              <w:left w:w="67" w:type="dxa"/>
              <w:right w:w="67" w:type="dxa"/>
            </w:tcMar>
            <w:vAlign w:val="bottom"/>
          </w:tcPr>
          <w:p w14:paraId="6EB87830" w14:textId="67AA5408" w:rsidR="00E07CDE" w:rsidRPr="00563AD3" w:rsidRDefault="008A1A04" w:rsidP="00CB59EF">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r w:rsidRPr="008A1A04">
              <w:rPr>
                <w:rFonts w:eastAsia="Times New Roman"/>
                <w:b/>
                <w:bCs/>
                <w:color w:val="000000"/>
                <w:sz w:val="14"/>
                <w:szCs w:val="14"/>
              </w:rPr>
              <w:t xml:space="preserve"> </w:t>
            </w:r>
            <w:r w:rsidR="00E07CDE" w:rsidRPr="00563AD3">
              <w:rPr>
                <w:rFonts w:eastAsia="Times New Roman"/>
                <w:b/>
                <w:bCs/>
                <w:color w:val="000000"/>
                <w:sz w:val="14"/>
                <w:szCs w:val="14"/>
              </w:rPr>
              <w:t>Intervention (n = 418)</w:t>
            </w:r>
          </w:p>
        </w:tc>
        <w:tc>
          <w:tcPr>
            <w:tcW w:w="1040" w:type="dxa"/>
            <w:tcBorders>
              <w:top w:val="nil"/>
              <w:left w:val="nil"/>
              <w:bottom w:val="single" w:sz="4" w:space="0" w:color="000000"/>
              <w:right w:val="nil"/>
            </w:tcBorders>
            <w:shd w:val="clear" w:color="auto" w:fill="FFFFFF"/>
            <w:tcMar>
              <w:left w:w="67" w:type="dxa"/>
              <w:right w:w="67" w:type="dxa"/>
            </w:tcMar>
            <w:vAlign w:val="bottom"/>
          </w:tcPr>
          <w:p w14:paraId="35E7C54B"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Total (n = 726)</w:t>
            </w:r>
          </w:p>
        </w:tc>
        <w:tc>
          <w:tcPr>
            <w:tcW w:w="891" w:type="dxa"/>
            <w:gridSpan w:val="2"/>
            <w:tcBorders>
              <w:top w:val="nil"/>
              <w:left w:val="nil"/>
              <w:bottom w:val="single" w:sz="4" w:space="0" w:color="000000"/>
              <w:right w:val="nil"/>
            </w:tcBorders>
            <w:shd w:val="clear" w:color="auto" w:fill="FFFFFF"/>
            <w:tcMar>
              <w:left w:w="67" w:type="dxa"/>
              <w:right w:w="67" w:type="dxa"/>
            </w:tcMar>
            <w:vAlign w:val="bottom"/>
          </w:tcPr>
          <w:p w14:paraId="1788B1D4"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891" w:type="dxa"/>
            <w:tcBorders>
              <w:top w:val="nil"/>
              <w:left w:val="nil"/>
              <w:bottom w:val="single" w:sz="4" w:space="0" w:color="000000"/>
              <w:right w:val="nil"/>
            </w:tcBorders>
            <w:shd w:val="clear" w:color="auto" w:fill="FFFFFF"/>
            <w:tcMar>
              <w:left w:w="67" w:type="dxa"/>
              <w:right w:w="67" w:type="dxa"/>
            </w:tcMar>
            <w:vAlign w:val="bottom"/>
          </w:tcPr>
          <w:p w14:paraId="721AD4D9" w14:textId="43D5C9A6" w:rsidR="00E07CDE" w:rsidRPr="00563AD3" w:rsidRDefault="008A1A04" w:rsidP="00CB59EF">
            <w:pPr>
              <w:keepNext/>
              <w:spacing w:before="67" w:after="67" w:line="240" w:lineRule="auto"/>
              <w:jc w:val="center"/>
              <w:rPr>
                <w:rFonts w:eastAsia="Times New Roman"/>
                <w:b/>
                <w:bCs/>
                <w:color w:val="000000"/>
                <w:sz w:val="14"/>
                <w:szCs w:val="14"/>
              </w:rPr>
            </w:pPr>
            <w:r>
              <w:rPr>
                <w:rFonts w:eastAsia="Times New Roman"/>
                <w:b/>
                <w:bCs/>
                <w:color w:val="000000"/>
                <w:sz w:val="14"/>
                <w:szCs w:val="14"/>
              </w:rPr>
              <w:t>DCM</w:t>
            </w:r>
            <w:r w:rsidRPr="008A1A04">
              <w:rPr>
                <w:rFonts w:eastAsia="Times New Roman"/>
                <w:b/>
                <w:bCs/>
                <w:color w:val="000000"/>
                <w:sz w:val="14"/>
                <w:szCs w:val="14"/>
                <w:vertAlign w:val="superscript"/>
              </w:rPr>
              <w:t>TM</w:t>
            </w:r>
            <w:r w:rsidR="00E07CDE" w:rsidRPr="00563AD3">
              <w:rPr>
                <w:rFonts w:eastAsia="Times New Roman"/>
                <w:b/>
                <w:bCs/>
                <w:color w:val="000000"/>
                <w:sz w:val="14"/>
                <w:szCs w:val="14"/>
              </w:rPr>
              <w:t xml:space="preserve"> </w:t>
            </w:r>
          </w:p>
        </w:tc>
        <w:tc>
          <w:tcPr>
            <w:tcW w:w="892" w:type="dxa"/>
            <w:tcBorders>
              <w:top w:val="nil"/>
              <w:left w:val="nil"/>
              <w:bottom w:val="single" w:sz="4" w:space="0" w:color="000000"/>
              <w:right w:val="nil"/>
            </w:tcBorders>
            <w:shd w:val="clear" w:color="auto" w:fill="FFFFFF"/>
            <w:tcMar>
              <w:left w:w="67" w:type="dxa"/>
              <w:right w:w="67" w:type="dxa"/>
            </w:tcMar>
            <w:vAlign w:val="bottom"/>
          </w:tcPr>
          <w:p w14:paraId="0A6489F0"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Total</w:t>
            </w:r>
          </w:p>
        </w:tc>
        <w:tc>
          <w:tcPr>
            <w:tcW w:w="891" w:type="dxa"/>
            <w:gridSpan w:val="2"/>
            <w:tcBorders>
              <w:top w:val="nil"/>
              <w:left w:val="nil"/>
              <w:bottom w:val="single" w:sz="4" w:space="0" w:color="000000"/>
              <w:right w:val="nil"/>
            </w:tcBorders>
            <w:shd w:val="clear" w:color="auto" w:fill="FFFFFF"/>
            <w:tcMar>
              <w:left w:w="67" w:type="dxa"/>
              <w:right w:w="67" w:type="dxa"/>
            </w:tcMar>
            <w:vAlign w:val="bottom"/>
          </w:tcPr>
          <w:p w14:paraId="4E0C6E77"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891" w:type="dxa"/>
            <w:tcBorders>
              <w:top w:val="nil"/>
              <w:left w:val="nil"/>
              <w:bottom w:val="single" w:sz="4" w:space="0" w:color="000000"/>
              <w:right w:val="nil"/>
            </w:tcBorders>
            <w:shd w:val="clear" w:color="auto" w:fill="FFFFFF"/>
            <w:tcMar>
              <w:left w:w="67" w:type="dxa"/>
              <w:right w:w="67" w:type="dxa"/>
            </w:tcMar>
            <w:vAlign w:val="bottom"/>
          </w:tcPr>
          <w:p w14:paraId="4DF6A080" w14:textId="08177917" w:rsidR="00E07CDE" w:rsidRPr="00563AD3" w:rsidRDefault="008A1A04" w:rsidP="00CB59EF">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p>
        </w:tc>
        <w:tc>
          <w:tcPr>
            <w:tcW w:w="892" w:type="dxa"/>
            <w:tcBorders>
              <w:top w:val="nil"/>
              <w:left w:val="nil"/>
              <w:bottom w:val="single" w:sz="4" w:space="0" w:color="000000"/>
              <w:right w:val="nil"/>
            </w:tcBorders>
            <w:shd w:val="clear" w:color="auto" w:fill="FFFFFF"/>
            <w:tcMar>
              <w:left w:w="67" w:type="dxa"/>
              <w:right w:w="67" w:type="dxa"/>
            </w:tcMar>
            <w:vAlign w:val="bottom"/>
          </w:tcPr>
          <w:p w14:paraId="09781D1A"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Total </w:t>
            </w:r>
          </w:p>
        </w:tc>
        <w:tc>
          <w:tcPr>
            <w:tcW w:w="891" w:type="dxa"/>
            <w:gridSpan w:val="2"/>
            <w:tcBorders>
              <w:top w:val="nil"/>
              <w:left w:val="nil"/>
              <w:bottom w:val="single" w:sz="4" w:space="0" w:color="000000"/>
              <w:right w:val="nil"/>
            </w:tcBorders>
            <w:shd w:val="clear" w:color="auto" w:fill="FFFFFF"/>
            <w:tcMar>
              <w:left w:w="67" w:type="dxa"/>
              <w:right w:w="67" w:type="dxa"/>
            </w:tcMar>
            <w:vAlign w:val="bottom"/>
          </w:tcPr>
          <w:p w14:paraId="600136AD"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891" w:type="dxa"/>
            <w:tcBorders>
              <w:top w:val="nil"/>
              <w:left w:val="nil"/>
              <w:bottom w:val="single" w:sz="4" w:space="0" w:color="000000"/>
              <w:right w:val="nil"/>
            </w:tcBorders>
            <w:shd w:val="clear" w:color="auto" w:fill="FFFFFF"/>
            <w:tcMar>
              <w:left w:w="67" w:type="dxa"/>
              <w:right w:w="67" w:type="dxa"/>
            </w:tcMar>
            <w:vAlign w:val="bottom"/>
          </w:tcPr>
          <w:p w14:paraId="299B6896" w14:textId="60A2926B" w:rsidR="00E07CDE" w:rsidRPr="00563AD3" w:rsidRDefault="008A1A04" w:rsidP="00CB59EF">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r w:rsidR="00E07CDE" w:rsidRPr="00563AD3">
              <w:rPr>
                <w:rFonts w:eastAsia="Times New Roman"/>
                <w:b/>
                <w:bCs/>
                <w:color w:val="000000"/>
                <w:sz w:val="14"/>
                <w:szCs w:val="14"/>
              </w:rPr>
              <w:t xml:space="preserve"> </w:t>
            </w:r>
          </w:p>
        </w:tc>
        <w:tc>
          <w:tcPr>
            <w:tcW w:w="892" w:type="dxa"/>
            <w:tcBorders>
              <w:top w:val="nil"/>
              <w:left w:val="nil"/>
              <w:bottom w:val="single" w:sz="4" w:space="0" w:color="000000"/>
              <w:right w:val="nil"/>
            </w:tcBorders>
            <w:shd w:val="clear" w:color="auto" w:fill="FFFFFF"/>
            <w:tcMar>
              <w:left w:w="67" w:type="dxa"/>
              <w:right w:w="67" w:type="dxa"/>
            </w:tcMar>
            <w:vAlign w:val="bottom"/>
          </w:tcPr>
          <w:p w14:paraId="4A07FEE2"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Total </w:t>
            </w:r>
          </w:p>
        </w:tc>
        <w:tc>
          <w:tcPr>
            <w:tcW w:w="891" w:type="dxa"/>
            <w:tcBorders>
              <w:top w:val="nil"/>
              <w:left w:val="nil"/>
              <w:bottom w:val="single" w:sz="4" w:space="0" w:color="000000"/>
              <w:right w:val="nil"/>
            </w:tcBorders>
            <w:shd w:val="clear" w:color="auto" w:fill="FFFFFF"/>
            <w:tcMar>
              <w:left w:w="67" w:type="dxa"/>
              <w:right w:w="67" w:type="dxa"/>
            </w:tcMar>
            <w:vAlign w:val="bottom"/>
          </w:tcPr>
          <w:p w14:paraId="2FCA0D61"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891" w:type="dxa"/>
            <w:tcBorders>
              <w:top w:val="nil"/>
              <w:left w:val="nil"/>
              <w:bottom w:val="single" w:sz="4" w:space="0" w:color="000000"/>
              <w:right w:val="nil"/>
            </w:tcBorders>
            <w:shd w:val="clear" w:color="auto" w:fill="FFFFFF"/>
            <w:tcMar>
              <w:left w:w="67" w:type="dxa"/>
              <w:right w:w="67" w:type="dxa"/>
            </w:tcMar>
            <w:vAlign w:val="bottom"/>
          </w:tcPr>
          <w:p w14:paraId="756FFD94" w14:textId="1D04B3A0" w:rsidR="00E07CDE" w:rsidRPr="00563AD3" w:rsidRDefault="008A1A04" w:rsidP="00CB59EF">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r w:rsidR="00E07CDE" w:rsidRPr="00563AD3">
              <w:rPr>
                <w:rFonts w:eastAsia="Times New Roman"/>
                <w:b/>
                <w:bCs/>
                <w:color w:val="000000"/>
                <w:sz w:val="14"/>
                <w:szCs w:val="14"/>
              </w:rPr>
              <w:t xml:space="preserve"> </w:t>
            </w:r>
          </w:p>
        </w:tc>
        <w:tc>
          <w:tcPr>
            <w:tcW w:w="894" w:type="dxa"/>
            <w:tcBorders>
              <w:top w:val="nil"/>
              <w:left w:val="nil"/>
              <w:bottom w:val="single" w:sz="4" w:space="0" w:color="000000"/>
              <w:right w:val="single" w:sz="4" w:space="0" w:color="auto"/>
            </w:tcBorders>
            <w:shd w:val="clear" w:color="auto" w:fill="FFFFFF"/>
            <w:tcMar>
              <w:left w:w="67" w:type="dxa"/>
              <w:right w:w="67" w:type="dxa"/>
            </w:tcMar>
            <w:vAlign w:val="bottom"/>
          </w:tcPr>
          <w:p w14:paraId="64601192" w14:textId="77777777" w:rsidR="00E07CDE" w:rsidRPr="00563AD3" w:rsidRDefault="00E07CDE" w:rsidP="00CB59EF">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Total </w:t>
            </w:r>
          </w:p>
        </w:tc>
      </w:tr>
      <w:tr w:rsidR="00E07CDE" w:rsidRPr="00563AD3" w14:paraId="5E73FA88" w14:textId="77777777" w:rsidTr="00C163F3">
        <w:trPr>
          <w:cantSplit/>
          <w:jc w:val="center"/>
        </w:trPr>
        <w:tc>
          <w:tcPr>
            <w:tcW w:w="1417" w:type="dxa"/>
            <w:tcBorders>
              <w:top w:val="nil"/>
              <w:left w:val="single" w:sz="4" w:space="0" w:color="auto"/>
              <w:bottom w:val="nil"/>
              <w:right w:val="nil"/>
            </w:tcBorders>
            <w:shd w:val="clear" w:color="auto" w:fill="FFFFFF"/>
            <w:tcMar>
              <w:left w:w="67" w:type="dxa"/>
              <w:right w:w="67" w:type="dxa"/>
            </w:tcMar>
          </w:tcPr>
          <w:p w14:paraId="0D78C557" w14:textId="77777777" w:rsidR="00E07CDE" w:rsidRPr="00563AD3" w:rsidRDefault="00E07CDE" w:rsidP="00CB59EF">
            <w:pPr>
              <w:spacing w:before="67" w:after="67" w:line="240" w:lineRule="auto"/>
              <w:rPr>
                <w:rFonts w:eastAsia="Times New Roman"/>
                <w:b/>
                <w:bCs/>
                <w:color w:val="000000"/>
                <w:sz w:val="14"/>
                <w:szCs w:val="14"/>
              </w:rPr>
            </w:pPr>
            <w:r w:rsidRPr="00563AD3">
              <w:rPr>
                <w:rFonts w:eastAsia="Times New Roman"/>
                <w:b/>
                <w:bCs/>
                <w:color w:val="000000"/>
                <w:sz w:val="14"/>
                <w:szCs w:val="14"/>
              </w:rPr>
              <w:t>Total score:</w:t>
            </w:r>
          </w:p>
        </w:tc>
        <w:tc>
          <w:tcPr>
            <w:tcW w:w="1039" w:type="dxa"/>
            <w:tcBorders>
              <w:top w:val="nil"/>
              <w:left w:val="nil"/>
              <w:bottom w:val="nil"/>
              <w:right w:val="nil"/>
            </w:tcBorders>
            <w:shd w:val="clear" w:color="auto" w:fill="FFFFFF"/>
            <w:tcMar>
              <w:left w:w="67" w:type="dxa"/>
              <w:right w:w="67" w:type="dxa"/>
            </w:tcMar>
          </w:tcPr>
          <w:p w14:paraId="6D3749BC"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308 (100%)</w:t>
            </w:r>
          </w:p>
        </w:tc>
        <w:tc>
          <w:tcPr>
            <w:tcW w:w="1039" w:type="dxa"/>
            <w:tcBorders>
              <w:top w:val="nil"/>
              <w:left w:val="nil"/>
              <w:bottom w:val="nil"/>
              <w:right w:val="nil"/>
            </w:tcBorders>
            <w:shd w:val="clear" w:color="auto" w:fill="FFFFFF"/>
            <w:tcMar>
              <w:left w:w="67" w:type="dxa"/>
              <w:right w:w="67" w:type="dxa"/>
            </w:tcMar>
          </w:tcPr>
          <w:p w14:paraId="7D1494CC"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417 (99.8%)</w:t>
            </w:r>
          </w:p>
        </w:tc>
        <w:tc>
          <w:tcPr>
            <w:tcW w:w="1040" w:type="dxa"/>
            <w:tcBorders>
              <w:top w:val="nil"/>
              <w:left w:val="nil"/>
              <w:bottom w:val="nil"/>
              <w:right w:val="nil"/>
            </w:tcBorders>
            <w:shd w:val="clear" w:color="auto" w:fill="FFFFFF"/>
            <w:tcMar>
              <w:left w:w="67" w:type="dxa"/>
              <w:right w:w="67" w:type="dxa"/>
            </w:tcMar>
          </w:tcPr>
          <w:p w14:paraId="199D5EB5"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725 (99.9%)</w:t>
            </w:r>
          </w:p>
        </w:tc>
        <w:tc>
          <w:tcPr>
            <w:tcW w:w="891" w:type="dxa"/>
            <w:gridSpan w:val="2"/>
            <w:tcBorders>
              <w:top w:val="nil"/>
              <w:left w:val="nil"/>
              <w:bottom w:val="nil"/>
              <w:right w:val="nil"/>
            </w:tcBorders>
            <w:shd w:val="clear" w:color="auto" w:fill="FFFFFF"/>
            <w:tcMar>
              <w:left w:w="67" w:type="dxa"/>
              <w:right w:w="67" w:type="dxa"/>
            </w:tcMar>
          </w:tcPr>
          <w:p w14:paraId="4546FE53" w14:textId="77777777" w:rsidR="00E07CDE" w:rsidRPr="00563AD3" w:rsidRDefault="00E07CDE" w:rsidP="00CB59EF">
            <w:pPr>
              <w:spacing w:before="67" w:after="67" w:line="240" w:lineRule="auto"/>
              <w:jc w:val="right"/>
              <w:rPr>
                <w:rFonts w:eastAsia="Times New Roman"/>
                <w:color w:val="000000"/>
                <w:sz w:val="14"/>
                <w:szCs w:val="14"/>
              </w:rPr>
            </w:pPr>
          </w:p>
        </w:tc>
        <w:tc>
          <w:tcPr>
            <w:tcW w:w="891" w:type="dxa"/>
            <w:tcBorders>
              <w:top w:val="nil"/>
              <w:left w:val="nil"/>
              <w:bottom w:val="nil"/>
              <w:right w:val="nil"/>
            </w:tcBorders>
            <w:shd w:val="clear" w:color="auto" w:fill="FFFFFF"/>
            <w:tcMar>
              <w:left w:w="67" w:type="dxa"/>
              <w:right w:w="67" w:type="dxa"/>
            </w:tcMar>
          </w:tcPr>
          <w:p w14:paraId="4F979550" w14:textId="77777777" w:rsidR="00E07CDE" w:rsidRPr="00563AD3" w:rsidRDefault="00E07CDE" w:rsidP="00CB59EF">
            <w:pPr>
              <w:spacing w:before="67" w:after="67" w:line="240" w:lineRule="auto"/>
              <w:jc w:val="right"/>
              <w:rPr>
                <w:rFonts w:eastAsia="Times New Roman"/>
                <w:color w:val="000000"/>
                <w:sz w:val="14"/>
                <w:szCs w:val="14"/>
              </w:rPr>
            </w:pPr>
          </w:p>
        </w:tc>
        <w:tc>
          <w:tcPr>
            <w:tcW w:w="892" w:type="dxa"/>
            <w:tcBorders>
              <w:top w:val="nil"/>
              <w:left w:val="nil"/>
              <w:bottom w:val="nil"/>
              <w:right w:val="nil"/>
            </w:tcBorders>
            <w:shd w:val="clear" w:color="auto" w:fill="FFFFFF"/>
            <w:tcMar>
              <w:left w:w="67" w:type="dxa"/>
              <w:right w:w="67" w:type="dxa"/>
            </w:tcMar>
          </w:tcPr>
          <w:p w14:paraId="0547EBC4" w14:textId="77777777" w:rsidR="00E07CDE" w:rsidRPr="00563AD3" w:rsidRDefault="00E07CDE" w:rsidP="00CB59EF">
            <w:pPr>
              <w:spacing w:before="67" w:after="67" w:line="240" w:lineRule="auto"/>
              <w:jc w:val="right"/>
              <w:rPr>
                <w:rFonts w:eastAsia="Times New Roman"/>
                <w:color w:val="000000"/>
                <w:sz w:val="14"/>
                <w:szCs w:val="14"/>
              </w:rPr>
            </w:pPr>
          </w:p>
        </w:tc>
        <w:tc>
          <w:tcPr>
            <w:tcW w:w="891" w:type="dxa"/>
            <w:gridSpan w:val="2"/>
            <w:tcBorders>
              <w:top w:val="nil"/>
              <w:left w:val="nil"/>
              <w:bottom w:val="nil"/>
              <w:right w:val="nil"/>
            </w:tcBorders>
            <w:shd w:val="clear" w:color="auto" w:fill="FFFFFF"/>
            <w:tcMar>
              <w:left w:w="67" w:type="dxa"/>
              <w:right w:w="67" w:type="dxa"/>
            </w:tcMar>
          </w:tcPr>
          <w:p w14:paraId="332C7F8B" w14:textId="77777777" w:rsidR="00E07CDE" w:rsidRPr="00563AD3" w:rsidRDefault="00E07CDE" w:rsidP="00CB59EF">
            <w:pPr>
              <w:spacing w:before="67" w:after="67" w:line="240" w:lineRule="auto"/>
              <w:jc w:val="right"/>
              <w:rPr>
                <w:rFonts w:eastAsia="Times New Roman"/>
                <w:color w:val="000000"/>
                <w:sz w:val="14"/>
                <w:szCs w:val="14"/>
              </w:rPr>
            </w:pPr>
          </w:p>
        </w:tc>
        <w:tc>
          <w:tcPr>
            <w:tcW w:w="891" w:type="dxa"/>
            <w:tcBorders>
              <w:top w:val="nil"/>
              <w:left w:val="nil"/>
              <w:bottom w:val="nil"/>
              <w:right w:val="nil"/>
            </w:tcBorders>
            <w:shd w:val="clear" w:color="auto" w:fill="FFFFFF"/>
            <w:tcMar>
              <w:left w:w="67" w:type="dxa"/>
              <w:right w:w="67" w:type="dxa"/>
            </w:tcMar>
          </w:tcPr>
          <w:p w14:paraId="4D25B9F5" w14:textId="77777777" w:rsidR="00E07CDE" w:rsidRPr="00563AD3" w:rsidRDefault="00E07CDE" w:rsidP="00CB59EF">
            <w:pPr>
              <w:spacing w:before="67" w:after="67" w:line="240" w:lineRule="auto"/>
              <w:jc w:val="right"/>
              <w:rPr>
                <w:rFonts w:eastAsia="Times New Roman"/>
                <w:color w:val="000000"/>
                <w:sz w:val="14"/>
                <w:szCs w:val="14"/>
              </w:rPr>
            </w:pPr>
          </w:p>
        </w:tc>
        <w:tc>
          <w:tcPr>
            <w:tcW w:w="892" w:type="dxa"/>
            <w:tcBorders>
              <w:top w:val="nil"/>
              <w:left w:val="nil"/>
              <w:bottom w:val="nil"/>
              <w:right w:val="nil"/>
            </w:tcBorders>
            <w:shd w:val="clear" w:color="auto" w:fill="FFFFFF"/>
            <w:tcMar>
              <w:left w:w="67" w:type="dxa"/>
              <w:right w:w="67" w:type="dxa"/>
            </w:tcMar>
          </w:tcPr>
          <w:p w14:paraId="3B5BCA44" w14:textId="77777777" w:rsidR="00E07CDE" w:rsidRPr="00563AD3" w:rsidRDefault="00E07CDE" w:rsidP="00CB59EF">
            <w:pPr>
              <w:spacing w:before="67" w:after="67" w:line="240" w:lineRule="auto"/>
              <w:jc w:val="right"/>
              <w:rPr>
                <w:rFonts w:eastAsia="Times New Roman"/>
                <w:color w:val="000000"/>
                <w:sz w:val="14"/>
                <w:szCs w:val="14"/>
              </w:rPr>
            </w:pPr>
          </w:p>
        </w:tc>
        <w:tc>
          <w:tcPr>
            <w:tcW w:w="891" w:type="dxa"/>
            <w:gridSpan w:val="2"/>
            <w:tcBorders>
              <w:top w:val="nil"/>
              <w:left w:val="nil"/>
              <w:bottom w:val="nil"/>
              <w:right w:val="nil"/>
            </w:tcBorders>
            <w:shd w:val="clear" w:color="auto" w:fill="FFFFFF"/>
            <w:tcMar>
              <w:left w:w="67" w:type="dxa"/>
              <w:right w:w="67" w:type="dxa"/>
            </w:tcMar>
          </w:tcPr>
          <w:p w14:paraId="4B6B598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3.4 (4.72) 0</w:t>
            </w:r>
          </w:p>
        </w:tc>
        <w:tc>
          <w:tcPr>
            <w:tcW w:w="891" w:type="dxa"/>
            <w:tcBorders>
              <w:top w:val="nil"/>
              <w:left w:val="nil"/>
              <w:bottom w:val="nil"/>
              <w:right w:val="nil"/>
            </w:tcBorders>
            <w:shd w:val="clear" w:color="auto" w:fill="FFFFFF"/>
            <w:tcMar>
              <w:left w:w="67" w:type="dxa"/>
              <w:right w:w="67" w:type="dxa"/>
            </w:tcMar>
          </w:tcPr>
          <w:p w14:paraId="7055C30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3.2 (4.37) 0</w:t>
            </w:r>
          </w:p>
        </w:tc>
        <w:tc>
          <w:tcPr>
            <w:tcW w:w="892" w:type="dxa"/>
            <w:tcBorders>
              <w:top w:val="nil"/>
              <w:left w:val="nil"/>
              <w:bottom w:val="nil"/>
              <w:right w:val="nil"/>
            </w:tcBorders>
            <w:shd w:val="clear" w:color="auto" w:fill="FFFFFF"/>
            <w:tcMar>
              <w:left w:w="67" w:type="dxa"/>
              <w:right w:w="67" w:type="dxa"/>
            </w:tcMar>
          </w:tcPr>
          <w:p w14:paraId="252754C9"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3.3 (4.52) 0</w:t>
            </w:r>
          </w:p>
        </w:tc>
        <w:tc>
          <w:tcPr>
            <w:tcW w:w="891" w:type="dxa"/>
            <w:tcBorders>
              <w:top w:val="nil"/>
              <w:left w:val="nil"/>
              <w:bottom w:val="nil"/>
              <w:right w:val="nil"/>
            </w:tcBorders>
            <w:shd w:val="clear" w:color="auto" w:fill="FFFFFF"/>
            <w:tcMar>
              <w:left w:w="67" w:type="dxa"/>
              <w:right w:w="67" w:type="dxa"/>
            </w:tcMar>
          </w:tcPr>
          <w:p w14:paraId="70EC5EE2"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13 (13.95) 0</w:t>
            </w:r>
          </w:p>
        </w:tc>
        <w:tc>
          <w:tcPr>
            <w:tcW w:w="891" w:type="dxa"/>
            <w:tcBorders>
              <w:top w:val="nil"/>
              <w:left w:val="nil"/>
              <w:bottom w:val="nil"/>
              <w:right w:val="nil"/>
            </w:tcBorders>
            <w:shd w:val="clear" w:color="auto" w:fill="FFFFFF"/>
            <w:tcMar>
              <w:left w:w="67" w:type="dxa"/>
              <w:right w:w="67" w:type="dxa"/>
            </w:tcMar>
          </w:tcPr>
          <w:p w14:paraId="3701095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11.7 (12.35) 0</w:t>
            </w:r>
          </w:p>
        </w:tc>
        <w:tc>
          <w:tcPr>
            <w:tcW w:w="894" w:type="dxa"/>
            <w:tcBorders>
              <w:top w:val="nil"/>
              <w:left w:val="nil"/>
              <w:bottom w:val="nil"/>
              <w:right w:val="single" w:sz="4" w:space="0" w:color="auto"/>
            </w:tcBorders>
            <w:shd w:val="clear" w:color="auto" w:fill="FFFFFF"/>
            <w:tcMar>
              <w:left w:w="67" w:type="dxa"/>
              <w:right w:w="67" w:type="dxa"/>
            </w:tcMar>
          </w:tcPr>
          <w:p w14:paraId="3DCF8D7E"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12.2 (13.06) 0</w:t>
            </w:r>
          </w:p>
        </w:tc>
      </w:tr>
      <w:tr w:rsidR="00E07CDE" w:rsidRPr="00563AD3" w14:paraId="5E9BCF45" w14:textId="77777777" w:rsidTr="00C163F3">
        <w:trPr>
          <w:cantSplit/>
          <w:jc w:val="center"/>
        </w:trPr>
        <w:tc>
          <w:tcPr>
            <w:tcW w:w="1417" w:type="dxa"/>
            <w:tcBorders>
              <w:top w:val="nil"/>
              <w:left w:val="single" w:sz="4" w:space="0" w:color="auto"/>
              <w:bottom w:val="nil"/>
              <w:right w:val="nil"/>
            </w:tcBorders>
            <w:shd w:val="clear" w:color="auto" w:fill="FFFFFF"/>
            <w:tcMar>
              <w:left w:w="67" w:type="dxa"/>
              <w:right w:w="67" w:type="dxa"/>
            </w:tcMar>
          </w:tcPr>
          <w:p w14:paraId="225F127E" w14:textId="77777777" w:rsidR="00E07CDE" w:rsidRPr="00563AD3" w:rsidRDefault="00E07CDE" w:rsidP="00CB59EF">
            <w:pPr>
              <w:spacing w:before="67" w:after="67" w:line="240" w:lineRule="auto"/>
              <w:rPr>
                <w:rFonts w:eastAsia="Times New Roman"/>
                <w:b/>
                <w:bCs/>
                <w:color w:val="000000"/>
                <w:sz w:val="14"/>
                <w:szCs w:val="14"/>
              </w:rPr>
            </w:pPr>
            <w:r w:rsidRPr="00563AD3">
              <w:rPr>
                <w:rFonts w:eastAsia="Times New Roman"/>
                <w:b/>
                <w:bCs/>
                <w:color w:val="000000"/>
                <w:sz w:val="14"/>
                <w:szCs w:val="14"/>
              </w:rPr>
              <w:t>Subscales:</w:t>
            </w:r>
          </w:p>
        </w:tc>
        <w:tc>
          <w:tcPr>
            <w:tcW w:w="1039" w:type="dxa"/>
            <w:tcBorders>
              <w:top w:val="nil"/>
              <w:left w:val="nil"/>
              <w:bottom w:val="nil"/>
              <w:right w:val="nil"/>
            </w:tcBorders>
            <w:shd w:val="clear" w:color="auto" w:fill="FFFFFF"/>
            <w:tcMar>
              <w:left w:w="67" w:type="dxa"/>
              <w:right w:w="67" w:type="dxa"/>
            </w:tcMar>
          </w:tcPr>
          <w:p w14:paraId="34553282" w14:textId="77777777" w:rsidR="00E07CDE" w:rsidRPr="00563AD3" w:rsidRDefault="00E07CDE" w:rsidP="00CB59EF">
            <w:pPr>
              <w:spacing w:before="67" w:after="67" w:line="240" w:lineRule="auto"/>
              <w:jc w:val="right"/>
              <w:rPr>
                <w:rFonts w:eastAsia="Times New Roman"/>
                <w:color w:val="000000"/>
                <w:sz w:val="14"/>
                <w:szCs w:val="14"/>
              </w:rPr>
            </w:pPr>
          </w:p>
        </w:tc>
        <w:tc>
          <w:tcPr>
            <w:tcW w:w="1039" w:type="dxa"/>
            <w:tcBorders>
              <w:top w:val="nil"/>
              <w:left w:val="nil"/>
              <w:bottom w:val="nil"/>
              <w:right w:val="nil"/>
            </w:tcBorders>
            <w:shd w:val="clear" w:color="auto" w:fill="FFFFFF"/>
            <w:tcMar>
              <w:left w:w="67" w:type="dxa"/>
              <w:right w:w="67" w:type="dxa"/>
            </w:tcMar>
          </w:tcPr>
          <w:p w14:paraId="437F6AAF" w14:textId="77777777" w:rsidR="00E07CDE" w:rsidRPr="00563AD3" w:rsidRDefault="00E07CDE" w:rsidP="00CB59EF">
            <w:pPr>
              <w:spacing w:before="67" w:after="67" w:line="240" w:lineRule="auto"/>
              <w:jc w:val="right"/>
              <w:rPr>
                <w:rFonts w:eastAsia="Times New Roman"/>
                <w:color w:val="000000"/>
                <w:sz w:val="14"/>
                <w:szCs w:val="14"/>
              </w:rPr>
            </w:pPr>
          </w:p>
        </w:tc>
        <w:tc>
          <w:tcPr>
            <w:tcW w:w="1040" w:type="dxa"/>
            <w:tcBorders>
              <w:top w:val="nil"/>
              <w:left w:val="nil"/>
              <w:bottom w:val="nil"/>
              <w:right w:val="nil"/>
            </w:tcBorders>
            <w:shd w:val="clear" w:color="auto" w:fill="FFFFFF"/>
            <w:tcMar>
              <w:left w:w="67" w:type="dxa"/>
              <w:right w:w="67" w:type="dxa"/>
            </w:tcMar>
          </w:tcPr>
          <w:p w14:paraId="0A2CA407" w14:textId="77777777" w:rsidR="00E07CDE" w:rsidRPr="00563AD3" w:rsidRDefault="00E07CDE" w:rsidP="00CB59EF">
            <w:pPr>
              <w:spacing w:before="67" w:after="67" w:line="240" w:lineRule="auto"/>
              <w:jc w:val="right"/>
              <w:rPr>
                <w:rFonts w:eastAsia="Times New Roman"/>
                <w:color w:val="000000"/>
                <w:sz w:val="14"/>
                <w:szCs w:val="14"/>
              </w:rPr>
            </w:pPr>
          </w:p>
        </w:tc>
        <w:tc>
          <w:tcPr>
            <w:tcW w:w="891" w:type="dxa"/>
            <w:gridSpan w:val="2"/>
            <w:tcBorders>
              <w:top w:val="nil"/>
              <w:left w:val="nil"/>
              <w:bottom w:val="nil"/>
              <w:right w:val="nil"/>
            </w:tcBorders>
            <w:shd w:val="clear" w:color="auto" w:fill="FFFFFF"/>
            <w:tcMar>
              <w:left w:w="67" w:type="dxa"/>
              <w:right w:w="67" w:type="dxa"/>
            </w:tcMar>
          </w:tcPr>
          <w:p w14:paraId="6D9D5BF5" w14:textId="77777777" w:rsidR="00E07CDE" w:rsidRPr="00563AD3" w:rsidRDefault="00E07CDE" w:rsidP="00CB59EF">
            <w:pPr>
              <w:spacing w:before="67" w:after="67" w:line="240" w:lineRule="auto"/>
              <w:jc w:val="right"/>
              <w:rPr>
                <w:rFonts w:eastAsia="Times New Roman"/>
                <w:color w:val="000000"/>
                <w:sz w:val="14"/>
                <w:szCs w:val="14"/>
              </w:rPr>
            </w:pPr>
          </w:p>
        </w:tc>
        <w:tc>
          <w:tcPr>
            <w:tcW w:w="891" w:type="dxa"/>
            <w:tcBorders>
              <w:top w:val="nil"/>
              <w:left w:val="nil"/>
              <w:bottom w:val="nil"/>
              <w:right w:val="nil"/>
            </w:tcBorders>
            <w:shd w:val="clear" w:color="auto" w:fill="FFFFFF"/>
            <w:tcMar>
              <w:left w:w="67" w:type="dxa"/>
              <w:right w:w="67" w:type="dxa"/>
            </w:tcMar>
          </w:tcPr>
          <w:p w14:paraId="48DDC7C8" w14:textId="77777777" w:rsidR="00E07CDE" w:rsidRPr="00563AD3" w:rsidRDefault="00E07CDE" w:rsidP="00CB59EF">
            <w:pPr>
              <w:spacing w:before="67" w:after="67" w:line="240" w:lineRule="auto"/>
              <w:jc w:val="right"/>
              <w:rPr>
                <w:rFonts w:eastAsia="Times New Roman"/>
                <w:color w:val="000000"/>
                <w:sz w:val="14"/>
                <w:szCs w:val="14"/>
              </w:rPr>
            </w:pPr>
          </w:p>
        </w:tc>
        <w:tc>
          <w:tcPr>
            <w:tcW w:w="892" w:type="dxa"/>
            <w:tcBorders>
              <w:top w:val="nil"/>
              <w:left w:val="nil"/>
              <w:bottom w:val="nil"/>
              <w:right w:val="nil"/>
            </w:tcBorders>
            <w:shd w:val="clear" w:color="auto" w:fill="FFFFFF"/>
            <w:tcMar>
              <w:left w:w="67" w:type="dxa"/>
              <w:right w:w="67" w:type="dxa"/>
            </w:tcMar>
          </w:tcPr>
          <w:p w14:paraId="7F460E35" w14:textId="77777777" w:rsidR="00E07CDE" w:rsidRPr="00563AD3" w:rsidRDefault="00E07CDE" w:rsidP="00CB59EF">
            <w:pPr>
              <w:spacing w:before="67" w:after="67" w:line="240" w:lineRule="auto"/>
              <w:jc w:val="right"/>
              <w:rPr>
                <w:rFonts w:eastAsia="Times New Roman"/>
                <w:color w:val="000000"/>
                <w:sz w:val="14"/>
                <w:szCs w:val="14"/>
              </w:rPr>
            </w:pPr>
          </w:p>
        </w:tc>
        <w:tc>
          <w:tcPr>
            <w:tcW w:w="891" w:type="dxa"/>
            <w:gridSpan w:val="2"/>
            <w:tcBorders>
              <w:top w:val="nil"/>
              <w:left w:val="nil"/>
              <w:bottom w:val="nil"/>
              <w:right w:val="nil"/>
            </w:tcBorders>
            <w:shd w:val="clear" w:color="auto" w:fill="FFFFFF"/>
            <w:tcMar>
              <w:left w:w="67" w:type="dxa"/>
              <w:right w:w="67" w:type="dxa"/>
            </w:tcMar>
          </w:tcPr>
          <w:p w14:paraId="3D9BFD31" w14:textId="77777777" w:rsidR="00E07CDE" w:rsidRPr="00563AD3" w:rsidRDefault="00E07CDE" w:rsidP="00CB59EF">
            <w:pPr>
              <w:spacing w:before="67" w:after="67" w:line="240" w:lineRule="auto"/>
              <w:jc w:val="right"/>
              <w:rPr>
                <w:rFonts w:eastAsia="Times New Roman"/>
                <w:color w:val="000000"/>
                <w:sz w:val="14"/>
                <w:szCs w:val="14"/>
              </w:rPr>
            </w:pPr>
          </w:p>
        </w:tc>
        <w:tc>
          <w:tcPr>
            <w:tcW w:w="891" w:type="dxa"/>
            <w:tcBorders>
              <w:top w:val="nil"/>
              <w:left w:val="nil"/>
              <w:bottom w:val="nil"/>
              <w:right w:val="nil"/>
            </w:tcBorders>
            <w:shd w:val="clear" w:color="auto" w:fill="FFFFFF"/>
            <w:tcMar>
              <w:left w:w="67" w:type="dxa"/>
              <w:right w:w="67" w:type="dxa"/>
            </w:tcMar>
          </w:tcPr>
          <w:p w14:paraId="244D170C" w14:textId="77777777" w:rsidR="00E07CDE" w:rsidRPr="00563AD3" w:rsidRDefault="00E07CDE" w:rsidP="00CB59EF">
            <w:pPr>
              <w:spacing w:before="67" w:after="67" w:line="240" w:lineRule="auto"/>
              <w:jc w:val="right"/>
              <w:rPr>
                <w:rFonts w:eastAsia="Times New Roman"/>
                <w:color w:val="000000"/>
                <w:sz w:val="14"/>
                <w:szCs w:val="14"/>
              </w:rPr>
            </w:pPr>
          </w:p>
        </w:tc>
        <w:tc>
          <w:tcPr>
            <w:tcW w:w="892" w:type="dxa"/>
            <w:tcBorders>
              <w:top w:val="nil"/>
              <w:left w:val="nil"/>
              <w:bottom w:val="nil"/>
              <w:right w:val="nil"/>
            </w:tcBorders>
            <w:shd w:val="clear" w:color="auto" w:fill="FFFFFF"/>
            <w:tcMar>
              <w:left w:w="67" w:type="dxa"/>
              <w:right w:w="67" w:type="dxa"/>
            </w:tcMar>
          </w:tcPr>
          <w:p w14:paraId="3C79DD75" w14:textId="77777777" w:rsidR="00E07CDE" w:rsidRPr="00563AD3" w:rsidRDefault="00E07CDE" w:rsidP="00CB59EF">
            <w:pPr>
              <w:spacing w:before="67" w:after="67" w:line="240" w:lineRule="auto"/>
              <w:jc w:val="right"/>
              <w:rPr>
                <w:rFonts w:eastAsia="Times New Roman"/>
                <w:color w:val="000000"/>
                <w:sz w:val="14"/>
                <w:szCs w:val="14"/>
              </w:rPr>
            </w:pPr>
          </w:p>
        </w:tc>
        <w:tc>
          <w:tcPr>
            <w:tcW w:w="891" w:type="dxa"/>
            <w:gridSpan w:val="2"/>
            <w:tcBorders>
              <w:top w:val="nil"/>
              <w:left w:val="nil"/>
              <w:bottom w:val="nil"/>
              <w:right w:val="nil"/>
            </w:tcBorders>
            <w:shd w:val="clear" w:color="auto" w:fill="FFFFFF"/>
            <w:tcMar>
              <w:left w:w="67" w:type="dxa"/>
              <w:right w:w="67" w:type="dxa"/>
            </w:tcMar>
          </w:tcPr>
          <w:p w14:paraId="2A31B0E4" w14:textId="77777777" w:rsidR="00E07CDE" w:rsidRPr="00563AD3" w:rsidRDefault="00E07CDE" w:rsidP="00CB59EF">
            <w:pPr>
              <w:spacing w:before="67" w:after="67" w:line="240" w:lineRule="auto"/>
              <w:jc w:val="right"/>
              <w:rPr>
                <w:rFonts w:eastAsia="Times New Roman"/>
                <w:color w:val="000000"/>
                <w:sz w:val="14"/>
                <w:szCs w:val="14"/>
              </w:rPr>
            </w:pPr>
          </w:p>
        </w:tc>
        <w:tc>
          <w:tcPr>
            <w:tcW w:w="891" w:type="dxa"/>
            <w:tcBorders>
              <w:top w:val="nil"/>
              <w:left w:val="nil"/>
              <w:bottom w:val="nil"/>
              <w:right w:val="nil"/>
            </w:tcBorders>
            <w:shd w:val="clear" w:color="auto" w:fill="FFFFFF"/>
            <w:tcMar>
              <w:left w:w="67" w:type="dxa"/>
              <w:right w:w="67" w:type="dxa"/>
            </w:tcMar>
          </w:tcPr>
          <w:p w14:paraId="4F5BD712" w14:textId="77777777" w:rsidR="00E07CDE" w:rsidRPr="00563AD3" w:rsidRDefault="00E07CDE" w:rsidP="00CB59EF">
            <w:pPr>
              <w:spacing w:before="67" w:after="67" w:line="240" w:lineRule="auto"/>
              <w:jc w:val="right"/>
              <w:rPr>
                <w:rFonts w:eastAsia="Times New Roman"/>
                <w:color w:val="000000"/>
                <w:sz w:val="14"/>
                <w:szCs w:val="14"/>
              </w:rPr>
            </w:pPr>
          </w:p>
        </w:tc>
        <w:tc>
          <w:tcPr>
            <w:tcW w:w="892" w:type="dxa"/>
            <w:tcBorders>
              <w:top w:val="nil"/>
              <w:left w:val="nil"/>
              <w:bottom w:val="nil"/>
              <w:right w:val="nil"/>
            </w:tcBorders>
            <w:shd w:val="clear" w:color="auto" w:fill="FFFFFF"/>
            <w:tcMar>
              <w:left w:w="67" w:type="dxa"/>
              <w:right w:w="67" w:type="dxa"/>
            </w:tcMar>
          </w:tcPr>
          <w:p w14:paraId="1156A8E1" w14:textId="77777777" w:rsidR="00E07CDE" w:rsidRPr="00563AD3" w:rsidRDefault="00E07CDE" w:rsidP="00CB59EF">
            <w:pPr>
              <w:spacing w:before="67" w:after="67" w:line="240" w:lineRule="auto"/>
              <w:jc w:val="right"/>
              <w:rPr>
                <w:rFonts w:eastAsia="Times New Roman"/>
                <w:color w:val="000000"/>
                <w:sz w:val="14"/>
                <w:szCs w:val="14"/>
              </w:rPr>
            </w:pPr>
          </w:p>
        </w:tc>
        <w:tc>
          <w:tcPr>
            <w:tcW w:w="891" w:type="dxa"/>
            <w:tcBorders>
              <w:top w:val="nil"/>
              <w:left w:val="nil"/>
              <w:bottom w:val="nil"/>
              <w:right w:val="nil"/>
            </w:tcBorders>
            <w:shd w:val="clear" w:color="auto" w:fill="FFFFFF"/>
            <w:tcMar>
              <w:left w:w="67" w:type="dxa"/>
              <w:right w:w="67" w:type="dxa"/>
            </w:tcMar>
          </w:tcPr>
          <w:p w14:paraId="44998353" w14:textId="77777777" w:rsidR="00E07CDE" w:rsidRPr="00563AD3" w:rsidRDefault="00E07CDE" w:rsidP="00CB59EF">
            <w:pPr>
              <w:spacing w:before="67" w:after="67" w:line="240" w:lineRule="auto"/>
              <w:jc w:val="right"/>
              <w:rPr>
                <w:rFonts w:eastAsia="Times New Roman"/>
                <w:color w:val="000000"/>
                <w:sz w:val="14"/>
                <w:szCs w:val="14"/>
              </w:rPr>
            </w:pPr>
          </w:p>
        </w:tc>
        <w:tc>
          <w:tcPr>
            <w:tcW w:w="891" w:type="dxa"/>
            <w:tcBorders>
              <w:top w:val="nil"/>
              <w:left w:val="nil"/>
              <w:bottom w:val="nil"/>
              <w:right w:val="nil"/>
            </w:tcBorders>
            <w:shd w:val="clear" w:color="auto" w:fill="FFFFFF"/>
            <w:tcMar>
              <w:left w:w="67" w:type="dxa"/>
              <w:right w:w="67" w:type="dxa"/>
            </w:tcMar>
          </w:tcPr>
          <w:p w14:paraId="504FDAD9" w14:textId="77777777" w:rsidR="00E07CDE" w:rsidRPr="00563AD3" w:rsidRDefault="00E07CDE" w:rsidP="00CB59EF">
            <w:pPr>
              <w:spacing w:before="67" w:after="67" w:line="240" w:lineRule="auto"/>
              <w:jc w:val="right"/>
              <w:rPr>
                <w:rFonts w:eastAsia="Times New Roman"/>
                <w:color w:val="000000"/>
                <w:sz w:val="14"/>
                <w:szCs w:val="14"/>
              </w:rPr>
            </w:pPr>
          </w:p>
        </w:tc>
        <w:tc>
          <w:tcPr>
            <w:tcW w:w="894" w:type="dxa"/>
            <w:tcBorders>
              <w:top w:val="nil"/>
              <w:left w:val="nil"/>
              <w:bottom w:val="nil"/>
              <w:right w:val="single" w:sz="4" w:space="0" w:color="auto"/>
            </w:tcBorders>
            <w:shd w:val="clear" w:color="auto" w:fill="FFFFFF"/>
            <w:tcMar>
              <w:left w:w="67" w:type="dxa"/>
              <w:right w:w="67" w:type="dxa"/>
            </w:tcMar>
          </w:tcPr>
          <w:p w14:paraId="228B8C8D" w14:textId="77777777" w:rsidR="00E07CDE" w:rsidRPr="00563AD3" w:rsidRDefault="00E07CDE" w:rsidP="00CB59EF">
            <w:pPr>
              <w:spacing w:before="67" w:after="67" w:line="240" w:lineRule="auto"/>
              <w:jc w:val="right"/>
              <w:rPr>
                <w:rFonts w:eastAsia="Times New Roman"/>
                <w:color w:val="000000"/>
                <w:sz w:val="14"/>
                <w:szCs w:val="14"/>
              </w:rPr>
            </w:pPr>
          </w:p>
        </w:tc>
      </w:tr>
      <w:tr w:rsidR="00E07CDE" w:rsidRPr="00563AD3" w14:paraId="31C53407" w14:textId="77777777" w:rsidTr="00C163F3">
        <w:trPr>
          <w:cantSplit/>
          <w:jc w:val="center"/>
        </w:trPr>
        <w:tc>
          <w:tcPr>
            <w:tcW w:w="1417" w:type="dxa"/>
            <w:tcBorders>
              <w:top w:val="nil"/>
              <w:left w:val="single" w:sz="4" w:space="0" w:color="auto"/>
              <w:bottom w:val="nil"/>
              <w:right w:val="nil"/>
            </w:tcBorders>
            <w:shd w:val="clear" w:color="auto" w:fill="FFFFFF"/>
            <w:tcMar>
              <w:left w:w="67" w:type="dxa"/>
              <w:right w:w="67" w:type="dxa"/>
            </w:tcMar>
          </w:tcPr>
          <w:p w14:paraId="1A6B5FF0" w14:textId="77777777" w:rsidR="00E07CDE" w:rsidRPr="00563AD3" w:rsidRDefault="00E07CDE" w:rsidP="00CB59EF">
            <w:pPr>
              <w:spacing w:before="67" w:after="67" w:line="240" w:lineRule="auto"/>
              <w:rPr>
                <w:rFonts w:eastAsia="Times New Roman"/>
                <w:color w:val="000000"/>
                <w:sz w:val="14"/>
                <w:szCs w:val="14"/>
              </w:rPr>
            </w:pPr>
            <w:r w:rsidRPr="00563AD3">
              <w:rPr>
                <w:rFonts w:eastAsia="Times New Roman"/>
                <w:color w:val="000000"/>
                <w:sz w:val="14"/>
                <w:szCs w:val="14"/>
              </w:rPr>
              <w:t>Delusions</w:t>
            </w:r>
          </w:p>
        </w:tc>
        <w:tc>
          <w:tcPr>
            <w:tcW w:w="1039" w:type="dxa"/>
            <w:tcBorders>
              <w:top w:val="nil"/>
              <w:left w:val="nil"/>
              <w:bottom w:val="nil"/>
              <w:right w:val="nil"/>
            </w:tcBorders>
            <w:shd w:val="clear" w:color="auto" w:fill="FFFFFF"/>
            <w:tcMar>
              <w:left w:w="67" w:type="dxa"/>
              <w:right w:w="67" w:type="dxa"/>
            </w:tcMar>
          </w:tcPr>
          <w:p w14:paraId="244C33CF"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59 (19.2%)308</w:t>
            </w:r>
          </w:p>
        </w:tc>
        <w:tc>
          <w:tcPr>
            <w:tcW w:w="1039" w:type="dxa"/>
            <w:tcBorders>
              <w:top w:val="nil"/>
              <w:left w:val="nil"/>
              <w:bottom w:val="nil"/>
              <w:right w:val="nil"/>
            </w:tcBorders>
            <w:shd w:val="clear" w:color="auto" w:fill="FFFFFF"/>
            <w:tcMar>
              <w:left w:w="67" w:type="dxa"/>
              <w:right w:w="67" w:type="dxa"/>
            </w:tcMar>
          </w:tcPr>
          <w:p w14:paraId="1A6C59D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69 (16.5%)417</w:t>
            </w:r>
          </w:p>
        </w:tc>
        <w:tc>
          <w:tcPr>
            <w:tcW w:w="1040" w:type="dxa"/>
            <w:tcBorders>
              <w:top w:val="nil"/>
              <w:left w:val="nil"/>
              <w:bottom w:val="nil"/>
              <w:right w:val="nil"/>
            </w:tcBorders>
            <w:shd w:val="clear" w:color="auto" w:fill="FFFFFF"/>
            <w:tcMar>
              <w:left w:w="67" w:type="dxa"/>
              <w:right w:w="67" w:type="dxa"/>
            </w:tcMar>
          </w:tcPr>
          <w:p w14:paraId="49BED462"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128 (17.7%)725</w:t>
            </w:r>
          </w:p>
        </w:tc>
        <w:tc>
          <w:tcPr>
            <w:tcW w:w="891" w:type="dxa"/>
            <w:gridSpan w:val="2"/>
            <w:tcBorders>
              <w:top w:val="nil"/>
              <w:left w:val="nil"/>
              <w:bottom w:val="nil"/>
              <w:right w:val="nil"/>
            </w:tcBorders>
            <w:shd w:val="clear" w:color="auto" w:fill="FFFFFF"/>
            <w:tcMar>
              <w:left w:w="67" w:type="dxa"/>
              <w:right w:w="67" w:type="dxa"/>
            </w:tcMar>
          </w:tcPr>
          <w:p w14:paraId="38E6A08C"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2.7 (1.12) 0</w:t>
            </w:r>
          </w:p>
        </w:tc>
        <w:tc>
          <w:tcPr>
            <w:tcW w:w="891" w:type="dxa"/>
            <w:tcBorders>
              <w:top w:val="nil"/>
              <w:left w:val="nil"/>
              <w:bottom w:val="nil"/>
              <w:right w:val="nil"/>
            </w:tcBorders>
            <w:shd w:val="clear" w:color="auto" w:fill="FFFFFF"/>
            <w:tcMar>
              <w:left w:w="67" w:type="dxa"/>
              <w:right w:w="67" w:type="dxa"/>
            </w:tcMar>
          </w:tcPr>
          <w:p w14:paraId="02A9F8C0"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2.7 (1.13) 2</w:t>
            </w:r>
          </w:p>
        </w:tc>
        <w:tc>
          <w:tcPr>
            <w:tcW w:w="892" w:type="dxa"/>
            <w:tcBorders>
              <w:top w:val="nil"/>
              <w:left w:val="nil"/>
              <w:bottom w:val="nil"/>
              <w:right w:val="nil"/>
            </w:tcBorders>
            <w:shd w:val="clear" w:color="auto" w:fill="FFFFFF"/>
            <w:tcMar>
              <w:left w:w="67" w:type="dxa"/>
              <w:right w:w="67" w:type="dxa"/>
            </w:tcMar>
          </w:tcPr>
          <w:p w14:paraId="4DB881B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2.7 (1.12) 2</w:t>
            </w:r>
          </w:p>
        </w:tc>
        <w:tc>
          <w:tcPr>
            <w:tcW w:w="891" w:type="dxa"/>
            <w:gridSpan w:val="2"/>
            <w:tcBorders>
              <w:top w:val="nil"/>
              <w:left w:val="nil"/>
              <w:bottom w:val="nil"/>
              <w:right w:val="nil"/>
            </w:tcBorders>
            <w:shd w:val="clear" w:color="auto" w:fill="FFFFFF"/>
            <w:tcMar>
              <w:left w:w="67" w:type="dxa"/>
              <w:right w:w="67" w:type="dxa"/>
            </w:tcMar>
          </w:tcPr>
          <w:p w14:paraId="3A552A8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1.8 (0.71) 0</w:t>
            </w:r>
          </w:p>
        </w:tc>
        <w:tc>
          <w:tcPr>
            <w:tcW w:w="891" w:type="dxa"/>
            <w:tcBorders>
              <w:top w:val="nil"/>
              <w:left w:val="nil"/>
              <w:bottom w:val="nil"/>
              <w:right w:val="nil"/>
            </w:tcBorders>
            <w:shd w:val="clear" w:color="auto" w:fill="FFFFFF"/>
            <w:tcMar>
              <w:left w:w="67" w:type="dxa"/>
              <w:right w:w="67" w:type="dxa"/>
            </w:tcMar>
          </w:tcPr>
          <w:p w14:paraId="704CDD0C"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1.8 (0.68) 2</w:t>
            </w:r>
          </w:p>
        </w:tc>
        <w:tc>
          <w:tcPr>
            <w:tcW w:w="892" w:type="dxa"/>
            <w:tcBorders>
              <w:top w:val="nil"/>
              <w:left w:val="nil"/>
              <w:bottom w:val="nil"/>
              <w:right w:val="nil"/>
            </w:tcBorders>
            <w:shd w:val="clear" w:color="auto" w:fill="FFFFFF"/>
            <w:tcMar>
              <w:left w:w="67" w:type="dxa"/>
              <w:right w:w="67" w:type="dxa"/>
            </w:tcMar>
          </w:tcPr>
          <w:p w14:paraId="4FC9000E"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1.8 (0.69) 2</w:t>
            </w:r>
          </w:p>
        </w:tc>
        <w:tc>
          <w:tcPr>
            <w:tcW w:w="891" w:type="dxa"/>
            <w:gridSpan w:val="2"/>
            <w:tcBorders>
              <w:top w:val="nil"/>
              <w:left w:val="nil"/>
              <w:bottom w:val="nil"/>
              <w:right w:val="nil"/>
            </w:tcBorders>
            <w:shd w:val="clear" w:color="auto" w:fill="FFFFFF"/>
            <w:tcMar>
              <w:left w:w="67" w:type="dxa"/>
              <w:right w:w="67" w:type="dxa"/>
            </w:tcMar>
          </w:tcPr>
          <w:p w14:paraId="6D140C19"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1.9 (1.28) 1</w:t>
            </w:r>
          </w:p>
        </w:tc>
        <w:tc>
          <w:tcPr>
            <w:tcW w:w="891" w:type="dxa"/>
            <w:tcBorders>
              <w:top w:val="nil"/>
              <w:left w:val="nil"/>
              <w:bottom w:val="nil"/>
              <w:right w:val="nil"/>
            </w:tcBorders>
            <w:shd w:val="clear" w:color="auto" w:fill="FFFFFF"/>
            <w:tcMar>
              <w:left w:w="67" w:type="dxa"/>
              <w:right w:w="67" w:type="dxa"/>
            </w:tcMar>
          </w:tcPr>
          <w:p w14:paraId="35211451"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 (1.41) 3</w:t>
            </w:r>
          </w:p>
        </w:tc>
        <w:tc>
          <w:tcPr>
            <w:tcW w:w="892" w:type="dxa"/>
            <w:tcBorders>
              <w:top w:val="nil"/>
              <w:left w:val="nil"/>
              <w:bottom w:val="nil"/>
              <w:right w:val="nil"/>
            </w:tcBorders>
            <w:shd w:val="clear" w:color="auto" w:fill="FFFFFF"/>
            <w:tcMar>
              <w:left w:w="67" w:type="dxa"/>
              <w:right w:w="67" w:type="dxa"/>
            </w:tcMar>
          </w:tcPr>
          <w:p w14:paraId="51153D5E"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1.7 (1.35) 4</w:t>
            </w:r>
          </w:p>
        </w:tc>
        <w:tc>
          <w:tcPr>
            <w:tcW w:w="891" w:type="dxa"/>
            <w:tcBorders>
              <w:top w:val="nil"/>
              <w:left w:val="nil"/>
              <w:bottom w:val="nil"/>
              <w:right w:val="nil"/>
            </w:tcBorders>
            <w:shd w:val="clear" w:color="auto" w:fill="FFFFFF"/>
            <w:tcMar>
              <w:left w:w="67" w:type="dxa"/>
              <w:right w:w="67" w:type="dxa"/>
            </w:tcMar>
          </w:tcPr>
          <w:p w14:paraId="36E0261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5.3 (3.41) 0</w:t>
            </w:r>
          </w:p>
        </w:tc>
        <w:tc>
          <w:tcPr>
            <w:tcW w:w="891" w:type="dxa"/>
            <w:tcBorders>
              <w:top w:val="nil"/>
              <w:left w:val="nil"/>
              <w:bottom w:val="nil"/>
              <w:right w:val="nil"/>
            </w:tcBorders>
            <w:shd w:val="clear" w:color="auto" w:fill="FFFFFF"/>
            <w:tcMar>
              <w:left w:w="67" w:type="dxa"/>
              <w:right w:w="67" w:type="dxa"/>
            </w:tcMar>
          </w:tcPr>
          <w:p w14:paraId="50227CF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4.9 (3.04) 2</w:t>
            </w:r>
          </w:p>
        </w:tc>
        <w:tc>
          <w:tcPr>
            <w:tcW w:w="894" w:type="dxa"/>
            <w:tcBorders>
              <w:top w:val="nil"/>
              <w:left w:val="nil"/>
              <w:bottom w:val="nil"/>
              <w:right w:val="single" w:sz="4" w:space="0" w:color="auto"/>
            </w:tcBorders>
            <w:shd w:val="clear" w:color="auto" w:fill="FFFFFF"/>
            <w:tcMar>
              <w:left w:w="67" w:type="dxa"/>
              <w:right w:w="67" w:type="dxa"/>
            </w:tcMar>
          </w:tcPr>
          <w:p w14:paraId="56205762"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5.1 (3.21) 2</w:t>
            </w:r>
          </w:p>
        </w:tc>
      </w:tr>
      <w:tr w:rsidR="00E07CDE" w:rsidRPr="00563AD3" w14:paraId="7468FE4C" w14:textId="77777777" w:rsidTr="00C163F3">
        <w:trPr>
          <w:cantSplit/>
          <w:jc w:val="center"/>
        </w:trPr>
        <w:tc>
          <w:tcPr>
            <w:tcW w:w="1417" w:type="dxa"/>
            <w:tcBorders>
              <w:top w:val="nil"/>
              <w:left w:val="single" w:sz="4" w:space="0" w:color="auto"/>
              <w:bottom w:val="nil"/>
              <w:right w:val="nil"/>
            </w:tcBorders>
            <w:shd w:val="clear" w:color="auto" w:fill="FFFFFF"/>
            <w:tcMar>
              <w:left w:w="67" w:type="dxa"/>
              <w:right w:w="67" w:type="dxa"/>
            </w:tcMar>
          </w:tcPr>
          <w:p w14:paraId="7569B9D2" w14:textId="77777777" w:rsidR="00E07CDE" w:rsidRPr="00563AD3" w:rsidRDefault="00E07CDE" w:rsidP="00CB59EF">
            <w:pPr>
              <w:spacing w:before="67" w:after="67" w:line="240" w:lineRule="auto"/>
              <w:rPr>
                <w:rFonts w:eastAsia="Times New Roman"/>
                <w:color w:val="000000"/>
                <w:sz w:val="14"/>
                <w:szCs w:val="14"/>
              </w:rPr>
            </w:pPr>
            <w:r w:rsidRPr="00563AD3">
              <w:rPr>
                <w:rFonts w:eastAsia="Times New Roman"/>
                <w:color w:val="000000"/>
                <w:sz w:val="14"/>
                <w:szCs w:val="14"/>
              </w:rPr>
              <w:t>Hallucinations</w:t>
            </w:r>
          </w:p>
        </w:tc>
        <w:tc>
          <w:tcPr>
            <w:tcW w:w="1039" w:type="dxa"/>
            <w:tcBorders>
              <w:top w:val="nil"/>
              <w:left w:val="nil"/>
              <w:bottom w:val="nil"/>
              <w:right w:val="nil"/>
            </w:tcBorders>
            <w:shd w:val="clear" w:color="auto" w:fill="FFFFFF"/>
            <w:tcMar>
              <w:left w:w="67" w:type="dxa"/>
              <w:right w:w="67" w:type="dxa"/>
            </w:tcMar>
          </w:tcPr>
          <w:p w14:paraId="740A9FD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47 (15.3%)307</w:t>
            </w:r>
          </w:p>
        </w:tc>
        <w:tc>
          <w:tcPr>
            <w:tcW w:w="1039" w:type="dxa"/>
            <w:tcBorders>
              <w:top w:val="nil"/>
              <w:left w:val="nil"/>
              <w:bottom w:val="nil"/>
              <w:right w:val="nil"/>
            </w:tcBorders>
            <w:shd w:val="clear" w:color="auto" w:fill="FFFFFF"/>
            <w:tcMar>
              <w:left w:w="67" w:type="dxa"/>
              <w:right w:w="67" w:type="dxa"/>
            </w:tcMar>
          </w:tcPr>
          <w:p w14:paraId="56A3640E"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59 (14.2%)416</w:t>
            </w:r>
          </w:p>
        </w:tc>
        <w:tc>
          <w:tcPr>
            <w:tcW w:w="1040" w:type="dxa"/>
            <w:tcBorders>
              <w:top w:val="nil"/>
              <w:left w:val="nil"/>
              <w:bottom w:val="nil"/>
              <w:right w:val="nil"/>
            </w:tcBorders>
            <w:shd w:val="clear" w:color="auto" w:fill="FFFFFF"/>
            <w:tcMar>
              <w:left w:w="67" w:type="dxa"/>
              <w:right w:w="67" w:type="dxa"/>
            </w:tcMar>
          </w:tcPr>
          <w:p w14:paraId="554262A6"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106 (14.7%)723</w:t>
            </w:r>
          </w:p>
        </w:tc>
        <w:tc>
          <w:tcPr>
            <w:tcW w:w="891" w:type="dxa"/>
            <w:gridSpan w:val="2"/>
            <w:tcBorders>
              <w:top w:val="nil"/>
              <w:left w:val="nil"/>
              <w:bottom w:val="nil"/>
              <w:right w:val="nil"/>
            </w:tcBorders>
            <w:shd w:val="clear" w:color="auto" w:fill="FFFFFF"/>
            <w:tcMar>
              <w:left w:w="67" w:type="dxa"/>
              <w:right w:w="67" w:type="dxa"/>
            </w:tcMar>
          </w:tcPr>
          <w:p w14:paraId="6ECF53EB"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2.6 (1.04) 0</w:t>
            </w:r>
          </w:p>
        </w:tc>
        <w:tc>
          <w:tcPr>
            <w:tcW w:w="891" w:type="dxa"/>
            <w:tcBorders>
              <w:top w:val="nil"/>
              <w:left w:val="nil"/>
              <w:bottom w:val="nil"/>
              <w:right w:val="nil"/>
            </w:tcBorders>
            <w:shd w:val="clear" w:color="auto" w:fill="FFFFFF"/>
            <w:tcMar>
              <w:left w:w="67" w:type="dxa"/>
              <w:right w:w="67" w:type="dxa"/>
            </w:tcMar>
          </w:tcPr>
          <w:p w14:paraId="22D34181"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2.6 (1.04) 1</w:t>
            </w:r>
          </w:p>
        </w:tc>
        <w:tc>
          <w:tcPr>
            <w:tcW w:w="892" w:type="dxa"/>
            <w:tcBorders>
              <w:top w:val="nil"/>
              <w:left w:val="nil"/>
              <w:bottom w:val="nil"/>
              <w:right w:val="nil"/>
            </w:tcBorders>
            <w:shd w:val="clear" w:color="auto" w:fill="FFFFFF"/>
            <w:tcMar>
              <w:left w:w="67" w:type="dxa"/>
              <w:right w:w="67" w:type="dxa"/>
            </w:tcMar>
          </w:tcPr>
          <w:p w14:paraId="1D84B15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2.6 (1.04) 1</w:t>
            </w:r>
          </w:p>
        </w:tc>
        <w:tc>
          <w:tcPr>
            <w:tcW w:w="891" w:type="dxa"/>
            <w:gridSpan w:val="2"/>
            <w:tcBorders>
              <w:top w:val="nil"/>
              <w:left w:val="nil"/>
              <w:bottom w:val="nil"/>
              <w:right w:val="nil"/>
            </w:tcBorders>
            <w:shd w:val="clear" w:color="auto" w:fill="FFFFFF"/>
            <w:tcMar>
              <w:left w:w="67" w:type="dxa"/>
              <w:right w:w="67" w:type="dxa"/>
            </w:tcMar>
          </w:tcPr>
          <w:p w14:paraId="0693B79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1.4 (0.58) 0</w:t>
            </w:r>
          </w:p>
        </w:tc>
        <w:tc>
          <w:tcPr>
            <w:tcW w:w="891" w:type="dxa"/>
            <w:tcBorders>
              <w:top w:val="nil"/>
              <w:left w:val="nil"/>
              <w:bottom w:val="nil"/>
              <w:right w:val="nil"/>
            </w:tcBorders>
            <w:shd w:val="clear" w:color="auto" w:fill="FFFFFF"/>
            <w:tcMar>
              <w:left w:w="67" w:type="dxa"/>
              <w:right w:w="67" w:type="dxa"/>
            </w:tcMar>
          </w:tcPr>
          <w:p w14:paraId="6BF6C7B0"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 (0.63) 1</w:t>
            </w:r>
          </w:p>
        </w:tc>
        <w:tc>
          <w:tcPr>
            <w:tcW w:w="892" w:type="dxa"/>
            <w:tcBorders>
              <w:top w:val="nil"/>
              <w:left w:val="nil"/>
              <w:bottom w:val="nil"/>
              <w:right w:val="nil"/>
            </w:tcBorders>
            <w:shd w:val="clear" w:color="auto" w:fill="FFFFFF"/>
            <w:tcMar>
              <w:left w:w="67" w:type="dxa"/>
              <w:right w:w="67" w:type="dxa"/>
            </w:tcMar>
          </w:tcPr>
          <w:p w14:paraId="75578EBD"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 (0.61) 1</w:t>
            </w:r>
          </w:p>
        </w:tc>
        <w:tc>
          <w:tcPr>
            <w:tcW w:w="891" w:type="dxa"/>
            <w:gridSpan w:val="2"/>
            <w:tcBorders>
              <w:top w:val="nil"/>
              <w:left w:val="nil"/>
              <w:bottom w:val="nil"/>
              <w:right w:val="nil"/>
            </w:tcBorders>
            <w:shd w:val="clear" w:color="auto" w:fill="FFFFFF"/>
            <w:tcMar>
              <w:left w:w="67" w:type="dxa"/>
              <w:right w:w="67" w:type="dxa"/>
            </w:tcMar>
          </w:tcPr>
          <w:p w14:paraId="3B0BE6C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0.8 (0.91) 0</w:t>
            </w:r>
          </w:p>
        </w:tc>
        <w:tc>
          <w:tcPr>
            <w:tcW w:w="891" w:type="dxa"/>
            <w:tcBorders>
              <w:top w:val="nil"/>
              <w:left w:val="nil"/>
              <w:bottom w:val="nil"/>
              <w:right w:val="nil"/>
            </w:tcBorders>
            <w:shd w:val="clear" w:color="auto" w:fill="FFFFFF"/>
            <w:tcMar>
              <w:left w:w="67" w:type="dxa"/>
              <w:right w:w="67" w:type="dxa"/>
            </w:tcMar>
          </w:tcPr>
          <w:p w14:paraId="52A0BBA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1.2 (1.25) 1</w:t>
            </w:r>
          </w:p>
        </w:tc>
        <w:tc>
          <w:tcPr>
            <w:tcW w:w="892" w:type="dxa"/>
            <w:tcBorders>
              <w:top w:val="nil"/>
              <w:left w:val="nil"/>
              <w:bottom w:val="nil"/>
              <w:right w:val="nil"/>
            </w:tcBorders>
            <w:shd w:val="clear" w:color="auto" w:fill="FFFFFF"/>
            <w:tcMar>
              <w:left w:w="67" w:type="dxa"/>
              <w:right w:w="67" w:type="dxa"/>
            </w:tcMar>
          </w:tcPr>
          <w:p w14:paraId="7B4BD652"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 (1.13) 1</w:t>
            </w:r>
          </w:p>
        </w:tc>
        <w:tc>
          <w:tcPr>
            <w:tcW w:w="891" w:type="dxa"/>
            <w:tcBorders>
              <w:top w:val="nil"/>
              <w:left w:val="nil"/>
              <w:bottom w:val="nil"/>
              <w:right w:val="nil"/>
            </w:tcBorders>
            <w:shd w:val="clear" w:color="auto" w:fill="FFFFFF"/>
            <w:tcMar>
              <w:left w:w="67" w:type="dxa"/>
              <w:right w:w="67" w:type="dxa"/>
            </w:tcMar>
          </w:tcPr>
          <w:p w14:paraId="276A1422"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3.8 (2.46) 0</w:t>
            </w:r>
          </w:p>
        </w:tc>
        <w:tc>
          <w:tcPr>
            <w:tcW w:w="891" w:type="dxa"/>
            <w:tcBorders>
              <w:top w:val="nil"/>
              <w:left w:val="nil"/>
              <w:bottom w:val="nil"/>
              <w:right w:val="nil"/>
            </w:tcBorders>
            <w:shd w:val="clear" w:color="auto" w:fill="FFFFFF"/>
            <w:tcMar>
              <w:left w:w="67" w:type="dxa"/>
              <w:right w:w="67" w:type="dxa"/>
            </w:tcMar>
          </w:tcPr>
          <w:p w14:paraId="2B931812"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4.2 (2.83) 1</w:t>
            </w:r>
          </w:p>
        </w:tc>
        <w:tc>
          <w:tcPr>
            <w:tcW w:w="894" w:type="dxa"/>
            <w:tcBorders>
              <w:top w:val="nil"/>
              <w:left w:val="nil"/>
              <w:bottom w:val="nil"/>
              <w:right w:val="single" w:sz="4" w:space="0" w:color="auto"/>
            </w:tcBorders>
            <w:shd w:val="clear" w:color="auto" w:fill="FFFFFF"/>
            <w:tcMar>
              <w:left w:w="67" w:type="dxa"/>
              <w:right w:w="67" w:type="dxa"/>
            </w:tcMar>
          </w:tcPr>
          <w:p w14:paraId="450F3B76"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 (2.66) 1</w:t>
            </w:r>
          </w:p>
        </w:tc>
      </w:tr>
      <w:tr w:rsidR="00E07CDE" w:rsidRPr="00563AD3" w14:paraId="0D163A1A" w14:textId="77777777" w:rsidTr="00C163F3">
        <w:trPr>
          <w:cantSplit/>
          <w:jc w:val="center"/>
        </w:trPr>
        <w:tc>
          <w:tcPr>
            <w:tcW w:w="1417" w:type="dxa"/>
            <w:tcBorders>
              <w:top w:val="nil"/>
              <w:left w:val="single" w:sz="4" w:space="0" w:color="auto"/>
              <w:bottom w:val="nil"/>
              <w:right w:val="nil"/>
            </w:tcBorders>
            <w:shd w:val="clear" w:color="auto" w:fill="FFFFFF"/>
            <w:tcMar>
              <w:left w:w="67" w:type="dxa"/>
              <w:right w:w="67" w:type="dxa"/>
            </w:tcMar>
          </w:tcPr>
          <w:p w14:paraId="7AF0A10B" w14:textId="3EEB5408" w:rsidR="00E07CDE" w:rsidRPr="00563AD3" w:rsidRDefault="00E07CDE" w:rsidP="00CB59EF">
            <w:pPr>
              <w:spacing w:before="67" w:after="67" w:line="240" w:lineRule="auto"/>
              <w:rPr>
                <w:rFonts w:eastAsia="Times New Roman"/>
                <w:color w:val="000000"/>
                <w:sz w:val="14"/>
                <w:szCs w:val="14"/>
              </w:rPr>
            </w:pPr>
            <w:r w:rsidRPr="00563AD3">
              <w:rPr>
                <w:rFonts w:eastAsia="Times New Roman"/>
                <w:color w:val="000000"/>
                <w:sz w:val="14"/>
                <w:szCs w:val="14"/>
              </w:rPr>
              <w:t>Agitation/</w:t>
            </w:r>
            <w:r w:rsidR="008A1A04">
              <w:rPr>
                <w:rFonts w:eastAsia="Times New Roman"/>
                <w:color w:val="000000"/>
                <w:sz w:val="14"/>
                <w:szCs w:val="14"/>
              </w:rPr>
              <w:t xml:space="preserve"> </w:t>
            </w:r>
            <w:r w:rsidRPr="00563AD3">
              <w:rPr>
                <w:rFonts w:eastAsia="Times New Roman"/>
                <w:color w:val="000000"/>
                <w:sz w:val="14"/>
                <w:szCs w:val="14"/>
              </w:rPr>
              <w:t>Aggression</w:t>
            </w:r>
          </w:p>
        </w:tc>
        <w:tc>
          <w:tcPr>
            <w:tcW w:w="1039" w:type="dxa"/>
            <w:tcBorders>
              <w:top w:val="nil"/>
              <w:left w:val="nil"/>
              <w:bottom w:val="nil"/>
              <w:right w:val="nil"/>
            </w:tcBorders>
            <w:shd w:val="clear" w:color="auto" w:fill="FFFFFF"/>
            <w:tcMar>
              <w:left w:w="67" w:type="dxa"/>
              <w:right w:w="67" w:type="dxa"/>
            </w:tcMar>
          </w:tcPr>
          <w:p w14:paraId="7C5F118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145 (47.1%)308</w:t>
            </w:r>
          </w:p>
        </w:tc>
        <w:tc>
          <w:tcPr>
            <w:tcW w:w="1039" w:type="dxa"/>
            <w:tcBorders>
              <w:top w:val="nil"/>
              <w:left w:val="nil"/>
              <w:bottom w:val="nil"/>
              <w:right w:val="nil"/>
            </w:tcBorders>
            <w:shd w:val="clear" w:color="auto" w:fill="FFFFFF"/>
            <w:tcMar>
              <w:left w:w="67" w:type="dxa"/>
              <w:right w:w="67" w:type="dxa"/>
            </w:tcMar>
          </w:tcPr>
          <w:p w14:paraId="662FCBCB"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192 (46%)417</w:t>
            </w:r>
          </w:p>
        </w:tc>
        <w:tc>
          <w:tcPr>
            <w:tcW w:w="1040" w:type="dxa"/>
            <w:tcBorders>
              <w:top w:val="nil"/>
              <w:left w:val="nil"/>
              <w:bottom w:val="nil"/>
              <w:right w:val="nil"/>
            </w:tcBorders>
            <w:shd w:val="clear" w:color="auto" w:fill="FFFFFF"/>
            <w:tcMar>
              <w:left w:w="67" w:type="dxa"/>
              <w:right w:w="67" w:type="dxa"/>
            </w:tcMar>
          </w:tcPr>
          <w:p w14:paraId="52AA18A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337 (46.5%)725</w:t>
            </w:r>
          </w:p>
        </w:tc>
        <w:tc>
          <w:tcPr>
            <w:tcW w:w="891" w:type="dxa"/>
            <w:gridSpan w:val="2"/>
            <w:tcBorders>
              <w:top w:val="nil"/>
              <w:left w:val="nil"/>
              <w:bottom w:val="nil"/>
              <w:right w:val="nil"/>
            </w:tcBorders>
            <w:shd w:val="clear" w:color="auto" w:fill="FFFFFF"/>
            <w:tcMar>
              <w:left w:w="67" w:type="dxa"/>
              <w:right w:w="67" w:type="dxa"/>
            </w:tcMar>
          </w:tcPr>
          <w:p w14:paraId="62811D81"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 (0.95) 1</w:t>
            </w:r>
          </w:p>
        </w:tc>
        <w:tc>
          <w:tcPr>
            <w:tcW w:w="891" w:type="dxa"/>
            <w:tcBorders>
              <w:top w:val="nil"/>
              <w:left w:val="nil"/>
              <w:bottom w:val="nil"/>
              <w:right w:val="nil"/>
            </w:tcBorders>
            <w:shd w:val="clear" w:color="auto" w:fill="FFFFFF"/>
            <w:tcMar>
              <w:left w:w="67" w:type="dxa"/>
              <w:right w:w="67" w:type="dxa"/>
            </w:tcMar>
          </w:tcPr>
          <w:p w14:paraId="0E55BF59"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2.9 (0.94) 0</w:t>
            </w:r>
          </w:p>
        </w:tc>
        <w:tc>
          <w:tcPr>
            <w:tcW w:w="892" w:type="dxa"/>
            <w:tcBorders>
              <w:top w:val="nil"/>
              <w:left w:val="nil"/>
              <w:bottom w:val="nil"/>
              <w:right w:val="nil"/>
            </w:tcBorders>
            <w:shd w:val="clear" w:color="auto" w:fill="FFFFFF"/>
            <w:tcMar>
              <w:left w:w="67" w:type="dxa"/>
              <w:right w:w="67" w:type="dxa"/>
            </w:tcMar>
          </w:tcPr>
          <w:p w14:paraId="0A9A78E0"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2.9 (0.95) 1</w:t>
            </w:r>
          </w:p>
        </w:tc>
        <w:tc>
          <w:tcPr>
            <w:tcW w:w="891" w:type="dxa"/>
            <w:gridSpan w:val="2"/>
            <w:tcBorders>
              <w:top w:val="nil"/>
              <w:left w:val="nil"/>
              <w:bottom w:val="nil"/>
              <w:right w:val="nil"/>
            </w:tcBorders>
            <w:shd w:val="clear" w:color="auto" w:fill="FFFFFF"/>
            <w:tcMar>
              <w:left w:w="67" w:type="dxa"/>
              <w:right w:w="67" w:type="dxa"/>
            </w:tcMar>
          </w:tcPr>
          <w:p w14:paraId="631BDE0C"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1.6 (0.67) 1</w:t>
            </w:r>
          </w:p>
        </w:tc>
        <w:tc>
          <w:tcPr>
            <w:tcW w:w="891" w:type="dxa"/>
            <w:tcBorders>
              <w:top w:val="nil"/>
              <w:left w:val="nil"/>
              <w:bottom w:val="nil"/>
              <w:right w:val="nil"/>
            </w:tcBorders>
            <w:shd w:val="clear" w:color="auto" w:fill="FFFFFF"/>
            <w:tcMar>
              <w:left w:w="67" w:type="dxa"/>
              <w:right w:w="67" w:type="dxa"/>
            </w:tcMar>
          </w:tcPr>
          <w:p w14:paraId="3F2266CC"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1.6 (0.69) 0</w:t>
            </w:r>
          </w:p>
        </w:tc>
        <w:tc>
          <w:tcPr>
            <w:tcW w:w="892" w:type="dxa"/>
            <w:tcBorders>
              <w:top w:val="nil"/>
              <w:left w:val="nil"/>
              <w:bottom w:val="nil"/>
              <w:right w:val="nil"/>
            </w:tcBorders>
            <w:shd w:val="clear" w:color="auto" w:fill="FFFFFF"/>
            <w:tcMar>
              <w:left w:w="67" w:type="dxa"/>
              <w:right w:w="67" w:type="dxa"/>
            </w:tcMar>
          </w:tcPr>
          <w:p w14:paraId="25CE844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1.6 (0.68) 1</w:t>
            </w:r>
          </w:p>
        </w:tc>
        <w:tc>
          <w:tcPr>
            <w:tcW w:w="891" w:type="dxa"/>
            <w:gridSpan w:val="2"/>
            <w:tcBorders>
              <w:top w:val="nil"/>
              <w:left w:val="nil"/>
              <w:bottom w:val="nil"/>
              <w:right w:val="nil"/>
            </w:tcBorders>
            <w:shd w:val="clear" w:color="auto" w:fill="FFFFFF"/>
            <w:tcMar>
              <w:left w:w="67" w:type="dxa"/>
              <w:right w:w="67" w:type="dxa"/>
            </w:tcMar>
          </w:tcPr>
          <w:p w14:paraId="7EB5DF19"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1.7 (1.23) 0</w:t>
            </w:r>
          </w:p>
        </w:tc>
        <w:tc>
          <w:tcPr>
            <w:tcW w:w="891" w:type="dxa"/>
            <w:tcBorders>
              <w:top w:val="nil"/>
              <w:left w:val="nil"/>
              <w:bottom w:val="nil"/>
              <w:right w:val="nil"/>
            </w:tcBorders>
            <w:shd w:val="clear" w:color="auto" w:fill="FFFFFF"/>
            <w:tcMar>
              <w:left w:w="67" w:type="dxa"/>
              <w:right w:w="67" w:type="dxa"/>
            </w:tcMar>
          </w:tcPr>
          <w:p w14:paraId="223CC895"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1.8 (1.28) 1</w:t>
            </w:r>
          </w:p>
        </w:tc>
        <w:tc>
          <w:tcPr>
            <w:tcW w:w="892" w:type="dxa"/>
            <w:tcBorders>
              <w:top w:val="nil"/>
              <w:left w:val="nil"/>
              <w:bottom w:val="nil"/>
              <w:right w:val="nil"/>
            </w:tcBorders>
            <w:shd w:val="clear" w:color="auto" w:fill="FFFFFF"/>
            <w:tcMar>
              <w:left w:w="67" w:type="dxa"/>
              <w:right w:w="67" w:type="dxa"/>
            </w:tcMar>
          </w:tcPr>
          <w:p w14:paraId="10E7B168"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1.7 (1.25) 1</w:t>
            </w:r>
          </w:p>
        </w:tc>
        <w:tc>
          <w:tcPr>
            <w:tcW w:w="891" w:type="dxa"/>
            <w:tcBorders>
              <w:top w:val="nil"/>
              <w:left w:val="nil"/>
              <w:bottom w:val="nil"/>
              <w:right w:val="nil"/>
            </w:tcBorders>
            <w:shd w:val="clear" w:color="auto" w:fill="FFFFFF"/>
            <w:tcMar>
              <w:left w:w="67" w:type="dxa"/>
              <w:right w:w="67" w:type="dxa"/>
            </w:tcMar>
          </w:tcPr>
          <w:p w14:paraId="238D9BE1"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 (2.85) 2</w:t>
            </w:r>
          </w:p>
        </w:tc>
        <w:tc>
          <w:tcPr>
            <w:tcW w:w="891" w:type="dxa"/>
            <w:tcBorders>
              <w:top w:val="nil"/>
              <w:left w:val="nil"/>
              <w:bottom w:val="nil"/>
              <w:right w:val="nil"/>
            </w:tcBorders>
            <w:shd w:val="clear" w:color="auto" w:fill="FFFFFF"/>
            <w:tcMar>
              <w:left w:w="67" w:type="dxa"/>
              <w:right w:w="67" w:type="dxa"/>
            </w:tcMar>
          </w:tcPr>
          <w:p w14:paraId="0AA1C9F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4.7 (2.86) 0</w:t>
            </w:r>
          </w:p>
        </w:tc>
        <w:tc>
          <w:tcPr>
            <w:tcW w:w="894" w:type="dxa"/>
            <w:tcBorders>
              <w:top w:val="nil"/>
              <w:left w:val="nil"/>
              <w:bottom w:val="nil"/>
              <w:right w:val="single" w:sz="4" w:space="0" w:color="auto"/>
            </w:tcBorders>
            <w:shd w:val="clear" w:color="auto" w:fill="FFFFFF"/>
            <w:tcMar>
              <w:left w:w="67" w:type="dxa"/>
              <w:right w:w="67" w:type="dxa"/>
            </w:tcMar>
          </w:tcPr>
          <w:p w14:paraId="7BCD467E"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4.8 (2.85) 2</w:t>
            </w:r>
          </w:p>
        </w:tc>
      </w:tr>
      <w:tr w:rsidR="00E07CDE" w:rsidRPr="00563AD3" w14:paraId="511811F1" w14:textId="77777777" w:rsidTr="00C163F3">
        <w:trPr>
          <w:cantSplit/>
          <w:jc w:val="center"/>
        </w:trPr>
        <w:tc>
          <w:tcPr>
            <w:tcW w:w="1417" w:type="dxa"/>
            <w:tcBorders>
              <w:top w:val="nil"/>
              <w:left w:val="single" w:sz="4" w:space="0" w:color="auto"/>
              <w:bottom w:val="nil"/>
              <w:right w:val="nil"/>
            </w:tcBorders>
            <w:shd w:val="clear" w:color="auto" w:fill="FFFFFF"/>
            <w:tcMar>
              <w:left w:w="67" w:type="dxa"/>
              <w:right w:w="67" w:type="dxa"/>
            </w:tcMar>
          </w:tcPr>
          <w:p w14:paraId="28BFA155" w14:textId="7CD24637" w:rsidR="00E07CDE" w:rsidRPr="00563AD3" w:rsidRDefault="00E07CDE" w:rsidP="00CB59EF">
            <w:pPr>
              <w:spacing w:before="67" w:after="67" w:line="240" w:lineRule="auto"/>
              <w:rPr>
                <w:rFonts w:eastAsia="Times New Roman"/>
                <w:color w:val="000000"/>
                <w:sz w:val="14"/>
                <w:szCs w:val="14"/>
              </w:rPr>
            </w:pPr>
            <w:r w:rsidRPr="00563AD3">
              <w:rPr>
                <w:rFonts w:eastAsia="Times New Roman"/>
                <w:color w:val="000000"/>
                <w:sz w:val="14"/>
                <w:szCs w:val="14"/>
              </w:rPr>
              <w:t>Depression/</w:t>
            </w:r>
            <w:r w:rsidR="008A1A04">
              <w:rPr>
                <w:rFonts w:eastAsia="Times New Roman"/>
                <w:color w:val="000000"/>
                <w:sz w:val="14"/>
                <w:szCs w:val="14"/>
              </w:rPr>
              <w:t xml:space="preserve"> </w:t>
            </w:r>
            <w:r w:rsidRPr="00563AD3">
              <w:rPr>
                <w:rFonts w:eastAsia="Times New Roman"/>
                <w:color w:val="000000"/>
                <w:sz w:val="14"/>
                <w:szCs w:val="14"/>
              </w:rPr>
              <w:t>Dysphoria</w:t>
            </w:r>
          </w:p>
        </w:tc>
        <w:tc>
          <w:tcPr>
            <w:tcW w:w="1039" w:type="dxa"/>
            <w:tcBorders>
              <w:top w:val="nil"/>
              <w:left w:val="nil"/>
              <w:bottom w:val="nil"/>
              <w:right w:val="nil"/>
            </w:tcBorders>
            <w:shd w:val="clear" w:color="auto" w:fill="FFFFFF"/>
            <w:tcMar>
              <w:left w:w="67" w:type="dxa"/>
              <w:right w:w="67" w:type="dxa"/>
            </w:tcMar>
          </w:tcPr>
          <w:p w14:paraId="5A9D01F5" w14:textId="3674ECE8" w:rsidR="00E07CDE" w:rsidRPr="00563AD3" w:rsidRDefault="008A1A04" w:rsidP="00CB59EF">
            <w:pPr>
              <w:spacing w:before="67" w:after="67" w:line="240" w:lineRule="auto"/>
              <w:jc w:val="right"/>
              <w:rPr>
                <w:rFonts w:eastAsia="Times New Roman"/>
                <w:color w:val="000000"/>
                <w:sz w:val="14"/>
                <w:szCs w:val="14"/>
              </w:rPr>
            </w:pPr>
            <w:r>
              <w:rPr>
                <w:rFonts w:eastAsia="Times New Roman"/>
                <w:color w:val="000000"/>
                <w:sz w:val="14"/>
                <w:szCs w:val="14"/>
              </w:rPr>
              <w:t xml:space="preserve">92    </w:t>
            </w:r>
            <w:r w:rsidR="00E07CDE" w:rsidRPr="00563AD3">
              <w:rPr>
                <w:rFonts w:eastAsia="Times New Roman"/>
                <w:color w:val="000000"/>
                <w:sz w:val="14"/>
                <w:szCs w:val="14"/>
              </w:rPr>
              <w:t>(30%)307</w:t>
            </w:r>
          </w:p>
        </w:tc>
        <w:tc>
          <w:tcPr>
            <w:tcW w:w="1039" w:type="dxa"/>
            <w:tcBorders>
              <w:top w:val="nil"/>
              <w:left w:val="nil"/>
              <w:bottom w:val="nil"/>
              <w:right w:val="nil"/>
            </w:tcBorders>
            <w:shd w:val="clear" w:color="auto" w:fill="FFFFFF"/>
            <w:tcMar>
              <w:left w:w="67" w:type="dxa"/>
              <w:right w:w="67" w:type="dxa"/>
            </w:tcMar>
          </w:tcPr>
          <w:p w14:paraId="54610A2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129 (30.9%)418</w:t>
            </w:r>
          </w:p>
        </w:tc>
        <w:tc>
          <w:tcPr>
            <w:tcW w:w="1040" w:type="dxa"/>
            <w:tcBorders>
              <w:top w:val="nil"/>
              <w:left w:val="nil"/>
              <w:bottom w:val="nil"/>
              <w:right w:val="nil"/>
            </w:tcBorders>
            <w:shd w:val="clear" w:color="auto" w:fill="FFFFFF"/>
            <w:tcMar>
              <w:left w:w="67" w:type="dxa"/>
              <w:right w:w="67" w:type="dxa"/>
            </w:tcMar>
          </w:tcPr>
          <w:p w14:paraId="29CFD842"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221 (30.5%)725</w:t>
            </w:r>
          </w:p>
        </w:tc>
        <w:tc>
          <w:tcPr>
            <w:tcW w:w="891" w:type="dxa"/>
            <w:gridSpan w:val="2"/>
            <w:tcBorders>
              <w:top w:val="nil"/>
              <w:left w:val="nil"/>
              <w:bottom w:val="nil"/>
              <w:right w:val="nil"/>
            </w:tcBorders>
            <w:shd w:val="clear" w:color="auto" w:fill="FFFFFF"/>
            <w:tcMar>
              <w:left w:w="67" w:type="dxa"/>
              <w:right w:w="67" w:type="dxa"/>
            </w:tcMar>
          </w:tcPr>
          <w:p w14:paraId="25A81E2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2.6 (0.94) 0</w:t>
            </w:r>
          </w:p>
        </w:tc>
        <w:tc>
          <w:tcPr>
            <w:tcW w:w="891" w:type="dxa"/>
            <w:tcBorders>
              <w:top w:val="nil"/>
              <w:left w:val="nil"/>
              <w:bottom w:val="nil"/>
              <w:right w:val="nil"/>
            </w:tcBorders>
            <w:shd w:val="clear" w:color="auto" w:fill="FFFFFF"/>
            <w:tcMar>
              <w:left w:w="67" w:type="dxa"/>
              <w:right w:w="67" w:type="dxa"/>
            </w:tcMar>
          </w:tcPr>
          <w:p w14:paraId="3D990D7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2.3 (1.01) 1</w:t>
            </w:r>
          </w:p>
        </w:tc>
        <w:tc>
          <w:tcPr>
            <w:tcW w:w="892" w:type="dxa"/>
            <w:tcBorders>
              <w:top w:val="nil"/>
              <w:left w:val="nil"/>
              <w:bottom w:val="nil"/>
              <w:right w:val="nil"/>
            </w:tcBorders>
            <w:shd w:val="clear" w:color="auto" w:fill="FFFFFF"/>
            <w:tcMar>
              <w:left w:w="67" w:type="dxa"/>
              <w:right w:w="67" w:type="dxa"/>
            </w:tcMar>
          </w:tcPr>
          <w:p w14:paraId="33A66586"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2.4 (0.98) 1</w:t>
            </w:r>
          </w:p>
        </w:tc>
        <w:tc>
          <w:tcPr>
            <w:tcW w:w="891" w:type="dxa"/>
            <w:gridSpan w:val="2"/>
            <w:tcBorders>
              <w:top w:val="nil"/>
              <w:left w:val="nil"/>
              <w:bottom w:val="nil"/>
              <w:right w:val="nil"/>
            </w:tcBorders>
            <w:shd w:val="clear" w:color="auto" w:fill="FFFFFF"/>
            <w:tcMar>
              <w:left w:w="67" w:type="dxa"/>
              <w:right w:w="67" w:type="dxa"/>
            </w:tcMar>
          </w:tcPr>
          <w:p w14:paraId="1191909C"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 (0.67) 0</w:t>
            </w:r>
          </w:p>
        </w:tc>
        <w:tc>
          <w:tcPr>
            <w:tcW w:w="891" w:type="dxa"/>
            <w:tcBorders>
              <w:top w:val="nil"/>
              <w:left w:val="nil"/>
              <w:bottom w:val="nil"/>
              <w:right w:val="nil"/>
            </w:tcBorders>
            <w:shd w:val="clear" w:color="auto" w:fill="FFFFFF"/>
            <w:tcMar>
              <w:left w:w="67" w:type="dxa"/>
              <w:right w:w="67" w:type="dxa"/>
            </w:tcMar>
          </w:tcPr>
          <w:p w14:paraId="18657CB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1.4 (0.6) 2</w:t>
            </w:r>
          </w:p>
        </w:tc>
        <w:tc>
          <w:tcPr>
            <w:tcW w:w="892" w:type="dxa"/>
            <w:tcBorders>
              <w:top w:val="nil"/>
              <w:left w:val="nil"/>
              <w:bottom w:val="nil"/>
              <w:right w:val="nil"/>
            </w:tcBorders>
            <w:shd w:val="clear" w:color="auto" w:fill="FFFFFF"/>
            <w:tcMar>
              <w:left w:w="67" w:type="dxa"/>
              <w:right w:w="67" w:type="dxa"/>
            </w:tcMar>
          </w:tcPr>
          <w:p w14:paraId="086EAD10"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 (0.63) 2</w:t>
            </w:r>
          </w:p>
        </w:tc>
        <w:tc>
          <w:tcPr>
            <w:tcW w:w="891" w:type="dxa"/>
            <w:gridSpan w:val="2"/>
            <w:tcBorders>
              <w:top w:val="nil"/>
              <w:left w:val="nil"/>
              <w:bottom w:val="nil"/>
              <w:right w:val="nil"/>
            </w:tcBorders>
            <w:shd w:val="clear" w:color="auto" w:fill="FFFFFF"/>
            <w:tcMar>
              <w:left w:w="67" w:type="dxa"/>
              <w:right w:w="67" w:type="dxa"/>
            </w:tcMar>
          </w:tcPr>
          <w:p w14:paraId="18F1E8D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1.3 (1.04) 0</w:t>
            </w:r>
          </w:p>
        </w:tc>
        <w:tc>
          <w:tcPr>
            <w:tcW w:w="891" w:type="dxa"/>
            <w:tcBorders>
              <w:top w:val="nil"/>
              <w:left w:val="nil"/>
              <w:bottom w:val="nil"/>
              <w:right w:val="nil"/>
            </w:tcBorders>
            <w:shd w:val="clear" w:color="auto" w:fill="FFFFFF"/>
            <w:tcMar>
              <w:left w:w="67" w:type="dxa"/>
              <w:right w:w="67" w:type="dxa"/>
            </w:tcMar>
          </w:tcPr>
          <w:p w14:paraId="137EA2D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1.1 (1.14) 1</w:t>
            </w:r>
          </w:p>
        </w:tc>
        <w:tc>
          <w:tcPr>
            <w:tcW w:w="892" w:type="dxa"/>
            <w:tcBorders>
              <w:top w:val="nil"/>
              <w:left w:val="nil"/>
              <w:bottom w:val="nil"/>
              <w:right w:val="nil"/>
            </w:tcBorders>
            <w:shd w:val="clear" w:color="auto" w:fill="FFFFFF"/>
            <w:tcMar>
              <w:left w:w="67" w:type="dxa"/>
              <w:right w:w="67" w:type="dxa"/>
            </w:tcMar>
          </w:tcPr>
          <w:p w14:paraId="7C3A4CC0"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1.2 (1.1) 1</w:t>
            </w:r>
          </w:p>
        </w:tc>
        <w:tc>
          <w:tcPr>
            <w:tcW w:w="891" w:type="dxa"/>
            <w:tcBorders>
              <w:top w:val="nil"/>
              <w:left w:val="nil"/>
              <w:bottom w:val="nil"/>
              <w:right w:val="nil"/>
            </w:tcBorders>
            <w:shd w:val="clear" w:color="auto" w:fill="FFFFFF"/>
            <w:tcMar>
              <w:left w:w="67" w:type="dxa"/>
              <w:right w:w="67" w:type="dxa"/>
            </w:tcMar>
          </w:tcPr>
          <w:p w14:paraId="639F4D7F"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4.1 (2.77) 0</w:t>
            </w:r>
          </w:p>
        </w:tc>
        <w:tc>
          <w:tcPr>
            <w:tcW w:w="891" w:type="dxa"/>
            <w:tcBorders>
              <w:top w:val="nil"/>
              <w:left w:val="nil"/>
              <w:bottom w:val="nil"/>
              <w:right w:val="nil"/>
            </w:tcBorders>
            <w:shd w:val="clear" w:color="auto" w:fill="FFFFFF"/>
            <w:tcMar>
              <w:left w:w="67" w:type="dxa"/>
              <w:right w:w="67" w:type="dxa"/>
            </w:tcMar>
          </w:tcPr>
          <w:p w14:paraId="716CE2C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3.6 (2.63) 2</w:t>
            </w:r>
          </w:p>
        </w:tc>
        <w:tc>
          <w:tcPr>
            <w:tcW w:w="894" w:type="dxa"/>
            <w:tcBorders>
              <w:top w:val="nil"/>
              <w:left w:val="nil"/>
              <w:bottom w:val="nil"/>
              <w:right w:val="single" w:sz="4" w:space="0" w:color="auto"/>
            </w:tcBorders>
            <w:shd w:val="clear" w:color="auto" w:fill="FFFFFF"/>
            <w:tcMar>
              <w:left w:w="67" w:type="dxa"/>
              <w:right w:w="67" w:type="dxa"/>
            </w:tcMar>
          </w:tcPr>
          <w:p w14:paraId="79446D0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3.8 (2.7) 2</w:t>
            </w:r>
          </w:p>
        </w:tc>
      </w:tr>
      <w:tr w:rsidR="00E07CDE" w:rsidRPr="00563AD3" w14:paraId="0E338087" w14:textId="77777777" w:rsidTr="00C163F3">
        <w:trPr>
          <w:cantSplit/>
          <w:jc w:val="center"/>
        </w:trPr>
        <w:tc>
          <w:tcPr>
            <w:tcW w:w="1417" w:type="dxa"/>
            <w:tcBorders>
              <w:top w:val="nil"/>
              <w:left w:val="single" w:sz="4" w:space="0" w:color="auto"/>
              <w:bottom w:val="nil"/>
              <w:right w:val="nil"/>
            </w:tcBorders>
            <w:shd w:val="clear" w:color="auto" w:fill="FFFFFF"/>
            <w:tcMar>
              <w:left w:w="67" w:type="dxa"/>
              <w:right w:w="67" w:type="dxa"/>
            </w:tcMar>
          </w:tcPr>
          <w:p w14:paraId="23752764" w14:textId="77777777" w:rsidR="00E07CDE" w:rsidRPr="00563AD3" w:rsidRDefault="00E07CDE" w:rsidP="00CB59EF">
            <w:pPr>
              <w:spacing w:before="67" w:after="67" w:line="240" w:lineRule="auto"/>
              <w:rPr>
                <w:rFonts w:eastAsia="Times New Roman"/>
                <w:color w:val="000000"/>
                <w:sz w:val="14"/>
                <w:szCs w:val="14"/>
              </w:rPr>
            </w:pPr>
            <w:r w:rsidRPr="00563AD3">
              <w:rPr>
                <w:rFonts w:eastAsia="Times New Roman"/>
                <w:color w:val="000000"/>
                <w:sz w:val="14"/>
                <w:szCs w:val="14"/>
              </w:rPr>
              <w:t>Anxiety</w:t>
            </w:r>
          </w:p>
        </w:tc>
        <w:tc>
          <w:tcPr>
            <w:tcW w:w="1039" w:type="dxa"/>
            <w:tcBorders>
              <w:top w:val="nil"/>
              <w:left w:val="nil"/>
              <w:bottom w:val="nil"/>
              <w:right w:val="nil"/>
            </w:tcBorders>
            <w:shd w:val="clear" w:color="auto" w:fill="FFFFFF"/>
            <w:tcMar>
              <w:left w:w="67" w:type="dxa"/>
              <w:right w:w="67" w:type="dxa"/>
            </w:tcMar>
          </w:tcPr>
          <w:p w14:paraId="6074DCD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80 (26%)308</w:t>
            </w:r>
          </w:p>
        </w:tc>
        <w:tc>
          <w:tcPr>
            <w:tcW w:w="1039" w:type="dxa"/>
            <w:tcBorders>
              <w:top w:val="nil"/>
              <w:left w:val="nil"/>
              <w:bottom w:val="nil"/>
              <w:right w:val="nil"/>
            </w:tcBorders>
            <w:shd w:val="clear" w:color="auto" w:fill="FFFFFF"/>
            <w:tcMar>
              <w:left w:w="67" w:type="dxa"/>
              <w:right w:w="67" w:type="dxa"/>
            </w:tcMar>
          </w:tcPr>
          <w:p w14:paraId="7E487F0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98 (23.5%)417</w:t>
            </w:r>
          </w:p>
        </w:tc>
        <w:tc>
          <w:tcPr>
            <w:tcW w:w="1040" w:type="dxa"/>
            <w:tcBorders>
              <w:top w:val="nil"/>
              <w:left w:val="nil"/>
              <w:bottom w:val="nil"/>
              <w:right w:val="nil"/>
            </w:tcBorders>
            <w:shd w:val="clear" w:color="auto" w:fill="FFFFFF"/>
            <w:tcMar>
              <w:left w:w="67" w:type="dxa"/>
              <w:right w:w="67" w:type="dxa"/>
            </w:tcMar>
          </w:tcPr>
          <w:p w14:paraId="3E3D99A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178 (24.6%)725</w:t>
            </w:r>
          </w:p>
        </w:tc>
        <w:tc>
          <w:tcPr>
            <w:tcW w:w="891" w:type="dxa"/>
            <w:gridSpan w:val="2"/>
            <w:tcBorders>
              <w:top w:val="nil"/>
              <w:left w:val="nil"/>
              <w:bottom w:val="nil"/>
              <w:right w:val="nil"/>
            </w:tcBorders>
            <w:shd w:val="clear" w:color="auto" w:fill="FFFFFF"/>
            <w:tcMar>
              <w:left w:w="67" w:type="dxa"/>
              <w:right w:w="67" w:type="dxa"/>
            </w:tcMar>
          </w:tcPr>
          <w:p w14:paraId="5C3CE719"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2.8 (0.94) 2</w:t>
            </w:r>
          </w:p>
        </w:tc>
        <w:tc>
          <w:tcPr>
            <w:tcW w:w="891" w:type="dxa"/>
            <w:tcBorders>
              <w:top w:val="nil"/>
              <w:left w:val="nil"/>
              <w:bottom w:val="nil"/>
              <w:right w:val="nil"/>
            </w:tcBorders>
            <w:shd w:val="clear" w:color="auto" w:fill="FFFFFF"/>
            <w:tcMar>
              <w:left w:w="67" w:type="dxa"/>
              <w:right w:w="67" w:type="dxa"/>
            </w:tcMar>
          </w:tcPr>
          <w:p w14:paraId="277A89D8"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2.6 (0.96) 3</w:t>
            </w:r>
          </w:p>
        </w:tc>
        <w:tc>
          <w:tcPr>
            <w:tcW w:w="892" w:type="dxa"/>
            <w:tcBorders>
              <w:top w:val="nil"/>
              <w:left w:val="nil"/>
              <w:bottom w:val="nil"/>
              <w:right w:val="nil"/>
            </w:tcBorders>
            <w:shd w:val="clear" w:color="auto" w:fill="FFFFFF"/>
            <w:tcMar>
              <w:left w:w="67" w:type="dxa"/>
              <w:right w:w="67" w:type="dxa"/>
            </w:tcMar>
          </w:tcPr>
          <w:p w14:paraId="2306DC31"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2.7 (0.96) 5</w:t>
            </w:r>
          </w:p>
        </w:tc>
        <w:tc>
          <w:tcPr>
            <w:tcW w:w="891" w:type="dxa"/>
            <w:gridSpan w:val="2"/>
            <w:tcBorders>
              <w:top w:val="nil"/>
              <w:left w:val="nil"/>
              <w:bottom w:val="nil"/>
              <w:right w:val="nil"/>
            </w:tcBorders>
            <w:shd w:val="clear" w:color="auto" w:fill="FFFFFF"/>
            <w:tcMar>
              <w:left w:w="67" w:type="dxa"/>
              <w:right w:w="67" w:type="dxa"/>
            </w:tcMar>
          </w:tcPr>
          <w:p w14:paraId="593A0A88"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1.7 (0.71) 2</w:t>
            </w:r>
          </w:p>
        </w:tc>
        <w:tc>
          <w:tcPr>
            <w:tcW w:w="891" w:type="dxa"/>
            <w:tcBorders>
              <w:top w:val="nil"/>
              <w:left w:val="nil"/>
              <w:bottom w:val="nil"/>
              <w:right w:val="nil"/>
            </w:tcBorders>
            <w:shd w:val="clear" w:color="auto" w:fill="FFFFFF"/>
            <w:tcMar>
              <w:left w:w="67" w:type="dxa"/>
              <w:right w:w="67" w:type="dxa"/>
            </w:tcMar>
          </w:tcPr>
          <w:p w14:paraId="22B2EF3B"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 (0.6) 3</w:t>
            </w:r>
          </w:p>
        </w:tc>
        <w:tc>
          <w:tcPr>
            <w:tcW w:w="892" w:type="dxa"/>
            <w:tcBorders>
              <w:top w:val="nil"/>
              <w:left w:val="nil"/>
              <w:bottom w:val="nil"/>
              <w:right w:val="nil"/>
            </w:tcBorders>
            <w:shd w:val="clear" w:color="auto" w:fill="FFFFFF"/>
            <w:tcMar>
              <w:left w:w="67" w:type="dxa"/>
              <w:right w:w="67" w:type="dxa"/>
            </w:tcMar>
          </w:tcPr>
          <w:p w14:paraId="45906C85"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1.6 (0.66) 5</w:t>
            </w:r>
          </w:p>
        </w:tc>
        <w:tc>
          <w:tcPr>
            <w:tcW w:w="891" w:type="dxa"/>
            <w:gridSpan w:val="2"/>
            <w:tcBorders>
              <w:top w:val="nil"/>
              <w:left w:val="nil"/>
              <w:bottom w:val="nil"/>
              <w:right w:val="nil"/>
            </w:tcBorders>
            <w:shd w:val="clear" w:color="auto" w:fill="FFFFFF"/>
            <w:tcMar>
              <w:left w:w="67" w:type="dxa"/>
              <w:right w:w="67" w:type="dxa"/>
            </w:tcMar>
          </w:tcPr>
          <w:p w14:paraId="50A00C19"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1.6 (1.19) 2</w:t>
            </w:r>
          </w:p>
        </w:tc>
        <w:tc>
          <w:tcPr>
            <w:tcW w:w="891" w:type="dxa"/>
            <w:tcBorders>
              <w:top w:val="nil"/>
              <w:left w:val="nil"/>
              <w:bottom w:val="nil"/>
              <w:right w:val="nil"/>
            </w:tcBorders>
            <w:shd w:val="clear" w:color="auto" w:fill="FFFFFF"/>
            <w:tcMar>
              <w:left w:w="67" w:type="dxa"/>
              <w:right w:w="67" w:type="dxa"/>
            </w:tcMar>
          </w:tcPr>
          <w:p w14:paraId="26FCF67F"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 (1.25) 3</w:t>
            </w:r>
          </w:p>
        </w:tc>
        <w:tc>
          <w:tcPr>
            <w:tcW w:w="892" w:type="dxa"/>
            <w:tcBorders>
              <w:top w:val="nil"/>
              <w:left w:val="nil"/>
              <w:bottom w:val="nil"/>
              <w:right w:val="nil"/>
            </w:tcBorders>
            <w:shd w:val="clear" w:color="auto" w:fill="FFFFFF"/>
            <w:tcMar>
              <w:left w:w="67" w:type="dxa"/>
              <w:right w:w="67" w:type="dxa"/>
            </w:tcMar>
          </w:tcPr>
          <w:p w14:paraId="518930B1"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1.6 (1.23) 5</w:t>
            </w:r>
          </w:p>
        </w:tc>
        <w:tc>
          <w:tcPr>
            <w:tcW w:w="891" w:type="dxa"/>
            <w:tcBorders>
              <w:top w:val="nil"/>
              <w:left w:val="nil"/>
              <w:bottom w:val="nil"/>
              <w:right w:val="nil"/>
            </w:tcBorders>
            <w:shd w:val="clear" w:color="auto" w:fill="FFFFFF"/>
            <w:tcMar>
              <w:left w:w="67" w:type="dxa"/>
              <w:right w:w="67" w:type="dxa"/>
            </w:tcMar>
          </w:tcPr>
          <w:p w14:paraId="171DC5E1"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5.2 (3.16) 2</w:t>
            </w:r>
          </w:p>
        </w:tc>
        <w:tc>
          <w:tcPr>
            <w:tcW w:w="891" w:type="dxa"/>
            <w:tcBorders>
              <w:top w:val="nil"/>
              <w:left w:val="nil"/>
              <w:bottom w:val="nil"/>
              <w:right w:val="nil"/>
            </w:tcBorders>
            <w:shd w:val="clear" w:color="auto" w:fill="FFFFFF"/>
            <w:tcMar>
              <w:left w:w="67" w:type="dxa"/>
              <w:right w:w="67" w:type="dxa"/>
            </w:tcMar>
          </w:tcPr>
          <w:p w14:paraId="6C3CF87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3.9 (2.32) 3</w:t>
            </w:r>
          </w:p>
        </w:tc>
        <w:tc>
          <w:tcPr>
            <w:tcW w:w="894" w:type="dxa"/>
            <w:tcBorders>
              <w:top w:val="nil"/>
              <w:left w:val="nil"/>
              <w:bottom w:val="nil"/>
              <w:right w:val="single" w:sz="4" w:space="0" w:color="auto"/>
            </w:tcBorders>
            <w:shd w:val="clear" w:color="auto" w:fill="FFFFFF"/>
            <w:tcMar>
              <w:left w:w="67" w:type="dxa"/>
              <w:right w:w="67" w:type="dxa"/>
            </w:tcMar>
          </w:tcPr>
          <w:p w14:paraId="7A14E21E"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4.5 (2.8) 5</w:t>
            </w:r>
          </w:p>
        </w:tc>
      </w:tr>
      <w:tr w:rsidR="00E07CDE" w:rsidRPr="00563AD3" w14:paraId="19A05A41" w14:textId="77777777" w:rsidTr="00C163F3">
        <w:trPr>
          <w:cantSplit/>
          <w:jc w:val="center"/>
        </w:trPr>
        <w:tc>
          <w:tcPr>
            <w:tcW w:w="1417" w:type="dxa"/>
            <w:tcBorders>
              <w:top w:val="nil"/>
              <w:left w:val="single" w:sz="4" w:space="0" w:color="auto"/>
              <w:bottom w:val="nil"/>
              <w:right w:val="nil"/>
            </w:tcBorders>
            <w:shd w:val="clear" w:color="auto" w:fill="FFFFFF"/>
            <w:tcMar>
              <w:left w:w="67" w:type="dxa"/>
              <w:right w:w="67" w:type="dxa"/>
            </w:tcMar>
          </w:tcPr>
          <w:p w14:paraId="68D6769C" w14:textId="77777777" w:rsidR="00E07CDE" w:rsidRPr="00563AD3" w:rsidRDefault="00E07CDE" w:rsidP="00CB59EF">
            <w:pPr>
              <w:spacing w:before="67" w:after="67" w:line="240" w:lineRule="auto"/>
              <w:rPr>
                <w:rFonts w:eastAsia="Times New Roman"/>
                <w:color w:val="000000"/>
                <w:sz w:val="14"/>
                <w:szCs w:val="14"/>
              </w:rPr>
            </w:pPr>
            <w:r w:rsidRPr="00563AD3">
              <w:rPr>
                <w:rFonts w:eastAsia="Times New Roman"/>
                <w:color w:val="000000"/>
                <w:sz w:val="14"/>
                <w:szCs w:val="14"/>
              </w:rPr>
              <w:t>Elation/Euphoria</w:t>
            </w:r>
          </w:p>
        </w:tc>
        <w:tc>
          <w:tcPr>
            <w:tcW w:w="1039" w:type="dxa"/>
            <w:tcBorders>
              <w:top w:val="nil"/>
              <w:left w:val="nil"/>
              <w:bottom w:val="nil"/>
              <w:right w:val="nil"/>
            </w:tcBorders>
            <w:shd w:val="clear" w:color="auto" w:fill="FFFFFF"/>
            <w:tcMar>
              <w:left w:w="67" w:type="dxa"/>
              <w:right w:w="67" w:type="dxa"/>
            </w:tcMar>
          </w:tcPr>
          <w:p w14:paraId="06912806"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25 (8.1%)308</w:t>
            </w:r>
          </w:p>
        </w:tc>
        <w:tc>
          <w:tcPr>
            <w:tcW w:w="1039" w:type="dxa"/>
            <w:tcBorders>
              <w:top w:val="nil"/>
              <w:left w:val="nil"/>
              <w:bottom w:val="nil"/>
              <w:right w:val="nil"/>
            </w:tcBorders>
            <w:shd w:val="clear" w:color="auto" w:fill="FFFFFF"/>
            <w:tcMar>
              <w:left w:w="67" w:type="dxa"/>
              <w:right w:w="67" w:type="dxa"/>
            </w:tcMar>
          </w:tcPr>
          <w:p w14:paraId="09B9307F"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34 (8.2%)416</w:t>
            </w:r>
          </w:p>
        </w:tc>
        <w:tc>
          <w:tcPr>
            <w:tcW w:w="1040" w:type="dxa"/>
            <w:tcBorders>
              <w:top w:val="nil"/>
              <w:left w:val="nil"/>
              <w:bottom w:val="nil"/>
              <w:right w:val="nil"/>
            </w:tcBorders>
            <w:shd w:val="clear" w:color="auto" w:fill="FFFFFF"/>
            <w:tcMar>
              <w:left w:w="67" w:type="dxa"/>
              <w:right w:w="67" w:type="dxa"/>
            </w:tcMar>
          </w:tcPr>
          <w:p w14:paraId="20862219"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59 (8.1%)724</w:t>
            </w:r>
          </w:p>
        </w:tc>
        <w:tc>
          <w:tcPr>
            <w:tcW w:w="891" w:type="dxa"/>
            <w:gridSpan w:val="2"/>
            <w:tcBorders>
              <w:top w:val="nil"/>
              <w:left w:val="nil"/>
              <w:bottom w:val="nil"/>
              <w:right w:val="nil"/>
            </w:tcBorders>
            <w:shd w:val="clear" w:color="auto" w:fill="FFFFFF"/>
            <w:tcMar>
              <w:left w:w="67" w:type="dxa"/>
              <w:right w:w="67" w:type="dxa"/>
            </w:tcMar>
          </w:tcPr>
          <w:p w14:paraId="54D6E821"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2.6 (0.96) 0</w:t>
            </w:r>
          </w:p>
        </w:tc>
        <w:tc>
          <w:tcPr>
            <w:tcW w:w="891" w:type="dxa"/>
            <w:tcBorders>
              <w:top w:val="nil"/>
              <w:left w:val="nil"/>
              <w:bottom w:val="nil"/>
              <w:right w:val="nil"/>
            </w:tcBorders>
            <w:shd w:val="clear" w:color="auto" w:fill="FFFFFF"/>
            <w:tcMar>
              <w:left w:w="67" w:type="dxa"/>
              <w:right w:w="67" w:type="dxa"/>
            </w:tcMar>
          </w:tcPr>
          <w:p w14:paraId="53942C0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2.8 (1.07) 0</w:t>
            </w:r>
          </w:p>
        </w:tc>
        <w:tc>
          <w:tcPr>
            <w:tcW w:w="892" w:type="dxa"/>
            <w:tcBorders>
              <w:top w:val="nil"/>
              <w:left w:val="nil"/>
              <w:bottom w:val="nil"/>
              <w:right w:val="nil"/>
            </w:tcBorders>
            <w:shd w:val="clear" w:color="auto" w:fill="FFFFFF"/>
            <w:tcMar>
              <w:left w:w="67" w:type="dxa"/>
              <w:right w:w="67" w:type="dxa"/>
            </w:tcMar>
          </w:tcPr>
          <w:p w14:paraId="7669F3E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2.7 (1.02) 0</w:t>
            </w:r>
          </w:p>
        </w:tc>
        <w:tc>
          <w:tcPr>
            <w:tcW w:w="891" w:type="dxa"/>
            <w:gridSpan w:val="2"/>
            <w:tcBorders>
              <w:top w:val="nil"/>
              <w:left w:val="nil"/>
              <w:bottom w:val="nil"/>
              <w:right w:val="nil"/>
            </w:tcBorders>
            <w:shd w:val="clear" w:color="auto" w:fill="FFFFFF"/>
            <w:tcMar>
              <w:left w:w="67" w:type="dxa"/>
              <w:right w:w="67" w:type="dxa"/>
            </w:tcMar>
          </w:tcPr>
          <w:p w14:paraId="59BF3D0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1.3 (0.44) 1</w:t>
            </w:r>
          </w:p>
        </w:tc>
        <w:tc>
          <w:tcPr>
            <w:tcW w:w="891" w:type="dxa"/>
            <w:tcBorders>
              <w:top w:val="nil"/>
              <w:left w:val="nil"/>
              <w:bottom w:val="nil"/>
              <w:right w:val="nil"/>
            </w:tcBorders>
            <w:shd w:val="clear" w:color="auto" w:fill="FFFFFF"/>
            <w:tcMar>
              <w:left w:w="67" w:type="dxa"/>
              <w:right w:w="67" w:type="dxa"/>
            </w:tcMar>
          </w:tcPr>
          <w:p w14:paraId="1894703D"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 (0.62) 0</w:t>
            </w:r>
          </w:p>
        </w:tc>
        <w:tc>
          <w:tcPr>
            <w:tcW w:w="892" w:type="dxa"/>
            <w:tcBorders>
              <w:top w:val="nil"/>
              <w:left w:val="nil"/>
              <w:bottom w:val="nil"/>
              <w:right w:val="nil"/>
            </w:tcBorders>
            <w:shd w:val="clear" w:color="auto" w:fill="FFFFFF"/>
            <w:tcMar>
              <w:left w:w="67" w:type="dxa"/>
              <w:right w:w="67" w:type="dxa"/>
            </w:tcMar>
          </w:tcPr>
          <w:p w14:paraId="11A286F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1.4 (0.56) 1</w:t>
            </w:r>
          </w:p>
        </w:tc>
        <w:tc>
          <w:tcPr>
            <w:tcW w:w="891" w:type="dxa"/>
            <w:gridSpan w:val="2"/>
            <w:tcBorders>
              <w:top w:val="nil"/>
              <w:left w:val="nil"/>
              <w:bottom w:val="nil"/>
              <w:right w:val="nil"/>
            </w:tcBorders>
            <w:shd w:val="clear" w:color="auto" w:fill="FFFFFF"/>
            <w:tcMar>
              <w:left w:w="67" w:type="dxa"/>
              <w:right w:w="67" w:type="dxa"/>
            </w:tcMar>
          </w:tcPr>
          <w:p w14:paraId="23206B0D"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0.4 (1) 0</w:t>
            </w:r>
          </w:p>
        </w:tc>
        <w:tc>
          <w:tcPr>
            <w:tcW w:w="891" w:type="dxa"/>
            <w:tcBorders>
              <w:top w:val="nil"/>
              <w:left w:val="nil"/>
              <w:bottom w:val="nil"/>
              <w:right w:val="nil"/>
            </w:tcBorders>
            <w:shd w:val="clear" w:color="auto" w:fill="FFFFFF"/>
            <w:tcMar>
              <w:left w:w="67" w:type="dxa"/>
              <w:right w:w="67" w:type="dxa"/>
            </w:tcMar>
          </w:tcPr>
          <w:p w14:paraId="2DB7A9D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0.7 (1.04) 0</w:t>
            </w:r>
          </w:p>
        </w:tc>
        <w:tc>
          <w:tcPr>
            <w:tcW w:w="892" w:type="dxa"/>
            <w:tcBorders>
              <w:top w:val="nil"/>
              <w:left w:val="nil"/>
              <w:bottom w:val="nil"/>
              <w:right w:val="nil"/>
            </w:tcBorders>
            <w:shd w:val="clear" w:color="auto" w:fill="FFFFFF"/>
            <w:tcMar>
              <w:left w:w="67" w:type="dxa"/>
              <w:right w:w="67" w:type="dxa"/>
            </w:tcMar>
          </w:tcPr>
          <w:p w14:paraId="79FB67F5"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0.6 (1.02) 0</w:t>
            </w:r>
          </w:p>
        </w:tc>
        <w:tc>
          <w:tcPr>
            <w:tcW w:w="891" w:type="dxa"/>
            <w:tcBorders>
              <w:top w:val="nil"/>
              <w:left w:val="nil"/>
              <w:bottom w:val="nil"/>
              <w:right w:val="nil"/>
            </w:tcBorders>
            <w:shd w:val="clear" w:color="auto" w:fill="FFFFFF"/>
            <w:tcMar>
              <w:left w:w="67" w:type="dxa"/>
              <w:right w:w="67" w:type="dxa"/>
            </w:tcMar>
          </w:tcPr>
          <w:p w14:paraId="3CD00D7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3.4 (2.16) 1</w:t>
            </w:r>
          </w:p>
        </w:tc>
        <w:tc>
          <w:tcPr>
            <w:tcW w:w="891" w:type="dxa"/>
            <w:tcBorders>
              <w:top w:val="nil"/>
              <w:left w:val="nil"/>
              <w:bottom w:val="nil"/>
              <w:right w:val="nil"/>
            </w:tcBorders>
            <w:shd w:val="clear" w:color="auto" w:fill="FFFFFF"/>
            <w:tcMar>
              <w:left w:w="67" w:type="dxa"/>
              <w:right w:w="67" w:type="dxa"/>
            </w:tcMar>
          </w:tcPr>
          <w:p w14:paraId="14A0E0E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4.4 (2.81) 0</w:t>
            </w:r>
          </w:p>
        </w:tc>
        <w:tc>
          <w:tcPr>
            <w:tcW w:w="894" w:type="dxa"/>
            <w:tcBorders>
              <w:top w:val="nil"/>
              <w:left w:val="nil"/>
              <w:bottom w:val="nil"/>
              <w:right w:val="single" w:sz="4" w:space="0" w:color="auto"/>
            </w:tcBorders>
            <w:shd w:val="clear" w:color="auto" w:fill="FFFFFF"/>
            <w:tcMar>
              <w:left w:w="67" w:type="dxa"/>
              <w:right w:w="67" w:type="dxa"/>
            </w:tcMar>
          </w:tcPr>
          <w:p w14:paraId="7AE0B58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 (2.59) 1</w:t>
            </w:r>
          </w:p>
        </w:tc>
      </w:tr>
      <w:tr w:rsidR="00E07CDE" w:rsidRPr="00563AD3" w14:paraId="3BA18072" w14:textId="77777777" w:rsidTr="00C163F3">
        <w:trPr>
          <w:cantSplit/>
          <w:jc w:val="center"/>
        </w:trPr>
        <w:tc>
          <w:tcPr>
            <w:tcW w:w="1417" w:type="dxa"/>
            <w:tcBorders>
              <w:top w:val="nil"/>
              <w:left w:val="single" w:sz="4" w:space="0" w:color="auto"/>
              <w:bottom w:val="nil"/>
              <w:right w:val="nil"/>
            </w:tcBorders>
            <w:shd w:val="clear" w:color="auto" w:fill="FFFFFF"/>
            <w:tcMar>
              <w:left w:w="67" w:type="dxa"/>
              <w:right w:w="67" w:type="dxa"/>
            </w:tcMar>
          </w:tcPr>
          <w:p w14:paraId="37B3263D" w14:textId="77777777" w:rsidR="00E07CDE" w:rsidRPr="00563AD3" w:rsidRDefault="00E07CDE" w:rsidP="00CB59EF">
            <w:pPr>
              <w:spacing w:before="67" w:after="67" w:line="240" w:lineRule="auto"/>
              <w:rPr>
                <w:rFonts w:eastAsia="Times New Roman"/>
                <w:color w:val="000000"/>
                <w:sz w:val="14"/>
                <w:szCs w:val="14"/>
              </w:rPr>
            </w:pPr>
            <w:r w:rsidRPr="00563AD3">
              <w:rPr>
                <w:rFonts w:eastAsia="Times New Roman"/>
                <w:color w:val="000000"/>
                <w:sz w:val="14"/>
                <w:szCs w:val="14"/>
              </w:rPr>
              <w:t>Apathy/Indifference</w:t>
            </w:r>
          </w:p>
        </w:tc>
        <w:tc>
          <w:tcPr>
            <w:tcW w:w="1039" w:type="dxa"/>
            <w:tcBorders>
              <w:top w:val="nil"/>
              <w:left w:val="nil"/>
              <w:bottom w:val="nil"/>
              <w:right w:val="nil"/>
            </w:tcBorders>
            <w:shd w:val="clear" w:color="auto" w:fill="FFFFFF"/>
            <w:tcMar>
              <w:left w:w="67" w:type="dxa"/>
              <w:right w:w="67" w:type="dxa"/>
            </w:tcMar>
          </w:tcPr>
          <w:p w14:paraId="6ECEB598"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91 (29.5%)308</w:t>
            </w:r>
          </w:p>
        </w:tc>
        <w:tc>
          <w:tcPr>
            <w:tcW w:w="1039" w:type="dxa"/>
            <w:tcBorders>
              <w:top w:val="nil"/>
              <w:left w:val="nil"/>
              <w:bottom w:val="nil"/>
              <w:right w:val="nil"/>
            </w:tcBorders>
            <w:shd w:val="clear" w:color="auto" w:fill="FFFFFF"/>
            <w:tcMar>
              <w:left w:w="67" w:type="dxa"/>
              <w:right w:w="67" w:type="dxa"/>
            </w:tcMar>
          </w:tcPr>
          <w:p w14:paraId="0B197458"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130 (31.2%)417</w:t>
            </w:r>
          </w:p>
        </w:tc>
        <w:tc>
          <w:tcPr>
            <w:tcW w:w="1040" w:type="dxa"/>
            <w:tcBorders>
              <w:top w:val="nil"/>
              <w:left w:val="nil"/>
              <w:bottom w:val="nil"/>
              <w:right w:val="nil"/>
            </w:tcBorders>
            <w:shd w:val="clear" w:color="auto" w:fill="FFFFFF"/>
            <w:tcMar>
              <w:left w:w="67" w:type="dxa"/>
              <w:right w:w="67" w:type="dxa"/>
            </w:tcMar>
          </w:tcPr>
          <w:p w14:paraId="6A910BA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221 (30.5%)725</w:t>
            </w:r>
          </w:p>
        </w:tc>
        <w:tc>
          <w:tcPr>
            <w:tcW w:w="891" w:type="dxa"/>
            <w:gridSpan w:val="2"/>
            <w:tcBorders>
              <w:top w:val="nil"/>
              <w:left w:val="nil"/>
              <w:bottom w:val="nil"/>
              <w:right w:val="nil"/>
            </w:tcBorders>
            <w:shd w:val="clear" w:color="auto" w:fill="FFFFFF"/>
            <w:tcMar>
              <w:left w:w="67" w:type="dxa"/>
              <w:right w:w="67" w:type="dxa"/>
            </w:tcMar>
          </w:tcPr>
          <w:p w14:paraId="59786AD8"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3.1 (0.89) 1</w:t>
            </w:r>
          </w:p>
        </w:tc>
        <w:tc>
          <w:tcPr>
            <w:tcW w:w="891" w:type="dxa"/>
            <w:tcBorders>
              <w:top w:val="nil"/>
              <w:left w:val="nil"/>
              <w:bottom w:val="nil"/>
              <w:right w:val="nil"/>
            </w:tcBorders>
            <w:shd w:val="clear" w:color="auto" w:fill="FFFFFF"/>
            <w:tcMar>
              <w:left w:w="67" w:type="dxa"/>
              <w:right w:w="67" w:type="dxa"/>
            </w:tcMar>
          </w:tcPr>
          <w:p w14:paraId="7BA7B941"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3.1 (0.9) 1</w:t>
            </w:r>
          </w:p>
        </w:tc>
        <w:tc>
          <w:tcPr>
            <w:tcW w:w="892" w:type="dxa"/>
            <w:tcBorders>
              <w:top w:val="nil"/>
              <w:left w:val="nil"/>
              <w:bottom w:val="nil"/>
              <w:right w:val="nil"/>
            </w:tcBorders>
            <w:shd w:val="clear" w:color="auto" w:fill="FFFFFF"/>
            <w:tcMar>
              <w:left w:w="67" w:type="dxa"/>
              <w:right w:w="67" w:type="dxa"/>
            </w:tcMar>
          </w:tcPr>
          <w:p w14:paraId="6C7AFC2E"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3.1 (0.89) 2</w:t>
            </w:r>
          </w:p>
        </w:tc>
        <w:tc>
          <w:tcPr>
            <w:tcW w:w="891" w:type="dxa"/>
            <w:gridSpan w:val="2"/>
            <w:tcBorders>
              <w:top w:val="nil"/>
              <w:left w:val="nil"/>
              <w:bottom w:val="nil"/>
              <w:right w:val="nil"/>
            </w:tcBorders>
            <w:shd w:val="clear" w:color="auto" w:fill="FFFFFF"/>
            <w:tcMar>
              <w:left w:w="67" w:type="dxa"/>
              <w:right w:w="67" w:type="dxa"/>
            </w:tcMar>
          </w:tcPr>
          <w:p w14:paraId="45295D6F"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1.6 (0.69) 1</w:t>
            </w:r>
          </w:p>
        </w:tc>
        <w:tc>
          <w:tcPr>
            <w:tcW w:w="891" w:type="dxa"/>
            <w:tcBorders>
              <w:top w:val="nil"/>
              <w:left w:val="nil"/>
              <w:bottom w:val="nil"/>
              <w:right w:val="nil"/>
            </w:tcBorders>
            <w:shd w:val="clear" w:color="auto" w:fill="FFFFFF"/>
            <w:tcMar>
              <w:left w:w="67" w:type="dxa"/>
              <w:right w:w="67" w:type="dxa"/>
            </w:tcMar>
          </w:tcPr>
          <w:p w14:paraId="5EF23461"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1.6 (0.67) 1</w:t>
            </w:r>
          </w:p>
        </w:tc>
        <w:tc>
          <w:tcPr>
            <w:tcW w:w="892" w:type="dxa"/>
            <w:tcBorders>
              <w:top w:val="nil"/>
              <w:left w:val="nil"/>
              <w:bottom w:val="nil"/>
              <w:right w:val="nil"/>
            </w:tcBorders>
            <w:shd w:val="clear" w:color="auto" w:fill="FFFFFF"/>
            <w:tcMar>
              <w:left w:w="67" w:type="dxa"/>
              <w:right w:w="67" w:type="dxa"/>
            </w:tcMar>
          </w:tcPr>
          <w:p w14:paraId="0CD04AE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1.6 (0.67) 2</w:t>
            </w:r>
          </w:p>
        </w:tc>
        <w:tc>
          <w:tcPr>
            <w:tcW w:w="891" w:type="dxa"/>
            <w:gridSpan w:val="2"/>
            <w:tcBorders>
              <w:top w:val="nil"/>
              <w:left w:val="nil"/>
              <w:bottom w:val="nil"/>
              <w:right w:val="nil"/>
            </w:tcBorders>
            <w:shd w:val="clear" w:color="auto" w:fill="FFFFFF"/>
            <w:tcMar>
              <w:left w:w="67" w:type="dxa"/>
              <w:right w:w="67" w:type="dxa"/>
            </w:tcMar>
          </w:tcPr>
          <w:p w14:paraId="2DD63558"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0.8 (1.03) 1</w:t>
            </w:r>
          </w:p>
        </w:tc>
        <w:tc>
          <w:tcPr>
            <w:tcW w:w="891" w:type="dxa"/>
            <w:tcBorders>
              <w:top w:val="nil"/>
              <w:left w:val="nil"/>
              <w:bottom w:val="nil"/>
              <w:right w:val="nil"/>
            </w:tcBorders>
            <w:shd w:val="clear" w:color="auto" w:fill="FFFFFF"/>
            <w:tcMar>
              <w:left w:w="67" w:type="dxa"/>
              <w:right w:w="67" w:type="dxa"/>
            </w:tcMar>
          </w:tcPr>
          <w:p w14:paraId="0DC93801"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0.8 (0.99) 1</w:t>
            </w:r>
          </w:p>
        </w:tc>
        <w:tc>
          <w:tcPr>
            <w:tcW w:w="892" w:type="dxa"/>
            <w:tcBorders>
              <w:top w:val="nil"/>
              <w:left w:val="nil"/>
              <w:bottom w:val="nil"/>
              <w:right w:val="nil"/>
            </w:tcBorders>
            <w:shd w:val="clear" w:color="auto" w:fill="FFFFFF"/>
            <w:tcMar>
              <w:left w:w="67" w:type="dxa"/>
              <w:right w:w="67" w:type="dxa"/>
            </w:tcMar>
          </w:tcPr>
          <w:p w14:paraId="7B76395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0.8 (1.01) 2</w:t>
            </w:r>
          </w:p>
        </w:tc>
        <w:tc>
          <w:tcPr>
            <w:tcW w:w="891" w:type="dxa"/>
            <w:tcBorders>
              <w:top w:val="nil"/>
              <w:left w:val="nil"/>
              <w:bottom w:val="nil"/>
              <w:right w:val="nil"/>
            </w:tcBorders>
            <w:shd w:val="clear" w:color="auto" w:fill="FFFFFF"/>
            <w:tcMar>
              <w:left w:w="67" w:type="dxa"/>
              <w:right w:w="67" w:type="dxa"/>
            </w:tcMar>
          </w:tcPr>
          <w:p w14:paraId="018249D9"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5.4 (3.3) 1</w:t>
            </w:r>
          </w:p>
        </w:tc>
        <w:tc>
          <w:tcPr>
            <w:tcW w:w="891" w:type="dxa"/>
            <w:tcBorders>
              <w:top w:val="nil"/>
              <w:left w:val="nil"/>
              <w:bottom w:val="nil"/>
              <w:right w:val="nil"/>
            </w:tcBorders>
            <w:shd w:val="clear" w:color="auto" w:fill="FFFFFF"/>
            <w:tcMar>
              <w:left w:w="67" w:type="dxa"/>
              <w:right w:w="67" w:type="dxa"/>
            </w:tcMar>
          </w:tcPr>
          <w:p w14:paraId="7E57C6E5"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5.2 (3.07) 1</w:t>
            </w:r>
          </w:p>
        </w:tc>
        <w:tc>
          <w:tcPr>
            <w:tcW w:w="894" w:type="dxa"/>
            <w:tcBorders>
              <w:top w:val="nil"/>
              <w:left w:val="nil"/>
              <w:bottom w:val="nil"/>
              <w:right w:val="single" w:sz="4" w:space="0" w:color="auto"/>
            </w:tcBorders>
            <w:shd w:val="clear" w:color="auto" w:fill="FFFFFF"/>
            <w:tcMar>
              <w:left w:w="67" w:type="dxa"/>
              <w:right w:w="67" w:type="dxa"/>
            </w:tcMar>
          </w:tcPr>
          <w:p w14:paraId="087640D2"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5.3 (3.16) 2</w:t>
            </w:r>
          </w:p>
        </w:tc>
      </w:tr>
      <w:tr w:rsidR="00E07CDE" w:rsidRPr="00563AD3" w14:paraId="7B8E182B" w14:textId="77777777" w:rsidTr="00C163F3">
        <w:trPr>
          <w:cantSplit/>
          <w:jc w:val="center"/>
        </w:trPr>
        <w:tc>
          <w:tcPr>
            <w:tcW w:w="1417" w:type="dxa"/>
            <w:tcBorders>
              <w:top w:val="nil"/>
              <w:left w:val="single" w:sz="4" w:space="0" w:color="auto"/>
              <w:bottom w:val="nil"/>
              <w:right w:val="nil"/>
            </w:tcBorders>
            <w:shd w:val="clear" w:color="auto" w:fill="FFFFFF"/>
            <w:tcMar>
              <w:left w:w="67" w:type="dxa"/>
              <w:right w:w="67" w:type="dxa"/>
            </w:tcMar>
          </w:tcPr>
          <w:p w14:paraId="3DC96C2E" w14:textId="77777777" w:rsidR="00E07CDE" w:rsidRPr="00563AD3" w:rsidRDefault="00E07CDE" w:rsidP="00CB59EF">
            <w:pPr>
              <w:spacing w:before="67" w:after="67" w:line="240" w:lineRule="auto"/>
              <w:rPr>
                <w:rFonts w:eastAsia="Times New Roman"/>
                <w:color w:val="000000"/>
                <w:sz w:val="14"/>
                <w:szCs w:val="14"/>
              </w:rPr>
            </w:pPr>
            <w:r w:rsidRPr="00563AD3">
              <w:rPr>
                <w:rFonts w:eastAsia="Times New Roman"/>
                <w:color w:val="000000"/>
                <w:sz w:val="14"/>
                <w:szCs w:val="14"/>
              </w:rPr>
              <w:t>Disinhibition</w:t>
            </w:r>
          </w:p>
        </w:tc>
        <w:tc>
          <w:tcPr>
            <w:tcW w:w="1039" w:type="dxa"/>
            <w:tcBorders>
              <w:top w:val="nil"/>
              <w:left w:val="nil"/>
              <w:bottom w:val="nil"/>
              <w:right w:val="nil"/>
            </w:tcBorders>
            <w:shd w:val="clear" w:color="auto" w:fill="FFFFFF"/>
            <w:tcMar>
              <w:left w:w="67" w:type="dxa"/>
              <w:right w:w="67" w:type="dxa"/>
            </w:tcMar>
          </w:tcPr>
          <w:p w14:paraId="73480796"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51 (16.6%)308</w:t>
            </w:r>
          </w:p>
        </w:tc>
        <w:tc>
          <w:tcPr>
            <w:tcW w:w="1039" w:type="dxa"/>
            <w:tcBorders>
              <w:top w:val="nil"/>
              <w:left w:val="nil"/>
              <w:bottom w:val="nil"/>
              <w:right w:val="nil"/>
            </w:tcBorders>
            <w:shd w:val="clear" w:color="auto" w:fill="FFFFFF"/>
            <w:tcMar>
              <w:left w:w="67" w:type="dxa"/>
              <w:right w:w="67" w:type="dxa"/>
            </w:tcMar>
          </w:tcPr>
          <w:p w14:paraId="2D57EE65"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65 (15.6%)416</w:t>
            </w:r>
          </w:p>
        </w:tc>
        <w:tc>
          <w:tcPr>
            <w:tcW w:w="1040" w:type="dxa"/>
            <w:tcBorders>
              <w:top w:val="nil"/>
              <w:left w:val="nil"/>
              <w:bottom w:val="nil"/>
              <w:right w:val="nil"/>
            </w:tcBorders>
            <w:shd w:val="clear" w:color="auto" w:fill="FFFFFF"/>
            <w:tcMar>
              <w:left w:w="67" w:type="dxa"/>
              <w:right w:w="67" w:type="dxa"/>
            </w:tcMar>
          </w:tcPr>
          <w:p w14:paraId="2161578F" w14:textId="099D2886"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116</w:t>
            </w:r>
            <w:r w:rsidR="008A1A04">
              <w:rPr>
                <w:rFonts w:eastAsia="Times New Roman"/>
                <w:color w:val="000000"/>
                <w:sz w:val="14"/>
                <w:szCs w:val="14"/>
              </w:rPr>
              <w:t xml:space="preserve"> </w:t>
            </w:r>
            <w:r w:rsidRPr="00563AD3">
              <w:rPr>
                <w:rFonts w:eastAsia="Times New Roman"/>
                <w:color w:val="000000"/>
                <w:sz w:val="14"/>
                <w:szCs w:val="14"/>
              </w:rPr>
              <w:t xml:space="preserve"> (16%)724</w:t>
            </w:r>
          </w:p>
        </w:tc>
        <w:tc>
          <w:tcPr>
            <w:tcW w:w="891" w:type="dxa"/>
            <w:gridSpan w:val="2"/>
            <w:tcBorders>
              <w:top w:val="nil"/>
              <w:left w:val="nil"/>
              <w:bottom w:val="nil"/>
              <w:right w:val="nil"/>
            </w:tcBorders>
            <w:shd w:val="clear" w:color="auto" w:fill="FFFFFF"/>
            <w:tcMar>
              <w:left w:w="67" w:type="dxa"/>
              <w:right w:w="67" w:type="dxa"/>
            </w:tcMar>
          </w:tcPr>
          <w:p w14:paraId="2E68CBA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2.8 (1.05) 0</w:t>
            </w:r>
          </w:p>
        </w:tc>
        <w:tc>
          <w:tcPr>
            <w:tcW w:w="891" w:type="dxa"/>
            <w:tcBorders>
              <w:top w:val="nil"/>
              <w:left w:val="nil"/>
              <w:bottom w:val="nil"/>
              <w:right w:val="nil"/>
            </w:tcBorders>
            <w:shd w:val="clear" w:color="auto" w:fill="FFFFFF"/>
            <w:tcMar>
              <w:left w:w="67" w:type="dxa"/>
              <w:right w:w="67" w:type="dxa"/>
            </w:tcMar>
          </w:tcPr>
          <w:p w14:paraId="0558F905"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2.6 (0.94) 0</w:t>
            </w:r>
          </w:p>
        </w:tc>
        <w:tc>
          <w:tcPr>
            <w:tcW w:w="892" w:type="dxa"/>
            <w:tcBorders>
              <w:top w:val="nil"/>
              <w:left w:val="nil"/>
              <w:bottom w:val="nil"/>
              <w:right w:val="nil"/>
            </w:tcBorders>
            <w:shd w:val="clear" w:color="auto" w:fill="FFFFFF"/>
            <w:tcMar>
              <w:left w:w="67" w:type="dxa"/>
              <w:right w:w="67" w:type="dxa"/>
            </w:tcMar>
          </w:tcPr>
          <w:p w14:paraId="4155EF4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2.7 (0.99) 0</w:t>
            </w:r>
          </w:p>
        </w:tc>
        <w:tc>
          <w:tcPr>
            <w:tcW w:w="891" w:type="dxa"/>
            <w:gridSpan w:val="2"/>
            <w:tcBorders>
              <w:top w:val="nil"/>
              <w:left w:val="nil"/>
              <w:bottom w:val="nil"/>
              <w:right w:val="nil"/>
            </w:tcBorders>
            <w:shd w:val="clear" w:color="auto" w:fill="FFFFFF"/>
            <w:tcMar>
              <w:left w:w="67" w:type="dxa"/>
              <w:right w:w="67" w:type="dxa"/>
            </w:tcMar>
          </w:tcPr>
          <w:p w14:paraId="18C8AAE5"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1.7 (0.71) 0</w:t>
            </w:r>
          </w:p>
        </w:tc>
        <w:tc>
          <w:tcPr>
            <w:tcW w:w="891" w:type="dxa"/>
            <w:tcBorders>
              <w:top w:val="nil"/>
              <w:left w:val="nil"/>
              <w:bottom w:val="nil"/>
              <w:right w:val="nil"/>
            </w:tcBorders>
            <w:shd w:val="clear" w:color="auto" w:fill="FFFFFF"/>
            <w:tcMar>
              <w:left w:w="67" w:type="dxa"/>
              <w:right w:w="67" w:type="dxa"/>
            </w:tcMar>
          </w:tcPr>
          <w:p w14:paraId="6550C69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1.4 (0.61) 0</w:t>
            </w:r>
          </w:p>
        </w:tc>
        <w:tc>
          <w:tcPr>
            <w:tcW w:w="892" w:type="dxa"/>
            <w:tcBorders>
              <w:top w:val="nil"/>
              <w:left w:val="nil"/>
              <w:bottom w:val="nil"/>
              <w:right w:val="nil"/>
            </w:tcBorders>
            <w:shd w:val="clear" w:color="auto" w:fill="FFFFFF"/>
            <w:tcMar>
              <w:left w:w="67" w:type="dxa"/>
              <w:right w:w="67" w:type="dxa"/>
            </w:tcMar>
          </w:tcPr>
          <w:p w14:paraId="66DF7FEC"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 (0.67) 0</w:t>
            </w:r>
          </w:p>
        </w:tc>
        <w:tc>
          <w:tcPr>
            <w:tcW w:w="891" w:type="dxa"/>
            <w:gridSpan w:val="2"/>
            <w:tcBorders>
              <w:top w:val="nil"/>
              <w:left w:val="nil"/>
              <w:bottom w:val="nil"/>
              <w:right w:val="nil"/>
            </w:tcBorders>
            <w:shd w:val="clear" w:color="auto" w:fill="FFFFFF"/>
            <w:tcMar>
              <w:left w:w="67" w:type="dxa"/>
              <w:right w:w="67" w:type="dxa"/>
            </w:tcMar>
          </w:tcPr>
          <w:p w14:paraId="273B5E3F"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 (1.3) 1</w:t>
            </w:r>
          </w:p>
        </w:tc>
        <w:tc>
          <w:tcPr>
            <w:tcW w:w="891" w:type="dxa"/>
            <w:tcBorders>
              <w:top w:val="nil"/>
              <w:left w:val="nil"/>
              <w:bottom w:val="nil"/>
              <w:right w:val="nil"/>
            </w:tcBorders>
            <w:shd w:val="clear" w:color="auto" w:fill="FFFFFF"/>
            <w:tcMar>
              <w:left w:w="67" w:type="dxa"/>
              <w:right w:w="67" w:type="dxa"/>
            </w:tcMar>
          </w:tcPr>
          <w:p w14:paraId="2B9B64BD"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1.2 (1.15) 0</w:t>
            </w:r>
          </w:p>
        </w:tc>
        <w:tc>
          <w:tcPr>
            <w:tcW w:w="892" w:type="dxa"/>
            <w:tcBorders>
              <w:top w:val="nil"/>
              <w:left w:val="nil"/>
              <w:bottom w:val="nil"/>
              <w:right w:val="nil"/>
            </w:tcBorders>
            <w:shd w:val="clear" w:color="auto" w:fill="FFFFFF"/>
            <w:tcMar>
              <w:left w:w="67" w:type="dxa"/>
              <w:right w:w="67" w:type="dxa"/>
            </w:tcMar>
          </w:tcPr>
          <w:p w14:paraId="037475F0"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1.3 (1.22) 1</w:t>
            </w:r>
          </w:p>
        </w:tc>
        <w:tc>
          <w:tcPr>
            <w:tcW w:w="891" w:type="dxa"/>
            <w:tcBorders>
              <w:top w:val="nil"/>
              <w:left w:val="nil"/>
              <w:bottom w:val="nil"/>
              <w:right w:val="nil"/>
            </w:tcBorders>
            <w:shd w:val="clear" w:color="auto" w:fill="FFFFFF"/>
            <w:tcMar>
              <w:left w:w="67" w:type="dxa"/>
              <w:right w:w="67" w:type="dxa"/>
            </w:tcMar>
          </w:tcPr>
          <w:p w14:paraId="25DD3269"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 (3.29) 0</w:t>
            </w:r>
          </w:p>
        </w:tc>
        <w:tc>
          <w:tcPr>
            <w:tcW w:w="891" w:type="dxa"/>
            <w:tcBorders>
              <w:top w:val="nil"/>
              <w:left w:val="nil"/>
              <w:bottom w:val="nil"/>
              <w:right w:val="nil"/>
            </w:tcBorders>
            <w:shd w:val="clear" w:color="auto" w:fill="FFFFFF"/>
            <w:tcMar>
              <w:left w:w="67" w:type="dxa"/>
              <w:right w:w="67" w:type="dxa"/>
            </w:tcMar>
          </w:tcPr>
          <w:p w14:paraId="31E39ECB"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3.8 (2.62) 0</w:t>
            </w:r>
          </w:p>
        </w:tc>
        <w:tc>
          <w:tcPr>
            <w:tcW w:w="894" w:type="dxa"/>
            <w:tcBorders>
              <w:top w:val="nil"/>
              <w:left w:val="nil"/>
              <w:bottom w:val="nil"/>
              <w:right w:val="single" w:sz="4" w:space="0" w:color="auto"/>
            </w:tcBorders>
            <w:shd w:val="clear" w:color="auto" w:fill="FFFFFF"/>
            <w:tcMar>
              <w:left w:w="67" w:type="dxa"/>
              <w:right w:w="67" w:type="dxa"/>
            </w:tcMar>
          </w:tcPr>
          <w:p w14:paraId="044F918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4.3 (2.97) 0</w:t>
            </w:r>
          </w:p>
        </w:tc>
      </w:tr>
      <w:tr w:rsidR="00E07CDE" w:rsidRPr="00563AD3" w14:paraId="058736C0" w14:textId="77777777" w:rsidTr="00C163F3">
        <w:trPr>
          <w:cantSplit/>
          <w:jc w:val="center"/>
        </w:trPr>
        <w:tc>
          <w:tcPr>
            <w:tcW w:w="1417" w:type="dxa"/>
            <w:tcBorders>
              <w:top w:val="nil"/>
              <w:left w:val="single" w:sz="4" w:space="0" w:color="auto"/>
              <w:bottom w:val="nil"/>
              <w:right w:val="nil"/>
            </w:tcBorders>
            <w:shd w:val="clear" w:color="auto" w:fill="FFFFFF"/>
            <w:tcMar>
              <w:left w:w="67" w:type="dxa"/>
              <w:right w:w="67" w:type="dxa"/>
            </w:tcMar>
          </w:tcPr>
          <w:p w14:paraId="154211B3" w14:textId="77777777" w:rsidR="00E07CDE" w:rsidRPr="00563AD3" w:rsidRDefault="00E07CDE" w:rsidP="00CB59EF">
            <w:pPr>
              <w:spacing w:before="67" w:after="67" w:line="240" w:lineRule="auto"/>
              <w:rPr>
                <w:rFonts w:eastAsia="Times New Roman"/>
                <w:color w:val="000000"/>
                <w:sz w:val="14"/>
                <w:szCs w:val="14"/>
              </w:rPr>
            </w:pPr>
            <w:r w:rsidRPr="00563AD3">
              <w:rPr>
                <w:rFonts w:eastAsia="Times New Roman"/>
                <w:color w:val="000000"/>
                <w:sz w:val="14"/>
                <w:szCs w:val="14"/>
              </w:rPr>
              <w:t>Irritability/Lability</w:t>
            </w:r>
          </w:p>
        </w:tc>
        <w:tc>
          <w:tcPr>
            <w:tcW w:w="1039" w:type="dxa"/>
            <w:tcBorders>
              <w:top w:val="nil"/>
              <w:left w:val="nil"/>
              <w:bottom w:val="nil"/>
              <w:right w:val="nil"/>
            </w:tcBorders>
            <w:shd w:val="clear" w:color="auto" w:fill="FFFFFF"/>
            <w:tcMar>
              <w:left w:w="67" w:type="dxa"/>
              <w:right w:w="67" w:type="dxa"/>
            </w:tcMar>
          </w:tcPr>
          <w:p w14:paraId="22ADBF0B" w14:textId="3087DF72"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117 </w:t>
            </w:r>
            <w:r w:rsidR="008A1A04">
              <w:rPr>
                <w:rFonts w:eastAsia="Times New Roman"/>
                <w:color w:val="000000"/>
                <w:sz w:val="14"/>
                <w:szCs w:val="14"/>
              </w:rPr>
              <w:t xml:space="preserve"> </w:t>
            </w:r>
            <w:r w:rsidRPr="00563AD3">
              <w:rPr>
                <w:rFonts w:eastAsia="Times New Roman"/>
                <w:color w:val="000000"/>
                <w:sz w:val="14"/>
                <w:szCs w:val="14"/>
              </w:rPr>
              <w:t>(38%)308</w:t>
            </w:r>
          </w:p>
        </w:tc>
        <w:tc>
          <w:tcPr>
            <w:tcW w:w="1039" w:type="dxa"/>
            <w:tcBorders>
              <w:top w:val="nil"/>
              <w:left w:val="nil"/>
              <w:bottom w:val="nil"/>
              <w:right w:val="nil"/>
            </w:tcBorders>
            <w:shd w:val="clear" w:color="auto" w:fill="FFFFFF"/>
            <w:tcMar>
              <w:left w:w="67" w:type="dxa"/>
              <w:right w:w="67" w:type="dxa"/>
            </w:tcMar>
          </w:tcPr>
          <w:p w14:paraId="7E86D99E"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153 (36.7%)417</w:t>
            </w:r>
          </w:p>
        </w:tc>
        <w:tc>
          <w:tcPr>
            <w:tcW w:w="1040" w:type="dxa"/>
            <w:tcBorders>
              <w:top w:val="nil"/>
              <w:left w:val="nil"/>
              <w:bottom w:val="nil"/>
              <w:right w:val="nil"/>
            </w:tcBorders>
            <w:shd w:val="clear" w:color="auto" w:fill="FFFFFF"/>
            <w:tcMar>
              <w:left w:w="67" w:type="dxa"/>
              <w:right w:w="67" w:type="dxa"/>
            </w:tcMar>
          </w:tcPr>
          <w:p w14:paraId="16576D5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270 (37.2%)725</w:t>
            </w:r>
          </w:p>
        </w:tc>
        <w:tc>
          <w:tcPr>
            <w:tcW w:w="891" w:type="dxa"/>
            <w:gridSpan w:val="2"/>
            <w:tcBorders>
              <w:top w:val="nil"/>
              <w:left w:val="nil"/>
              <w:bottom w:val="nil"/>
              <w:right w:val="nil"/>
            </w:tcBorders>
            <w:shd w:val="clear" w:color="auto" w:fill="FFFFFF"/>
            <w:tcMar>
              <w:left w:w="67" w:type="dxa"/>
              <w:right w:w="67" w:type="dxa"/>
            </w:tcMar>
          </w:tcPr>
          <w:p w14:paraId="3309C46C"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2.9 (1.04) 3</w:t>
            </w:r>
          </w:p>
        </w:tc>
        <w:tc>
          <w:tcPr>
            <w:tcW w:w="891" w:type="dxa"/>
            <w:tcBorders>
              <w:top w:val="nil"/>
              <w:left w:val="nil"/>
              <w:bottom w:val="nil"/>
              <w:right w:val="nil"/>
            </w:tcBorders>
            <w:shd w:val="clear" w:color="auto" w:fill="FFFFFF"/>
            <w:tcMar>
              <w:left w:w="67" w:type="dxa"/>
              <w:right w:w="67" w:type="dxa"/>
            </w:tcMar>
          </w:tcPr>
          <w:p w14:paraId="18C130B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2.7 (0.92) 0</w:t>
            </w:r>
          </w:p>
        </w:tc>
        <w:tc>
          <w:tcPr>
            <w:tcW w:w="892" w:type="dxa"/>
            <w:tcBorders>
              <w:top w:val="nil"/>
              <w:left w:val="nil"/>
              <w:bottom w:val="nil"/>
              <w:right w:val="nil"/>
            </w:tcBorders>
            <w:shd w:val="clear" w:color="auto" w:fill="FFFFFF"/>
            <w:tcMar>
              <w:left w:w="67" w:type="dxa"/>
              <w:right w:w="67" w:type="dxa"/>
            </w:tcMar>
          </w:tcPr>
          <w:p w14:paraId="467688E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2.8 (0.98) 3</w:t>
            </w:r>
          </w:p>
        </w:tc>
        <w:tc>
          <w:tcPr>
            <w:tcW w:w="891" w:type="dxa"/>
            <w:gridSpan w:val="2"/>
            <w:tcBorders>
              <w:top w:val="nil"/>
              <w:left w:val="nil"/>
              <w:bottom w:val="nil"/>
              <w:right w:val="nil"/>
            </w:tcBorders>
            <w:shd w:val="clear" w:color="auto" w:fill="FFFFFF"/>
            <w:tcMar>
              <w:left w:w="67" w:type="dxa"/>
              <w:right w:w="67" w:type="dxa"/>
            </w:tcMar>
          </w:tcPr>
          <w:p w14:paraId="4C6F47D5"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1.7 (0.67) 3</w:t>
            </w:r>
          </w:p>
        </w:tc>
        <w:tc>
          <w:tcPr>
            <w:tcW w:w="891" w:type="dxa"/>
            <w:tcBorders>
              <w:top w:val="nil"/>
              <w:left w:val="nil"/>
              <w:bottom w:val="nil"/>
              <w:right w:val="nil"/>
            </w:tcBorders>
            <w:shd w:val="clear" w:color="auto" w:fill="FFFFFF"/>
            <w:tcMar>
              <w:left w:w="67" w:type="dxa"/>
              <w:right w:w="67" w:type="dxa"/>
            </w:tcMar>
          </w:tcPr>
          <w:p w14:paraId="6423938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 (0.65) 0</w:t>
            </w:r>
          </w:p>
        </w:tc>
        <w:tc>
          <w:tcPr>
            <w:tcW w:w="892" w:type="dxa"/>
            <w:tcBorders>
              <w:top w:val="nil"/>
              <w:left w:val="nil"/>
              <w:bottom w:val="nil"/>
              <w:right w:val="nil"/>
            </w:tcBorders>
            <w:shd w:val="clear" w:color="auto" w:fill="FFFFFF"/>
            <w:tcMar>
              <w:left w:w="67" w:type="dxa"/>
              <w:right w:w="67" w:type="dxa"/>
            </w:tcMar>
          </w:tcPr>
          <w:p w14:paraId="43DF005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1.6 (0.66) 3</w:t>
            </w:r>
          </w:p>
        </w:tc>
        <w:tc>
          <w:tcPr>
            <w:tcW w:w="891" w:type="dxa"/>
            <w:gridSpan w:val="2"/>
            <w:tcBorders>
              <w:top w:val="nil"/>
              <w:left w:val="nil"/>
              <w:bottom w:val="nil"/>
              <w:right w:val="nil"/>
            </w:tcBorders>
            <w:shd w:val="clear" w:color="auto" w:fill="FFFFFF"/>
            <w:tcMar>
              <w:left w:w="67" w:type="dxa"/>
              <w:right w:w="67" w:type="dxa"/>
            </w:tcMar>
          </w:tcPr>
          <w:p w14:paraId="5D1C5408"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1.7 (1.21) 4</w:t>
            </w:r>
          </w:p>
        </w:tc>
        <w:tc>
          <w:tcPr>
            <w:tcW w:w="891" w:type="dxa"/>
            <w:tcBorders>
              <w:top w:val="nil"/>
              <w:left w:val="nil"/>
              <w:bottom w:val="nil"/>
              <w:right w:val="nil"/>
            </w:tcBorders>
            <w:shd w:val="clear" w:color="auto" w:fill="FFFFFF"/>
            <w:tcMar>
              <w:left w:w="67" w:type="dxa"/>
              <w:right w:w="67" w:type="dxa"/>
            </w:tcMar>
          </w:tcPr>
          <w:p w14:paraId="22D0959E"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1.3 (1.23) 0</w:t>
            </w:r>
          </w:p>
        </w:tc>
        <w:tc>
          <w:tcPr>
            <w:tcW w:w="892" w:type="dxa"/>
            <w:tcBorders>
              <w:top w:val="nil"/>
              <w:left w:val="nil"/>
              <w:bottom w:val="nil"/>
              <w:right w:val="nil"/>
            </w:tcBorders>
            <w:shd w:val="clear" w:color="auto" w:fill="FFFFFF"/>
            <w:tcMar>
              <w:left w:w="67" w:type="dxa"/>
              <w:right w:w="67" w:type="dxa"/>
            </w:tcMar>
          </w:tcPr>
          <w:p w14:paraId="370898A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 (1.23) 4</w:t>
            </w:r>
          </w:p>
        </w:tc>
        <w:tc>
          <w:tcPr>
            <w:tcW w:w="891" w:type="dxa"/>
            <w:tcBorders>
              <w:top w:val="nil"/>
              <w:left w:val="nil"/>
              <w:bottom w:val="nil"/>
              <w:right w:val="nil"/>
            </w:tcBorders>
            <w:shd w:val="clear" w:color="auto" w:fill="FFFFFF"/>
            <w:tcMar>
              <w:left w:w="67" w:type="dxa"/>
              <w:right w:w="67" w:type="dxa"/>
            </w:tcMar>
          </w:tcPr>
          <w:p w14:paraId="5FD518BB"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5.3 (3.16) 3</w:t>
            </w:r>
          </w:p>
        </w:tc>
        <w:tc>
          <w:tcPr>
            <w:tcW w:w="891" w:type="dxa"/>
            <w:tcBorders>
              <w:top w:val="nil"/>
              <w:left w:val="nil"/>
              <w:bottom w:val="nil"/>
              <w:right w:val="nil"/>
            </w:tcBorders>
            <w:shd w:val="clear" w:color="auto" w:fill="FFFFFF"/>
            <w:tcMar>
              <w:left w:w="67" w:type="dxa"/>
              <w:right w:w="67" w:type="dxa"/>
            </w:tcMar>
          </w:tcPr>
          <w:p w14:paraId="0D22A48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4.4 (2.85) 0</w:t>
            </w:r>
          </w:p>
        </w:tc>
        <w:tc>
          <w:tcPr>
            <w:tcW w:w="894" w:type="dxa"/>
            <w:tcBorders>
              <w:top w:val="nil"/>
              <w:left w:val="nil"/>
              <w:bottom w:val="nil"/>
              <w:right w:val="single" w:sz="4" w:space="0" w:color="auto"/>
            </w:tcBorders>
            <w:shd w:val="clear" w:color="auto" w:fill="FFFFFF"/>
            <w:tcMar>
              <w:left w:w="67" w:type="dxa"/>
              <w:right w:w="67" w:type="dxa"/>
            </w:tcMar>
          </w:tcPr>
          <w:p w14:paraId="050E029F"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4.8 (3.01) 3</w:t>
            </w:r>
          </w:p>
        </w:tc>
      </w:tr>
      <w:tr w:rsidR="00E07CDE" w:rsidRPr="00563AD3" w14:paraId="004B4F1A" w14:textId="77777777" w:rsidTr="00C163F3">
        <w:trPr>
          <w:cantSplit/>
          <w:jc w:val="center"/>
        </w:trPr>
        <w:tc>
          <w:tcPr>
            <w:tcW w:w="1417" w:type="dxa"/>
            <w:tcBorders>
              <w:top w:val="nil"/>
              <w:left w:val="single" w:sz="4" w:space="0" w:color="auto"/>
              <w:bottom w:val="nil"/>
              <w:right w:val="nil"/>
            </w:tcBorders>
            <w:shd w:val="clear" w:color="auto" w:fill="FFFFFF"/>
            <w:tcMar>
              <w:left w:w="67" w:type="dxa"/>
              <w:right w:w="67" w:type="dxa"/>
            </w:tcMar>
          </w:tcPr>
          <w:p w14:paraId="2F4C24F0" w14:textId="2AB1202E" w:rsidR="00E07CDE" w:rsidRPr="00563AD3" w:rsidRDefault="00E07CDE" w:rsidP="00CB59EF">
            <w:pPr>
              <w:spacing w:before="67" w:after="67" w:line="240" w:lineRule="auto"/>
              <w:rPr>
                <w:rFonts w:eastAsia="Times New Roman"/>
                <w:color w:val="000000"/>
                <w:sz w:val="14"/>
                <w:szCs w:val="14"/>
              </w:rPr>
            </w:pPr>
            <w:r w:rsidRPr="00563AD3">
              <w:rPr>
                <w:rFonts w:eastAsia="Times New Roman"/>
                <w:color w:val="000000"/>
                <w:sz w:val="14"/>
                <w:szCs w:val="14"/>
              </w:rPr>
              <w:t xml:space="preserve">Aberrant </w:t>
            </w:r>
            <w:r w:rsidR="008A1A04">
              <w:rPr>
                <w:rFonts w:eastAsia="Times New Roman"/>
                <w:color w:val="000000"/>
                <w:sz w:val="14"/>
                <w:szCs w:val="14"/>
              </w:rPr>
              <w:t>motor</w:t>
            </w:r>
            <w:r w:rsidR="008A1A04">
              <w:rPr>
                <w:rFonts w:eastAsia="Times New Roman"/>
                <w:color w:val="000000"/>
                <w:sz w:val="14"/>
                <w:szCs w:val="14"/>
              </w:rPr>
              <w:br/>
              <w:t>b</w:t>
            </w:r>
            <w:r w:rsidRPr="00563AD3">
              <w:rPr>
                <w:rFonts w:eastAsia="Times New Roman"/>
                <w:color w:val="000000"/>
                <w:sz w:val="14"/>
                <w:szCs w:val="14"/>
              </w:rPr>
              <w:t>ehaviour</w:t>
            </w:r>
          </w:p>
        </w:tc>
        <w:tc>
          <w:tcPr>
            <w:tcW w:w="1039" w:type="dxa"/>
            <w:tcBorders>
              <w:top w:val="nil"/>
              <w:left w:val="nil"/>
              <w:bottom w:val="nil"/>
              <w:right w:val="nil"/>
            </w:tcBorders>
            <w:shd w:val="clear" w:color="auto" w:fill="FFFFFF"/>
            <w:tcMar>
              <w:left w:w="67" w:type="dxa"/>
              <w:right w:w="67" w:type="dxa"/>
            </w:tcMar>
          </w:tcPr>
          <w:p w14:paraId="1731E61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94 (30.5%)308</w:t>
            </w:r>
          </w:p>
        </w:tc>
        <w:tc>
          <w:tcPr>
            <w:tcW w:w="1039" w:type="dxa"/>
            <w:tcBorders>
              <w:top w:val="nil"/>
              <w:left w:val="nil"/>
              <w:bottom w:val="nil"/>
              <w:right w:val="nil"/>
            </w:tcBorders>
            <w:shd w:val="clear" w:color="auto" w:fill="FFFFFF"/>
            <w:tcMar>
              <w:left w:w="67" w:type="dxa"/>
              <w:right w:w="67" w:type="dxa"/>
            </w:tcMar>
          </w:tcPr>
          <w:p w14:paraId="70544D6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135 (32.5%)416</w:t>
            </w:r>
          </w:p>
        </w:tc>
        <w:tc>
          <w:tcPr>
            <w:tcW w:w="1040" w:type="dxa"/>
            <w:tcBorders>
              <w:top w:val="nil"/>
              <w:left w:val="nil"/>
              <w:bottom w:val="nil"/>
              <w:right w:val="nil"/>
            </w:tcBorders>
            <w:shd w:val="clear" w:color="auto" w:fill="FFFFFF"/>
            <w:tcMar>
              <w:left w:w="67" w:type="dxa"/>
              <w:right w:w="67" w:type="dxa"/>
            </w:tcMar>
          </w:tcPr>
          <w:p w14:paraId="6D2A54D6"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229 (31.6%)724</w:t>
            </w:r>
          </w:p>
        </w:tc>
        <w:tc>
          <w:tcPr>
            <w:tcW w:w="891" w:type="dxa"/>
            <w:gridSpan w:val="2"/>
            <w:tcBorders>
              <w:top w:val="nil"/>
              <w:left w:val="nil"/>
              <w:bottom w:val="nil"/>
              <w:right w:val="nil"/>
            </w:tcBorders>
            <w:shd w:val="clear" w:color="auto" w:fill="FFFFFF"/>
            <w:tcMar>
              <w:left w:w="67" w:type="dxa"/>
              <w:right w:w="67" w:type="dxa"/>
            </w:tcMar>
          </w:tcPr>
          <w:p w14:paraId="0C058FA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3.6 (0.73) 0</w:t>
            </w:r>
          </w:p>
        </w:tc>
        <w:tc>
          <w:tcPr>
            <w:tcW w:w="891" w:type="dxa"/>
            <w:tcBorders>
              <w:top w:val="nil"/>
              <w:left w:val="nil"/>
              <w:bottom w:val="nil"/>
              <w:right w:val="nil"/>
            </w:tcBorders>
            <w:shd w:val="clear" w:color="auto" w:fill="FFFFFF"/>
            <w:tcMar>
              <w:left w:w="67" w:type="dxa"/>
              <w:right w:w="67" w:type="dxa"/>
            </w:tcMar>
          </w:tcPr>
          <w:p w14:paraId="4C64C186"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3.4 (0.77) 0</w:t>
            </w:r>
          </w:p>
        </w:tc>
        <w:tc>
          <w:tcPr>
            <w:tcW w:w="892" w:type="dxa"/>
            <w:tcBorders>
              <w:top w:val="nil"/>
              <w:left w:val="nil"/>
              <w:bottom w:val="nil"/>
              <w:right w:val="nil"/>
            </w:tcBorders>
            <w:shd w:val="clear" w:color="auto" w:fill="FFFFFF"/>
            <w:tcMar>
              <w:left w:w="67" w:type="dxa"/>
              <w:right w:w="67" w:type="dxa"/>
            </w:tcMar>
          </w:tcPr>
          <w:p w14:paraId="506112F0"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3.5 (0.76) 0</w:t>
            </w:r>
          </w:p>
        </w:tc>
        <w:tc>
          <w:tcPr>
            <w:tcW w:w="891" w:type="dxa"/>
            <w:gridSpan w:val="2"/>
            <w:tcBorders>
              <w:top w:val="nil"/>
              <w:left w:val="nil"/>
              <w:bottom w:val="nil"/>
              <w:right w:val="nil"/>
            </w:tcBorders>
            <w:shd w:val="clear" w:color="auto" w:fill="FFFFFF"/>
            <w:tcMar>
              <w:left w:w="67" w:type="dxa"/>
              <w:right w:w="67" w:type="dxa"/>
            </w:tcMar>
          </w:tcPr>
          <w:p w14:paraId="37205230"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1.6 (0.68) 0</w:t>
            </w:r>
          </w:p>
        </w:tc>
        <w:tc>
          <w:tcPr>
            <w:tcW w:w="891" w:type="dxa"/>
            <w:tcBorders>
              <w:top w:val="nil"/>
              <w:left w:val="nil"/>
              <w:bottom w:val="nil"/>
              <w:right w:val="nil"/>
            </w:tcBorders>
            <w:shd w:val="clear" w:color="auto" w:fill="FFFFFF"/>
            <w:tcMar>
              <w:left w:w="67" w:type="dxa"/>
              <w:right w:w="67" w:type="dxa"/>
            </w:tcMar>
          </w:tcPr>
          <w:p w14:paraId="6DFDBC79"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1.6 (0.7) 0</w:t>
            </w:r>
          </w:p>
        </w:tc>
        <w:tc>
          <w:tcPr>
            <w:tcW w:w="892" w:type="dxa"/>
            <w:tcBorders>
              <w:top w:val="nil"/>
              <w:left w:val="nil"/>
              <w:bottom w:val="nil"/>
              <w:right w:val="nil"/>
            </w:tcBorders>
            <w:shd w:val="clear" w:color="auto" w:fill="FFFFFF"/>
            <w:tcMar>
              <w:left w:w="67" w:type="dxa"/>
              <w:right w:w="67" w:type="dxa"/>
            </w:tcMar>
          </w:tcPr>
          <w:p w14:paraId="3A346146"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1.6 (0.69) 0</w:t>
            </w:r>
          </w:p>
        </w:tc>
        <w:tc>
          <w:tcPr>
            <w:tcW w:w="891" w:type="dxa"/>
            <w:gridSpan w:val="2"/>
            <w:tcBorders>
              <w:top w:val="nil"/>
              <w:left w:val="nil"/>
              <w:bottom w:val="nil"/>
              <w:right w:val="nil"/>
            </w:tcBorders>
            <w:shd w:val="clear" w:color="auto" w:fill="FFFFFF"/>
            <w:tcMar>
              <w:left w:w="67" w:type="dxa"/>
              <w:right w:w="67" w:type="dxa"/>
            </w:tcMar>
          </w:tcPr>
          <w:p w14:paraId="068482E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1.1 (1.21) 0</w:t>
            </w:r>
          </w:p>
        </w:tc>
        <w:tc>
          <w:tcPr>
            <w:tcW w:w="891" w:type="dxa"/>
            <w:tcBorders>
              <w:top w:val="nil"/>
              <w:left w:val="nil"/>
              <w:bottom w:val="nil"/>
              <w:right w:val="nil"/>
            </w:tcBorders>
            <w:shd w:val="clear" w:color="auto" w:fill="FFFFFF"/>
            <w:tcMar>
              <w:left w:w="67" w:type="dxa"/>
              <w:right w:w="67" w:type="dxa"/>
            </w:tcMar>
          </w:tcPr>
          <w:p w14:paraId="249E0ABE"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1.1 (1.31) 0</w:t>
            </w:r>
          </w:p>
        </w:tc>
        <w:tc>
          <w:tcPr>
            <w:tcW w:w="892" w:type="dxa"/>
            <w:tcBorders>
              <w:top w:val="nil"/>
              <w:left w:val="nil"/>
              <w:bottom w:val="nil"/>
              <w:right w:val="nil"/>
            </w:tcBorders>
            <w:shd w:val="clear" w:color="auto" w:fill="FFFFFF"/>
            <w:tcMar>
              <w:left w:w="67" w:type="dxa"/>
              <w:right w:w="67" w:type="dxa"/>
            </w:tcMar>
          </w:tcPr>
          <w:p w14:paraId="5E0EF16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1.1 (1.27) 0</w:t>
            </w:r>
          </w:p>
        </w:tc>
        <w:tc>
          <w:tcPr>
            <w:tcW w:w="891" w:type="dxa"/>
            <w:tcBorders>
              <w:top w:val="nil"/>
              <w:left w:val="nil"/>
              <w:bottom w:val="nil"/>
              <w:right w:val="nil"/>
            </w:tcBorders>
            <w:shd w:val="clear" w:color="auto" w:fill="FFFFFF"/>
            <w:tcMar>
              <w:left w:w="67" w:type="dxa"/>
              <w:right w:w="67" w:type="dxa"/>
            </w:tcMar>
          </w:tcPr>
          <w:p w14:paraId="7E5059E7"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5.9 (3) 0</w:t>
            </w:r>
          </w:p>
        </w:tc>
        <w:tc>
          <w:tcPr>
            <w:tcW w:w="891" w:type="dxa"/>
            <w:tcBorders>
              <w:top w:val="nil"/>
              <w:left w:val="nil"/>
              <w:bottom w:val="nil"/>
              <w:right w:val="nil"/>
            </w:tcBorders>
            <w:shd w:val="clear" w:color="auto" w:fill="FFFFFF"/>
            <w:tcMar>
              <w:left w:w="67" w:type="dxa"/>
              <w:right w:w="67" w:type="dxa"/>
            </w:tcMar>
          </w:tcPr>
          <w:p w14:paraId="6B95F06C"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5.7 (3.04) 0</w:t>
            </w:r>
          </w:p>
        </w:tc>
        <w:tc>
          <w:tcPr>
            <w:tcW w:w="894" w:type="dxa"/>
            <w:tcBorders>
              <w:top w:val="nil"/>
              <w:left w:val="nil"/>
              <w:bottom w:val="nil"/>
              <w:right w:val="single" w:sz="4" w:space="0" w:color="auto"/>
            </w:tcBorders>
            <w:shd w:val="clear" w:color="auto" w:fill="FFFFFF"/>
            <w:tcMar>
              <w:left w:w="67" w:type="dxa"/>
              <w:right w:w="67" w:type="dxa"/>
            </w:tcMar>
          </w:tcPr>
          <w:p w14:paraId="723542A9"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5.8 (3.02) 0</w:t>
            </w:r>
          </w:p>
        </w:tc>
      </w:tr>
      <w:tr w:rsidR="00E07CDE" w:rsidRPr="00563AD3" w14:paraId="3B2843C3" w14:textId="77777777" w:rsidTr="00C163F3">
        <w:trPr>
          <w:cantSplit/>
          <w:jc w:val="center"/>
        </w:trPr>
        <w:tc>
          <w:tcPr>
            <w:tcW w:w="1417" w:type="dxa"/>
            <w:tcBorders>
              <w:top w:val="nil"/>
              <w:left w:val="single" w:sz="4" w:space="0" w:color="auto"/>
              <w:bottom w:val="nil"/>
              <w:right w:val="nil"/>
            </w:tcBorders>
            <w:shd w:val="clear" w:color="auto" w:fill="FFFFFF"/>
            <w:tcMar>
              <w:left w:w="67" w:type="dxa"/>
              <w:right w:w="67" w:type="dxa"/>
            </w:tcMar>
          </w:tcPr>
          <w:p w14:paraId="642635BE" w14:textId="5B092255" w:rsidR="00E07CDE" w:rsidRPr="00563AD3" w:rsidRDefault="00E07CDE" w:rsidP="00CB59EF">
            <w:pPr>
              <w:keepNext/>
              <w:spacing w:before="67" w:after="67" w:line="240" w:lineRule="auto"/>
              <w:rPr>
                <w:rFonts w:eastAsia="Times New Roman"/>
                <w:color w:val="000000"/>
                <w:sz w:val="14"/>
                <w:szCs w:val="14"/>
              </w:rPr>
            </w:pPr>
            <w:r w:rsidRPr="00563AD3">
              <w:rPr>
                <w:rFonts w:eastAsia="Times New Roman"/>
                <w:color w:val="000000"/>
                <w:sz w:val="14"/>
                <w:szCs w:val="14"/>
              </w:rPr>
              <w:t xml:space="preserve">Sleep and </w:t>
            </w:r>
            <w:r w:rsidR="008A1A04">
              <w:rPr>
                <w:rFonts w:eastAsia="Times New Roman"/>
                <w:color w:val="000000"/>
                <w:sz w:val="14"/>
                <w:szCs w:val="14"/>
              </w:rPr>
              <w:t>n</w:t>
            </w:r>
            <w:r w:rsidRPr="00563AD3">
              <w:rPr>
                <w:rFonts w:eastAsia="Times New Roman"/>
                <w:color w:val="000000"/>
                <w:sz w:val="14"/>
                <w:szCs w:val="14"/>
              </w:rPr>
              <w:t>ight time</w:t>
            </w:r>
            <w:r w:rsidR="008A1A04">
              <w:rPr>
                <w:rFonts w:eastAsia="Times New Roman"/>
                <w:color w:val="000000"/>
                <w:sz w:val="14"/>
                <w:szCs w:val="14"/>
              </w:rPr>
              <w:t xml:space="preserve"> b</w:t>
            </w:r>
            <w:r w:rsidRPr="00563AD3">
              <w:rPr>
                <w:rFonts w:eastAsia="Times New Roman"/>
                <w:color w:val="000000"/>
                <w:sz w:val="14"/>
                <w:szCs w:val="14"/>
              </w:rPr>
              <w:t xml:space="preserve">ehaviour </w:t>
            </w:r>
            <w:r w:rsidR="008A1A04">
              <w:rPr>
                <w:rFonts w:eastAsia="Times New Roman"/>
                <w:color w:val="000000"/>
                <w:sz w:val="14"/>
                <w:szCs w:val="14"/>
              </w:rPr>
              <w:t>d</w:t>
            </w:r>
            <w:r w:rsidRPr="00563AD3">
              <w:rPr>
                <w:rFonts w:eastAsia="Times New Roman"/>
                <w:color w:val="000000"/>
                <w:sz w:val="14"/>
                <w:szCs w:val="14"/>
              </w:rPr>
              <w:t>isorders</w:t>
            </w:r>
          </w:p>
        </w:tc>
        <w:tc>
          <w:tcPr>
            <w:tcW w:w="1039" w:type="dxa"/>
            <w:tcBorders>
              <w:top w:val="nil"/>
              <w:left w:val="nil"/>
              <w:bottom w:val="nil"/>
              <w:right w:val="nil"/>
            </w:tcBorders>
            <w:shd w:val="clear" w:color="auto" w:fill="FFFFFF"/>
            <w:tcMar>
              <w:left w:w="67" w:type="dxa"/>
              <w:right w:w="67" w:type="dxa"/>
            </w:tcMar>
          </w:tcPr>
          <w:p w14:paraId="28E894B1"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48 (15.6%)307</w:t>
            </w:r>
          </w:p>
        </w:tc>
        <w:tc>
          <w:tcPr>
            <w:tcW w:w="1039" w:type="dxa"/>
            <w:tcBorders>
              <w:top w:val="nil"/>
              <w:left w:val="nil"/>
              <w:bottom w:val="nil"/>
              <w:right w:val="nil"/>
            </w:tcBorders>
            <w:shd w:val="clear" w:color="auto" w:fill="FFFFFF"/>
            <w:tcMar>
              <w:left w:w="67" w:type="dxa"/>
              <w:right w:w="67" w:type="dxa"/>
            </w:tcMar>
          </w:tcPr>
          <w:p w14:paraId="7D9D03EB"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77 (18.4%)418</w:t>
            </w:r>
          </w:p>
        </w:tc>
        <w:tc>
          <w:tcPr>
            <w:tcW w:w="1040" w:type="dxa"/>
            <w:tcBorders>
              <w:top w:val="nil"/>
              <w:left w:val="nil"/>
              <w:bottom w:val="nil"/>
              <w:right w:val="nil"/>
            </w:tcBorders>
            <w:shd w:val="clear" w:color="auto" w:fill="FFFFFF"/>
            <w:tcMar>
              <w:left w:w="67" w:type="dxa"/>
              <w:right w:w="67" w:type="dxa"/>
            </w:tcMar>
          </w:tcPr>
          <w:p w14:paraId="0BAC425D"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125 (17.2%)725</w:t>
            </w:r>
          </w:p>
        </w:tc>
        <w:tc>
          <w:tcPr>
            <w:tcW w:w="891" w:type="dxa"/>
            <w:gridSpan w:val="2"/>
            <w:tcBorders>
              <w:top w:val="nil"/>
              <w:left w:val="nil"/>
              <w:bottom w:val="nil"/>
              <w:right w:val="nil"/>
            </w:tcBorders>
            <w:shd w:val="clear" w:color="auto" w:fill="FFFFFF"/>
            <w:tcMar>
              <w:left w:w="67" w:type="dxa"/>
              <w:right w:w="67" w:type="dxa"/>
            </w:tcMar>
          </w:tcPr>
          <w:p w14:paraId="6A7AA427"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3.1 (0.78) 0</w:t>
            </w:r>
          </w:p>
        </w:tc>
        <w:tc>
          <w:tcPr>
            <w:tcW w:w="891" w:type="dxa"/>
            <w:tcBorders>
              <w:top w:val="nil"/>
              <w:left w:val="nil"/>
              <w:bottom w:val="nil"/>
              <w:right w:val="nil"/>
            </w:tcBorders>
            <w:shd w:val="clear" w:color="auto" w:fill="FFFFFF"/>
            <w:tcMar>
              <w:left w:w="67" w:type="dxa"/>
              <w:right w:w="67" w:type="dxa"/>
            </w:tcMar>
          </w:tcPr>
          <w:p w14:paraId="7DF8591C"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2.9 (0.95) 5</w:t>
            </w:r>
          </w:p>
        </w:tc>
        <w:tc>
          <w:tcPr>
            <w:tcW w:w="892" w:type="dxa"/>
            <w:tcBorders>
              <w:top w:val="nil"/>
              <w:left w:val="nil"/>
              <w:bottom w:val="nil"/>
              <w:right w:val="nil"/>
            </w:tcBorders>
            <w:shd w:val="clear" w:color="auto" w:fill="FFFFFF"/>
            <w:tcMar>
              <w:left w:w="67" w:type="dxa"/>
              <w:right w:w="67" w:type="dxa"/>
            </w:tcMar>
          </w:tcPr>
          <w:p w14:paraId="3B7F8B6C"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3 (0.89) 5</w:t>
            </w:r>
          </w:p>
        </w:tc>
        <w:tc>
          <w:tcPr>
            <w:tcW w:w="891" w:type="dxa"/>
            <w:gridSpan w:val="2"/>
            <w:tcBorders>
              <w:top w:val="nil"/>
              <w:left w:val="nil"/>
              <w:bottom w:val="nil"/>
              <w:right w:val="nil"/>
            </w:tcBorders>
            <w:shd w:val="clear" w:color="auto" w:fill="FFFFFF"/>
            <w:tcMar>
              <w:left w:w="67" w:type="dxa"/>
              <w:right w:w="67" w:type="dxa"/>
            </w:tcMar>
          </w:tcPr>
          <w:p w14:paraId="271478A4"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1.5 (0.65) 0</w:t>
            </w:r>
          </w:p>
        </w:tc>
        <w:tc>
          <w:tcPr>
            <w:tcW w:w="891" w:type="dxa"/>
            <w:tcBorders>
              <w:top w:val="nil"/>
              <w:left w:val="nil"/>
              <w:bottom w:val="nil"/>
              <w:right w:val="nil"/>
            </w:tcBorders>
            <w:shd w:val="clear" w:color="auto" w:fill="FFFFFF"/>
            <w:tcMar>
              <w:left w:w="67" w:type="dxa"/>
              <w:right w:w="67" w:type="dxa"/>
            </w:tcMar>
          </w:tcPr>
          <w:p w14:paraId="5764ED37"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1.7 (0.74) 5</w:t>
            </w:r>
          </w:p>
        </w:tc>
        <w:tc>
          <w:tcPr>
            <w:tcW w:w="892" w:type="dxa"/>
            <w:tcBorders>
              <w:top w:val="nil"/>
              <w:left w:val="nil"/>
              <w:bottom w:val="nil"/>
              <w:right w:val="nil"/>
            </w:tcBorders>
            <w:shd w:val="clear" w:color="auto" w:fill="FFFFFF"/>
            <w:tcMar>
              <w:left w:w="67" w:type="dxa"/>
              <w:right w:w="67" w:type="dxa"/>
            </w:tcMar>
          </w:tcPr>
          <w:p w14:paraId="55ED3550"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1.6 (0.71) 5</w:t>
            </w:r>
          </w:p>
        </w:tc>
        <w:tc>
          <w:tcPr>
            <w:tcW w:w="891" w:type="dxa"/>
            <w:gridSpan w:val="2"/>
            <w:tcBorders>
              <w:top w:val="nil"/>
              <w:left w:val="nil"/>
              <w:bottom w:val="nil"/>
              <w:right w:val="nil"/>
            </w:tcBorders>
            <w:shd w:val="clear" w:color="auto" w:fill="FFFFFF"/>
            <w:tcMar>
              <w:left w:w="67" w:type="dxa"/>
              <w:right w:w="67" w:type="dxa"/>
            </w:tcMar>
          </w:tcPr>
          <w:p w14:paraId="08233235"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1.8 (1.39) 0</w:t>
            </w:r>
          </w:p>
        </w:tc>
        <w:tc>
          <w:tcPr>
            <w:tcW w:w="891" w:type="dxa"/>
            <w:tcBorders>
              <w:top w:val="nil"/>
              <w:left w:val="nil"/>
              <w:bottom w:val="nil"/>
              <w:right w:val="nil"/>
            </w:tcBorders>
            <w:shd w:val="clear" w:color="auto" w:fill="FFFFFF"/>
            <w:tcMar>
              <w:left w:w="67" w:type="dxa"/>
              <w:right w:w="67" w:type="dxa"/>
            </w:tcMar>
          </w:tcPr>
          <w:p w14:paraId="4949BD32"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2 (1.43) 5</w:t>
            </w:r>
          </w:p>
        </w:tc>
        <w:tc>
          <w:tcPr>
            <w:tcW w:w="892" w:type="dxa"/>
            <w:tcBorders>
              <w:top w:val="nil"/>
              <w:left w:val="nil"/>
              <w:bottom w:val="nil"/>
              <w:right w:val="nil"/>
            </w:tcBorders>
            <w:shd w:val="clear" w:color="auto" w:fill="FFFFFF"/>
            <w:tcMar>
              <w:left w:w="67" w:type="dxa"/>
              <w:right w:w="67" w:type="dxa"/>
            </w:tcMar>
          </w:tcPr>
          <w:p w14:paraId="2CEC0BDF"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1.9 (1.42) 5</w:t>
            </w:r>
          </w:p>
        </w:tc>
        <w:tc>
          <w:tcPr>
            <w:tcW w:w="891" w:type="dxa"/>
            <w:tcBorders>
              <w:top w:val="nil"/>
              <w:left w:val="nil"/>
              <w:bottom w:val="nil"/>
              <w:right w:val="nil"/>
            </w:tcBorders>
            <w:shd w:val="clear" w:color="auto" w:fill="FFFFFF"/>
            <w:tcMar>
              <w:left w:w="67" w:type="dxa"/>
              <w:right w:w="67" w:type="dxa"/>
            </w:tcMar>
          </w:tcPr>
          <w:p w14:paraId="76902248"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4.9 (2.64) 0</w:t>
            </w:r>
          </w:p>
        </w:tc>
        <w:tc>
          <w:tcPr>
            <w:tcW w:w="891" w:type="dxa"/>
            <w:tcBorders>
              <w:top w:val="nil"/>
              <w:left w:val="nil"/>
              <w:bottom w:val="nil"/>
              <w:right w:val="nil"/>
            </w:tcBorders>
            <w:shd w:val="clear" w:color="auto" w:fill="FFFFFF"/>
            <w:tcMar>
              <w:left w:w="67" w:type="dxa"/>
              <w:right w:w="67" w:type="dxa"/>
            </w:tcMar>
          </w:tcPr>
          <w:p w14:paraId="12800DCF"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5 (2.73) 5</w:t>
            </w:r>
          </w:p>
        </w:tc>
        <w:tc>
          <w:tcPr>
            <w:tcW w:w="894" w:type="dxa"/>
            <w:tcBorders>
              <w:top w:val="nil"/>
              <w:left w:val="nil"/>
              <w:bottom w:val="nil"/>
              <w:right w:val="single" w:sz="4" w:space="0" w:color="auto"/>
            </w:tcBorders>
            <w:shd w:val="clear" w:color="auto" w:fill="FFFFFF"/>
            <w:tcMar>
              <w:left w:w="67" w:type="dxa"/>
              <w:right w:w="67" w:type="dxa"/>
            </w:tcMar>
          </w:tcPr>
          <w:p w14:paraId="559E762B" w14:textId="77777777" w:rsidR="00E07CDE" w:rsidRPr="00563AD3" w:rsidRDefault="00E07CDE" w:rsidP="00CB59EF">
            <w:pPr>
              <w:keepNext/>
              <w:spacing w:before="67" w:after="67" w:line="240" w:lineRule="auto"/>
              <w:jc w:val="right"/>
              <w:rPr>
                <w:rFonts w:eastAsia="Times New Roman"/>
                <w:color w:val="000000"/>
                <w:sz w:val="14"/>
                <w:szCs w:val="14"/>
              </w:rPr>
            </w:pPr>
            <w:r w:rsidRPr="00563AD3">
              <w:rPr>
                <w:rFonts w:eastAsia="Times New Roman"/>
                <w:color w:val="000000"/>
                <w:sz w:val="14"/>
                <w:szCs w:val="14"/>
              </w:rPr>
              <w:t>5 (2.68) 5</w:t>
            </w:r>
          </w:p>
        </w:tc>
      </w:tr>
      <w:tr w:rsidR="00E07CDE" w:rsidRPr="00563AD3" w14:paraId="559DB37A" w14:textId="77777777" w:rsidTr="00C163F3">
        <w:trPr>
          <w:cantSplit/>
          <w:jc w:val="center"/>
        </w:trPr>
        <w:tc>
          <w:tcPr>
            <w:tcW w:w="1417" w:type="dxa"/>
            <w:tcBorders>
              <w:top w:val="nil"/>
              <w:left w:val="single" w:sz="4" w:space="0" w:color="auto"/>
              <w:bottom w:val="single" w:sz="4" w:space="0" w:color="auto"/>
              <w:right w:val="nil"/>
            </w:tcBorders>
            <w:shd w:val="clear" w:color="auto" w:fill="FFFFFF"/>
            <w:tcMar>
              <w:left w:w="67" w:type="dxa"/>
              <w:right w:w="67" w:type="dxa"/>
            </w:tcMar>
          </w:tcPr>
          <w:p w14:paraId="12BC5826" w14:textId="30817689" w:rsidR="00E07CDE" w:rsidRPr="00563AD3" w:rsidRDefault="00E07CDE" w:rsidP="00CB59EF">
            <w:pPr>
              <w:spacing w:before="67" w:after="67" w:line="240" w:lineRule="auto"/>
              <w:rPr>
                <w:rFonts w:eastAsia="Times New Roman"/>
                <w:color w:val="000000"/>
                <w:sz w:val="14"/>
                <w:szCs w:val="14"/>
              </w:rPr>
            </w:pPr>
            <w:r w:rsidRPr="00563AD3">
              <w:rPr>
                <w:rFonts w:eastAsia="Times New Roman"/>
                <w:color w:val="000000"/>
                <w:sz w:val="14"/>
                <w:szCs w:val="14"/>
              </w:rPr>
              <w:t xml:space="preserve">Appetite and </w:t>
            </w:r>
            <w:r w:rsidR="008A1A04">
              <w:rPr>
                <w:rFonts w:eastAsia="Times New Roman"/>
                <w:color w:val="000000"/>
                <w:sz w:val="14"/>
                <w:szCs w:val="14"/>
              </w:rPr>
              <w:t>e</w:t>
            </w:r>
            <w:r w:rsidRPr="00563AD3">
              <w:rPr>
                <w:rFonts w:eastAsia="Times New Roman"/>
                <w:color w:val="000000"/>
                <w:sz w:val="14"/>
                <w:szCs w:val="14"/>
              </w:rPr>
              <w:t>ating</w:t>
            </w:r>
            <w:r w:rsidRPr="00563AD3">
              <w:rPr>
                <w:rFonts w:eastAsia="Times New Roman"/>
                <w:color w:val="000000"/>
                <w:sz w:val="14"/>
                <w:szCs w:val="14"/>
              </w:rPr>
              <w:br/>
            </w:r>
            <w:r w:rsidR="008A1A04">
              <w:rPr>
                <w:rFonts w:eastAsia="Times New Roman"/>
                <w:color w:val="000000"/>
                <w:sz w:val="14"/>
                <w:szCs w:val="14"/>
              </w:rPr>
              <w:t>c</w:t>
            </w:r>
            <w:r w:rsidRPr="00563AD3">
              <w:rPr>
                <w:rFonts w:eastAsia="Times New Roman"/>
                <w:color w:val="000000"/>
                <w:sz w:val="14"/>
                <w:szCs w:val="14"/>
              </w:rPr>
              <w:t>hanges</w:t>
            </w:r>
          </w:p>
        </w:tc>
        <w:tc>
          <w:tcPr>
            <w:tcW w:w="1039" w:type="dxa"/>
            <w:tcBorders>
              <w:top w:val="nil"/>
              <w:left w:val="nil"/>
              <w:bottom w:val="single" w:sz="4" w:space="0" w:color="auto"/>
              <w:right w:val="nil"/>
            </w:tcBorders>
            <w:shd w:val="clear" w:color="auto" w:fill="FFFFFF"/>
            <w:tcMar>
              <w:left w:w="67" w:type="dxa"/>
              <w:right w:w="67" w:type="dxa"/>
            </w:tcMar>
          </w:tcPr>
          <w:p w14:paraId="5E8E6825"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57 (18.5%)308</w:t>
            </w:r>
          </w:p>
        </w:tc>
        <w:tc>
          <w:tcPr>
            <w:tcW w:w="1039" w:type="dxa"/>
            <w:tcBorders>
              <w:top w:val="nil"/>
              <w:left w:val="nil"/>
              <w:bottom w:val="single" w:sz="4" w:space="0" w:color="auto"/>
              <w:right w:val="nil"/>
            </w:tcBorders>
            <w:shd w:val="clear" w:color="auto" w:fill="FFFFFF"/>
            <w:tcMar>
              <w:left w:w="67" w:type="dxa"/>
              <w:right w:w="67" w:type="dxa"/>
            </w:tcMar>
          </w:tcPr>
          <w:p w14:paraId="183E3214"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98 (23.6%)415</w:t>
            </w:r>
          </w:p>
        </w:tc>
        <w:tc>
          <w:tcPr>
            <w:tcW w:w="1040" w:type="dxa"/>
            <w:tcBorders>
              <w:top w:val="nil"/>
              <w:left w:val="nil"/>
              <w:bottom w:val="single" w:sz="4" w:space="0" w:color="auto"/>
              <w:right w:val="nil"/>
            </w:tcBorders>
            <w:shd w:val="clear" w:color="auto" w:fill="FFFFFF"/>
            <w:tcMar>
              <w:left w:w="67" w:type="dxa"/>
              <w:right w:w="67" w:type="dxa"/>
            </w:tcMar>
          </w:tcPr>
          <w:p w14:paraId="2513EC8E"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155 (21.4%)723</w:t>
            </w:r>
          </w:p>
        </w:tc>
        <w:tc>
          <w:tcPr>
            <w:tcW w:w="891" w:type="dxa"/>
            <w:gridSpan w:val="2"/>
            <w:tcBorders>
              <w:top w:val="nil"/>
              <w:left w:val="nil"/>
              <w:bottom w:val="single" w:sz="4" w:space="0" w:color="auto"/>
              <w:right w:val="nil"/>
            </w:tcBorders>
            <w:shd w:val="clear" w:color="auto" w:fill="FFFFFF"/>
            <w:tcMar>
              <w:left w:w="67" w:type="dxa"/>
              <w:right w:w="67" w:type="dxa"/>
            </w:tcMar>
          </w:tcPr>
          <w:p w14:paraId="0866BB69"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3.3 (0.85) 3</w:t>
            </w:r>
          </w:p>
        </w:tc>
        <w:tc>
          <w:tcPr>
            <w:tcW w:w="891" w:type="dxa"/>
            <w:tcBorders>
              <w:top w:val="nil"/>
              <w:left w:val="nil"/>
              <w:bottom w:val="single" w:sz="4" w:space="0" w:color="auto"/>
              <w:right w:val="nil"/>
            </w:tcBorders>
            <w:shd w:val="clear" w:color="auto" w:fill="FFFFFF"/>
            <w:tcMar>
              <w:left w:w="67" w:type="dxa"/>
              <w:right w:w="67" w:type="dxa"/>
            </w:tcMar>
          </w:tcPr>
          <w:p w14:paraId="68306AFB"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3.3 (0.79) 4</w:t>
            </w:r>
          </w:p>
        </w:tc>
        <w:tc>
          <w:tcPr>
            <w:tcW w:w="892" w:type="dxa"/>
            <w:tcBorders>
              <w:top w:val="nil"/>
              <w:left w:val="nil"/>
              <w:bottom w:val="single" w:sz="4" w:space="0" w:color="auto"/>
              <w:right w:val="nil"/>
            </w:tcBorders>
            <w:shd w:val="clear" w:color="auto" w:fill="FFFFFF"/>
            <w:tcMar>
              <w:left w:w="67" w:type="dxa"/>
              <w:right w:w="67" w:type="dxa"/>
            </w:tcMar>
          </w:tcPr>
          <w:p w14:paraId="24851619"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3.3 (0.81) 7</w:t>
            </w:r>
          </w:p>
        </w:tc>
        <w:tc>
          <w:tcPr>
            <w:tcW w:w="891" w:type="dxa"/>
            <w:gridSpan w:val="2"/>
            <w:tcBorders>
              <w:top w:val="nil"/>
              <w:left w:val="nil"/>
              <w:bottom w:val="single" w:sz="4" w:space="0" w:color="auto"/>
              <w:right w:val="nil"/>
            </w:tcBorders>
            <w:shd w:val="clear" w:color="auto" w:fill="FFFFFF"/>
            <w:tcMar>
              <w:left w:w="67" w:type="dxa"/>
              <w:right w:w="67" w:type="dxa"/>
            </w:tcMar>
          </w:tcPr>
          <w:p w14:paraId="20AD7AAD"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1.9 (0.63) 2</w:t>
            </w:r>
          </w:p>
        </w:tc>
        <w:tc>
          <w:tcPr>
            <w:tcW w:w="891" w:type="dxa"/>
            <w:tcBorders>
              <w:top w:val="nil"/>
              <w:left w:val="nil"/>
              <w:bottom w:val="single" w:sz="4" w:space="0" w:color="auto"/>
              <w:right w:val="nil"/>
            </w:tcBorders>
            <w:shd w:val="clear" w:color="auto" w:fill="FFFFFF"/>
            <w:tcMar>
              <w:left w:w="67" w:type="dxa"/>
              <w:right w:w="67" w:type="dxa"/>
            </w:tcMar>
          </w:tcPr>
          <w:p w14:paraId="3A47FE2A"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1.8 (0.72) 4</w:t>
            </w:r>
          </w:p>
        </w:tc>
        <w:tc>
          <w:tcPr>
            <w:tcW w:w="892" w:type="dxa"/>
            <w:tcBorders>
              <w:top w:val="nil"/>
              <w:left w:val="nil"/>
              <w:bottom w:val="single" w:sz="4" w:space="0" w:color="auto"/>
              <w:right w:val="nil"/>
            </w:tcBorders>
            <w:shd w:val="clear" w:color="auto" w:fill="FFFFFF"/>
            <w:tcMar>
              <w:left w:w="67" w:type="dxa"/>
              <w:right w:w="67" w:type="dxa"/>
            </w:tcMar>
          </w:tcPr>
          <w:p w14:paraId="76EE5763"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1.8 (0.69) 6</w:t>
            </w:r>
          </w:p>
        </w:tc>
        <w:tc>
          <w:tcPr>
            <w:tcW w:w="891" w:type="dxa"/>
            <w:gridSpan w:val="2"/>
            <w:tcBorders>
              <w:top w:val="nil"/>
              <w:left w:val="nil"/>
              <w:bottom w:val="single" w:sz="4" w:space="0" w:color="auto"/>
              <w:right w:val="nil"/>
            </w:tcBorders>
            <w:shd w:val="clear" w:color="auto" w:fill="FFFFFF"/>
            <w:tcMar>
              <w:left w:w="67" w:type="dxa"/>
              <w:right w:w="67" w:type="dxa"/>
            </w:tcMar>
          </w:tcPr>
          <w:p w14:paraId="309B71C5"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1.3 (1.18) 2</w:t>
            </w:r>
          </w:p>
        </w:tc>
        <w:tc>
          <w:tcPr>
            <w:tcW w:w="891" w:type="dxa"/>
            <w:tcBorders>
              <w:top w:val="nil"/>
              <w:left w:val="nil"/>
              <w:bottom w:val="single" w:sz="4" w:space="0" w:color="auto"/>
              <w:right w:val="nil"/>
            </w:tcBorders>
            <w:shd w:val="clear" w:color="auto" w:fill="FFFFFF"/>
            <w:tcMar>
              <w:left w:w="67" w:type="dxa"/>
              <w:right w:w="67" w:type="dxa"/>
            </w:tcMar>
          </w:tcPr>
          <w:p w14:paraId="56684F55"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1.3 (1.19) 4</w:t>
            </w:r>
          </w:p>
        </w:tc>
        <w:tc>
          <w:tcPr>
            <w:tcW w:w="892" w:type="dxa"/>
            <w:tcBorders>
              <w:top w:val="nil"/>
              <w:left w:val="nil"/>
              <w:bottom w:val="single" w:sz="4" w:space="0" w:color="auto"/>
              <w:right w:val="nil"/>
            </w:tcBorders>
            <w:shd w:val="clear" w:color="auto" w:fill="FFFFFF"/>
            <w:tcMar>
              <w:left w:w="67" w:type="dxa"/>
              <w:right w:w="67" w:type="dxa"/>
            </w:tcMar>
          </w:tcPr>
          <w:p w14:paraId="7AB855A1"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1.3 (1.18) 6</w:t>
            </w:r>
          </w:p>
        </w:tc>
        <w:tc>
          <w:tcPr>
            <w:tcW w:w="891" w:type="dxa"/>
            <w:tcBorders>
              <w:top w:val="nil"/>
              <w:left w:val="nil"/>
              <w:bottom w:val="single" w:sz="4" w:space="0" w:color="auto"/>
              <w:right w:val="nil"/>
            </w:tcBorders>
            <w:shd w:val="clear" w:color="auto" w:fill="FFFFFF"/>
            <w:tcMar>
              <w:left w:w="67" w:type="dxa"/>
              <w:right w:w="67" w:type="dxa"/>
            </w:tcMar>
          </w:tcPr>
          <w:p w14:paraId="0CB9F4F5"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6.4 (2.92) 3</w:t>
            </w:r>
          </w:p>
        </w:tc>
        <w:tc>
          <w:tcPr>
            <w:tcW w:w="891" w:type="dxa"/>
            <w:tcBorders>
              <w:top w:val="nil"/>
              <w:left w:val="nil"/>
              <w:bottom w:val="single" w:sz="4" w:space="0" w:color="auto"/>
              <w:right w:val="nil"/>
            </w:tcBorders>
            <w:shd w:val="clear" w:color="auto" w:fill="FFFFFF"/>
            <w:tcMar>
              <w:left w:w="67" w:type="dxa"/>
              <w:right w:w="67" w:type="dxa"/>
            </w:tcMar>
          </w:tcPr>
          <w:p w14:paraId="54F70B08"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6.1 (3.26) 4</w:t>
            </w:r>
          </w:p>
        </w:tc>
        <w:tc>
          <w:tcPr>
            <w:tcW w:w="894" w:type="dxa"/>
            <w:tcBorders>
              <w:top w:val="nil"/>
              <w:left w:val="nil"/>
              <w:bottom w:val="single" w:sz="4" w:space="0" w:color="auto"/>
              <w:right w:val="single" w:sz="4" w:space="0" w:color="auto"/>
            </w:tcBorders>
            <w:shd w:val="clear" w:color="auto" w:fill="FFFFFF"/>
            <w:tcMar>
              <w:left w:w="67" w:type="dxa"/>
              <w:right w:w="67" w:type="dxa"/>
            </w:tcMar>
          </w:tcPr>
          <w:p w14:paraId="246F1C4E" w14:textId="77777777" w:rsidR="00E07CDE" w:rsidRPr="00563AD3" w:rsidRDefault="00E07CDE" w:rsidP="00CB59EF">
            <w:pPr>
              <w:spacing w:before="67" w:after="67" w:line="240" w:lineRule="auto"/>
              <w:jc w:val="right"/>
              <w:rPr>
                <w:rFonts w:eastAsia="Times New Roman"/>
                <w:color w:val="000000"/>
                <w:sz w:val="14"/>
                <w:szCs w:val="14"/>
              </w:rPr>
            </w:pPr>
            <w:r w:rsidRPr="00563AD3">
              <w:rPr>
                <w:rFonts w:eastAsia="Times New Roman"/>
                <w:color w:val="000000"/>
                <w:sz w:val="14"/>
                <w:szCs w:val="14"/>
              </w:rPr>
              <w:t>6.2 (3.13) 7</w:t>
            </w:r>
          </w:p>
        </w:tc>
      </w:tr>
    </w:tbl>
    <w:p w14:paraId="1DFB32AD" w14:textId="77777777" w:rsidR="00E07CDE" w:rsidRPr="00563AD3" w:rsidRDefault="00E07CDE" w:rsidP="009B13F3">
      <w:pPr>
        <w:keepNext/>
        <w:autoSpaceDE/>
        <w:autoSpaceDN/>
        <w:adjustRightInd/>
        <w:spacing w:before="120" w:after="0"/>
        <w:rPr>
          <w:rFonts w:eastAsia="Calibri"/>
          <w:b/>
          <w:bCs/>
          <w:sz w:val="24"/>
          <w:szCs w:val="18"/>
          <w:lang w:eastAsia="en-US"/>
        </w:rPr>
      </w:pPr>
      <w:r w:rsidRPr="00563AD3">
        <w:rPr>
          <w:rFonts w:eastAsia="Calibri"/>
          <w:b/>
          <w:bCs/>
          <w:sz w:val="24"/>
          <w:szCs w:val="18"/>
          <w:lang w:eastAsia="en-US"/>
        </w:rPr>
        <w:tab/>
      </w:r>
    </w:p>
    <w:p w14:paraId="5812F892" w14:textId="77777777" w:rsidR="004818D9" w:rsidRDefault="004818D9">
      <w:pPr>
        <w:autoSpaceDE/>
        <w:autoSpaceDN/>
        <w:adjustRightInd/>
        <w:spacing w:line="259" w:lineRule="auto"/>
        <w:rPr>
          <w:rFonts w:eastAsia="Calibri"/>
          <w:b/>
          <w:lang w:eastAsia="en-US"/>
        </w:rPr>
      </w:pPr>
      <w:bookmarkStart w:id="325" w:name="_Toc500935002"/>
      <w:r>
        <w:rPr>
          <w:rFonts w:eastAsia="Calibri"/>
          <w:lang w:eastAsia="en-US"/>
        </w:rPr>
        <w:br w:type="page"/>
      </w:r>
    </w:p>
    <w:p w14:paraId="48D3EB24" w14:textId="4DD4DCCE" w:rsidR="00E07CDE" w:rsidRPr="00563AD3" w:rsidRDefault="00E07CDE" w:rsidP="004818D9">
      <w:pPr>
        <w:pStyle w:val="Tableheading"/>
        <w:rPr>
          <w:rFonts w:eastAsia="Calibri"/>
          <w:lang w:eastAsia="en-US"/>
        </w:rPr>
      </w:pPr>
      <w:bookmarkStart w:id="326" w:name="_Toc948247"/>
      <w:r w:rsidRPr="00563AD3">
        <w:rPr>
          <w:rFonts w:eastAsia="Calibri"/>
          <w:lang w:eastAsia="en-US"/>
        </w:rPr>
        <w:t xml:space="preserve">Table </w:t>
      </w:r>
      <w:r w:rsidR="005B29F6">
        <w:rPr>
          <w:rFonts w:eastAsia="Calibri"/>
          <w:lang w:eastAsia="en-US"/>
        </w:rPr>
        <w:t xml:space="preserve">50 </w:t>
      </w:r>
      <w:r w:rsidR="00E35291">
        <w:rPr>
          <w:rFonts w:eastAsia="Calibri"/>
          <w:lang w:eastAsia="en-US"/>
        </w:rPr>
        <w:t>NPI-NH at 6-</w:t>
      </w:r>
      <w:r w:rsidRPr="00563AD3">
        <w:rPr>
          <w:rFonts w:eastAsia="Calibri"/>
          <w:lang w:eastAsia="en-US"/>
        </w:rPr>
        <w:t>months</w:t>
      </w:r>
      <w:bookmarkEnd w:id="325"/>
      <w:r w:rsidRPr="00563AD3">
        <w:rPr>
          <w:rFonts w:eastAsia="Calibri"/>
          <w:lang w:eastAsia="en-US"/>
        </w:rPr>
        <w:t xml:space="preserve"> – unadjusted scores</w:t>
      </w:r>
      <w:bookmarkEnd w:id="326"/>
    </w:p>
    <w:tbl>
      <w:tblPr>
        <w:tblW w:w="15163" w:type="dxa"/>
        <w:jc w:val="center"/>
        <w:tblLayout w:type="fixed"/>
        <w:tblCellMar>
          <w:left w:w="0" w:type="dxa"/>
          <w:right w:w="0" w:type="dxa"/>
        </w:tblCellMar>
        <w:tblLook w:val="0000" w:firstRow="0" w:lastRow="0" w:firstColumn="0" w:lastColumn="0" w:noHBand="0" w:noVBand="0"/>
      </w:tblPr>
      <w:tblGrid>
        <w:gridCol w:w="1586"/>
        <w:gridCol w:w="995"/>
        <w:gridCol w:w="1056"/>
        <w:gridCol w:w="1169"/>
        <w:gridCol w:w="850"/>
        <w:gridCol w:w="851"/>
        <w:gridCol w:w="850"/>
        <w:gridCol w:w="851"/>
        <w:gridCol w:w="795"/>
        <w:gridCol w:w="795"/>
        <w:gridCol w:w="795"/>
        <w:gridCol w:w="884"/>
        <w:gridCol w:w="109"/>
        <w:gridCol w:w="742"/>
        <w:gridCol w:w="53"/>
        <w:gridCol w:w="850"/>
        <w:gridCol w:w="89"/>
        <w:gridCol w:w="904"/>
        <w:gridCol w:w="939"/>
      </w:tblGrid>
      <w:tr w:rsidR="00E07CDE" w:rsidRPr="00563AD3" w14:paraId="5EB45D14" w14:textId="77777777" w:rsidTr="00C163F3">
        <w:trPr>
          <w:cantSplit/>
          <w:tblHeader/>
          <w:jc w:val="center"/>
        </w:trPr>
        <w:tc>
          <w:tcPr>
            <w:tcW w:w="1586" w:type="dxa"/>
            <w:tcBorders>
              <w:top w:val="single" w:sz="4" w:space="0" w:color="auto"/>
              <w:left w:val="single" w:sz="4" w:space="0" w:color="auto"/>
              <w:bottom w:val="nil"/>
              <w:right w:val="nil"/>
            </w:tcBorders>
            <w:shd w:val="clear" w:color="auto" w:fill="FFFFFF"/>
            <w:tcMar>
              <w:left w:w="67" w:type="dxa"/>
              <w:right w:w="67" w:type="dxa"/>
            </w:tcMar>
            <w:vAlign w:val="bottom"/>
          </w:tcPr>
          <w:p w14:paraId="04F0AB2F" w14:textId="77777777" w:rsidR="00E07CDE" w:rsidRPr="00563AD3" w:rsidRDefault="00E07CDE" w:rsidP="004818D9">
            <w:pPr>
              <w:keepNext/>
              <w:spacing w:before="67" w:after="67" w:line="240" w:lineRule="auto"/>
              <w:jc w:val="center"/>
              <w:rPr>
                <w:rFonts w:eastAsia="Times New Roman"/>
                <w:b/>
                <w:bCs/>
                <w:color w:val="000000"/>
                <w:sz w:val="14"/>
                <w:szCs w:val="14"/>
              </w:rPr>
            </w:pPr>
          </w:p>
        </w:tc>
        <w:tc>
          <w:tcPr>
            <w:tcW w:w="13577" w:type="dxa"/>
            <w:gridSpan w:val="18"/>
            <w:tcBorders>
              <w:top w:val="single" w:sz="4" w:space="0" w:color="auto"/>
              <w:left w:val="nil"/>
              <w:bottom w:val="nil"/>
              <w:right w:val="single" w:sz="4" w:space="0" w:color="auto"/>
            </w:tcBorders>
            <w:shd w:val="clear" w:color="auto" w:fill="FFFFFF"/>
            <w:tcMar>
              <w:left w:w="67" w:type="dxa"/>
              <w:right w:w="67" w:type="dxa"/>
            </w:tcMar>
            <w:vAlign w:val="bottom"/>
          </w:tcPr>
          <w:p w14:paraId="1FE3DB28" w14:textId="1F97FA79" w:rsidR="00E07CDE" w:rsidRPr="00563AD3" w:rsidRDefault="00E35291" w:rsidP="004818D9">
            <w:pPr>
              <w:keepNext/>
              <w:spacing w:before="67" w:after="67" w:line="240" w:lineRule="auto"/>
              <w:jc w:val="center"/>
              <w:rPr>
                <w:rFonts w:eastAsia="Times New Roman"/>
                <w:b/>
                <w:bCs/>
                <w:color w:val="000000"/>
                <w:sz w:val="14"/>
                <w:szCs w:val="14"/>
              </w:rPr>
            </w:pPr>
            <w:r>
              <w:rPr>
                <w:rFonts w:eastAsia="Times New Roman"/>
                <w:b/>
                <w:bCs/>
                <w:color w:val="000000"/>
                <w:sz w:val="14"/>
                <w:szCs w:val="14"/>
              </w:rPr>
              <w:t>6-</w:t>
            </w:r>
            <w:r w:rsidR="00E07CDE" w:rsidRPr="00563AD3">
              <w:rPr>
                <w:rFonts w:eastAsia="Times New Roman"/>
                <w:b/>
                <w:bCs/>
                <w:color w:val="000000"/>
                <w:sz w:val="14"/>
                <w:szCs w:val="14"/>
              </w:rPr>
              <w:t>months</w:t>
            </w:r>
          </w:p>
          <w:p w14:paraId="035B4009"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Mean (SD) Missing</w:t>
            </w:r>
          </w:p>
        </w:tc>
      </w:tr>
      <w:tr w:rsidR="00E07CDE" w:rsidRPr="00563AD3" w14:paraId="2442B6C7" w14:textId="77777777" w:rsidTr="00C163F3">
        <w:trPr>
          <w:cantSplit/>
          <w:tblHeader/>
          <w:jc w:val="center"/>
        </w:trPr>
        <w:tc>
          <w:tcPr>
            <w:tcW w:w="1586" w:type="dxa"/>
            <w:tcBorders>
              <w:top w:val="nil"/>
              <w:left w:val="single" w:sz="4" w:space="0" w:color="auto"/>
              <w:bottom w:val="nil"/>
              <w:right w:val="nil"/>
            </w:tcBorders>
            <w:shd w:val="clear" w:color="auto" w:fill="FFFFFF"/>
            <w:tcMar>
              <w:left w:w="67" w:type="dxa"/>
              <w:right w:w="67" w:type="dxa"/>
            </w:tcMar>
            <w:vAlign w:val="bottom"/>
          </w:tcPr>
          <w:p w14:paraId="4863B0DE" w14:textId="77777777" w:rsidR="00E07CDE" w:rsidRPr="00563AD3" w:rsidRDefault="00E07CDE" w:rsidP="004818D9">
            <w:pPr>
              <w:keepNext/>
              <w:spacing w:before="67" w:after="67" w:line="240" w:lineRule="auto"/>
              <w:jc w:val="center"/>
              <w:rPr>
                <w:rFonts w:eastAsia="Times New Roman"/>
                <w:b/>
                <w:bCs/>
                <w:color w:val="000000"/>
                <w:sz w:val="14"/>
                <w:szCs w:val="14"/>
              </w:rPr>
            </w:pPr>
          </w:p>
        </w:tc>
        <w:tc>
          <w:tcPr>
            <w:tcW w:w="3220" w:type="dxa"/>
            <w:gridSpan w:val="3"/>
            <w:tcBorders>
              <w:top w:val="nil"/>
              <w:left w:val="nil"/>
              <w:bottom w:val="nil"/>
              <w:right w:val="nil"/>
            </w:tcBorders>
            <w:shd w:val="clear" w:color="auto" w:fill="FFFFFF"/>
            <w:tcMar>
              <w:left w:w="67" w:type="dxa"/>
              <w:right w:w="67" w:type="dxa"/>
            </w:tcMar>
            <w:vAlign w:val="bottom"/>
          </w:tcPr>
          <w:p w14:paraId="3384FE01"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Number experiencing</w:t>
            </w:r>
            <w:r w:rsidRPr="00563AD3">
              <w:rPr>
                <w:rFonts w:eastAsia="Times New Roman"/>
                <w:b/>
                <w:bCs/>
                <w:color w:val="000000"/>
                <w:sz w:val="14"/>
                <w:szCs w:val="14"/>
              </w:rPr>
              <w:br/>
              <w:t>the behaviour</w:t>
            </w:r>
            <w:r w:rsidRPr="00563AD3">
              <w:rPr>
                <w:rFonts w:eastAsia="Times New Roman"/>
                <w:b/>
                <w:bCs/>
                <w:color w:val="000000"/>
                <w:sz w:val="14"/>
                <w:szCs w:val="14"/>
              </w:rPr>
              <w:br/>
              <w:t>N (%) completed</w:t>
            </w:r>
          </w:p>
        </w:tc>
        <w:tc>
          <w:tcPr>
            <w:tcW w:w="2551" w:type="dxa"/>
            <w:gridSpan w:val="3"/>
            <w:tcBorders>
              <w:top w:val="nil"/>
              <w:left w:val="nil"/>
              <w:bottom w:val="nil"/>
              <w:right w:val="nil"/>
            </w:tcBorders>
            <w:shd w:val="clear" w:color="auto" w:fill="FFFFFF"/>
            <w:tcMar>
              <w:left w:w="67" w:type="dxa"/>
              <w:right w:w="67" w:type="dxa"/>
            </w:tcMar>
            <w:vAlign w:val="bottom"/>
          </w:tcPr>
          <w:p w14:paraId="10113F89"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Frequency</w:t>
            </w:r>
            <w:r w:rsidRPr="00563AD3">
              <w:rPr>
                <w:rFonts w:eastAsia="Times New Roman"/>
                <w:b/>
                <w:bCs/>
                <w:color w:val="000000"/>
                <w:sz w:val="14"/>
                <w:szCs w:val="14"/>
              </w:rPr>
              <w:br/>
              <w:t>score</w:t>
            </w:r>
          </w:p>
        </w:tc>
        <w:tc>
          <w:tcPr>
            <w:tcW w:w="2441" w:type="dxa"/>
            <w:gridSpan w:val="3"/>
            <w:tcBorders>
              <w:top w:val="nil"/>
              <w:left w:val="nil"/>
              <w:bottom w:val="nil"/>
              <w:right w:val="nil"/>
            </w:tcBorders>
            <w:shd w:val="clear" w:color="auto" w:fill="FFFFFF"/>
            <w:tcMar>
              <w:left w:w="67" w:type="dxa"/>
              <w:right w:w="67" w:type="dxa"/>
            </w:tcMar>
            <w:vAlign w:val="bottom"/>
          </w:tcPr>
          <w:p w14:paraId="00BF3614"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Severity</w:t>
            </w:r>
            <w:r w:rsidRPr="00563AD3">
              <w:rPr>
                <w:rFonts w:eastAsia="Times New Roman"/>
                <w:b/>
                <w:bCs/>
                <w:color w:val="000000"/>
                <w:sz w:val="14"/>
                <w:szCs w:val="14"/>
              </w:rPr>
              <w:br/>
              <w:t>score</w:t>
            </w:r>
          </w:p>
        </w:tc>
        <w:tc>
          <w:tcPr>
            <w:tcW w:w="2583" w:type="dxa"/>
            <w:gridSpan w:val="5"/>
            <w:tcBorders>
              <w:top w:val="nil"/>
              <w:left w:val="nil"/>
              <w:bottom w:val="nil"/>
              <w:right w:val="nil"/>
            </w:tcBorders>
            <w:shd w:val="clear" w:color="auto" w:fill="FFFFFF"/>
            <w:tcMar>
              <w:left w:w="67" w:type="dxa"/>
              <w:right w:w="67" w:type="dxa"/>
            </w:tcMar>
            <w:vAlign w:val="bottom"/>
          </w:tcPr>
          <w:p w14:paraId="428A3F6F"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Caregiver</w:t>
            </w:r>
            <w:r w:rsidRPr="00563AD3">
              <w:rPr>
                <w:rFonts w:eastAsia="Times New Roman"/>
                <w:b/>
                <w:bCs/>
                <w:color w:val="000000"/>
                <w:sz w:val="14"/>
                <w:szCs w:val="14"/>
              </w:rPr>
              <w:br/>
              <w:t>distress score</w:t>
            </w:r>
          </w:p>
        </w:tc>
        <w:tc>
          <w:tcPr>
            <w:tcW w:w="2782" w:type="dxa"/>
            <w:gridSpan w:val="4"/>
            <w:tcBorders>
              <w:top w:val="nil"/>
              <w:left w:val="nil"/>
              <w:bottom w:val="nil"/>
              <w:right w:val="single" w:sz="4" w:space="0" w:color="auto"/>
            </w:tcBorders>
            <w:shd w:val="clear" w:color="auto" w:fill="FFFFFF"/>
            <w:tcMar>
              <w:left w:w="67" w:type="dxa"/>
              <w:right w:w="67" w:type="dxa"/>
            </w:tcMar>
            <w:vAlign w:val="bottom"/>
          </w:tcPr>
          <w:p w14:paraId="4CB05892"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Total domain</w:t>
            </w:r>
            <w:r w:rsidRPr="00563AD3">
              <w:rPr>
                <w:rFonts w:eastAsia="Times New Roman"/>
                <w:b/>
                <w:bCs/>
                <w:color w:val="000000"/>
                <w:sz w:val="14"/>
                <w:szCs w:val="14"/>
              </w:rPr>
              <w:br/>
              <w:t>score</w:t>
            </w:r>
          </w:p>
        </w:tc>
      </w:tr>
      <w:tr w:rsidR="00E07CDE" w:rsidRPr="00563AD3" w14:paraId="00F8CFA9" w14:textId="77777777" w:rsidTr="00C163F3">
        <w:trPr>
          <w:cantSplit/>
          <w:tblHeader/>
          <w:jc w:val="center"/>
        </w:trPr>
        <w:tc>
          <w:tcPr>
            <w:tcW w:w="1586" w:type="dxa"/>
            <w:tcBorders>
              <w:top w:val="nil"/>
              <w:left w:val="single" w:sz="4" w:space="0" w:color="auto"/>
              <w:bottom w:val="single" w:sz="4" w:space="0" w:color="000000"/>
              <w:right w:val="nil"/>
            </w:tcBorders>
            <w:shd w:val="clear" w:color="auto" w:fill="FFFFFF"/>
            <w:tcMar>
              <w:left w:w="67" w:type="dxa"/>
              <w:right w:w="67" w:type="dxa"/>
            </w:tcMar>
            <w:vAlign w:val="bottom"/>
          </w:tcPr>
          <w:p w14:paraId="2E6AACB0" w14:textId="77777777" w:rsidR="00E07CDE" w:rsidRPr="00563AD3" w:rsidRDefault="00E07CDE" w:rsidP="004818D9">
            <w:pPr>
              <w:keepNext/>
              <w:spacing w:before="67" w:after="67" w:line="240" w:lineRule="auto"/>
              <w:jc w:val="center"/>
              <w:rPr>
                <w:rFonts w:eastAsia="Times New Roman"/>
                <w:b/>
                <w:bCs/>
                <w:color w:val="000000"/>
                <w:sz w:val="14"/>
                <w:szCs w:val="14"/>
              </w:rPr>
            </w:pPr>
          </w:p>
        </w:tc>
        <w:tc>
          <w:tcPr>
            <w:tcW w:w="995" w:type="dxa"/>
            <w:tcBorders>
              <w:top w:val="nil"/>
              <w:left w:val="nil"/>
              <w:bottom w:val="single" w:sz="4" w:space="0" w:color="000000"/>
              <w:right w:val="nil"/>
            </w:tcBorders>
            <w:shd w:val="clear" w:color="auto" w:fill="FFFFFF"/>
            <w:tcMar>
              <w:left w:w="67" w:type="dxa"/>
              <w:right w:w="67" w:type="dxa"/>
            </w:tcMar>
            <w:vAlign w:val="bottom"/>
          </w:tcPr>
          <w:p w14:paraId="4D6F9ED9" w14:textId="1B66C975"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Control</w:t>
            </w:r>
            <w:r w:rsidR="00E35291">
              <w:rPr>
                <w:rFonts w:eastAsia="Times New Roman"/>
                <w:b/>
                <w:bCs/>
                <w:color w:val="000000"/>
                <w:sz w:val="14"/>
                <w:szCs w:val="14"/>
              </w:rPr>
              <w:t xml:space="preserve">     </w:t>
            </w:r>
            <w:r w:rsidRPr="00563AD3">
              <w:rPr>
                <w:rFonts w:eastAsia="Times New Roman"/>
                <w:b/>
                <w:bCs/>
                <w:color w:val="000000"/>
                <w:sz w:val="14"/>
                <w:szCs w:val="14"/>
              </w:rPr>
              <w:t xml:space="preserve"> (n = 308)</w:t>
            </w:r>
          </w:p>
        </w:tc>
        <w:tc>
          <w:tcPr>
            <w:tcW w:w="1056" w:type="dxa"/>
            <w:tcBorders>
              <w:top w:val="nil"/>
              <w:left w:val="nil"/>
              <w:bottom w:val="single" w:sz="4" w:space="0" w:color="000000"/>
              <w:right w:val="nil"/>
            </w:tcBorders>
            <w:shd w:val="clear" w:color="auto" w:fill="FFFFFF"/>
            <w:tcMar>
              <w:left w:w="67" w:type="dxa"/>
              <w:right w:w="67" w:type="dxa"/>
            </w:tcMar>
            <w:vAlign w:val="bottom"/>
          </w:tcPr>
          <w:p w14:paraId="4E2DCC8A" w14:textId="7F42D0F9" w:rsidR="00E07CDE" w:rsidRPr="00563AD3" w:rsidRDefault="008A1A04" w:rsidP="004818D9">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r w:rsidRPr="008A1A04">
              <w:rPr>
                <w:rFonts w:eastAsia="Times New Roman"/>
                <w:b/>
                <w:bCs/>
                <w:color w:val="000000"/>
                <w:sz w:val="14"/>
                <w:szCs w:val="14"/>
              </w:rPr>
              <w:t xml:space="preserve"> </w:t>
            </w:r>
            <w:r w:rsidR="00E07CDE" w:rsidRPr="00563AD3">
              <w:rPr>
                <w:rFonts w:eastAsia="Times New Roman"/>
                <w:b/>
                <w:bCs/>
                <w:color w:val="000000"/>
                <w:sz w:val="14"/>
                <w:szCs w:val="14"/>
              </w:rPr>
              <w:t>Intervention (n = 418)</w:t>
            </w:r>
          </w:p>
        </w:tc>
        <w:tc>
          <w:tcPr>
            <w:tcW w:w="1169" w:type="dxa"/>
            <w:tcBorders>
              <w:top w:val="nil"/>
              <w:left w:val="nil"/>
              <w:bottom w:val="single" w:sz="4" w:space="0" w:color="000000"/>
              <w:right w:val="nil"/>
            </w:tcBorders>
            <w:shd w:val="clear" w:color="auto" w:fill="FFFFFF"/>
            <w:tcMar>
              <w:left w:w="67" w:type="dxa"/>
              <w:right w:w="67" w:type="dxa"/>
            </w:tcMar>
            <w:vAlign w:val="bottom"/>
          </w:tcPr>
          <w:p w14:paraId="4E0C9E94"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Total (n = 726)</w:t>
            </w:r>
          </w:p>
        </w:tc>
        <w:tc>
          <w:tcPr>
            <w:tcW w:w="850" w:type="dxa"/>
            <w:tcBorders>
              <w:top w:val="nil"/>
              <w:left w:val="nil"/>
              <w:bottom w:val="single" w:sz="4" w:space="0" w:color="000000"/>
              <w:right w:val="nil"/>
            </w:tcBorders>
            <w:shd w:val="clear" w:color="auto" w:fill="FFFFFF"/>
            <w:tcMar>
              <w:left w:w="67" w:type="dxa"/>
              <w:right w:w="67" w:type="dxa"/>
            </w:tcMar>
            <w:vAlign w:val="bottom"/>
          </w:tcPr>
          <w:p w14:paraId="552C6270"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851" w:type="dxa"/>
            <w:tcBorders>
              <w:top w:val="nil"/>
              <w:left w:val="nil"/>
              <w:bottom w:val="single" w:sz="4" w:space="0" w:color="000000"/>
              <w:right w:val="nil"/>
            </w:tcBorders>
            <w:shd w:val="clear" w:color="auto" w:fill="FFFFFF"/>
            <w:tcMar>
              <w:left w:w="67" w:type="dxa"/>
              <w:right w:w="67" w:type="dxa"/>
            </w:tcMar>
            <w:vAlign w:val="bottom"/>
          </w:tcPr>
          <w:p w14:paraId="22C95841" w14:textId="1399AD84" w:rsidR="00E07CDE" w:rsidRPr="00563AD3" w:rsidRDefault="008A1A04" w:rsidP="004818D9">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r w:rsidR="00E07CDE" w:rsidRPr="00563AD3">
              <w:rPr>
                <w:rFonts w:eastAsia="Times New Roman"/>
                <w:b/>
                <w:bCs/>
                <w:color w:val="000000"/>
                <w:sz w:val="14"/>
                <w:szCs w:val="14"/>
              </w:rPr>
              <w:t xml:space="preserve"> </w:t>
            </w:r>
          </w:p>
        </w:tc>
        <w:tc>
          <w:tcPr>
            <w:tcW w:w="850" w:type="dxa"/>
            <w:tcBorders>
              <w:top w:val="nil"/>
              <w:left w:val="nil"/>
              <w:bottom w:val="single" w:sz="4" w:space="0" w:color="000000"/>
              <w:right w:val="nil"/>
            </w:tcBorders>
            <w:shd w:val="clear" w:color="auto" w:fill="FFFFFF"/>
            <w:tcMar>
              <w:left w:w="67" w:type="dxa"/>
              <w:right w:w="67" w:type="dxa"/>
            </w:tcMar>
            <w:vAlign w:val="bottom"/>
          </w:tcPr>
          <w:p w14:paraId="214B68DE"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Total</w:t>
            </w:r>
          </w:p>
        </w:tc>
        <w:tc>
          <w:tcPr>
            <w:tcW w:w="851" w:type="dxa"/>
            <w:tcBorders>
              <w:top w:val="nil"/>
              <w:left w:val="nil"/>
              <w:bottom w:val="single" w:sz="4" w:space="0" w:color="000000"/>
              <w:right w:val="nil"/>
            </w:tcBorders>
            <w:shd w:val="clear" w:color="auto" w:fill="FFFFFF"/>
            <w:tcMar>
              <w:left w:w="67" w:type="dxa"/>
              <w:right w:w="67" w:type="dxa"/>
            </w:tcMar>
            <w:vAlign w:val="bottom"/>
          </w:tcPr>
          <w:p w14:paraId="6502C96A"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795" w:type="dxa"/>
            <w:tcBorders>
              <w:top w:val="nil"/>
              <w:left w:val="nil"/>
              <w:bottom w:val="single" w:sz="4" w:space="0" w:color="000000"/>
              <w:right w:val="nil"/>
            </w:tcBorders>
            <w:shd w:val="clear" w:color="auto" w:fill="FFFFFF"/>
            <w:tcMar>
              <w:left w:w="67" w:type="dxa"/>
              <w:right w:w="67" w:type="dxa"/>
            </w:tcMar>
            <w:vAlign w:val="bottom"/>
          </w:tcPr>
          <w:p w14:paraId="36F5CD43" w14:textId="72B21885" w:rsidR="00E07CDE" w:rsidRPr="00563AD3" w:rsidRDefault="008A1A04" w:rsidP="004818D9">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r w:rsidR="00E07CDE" w:rsidRPr="00563AD3">
              <w:rPr>
                <w:rFonts w:eastAsia="Times New Roman"/>
                <w:b/>
                <w:bCs/>
                <w:color w:val="000000"/>
                <w:sz w:val="14"/>
                <w:szCs w:val="14"/>
              </w:rPr>
              <w:t xml:space="preserve"> </w:t>
            </w:r>
          </w:p>
        </w:tc>
        <w:tc>
          <w:tcPr>
            <w:tcW w:w="795" w:type="dxa"/>
            <w:tcBorders>
              <w:top w:val="nil"/>
              <w:left w:val="nil"/>
              <w:bottom w:val="single" w:sz="4" w:space="0" w:color="000000"/>
              <w:right w:val="nil"/>
            </w:tcBorders>
            <w:shd w:val="clear" w:color="auto" w:fill="FFFFFF"/>
            <w:tcMar>
              <w:left w:w="67" w:type="dxa"/>
              <w:right w:w="67" w:type="dxa"/>
            </w:tcMar>
            <w:vAlign w:val="bottom"/>
          </w:tcPr>
          <w:p w14:paraId="0ED05072"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Total </w:t>
            </w:r>
          </w:p>
        </w:tc>
        <w:tc>
          <w:tcPr>
            <w:tcW w:w="795" w:type="dxa"/>
            <w:tcBorders>
              <w:top w:val="nil"/>
              <w:left w:val="nil"/>
              <w:bottom w:val="single" w:sz="4" w:space="0" w:color="000000"/>
              <w:right w:val="nil"/>
            </w:tcBorders>
            <w:shd w:val="clear" w:color="auto" w:fill="FFFFFF"/>
            <w:tcMar>
              <w:left w:w="67" w:type="dxa"/>
              <w:right w:w="67" w:type="dxa"/>
            </w:tcMar>
            <w:vAlign w:val="bottom"/>
          </w:tcPr>
          <w:p w14:paraId="68AAD55E"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993" w:type="dxa"/>
            <w:gridSpan w:val="2"/>
            <w:tcBorders>
              <w:top w:val="nil"/>
              <w:left w:val="nil"/>
              <w:bottom w:val="single" w:sz="4" w:space="0" w:color="000000"/>
              <w:right w:val="nil"/>
            </w:tcBorders>
            <w:shd w:val="clear" w:color="auto" w:fill="FFFFFF"/>
            <w:tcMar>
              <w:left w:w="67" w:type="dxa"/>
              <w:right w:w="67" w:type="dxa"/>
            </w:tcMar>
            <w:vAlign w:val="bottom"/>
          </w:tcPr>
          <w:p w14:paraId="7CC85A93" w14:textId="2B5F1FC6" w:rsidR="00E07CDE" w:rsidRPr="00563AD3" w:rsidRDefault="008A1A04" w:rsidP="004818D9">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r w:rsidR="00E07CDE" w:rsidRPr="00563AD3">
              <w:rPr>
                <w:rFonts w:eastAsia="Times New Roman"/>
                <w:b/>
                <w:bCs/>
                <w:color w:val="000000"/>
                <w:sz w:val="14"/>
                <w:szCs w:val="14"/>
              </w:rPr>
              <w:t xml:space="preserve"> </w:t>
            </w:r>
          </w:p>
        </w:tc>
        <w:tc>
          <w:tcPr>
            <w:tcW w:w="795" w:type="dxa"/>
            <w:gridSpan w:val="2"/>
            <w:tcBorders>
              <w:top w:val="nil"/>
              <w:left w:val="nil"/>
              <w:bottom w:val="single" w:sz="4" w:space="0" w:color="000000"/>
              <w:right w:val="nil"/>
            </w:tcBorders>
            <w:shd w:val="clear" w:color="auto" w:fill="FFFFFF"/>
            <w:tcMar>
              <w:left w:w="67" w:type="dxa"/>
              <w:right w:w="67" w:type="dxa"/>
            </w:tcMar>
            <w:vAlign w:val="bottom"/>
          </w:tcPr>
          <w:p w14:paraId="2D47BB08"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Total </w:t>
            </w:r>
          </w:p>
        </w:tc>
        <w:tc>
          <w:tcPr>
            <w:tcW w:w="850" w:type="dxa"/>
            <w:tcBorders>
              <w:top w:val="nil"/>
              <w:left w:val="nil"/>
              <w:bottom w:val="single" w:sz="4" w:space="0" w:color="000000"/>
              <w:right w:val="nil"/>
            </w:tcBorders>
            <w:shd w:val="clear" w:color="auto" w:fill="FFFFFF"/>
            <w:tcMar>
              <w:left w:w="67" w:type="dxa"/>
              <w:right w:w="67" w:type="dxa"/>
            </w:tcMar>
            <w:vAlign w:val="bottom"/>
          </w:tcPr>
          <w:p w14:paraId="33DEDEAD"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993" w:type="dxa"/>
            <w:gridSpan w:val="2"/>
            <w:tcBorders>
              <w:top w:val="nil"/>
              <w:left w:val="nil"/>
              <w:bottom w:val="single" w:sz="4" w:space="0" w:color="000000"/>
              <w:right w:val="nil"/>
            </w:tcBorders>
            <w:shd w:val="clear" w:color="auto" w:fill="FFFFFF"/>
            <w:tcMar>
              <w:left w:w="67" w:type="dxa"/>
              <w:right w:w="67" w:type="dxa"/>
            </w:tcMar>
            <w:vAlign w:val="bottom"/>
          </w:tcPr>
          <w:p w14:paraId="0811523E" w14:textId="46BB1412" w:rsidR="00E07CDE" w:rsidRPr="00563AD3" w:rsidRDefault="008A1A04" w:rsidP="004818D9">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r w:rsidR="00E07CDE" w:rsidRPr="00563AD3">
              <w:rPr>
                <w:rFonts w:eastAsia="Times New Roman"/>
                <w:b/>
                <w:bCs/>
                <w:color w:val="000000"/>
                <w:sz w:val="14"/>
                <w:szCs w:val="14"/>
              </w:rPr>
              <w:t xml:space="preserve"> </w:t>
            </w:r>
          </w:p>
        </w:tc>
        <w:tc>
          <w:tcPr>
            <w:tcW w:w="939" w:type="dxa"/>
            <w:tcBorders>
              <w:top w:val="nil"/>
              <w:left w:val="nil"/>
              <w:bottom w:val="single" w:sz="4" w:space="0" w:color="000000"/>
              <w:right w:val="single" w:sz="4" w:space="0" w:color="auto"/>
            </w:tcBorders>
            <w:shd w:val="clear" w:color="auto" w:fill="FFFFFF"/>
            <w:tcMar>
              <w:left w:w="67" w:type="dxa"/>
              <w:right w:w="67" w:type="dxa"/>
            </w:tcMar>
            <w:vAlign w:val="bottom"/>
          </w:tcPr>
          <w:p w14:paraId="1B8CBB44"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Total </w:t>
            </w:r>
          </w:p>
        </w:tc>
      </w:tr>
      <w:tr w:rsidR="00E07CDE" w:rsidRPr="00563AD3" w14:paraId="0A961082" w14:textId="77777777" w:rsidTr="00C163F3">
        <w:trPr>
          <w:cantSplit/>
          <w:jc w:val="center"/>
        </w:trPr>
        <w:tc>
          <w:tcPr>
            <w:tcW w:w="1586" w:type="dxa"/>
            <w:tcBorders>
              <w:top w:val="nil"/>
              <w:left w:val="single" w:sz="4" w:space="0" w:color="auto"/>
              <w:bottom w:val="nil"/>
              <w:right w:val="nil"/>
            </w:tcBorders>
            <w:shd w:val="clear" w:color="auto" w:fill="FFFFFF"/>
            <w:tcMar>
              <w:left w:w="67" w:type="dxa"/>
              <w:right w:w="67" w:type="dxa"/>
            </w:tcMar>
          </w:tcPr>
          <w:p w14:paraId="64434376" w14:textId="77777777" w:rsidR="00E07CDE" w:rsidRPr="00563AD3" w:rsidRDefault="00E07CDE" w:rsidP="004818D9">
            <w:pPr>
              <w:spacing w:before="67" w:after="67" w:line="240" w:lineRule="auto"/>
              <w:rPr>
                <w:rFonts w:eastAsia="Times New Roman"/>
                <w:b/>
                <w:bCs/>
                <w:color w:val="000000"/>
                <w:sz w:val="14"/>
                <w:szCs w:val="14"/>
              </w:rPr>
            </w:pPr>
            <w:r w:rsidRPr="00563AD3">
              <w:rPr>
                <w:rFonts w:eastAsia="Times New Roman"/>
                <w:b/>
                <w:bCs/>
                <w:color w:val="000000"/>
                <w:sz w:val="14"/>
                <w:szCs w:val="14"/>
              </w:rPr>
              <w:t>*Total score:</w:t>
            </w:r>
          </w:p>
        </w:tc>
        <w:tc>
          <w:tcPr>
            <w:tcW w:w="995" w:type="dxa"/>
            <w:tcBorders>
              <w:top w:val="nil"/>
              <w:left w:val="nil"/>
              <w:bottom w:val="nil"/>
              <w:right w:val="nil"/>
            </w:tcBorders>
            <w:shd w:val="clear" w:color="auto" w:fill="FFFFFF"/>
            <w:tcMar>
              <w:left w:w="67" w:type="dxa"/>
              <w:right w:w="67" w:type="dxa"/>
            </w:tcMar>
          </w:tcPr>
          <w:p w14:paraId="037FE12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244 (79.2%)</w:t>
            </w:r>
          </w:p>
        </w:tc>
        <w:tc>
          <w:tcPr>
            <w:tcW w:w="1056" w:type="dxa"/>
            <w:tcBorders>
              <w:top w:val="nil"/>
              <w:left w:val="nil"/>
              <w:bottom w:val="nil"/>
              <w:right w:val="nil"/>
            </w:tcBorders>
            <w:shd w:val="clear" w:color="auto" w:fill="FFFFFF"/>
            <w:tcMar>
              <w:left w:w="67" w:type="dxa"/>
              <w:right w:w="67" w:type="dxa"/>
            </w:tcMar>
          </w:tcPr>
          <w:p w14:paraId="5BEC9D6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320 (76.6%)</w:t>
            </w:r>
          </w:p>
        </w:tc>
        <w:tc>
          <w:tcPr>
            <w:tcW w:w="1169" w:type="dxa"/>
            <w:tcBorders>
              <w:top w:val="nil"/>
              <w:left w:val="nil"/>
              <w:bottom w:val="nil"/>
              <w:right w:val="nil"/>
            </w:tcBorders>
            <w:shd w:val="clear" w:color="auto" w:fill="FFFFFF"/>
            <w:tcMar>
              <w:left w:w="67" w:type="dxa"/>
              <w:right w:w="67" w:type="dxa"/>
            </w:tcMar>
          </w:tcPr>
          <w:p w14:paraId="1F607B2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564 (77.7%)</w:t>
            </w:r>
          </w:p>
        </w:tc>
        <w:tc>
          <w:tcPr>
            <w:tcW w:w="850" w:type="dxa"/>
            <w:tcBorders>
              <w:top w:val="nil"/>
              <w:left w:val="nil"/>
              <w:bottom w:val="nil"/>
              <w:right w:val="nil"/>
            </w:tcBorders>
            <w:shd w:val="clear" w:color="auto" w:fill="FFFFFF"/>
            <w:tcMar>
              <w:left w:w="67" w:type="dxa"/>
              <w:right w:w="67" w:type="dxa"/>
            </w:tcMar>
          </w:tcPr>
          <w:p w14:paraId="53603F42" w14:textId="77777777" w:rsidR="00E07CDE" w:rsidRPr="00563AD3" w:rsidRDefault="00E07CDE" w:rsidP="004818D9">
            <w:pPr>
              <w:spacing w:before="67" w:after="67" w:line="240" w:lineRule="auto"/>
              <w:jc w:val="right"/>
              <w:rPr>
                <w:rFonts w:eastAsia="Times New Roman"/>
                <w:color w:val="000000"/>
                <w:sz w:val="14"/>
                <w:szCs w:val="14"/>
              </w:rPr>
            </w:pPr>
          </w:p>
        </w:tc>
        <w:tc>
          <w:tcPr>
            <w:tcW w:w="851" w:type="dxa"/>
            <w:tcBorders>
              <w:top w:val="nil"/>
              <w:left w:val="nil"/>
              <w:bottom w:val="nil"/>
              <w:right w:val="nil"/>
            </w:tcBorders>
            <w:shd w:val="clear" w:color="auto" w:fill="FFFFFF"/>
            <w:tcMar>
              <w:left w:w="67" w:type="dxa"/>
              <w:right w:w="67" w:type="dxa"/>
            </w:tcMar>
          </w:tcPr>
          <w:p w14:paraId="2E67AF81" w14:textId="77777777" w:rsidR="00E07CDE" w:rsidRPr="00563AD3" w:rsidRDefault="00E07CDE" w:rsidP="004818D9">
            <w:pPr>
              <w:spacing w:before="67" w:after="67" w:line="240" w:lineRule="auto"/>
              <w:jc w:val="right"/>
              <w:rPr>
                <w:rFonts w:eastAsia="Times New Roman"/>
                <w:color w:val="000000"/>
                <w:sz w:val="14"/>
                <w:szCs w:val="14"/>
              </w:rPr>
            </w:pPr>
          </w:p>
        </w:tc>
        <w:tc>
          <w:tcPr>
            <w:tcW w:w="850" w:type="dxa"/>
            <w:tcBorders>
              <w:top w:val="nil"/>
              <w:left w:val="nil"/>
              <w:bottom w:val="nil"/>
              <w:right w:val="nil"/>
            </w:tcBorders>
            <w:shd w:val="clear" w:color="auto" w:fill="FFFFFF"/>
            <w:tcMar>
              <w:left w:w="67" w:type="dxa"/>
              <w:right w:w="67" w:type="dxa"/>
            </w:tcMar>
          </w:tcPr>
          <w:p w14:paraId="5AC4AA40" w14:textId="77777777" w:rsidR="00E07CDE" w:rsidRPr="00563AD3" w:rsidRDefault="00E07CDE" w:rsidP="004818D9">
            <w:pPr>
              <w:spacing w:before="67" w:after="67" w:line="240" w:lineRule="auto"/>
              <w:jc w:val="right"/>
              <w:rPr>
                <w:rFonts w:eastAsia="Times New Roman"/>
                <w:color w:val="000000"/>
                <w:sz w:val="14"/>
                <w:szCs w:val="14"/>
              </w:rPr>
            </w:pPr>
          </w:p>
        </w:tc>
        <w:tc>
          <w:tcPr>
            <w:tcW w:w="851" w:type="dxa"/>
            <w:tcBorders>
              <w:top w:val="nil"/>
              <w:left w:val="nil"/>
              <w:bottom w:val="nil"/>
              <w:right w:val="nil"/>
            </w:tcBorders>
            <w:shd w:val="clear" w:color="auto" w:fill="FFFFFF"/>
            <w:tcMar>
              <w:left w:w="67" w:type="dxa"/>
              <w:right w:w="67" w:type="dxa"/>
            </w:tcMar>
          </w:tcPr>
          <w:p w14:paraId="45C4308B" w14:textId="77777777" w:rsidR="00E07CDE" w:rsidRPr="00563AD3" w:rsidRDefault="00E07CDE" w:rsidP="004818D9">
            <w:pPr>
              <w:spacing w:before="67" w:after="67" w:line="240" w:lineRule="auto"/>
              <w:jc w:val="right"/>
              <w:rPr>
                <w:rFonts w:eastAsia="Times New Roman"/>
                <w:color w:val="000000"/>
                <w:sz w:val="14"/>
                <w:szCs w:val="14"/>
              </w:rPr>
            </w:pPr>
          </w:p>
        </w:tc>
        <w:tc>
          <w:tcPr>
            <w:tcW w:w="795" w:type="dxa"/>
            <w:tcBorders>
              <w:top w:val="nil"/>
              <w:left w:val="nil"/>
              <w:bottom w:val="nil"/>
              <w:right w:val="nil"/>
            </w:tcBorders>
            <w:shd w:val="clear" w:color="auto" w:fill="FFFFFF"/>
            <w:tcMar>
              <w:left w:w="67" w:type="dxa"/>
              <w:right w:w="67" w:type="dxa"/>
            </w:tcMar>
          </w:tcPr>
          <w:p w14:paraId="12870F6D" w14:textId="77777777" w:rsidR="00E07CDE" w:rsidRPr="00563AD3" w:rsidRDefault="00E07CDE" w:rsidP="004818D9">
            <w:pPr>
              <w:spacing w:before="67" w:after="67" w:line="240" w:lineRule="auto"/>
              <w:jc w:val="right"/>
              <w:rPr>
                <w:rFonts w:eastAsia="Times New Roman"/>
                <w:color w:val="000000"/>
                <w:sz w:val="14"/>
                <w:szCs w:val="14"/>
              </w:rPr>
            </w:pPr>
          </w:p>
        </w:tc>
        <w:tc>
          <w:tcPr>
            <w:tcW w:w="795" w:type="dxa"/>
            <w:tcBorders>
              <w:top w:val="nil"/>
              <w:left w:val="nil"/>
              <w:bottom w:val="nil"/>
              <w:right w:val="nil"/>
            </w:tcBorders>
            <w:shd w:val="clear" w:color="auto" w:fill="FFFFFF"/>
            <w:tcMar>
              <w:left w:w="67" w:type="dxa"/>
              <w:right w:w="67" w:type="dxa"/>
            </w:tcMar>
          </w:tcPr>
          <w:p w14:paraId="626794A6" w14:textId="77777777" w:rsidR="00E07CDE" w:rsidRPr="00563AD3" w:rsidRDefault="00E07CDE" w:rsidP="004818D9">
            <w:pPr>
              <w:spacing w:before="67" w:after="67" w:line="240" w:lineRule="auto"/>
              <w:jc w:val="right"/>
              <w:rPr>
                <w:rFonts w:eastAsia="Times New Roman"/>
                <w:color w:val="000000"/>
                <w:sz w:val="14"/>
                <w:szCs w:val="14"/>
              </w:rPr>
            </w:pPr>
          </w:p>
        </w:tc>
        <w:tc>
          <w:tcPr>
            <w:tcW w:w="795" w:type="dxa"/>
            <w:tcBorders>
              <w:top w:val="nil"/>
              <w:left w:val="nil"/>
              <w:bottom w:val="nil"/>
              <w:right w:val="nil"/>
            </w:tcBorders>
            <w:shd w:val="clear" w:color="auto" w:fill="FFFFFF"/>
            <w:tcMar>
              <w:left w:w="67" w:type="dxa"/>
              <w:right w:w="67" w:type="dxa"/>
            </w:tcMar>
          </w:tcPr>
          <w:p w14:paraId="3ABE8C2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 (4.03) 0</w:t>
            </w:r>
          </w:p>
        </w:tc>
        <w:tc>
          <w:tcPr>
            <w:tcW w:w="884" w:type="dxa"/>
            <w:tcBorders>
              <w:top w:val="nil"/>
              <w:left w:val="nil"/>
              <w:bottom w:val="nil"/>
              <w:right w:val="nil"/>
            </w:tcBorders>
            <w:shd w:val="clear" w:color="auto" w:fill="FFFFFF"/>
            <w:tcMar>
              <w:left w:w="67" w:type="dxa"/>
              <w:right w:w="67" w:type="dxa"/>
            </w:tcMar>
          </w:tcPr>
          <w:p w14:paraId="3B13AAE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2.4 (3.26) 0</w:t>
            </w:r>
          </w:p>
        </w:tc>
        <w:tc>
          <w:tcPr>
            <w:tcW w:w="851" w:type="dxa"/>
            <w:gridSpan w:val="2"/>
            <w:tcBorders>
              <w:top w:val="nil"/>
              <w:left w:val="nil"/>
              <w:bottom w:val="nil"/>
              <w:right w:val="nil"/>
            </w:tcBorders>
            <w:shd w:val="clear" w:color="auto" w:fill="FFFFFF"/>
            <w:tcMar>
              <w:left w:w="67" w:type="dxa"/>
              <w:right w:w="67" w:type="dxa"/>
            </w:tcMar>
          </w:tcPr>
          <w:p w14:paraId="7C91427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(3.62) 0</w:t>
            </w:r>
          </w:p>
        </w:tc>
        <w:tc>
          <w:tcPr>
            <w:tcW w:w="992" w:type="dxa"/>
            <w:gridSpan w:val="3"/>
            <w:tcBorders>
              <w:top w:val="nil"/>
              <w:left w:val="nil"/>
              <w:bottom w:val="nil"/>
              <w:right w:val="nil"/>
            </w:tcBorders>
            <w:shd w:val="clear" w:color="auto" w:fill="FFFFFF"/>
            <w:tcMar>
              <w:left w:w="67" w:type="dxa"/>
              <w:right w:w="67" w:type="dxa"/>
            </w:tcMar>
          </w:tcPr>
          <w:p w14:paraId="6BB0303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11.3 (12.35) 0</w:t>
            </w:r>
          </w:p>
        </w:tc>
        <w:tc>
          <w:tcPr>
            <w:tcW w:w="904" w:type="dxa"/>
            <w:tcBorders>
              <w:top w:val="nil"/>
              <w:left w:val="nil"/>
              <w:bottom w:val="nil"/>
              <w:right w:val="nil"/>
            </w:tcBorders>
            <w:shd w:val="clear" w:color="auto" w:fill="FFFFFF"/>
            <w:tcMar>
              <w:left w:w="67" w:type="dxa"/>
              <w:right w:w="67" w:type="dxa"/>
            </w:tcMar>
          </w:tcPr>
          <w:p w14:paraId="61377FF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9.7 (10.14) 0</w:t>
            </w:r>
          </w:p>
        </w:tc>
        <w:tc>
          <w:tcPr>
            <w:tcW w:w="939" w:type="dxa"/>
            <w:tcBorders>
              <w:top w:val="nil"/>
              <w:left w:val="nil"/>
              <w:bottom w:val="nil"/>
              <w:right w:val="single" w:sz="4" w:space="0" w:color="auto"/>
            </w:tcBorders>
            <w:shd w:val="clear" w:color="auto" w:fill="FFFFFF"/>
            <w:tcMar>
              <w:left w:w="67" w:type="dxa"/>
              <w:right w:w="67" w:type="dxa"/>
            </w:tcMar>
          </w:tcPr>
          <w:p w14:paraId="2935A8B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10.4 (11.17) 0</w:t>
            </w:r>
          </w:p>
        </w:tc>
      </w:tr>
      <w:tr w:rsidR="00E07CDE" w:rsidRPr="00563AD3" w14:paraId="5301DF30" w14:textId="77777777" w:rsidTr="00C163F3">
        <w:trPr>
          <w:cantSplit/>
          <w:jc w:val="center"/>
        </w:trPr>
        <w:tc>
          <w:tcPr>
            <w:tcW w:w="1586" w:type="dxa"/>
            <w:tcBorders>
              <w:top w:val="nil"/>
              <w:left w:val="single" w:sz="4" w:space="0" w:color="auto"/>
              <w:bottom w:val="nil"/>
              <w:right w:val="nil"/>
            </w:tcBorders>
            <w:shd w:val="clear" w:color="auto" w:fill="FFFFFF"/>
            <w:tcMar>
              <w:left w:w="67" w:type="dxa"/>
              <w:right w:w="67" w:type="dxa"/>
            </w:tcMar>
          </w:tcPr>
          <w:p w14:paraId="3A03FC28" w14:textId="77777777" w:rsidR="00E07CDE" w:rsidRPr="00563AD3" w:rsidRDefault="00E07CDE" w:rsidP="004818D9">
            <w:pPr>
              <w:spacing w:before="67" w:after="67" w:line="240" w:lineRule="auto"/>
              <w:rPr>
                <w:rFonts w:eastAsia="Times New Roman"/>
                <w:b/>
                <w:bCs/>
                <w:color w:val="000000"/>
                <w:sz w:val="14"/>
                <w:szCs w:val="14"/>
              </w:rPr>
            </w:pPr>
            <w:r w:rsidRPr="00563AD3">
              <w:rPr>
                <w:rFonts w:eastAsia="Times New Roman"/>
                <w:b/>
                <w:bCs/>
                <w:color w:val="000000"/>
                <w:sz w:val="14"/>
                <w:szCs w:val="14"/>
              </w:rPr>
              <w:t>Subscales:</w:t>
            </w:r>
          </w:p>
        </w:tc>
        <w:tc>
          <w:tcPr>
            <w:tcW w:w="995" w:type="dxa"/>
            <w:tcBorders>
              <w:top w:val="nil"/>
              <w:left w:val="nil"/>
              <w:bottom w:val="nil"/>
              <w:right w:val="nil"/>
            </w:tcBorders>
            <w:shd w:val="clear" w:color="auto" w:fill="FFFFFF"/>
            <w:tcMar>
              <w:left w:w="67" w:type="dxa"/>
              <w:right w:w="67" w:type="dxa"/>
            </w:tcMar>
          </w:tcPr>
          <w:p w14:paraId="45ED5576" w14:textId="77777777" w:rsidR="00E07CDE" w:rsidRPr="00563AD3" w:rsidRDefault="00E07CDE" w:rsidP="004818D9">
            <w:pPr>
              <w:spacing w:before="67" w:after="67" w:line="240" w:lineRule="auto"/>
              <w:jc w:val="right"/>
              <w:rPr>
                <w:rFonts w:eastAsia="Times New Roman"/>
                <w:color w:val="000000"/>
                <w:sz w:val="14"/>
                <w:szCs w:val="14"/>
              </w:rPr>
            </w:pPr>
          </w:p>
        </w:tc>
        <w:tc>
          <w:tcPr>
            <w:tcW w:w="1056" w:type="dxa"/>
            <w:tcBorders>
              <w:top w:val="nil"/>
              <w:left w:val="nil"/>
              <w:bottom w:val="nil"/>
              <w:right w:val="nil"/>
            </w:tcBorders>
            <w:shd w:val="clear" w:color="auto" w:fill="FFFFFF"/>
            <w:tcMar>
              <w:left w:w="67" w:type="dxa"/>
              <w:right w:w="67" w:type="dxa"/>
            </w:tcMar>
          </w:tcPr>
          <w:p w14:paraId="3CF45BEB" w14:textId="77777777" w:rsidR="00E07CDE" w:rsidRPr="00563AD3" w:rsidRDefault="00E07CDE" w:rsidP="004818D9">
            <w:pPr>
              <w:spacing w:before="67" w:after="67" w:line="240" w:lineRule="auto"/>
              <w:jc w:val="right"/>
              <w:rPr>
                <w:rFonts w:eastAsia="Times New Roman"/>
                <w:color w:val="000000"/>
                <w:sz w:val="14"/>
                <w:szCs w:val="14"/>
              </w:rPr>
            </w:pPr>
          </w:p>
        </w:tc>
        <w:tc>
          <w:tcPr>
            <w:tcW w:w="1169" w:type="dxa"/>
            <w:tcBorders>
              <w:top w:val="nil"/>
              <w:left w:val="nil"/>
              <w:bottom w:val="nil"/>
              <w:right w:val="nil"/>
            </w:tcBorders>
            <w:shd w:val="clear" w:color="auto" w:fill="FFFFFF"/>
            <w:tcMar>
              <w:left w:w="67" w:type="dxa"/>
              <w:right w:w="67" w:type="dxa"/>
            </w:tcMar>
          </w:tcPr>
          <w:p w14:paraId="05772E3A" w14:textId="77777777" w:rsidR="00E07CDE" w:rsidRPr="00563AD3" w:rsidRDefault="00E07CDE" w:rsidP="004818D9">
            <w:pPr>
              <w:spacing w:before="67" w:after="67" w:line="240" w:lineRule="auto"/>
              <w:jc w:val="right"/>
              <w:rPr>
                <w:rFonts w:eastAsia="Times New Roman"/>
                <w:color w:val="000000"/>
                <w:sz w:val="14"/>
                <w:szCs w:val="14"/>
              </w:rPr>
            </w:pPr>
          </w:p>
        </w:tc>
        <w:tc>
          <w:tcPr>
            <w:tcW w:w="850" w:type="dxa"/>
            <w:tcBorders>
              <w:top w:val="nil"/>
              <w:left w:val="nil"/>
              <w:bottom w:val="nil"/>
              <w:right w:val="nil"/>
            </w:tcBorders>
            <w:shd w:val="clear" w:color="auto" w:fill="FFFFFF"/>
            <w:tcMar>
              <w:left w:w="67" w:type="dxa"/>
              <w:right w:w="67" w:type="dxa"/>
            </w:tcMar>
          </w:tcPr>
          <w:p w14:paraId="4835111B" w14:textId="77777777" w:rsidR="00E07CDE" w:rsidRPr="00563AD3" w:rsidRDefault="00E07CDE" w:rsidP="004818D9">
            <w:pPr>
              <w:spacing w:before="67" w:after="67" w:line="240" w:lineRule="auto"/>
              <w:jc w:val="right"/>
              <w:rPr>
                <w:rFonts w:eastAsia="Times New Roman"/>
                <w:color w:val="000000"/>
                <w:sz w:val="14"/>
                <w:szCs w:val="14"/>
              </w:rPr>
            </w:pPr>
          </w:p>
        </w:tc>
        <w:tc>
          <w:tcPr>
            <w:tcW w:w="851" w:type="dxa"/>
            <w:tcBorders>
              <w:top w:val="nil"/>
              <w:left w:val="nil"/>
              <w:bottom w:val="nil"/>
              <w:right w:val="nil"/>
            </w:tcBorders>
            <w:shd w:val="clear" w:color="auto" w:fill="FFFFFF"/>
            <w:tcMar>
              <w:left w:w="67" w:type="dxa"/>
              <w:right w:w="67" w:type="dxa"/>
            </w:tcMar>
          </w:tcPr>
          <w:p w14:paraId="36DE0ED4" w14:textId="77777777" w:rsidR="00E07CDE" w:rsidRPr="00563AD3" w:rsidRDefault="00E07CDE" w:rsidP="004818D9">
            <w:pPr>
              <w:spacing w:before="67" w:after="67" w:line="240" w:lineRule="auto"/>
              <w:jc w:val="right"/>
              <w:rPr>
                <w:rFonts w:eastAsia="Times New Roman"/>
                <w:color w:val="000000"/>
                <w:sz w:val="14"/>
                <w:szCs w:val="14"/>
              </w:rPr>
            </w:pPr>
          </w:p>
        </w:tc>
        <w:tc>
          <w:tcPr>
            <w:tcW w:w="850" w:type="dxa"/>
            <w:tcBorders>
              <w:top w:val="nil"/>
              <w:left w:val="nil"/>
              <w:bottom w:val="nil"/>
              <w:right w:val="nil"/>
            </w:tcBorders>
            <w:shd w:val="clear" w:color="auto" w:fill="FFFFFF"/>
            <w:tcMar>
              <w:left w:w="67" w:type="dxa"/>
              <w:right w:w="67" w:type="dxa"/>
            </w:tcMar>
          </w:tcPr>
          <w:p w14:paraId="7FEBA292" w14:textId="77777777" w:rsidR="00E07CDE" w:rsidRPr="00563AD3" w:rsidRDefault="00E07CDE" w:rsidP="004818D9">
            <w:pPr>
              <w:spacing w:before="67" w:after="67" w:line="240" w:lineRule="auto"/>
              <w:jc w:val="right"/>
              <w:rPr>
                <w:rFonts w:eastAsia="Times New Roman"/>
                <w:color w:val="000000"/>
                <w:sz w:val="14"/>
                <w:szCs w:val="14"/>
              </w:rPr>
            </w:pPr>
          </w:p>
        </w:tc>
        <w:tc>
          <w:tcPr>
            <w:tcW w:w="851" w:type="dxa"/>
            <w:tcBorders>
              <w:top w:val="nil"/>
              <w:left w:val="nil"/>
              <w:bottom w:val="nil"/>
              <w:right w:val="nil"/>
            </w:tcBorders>
            <w:shd w:val="clear" w:color="auto" w:fill="FFFFFF"/>
            <w:tcMar>
              <w:left w:w="67" w:type="dxa"/>
              <w:right w:w="67" w:type="dxa"/>
            </w:tcMar>
          </w:tcPr>
          <w:p w14:paraId="0DC8A6CA" w14:textId="77777777" w:rsidR="00E07CDE" w:rsidRPr="00563AD3" w:rsidRDefault="00E07CDE" w:rsidP="004818D9">
            <w:pPr>
              <w:spacing w:before="67" w:after="67" w:line="240" w:lineRule="auto"/>
              <w:jc w:val="right"/>
              <w:rPr>
                <w:rFonts w:eastAsia="Times New Roman"/>
                <w:color w:val="000000"/>
                <w:sz w:val="14"/>
                <w:szCs w:val="14"/>
              </w:rPr>
            </w:pPr>
          </w:p>
        </w:tc>
        <w:tc>
          <w:tcPr>
            <w:tcW w:w="795" w:type="dxa"/>
            <w:tcBorders>
              <w:top w:val="nil"/>
              <w:left w:val="nil"/>
              <w:bottom w:val="nil"/>
              <w:right w:val="nil"/>
            </w:tcBorders>
            <w:shd w:val="clear" w:color="auto" w:fill="FFFFFF"/>
            <w:tcMar>
              <w:left w:w="67" w:type="dxa"/>
              <w:right w:w="67" w:type="dxa"/>
            </w:tcMar>
          </w:tcPr>
          <w:p w14:paraId="65B34EA6" w14:textId="77777777" w:rsidR="00E07CDE" w:rsidRPr="00563AD3" w:rsidRDefault="00E07CDE" w:rsidP="004818D9">
            <w:pPr>
              <w:spacing w:before="67" w:after="67" w:line="240" w:lineRule="auto"/>
              <w:jc w:val="right"/>
              <w:rPr>
                <w:rFonts w:eastAsia="Times New Roman"/>
                <w:color w:val="000000"/>
                <w:sz w:val="14"/>
                <w:szCs w:val="14"/>
              </w:rPr>
            </w:pPr>
          </w:p>
        </w:tc>
        <w:tc>
          <w:tcPr>
            <w:tcW w:w="795" w:type="dxa"/>
            <w:tcBorders>
              <w:top w:val="nil"/>
              <w:left w:val="nil"/>
              <w:bottom w:val="nil"/>
              <w:right w:val="nil"/>
            </w:tcBorders>
            <w:shd w:val="clear" w:color="auto" w:fill="FFFFFF"/>
            <w:tcMar>
              <w:left w:w="67" w:type="dxa"/>
              <w:right w:w="67" w:type="dxa"/>
            </w:tcMar>
          </w:tcPr>
          <w:p w14:paraId="2ADD2A25" w14:textId="77777777" w:rsidR="00E07CDE" w:rsidRPr="00563AD3" w:rsidRDefault="00E07CDE" w:rsidP="004818D9">
            <w:pPr>
              <w:spacing w:before="67" w:after="67" w:line="240" w:lineRule="auto"/>
              <w:jc w:val="right"/>
              <w:rPr>
                <w:rFonts w:eastAsia="Times New Roman"/>
                <w:color w:val="000000"/>
                <w:sz w:val="14"/>
                <w:szCs w:val="14"/>
              </w:rPr>
            </w:pPr>
          </w:p>
        </w:tc>
        <w:tc>
          <w:tcPr>
            <w:tcW w:w="795" w:type="dxa"/>
            <w:tcBorders>
              <w:top w:val="nil"/>
              <w:left w:val="nil"/>
              <w:bottom w:val="nil"/>
              <w:right w:val="nil"/>
            </w:tcBorders>
            <w:shd w:val="clear" w:color="auto" w:fill="FFFFFF"/>
            <w:tcMar>
              <w:left w:w="67" w:type="dxa"/>
              <w:right w:w="67" w:type="dxa"/>
            </w:tcMar>
          </w:tcPr>
          <w:p w14:paraId="01A6A03E" w14:textId="77777777" w:rsidR="00E07CDE" w:rsidRPr="00563AD3" w:rsidRDefault="00E07CDE" w:rsidP="004818D9">
            <w:pPr>
              <w:spacing w:before="67" w:after="67" w:line="240" w:lineRule="auto"/>
              <w:jc w:val="right"/>
              <w:rPr>
                <w:rFonts w:eastAsia="Times New Roman"/>
                <w:color w:val="000000"/>
                <w:sz w:val="14"/>
                <w:szCs w:val="14"/>
              </w:rPr>
            </w:pPr>
          </w:p>
        </w:tc>
        <w:tc>
          <w:tcPr>
            <w:tcW w:w="884" w:type="dxa"/>
            <w:tcBorders>
              <w:top w:val="nil"/>
              <w:left w:val="nil"/>
              <w:bottom w:val="nil"/>
              <w:right w:val="nil"/>
            </w:tcBorders>
            <w:shd w:val="clear" w:color="auto" w:fill="FFFFFF"/>
            <w:tcMar>
              <w:left w:w="67" w:type="dxa"/>
              <w:right w:w="67" w:type="dxa"/>
            </w:tcMar>
          </w:tcPr>
          <w:p w14:paraId="705E12FB" w14:textId="77777777" w:rsidR="00E07CDE" w:rsidRPr="00563AD3" w:rsidRDefault="00E07CDE" w:rsidP="004818D9">
            <w:pPr>
              <w:spacing w:before="67" w:after="67" w:line="240" w:lineRule="auto"/>
              <w:jc w:val="right"/>
              <w:rPr>
                <w:rFonts w:eastAsia="Times New Roman"/>
                <w:color w:val="000000"/>
                <w:sz w:val="14"/>
                <w:szCs w:val="14"/>
              </w:rPr>
            </w:pPr>
          </w:p>
        </w:tc>
        <w:tc>
          <w:tcPr>
            <w:tcW w:w="851" w:type="dxa"/>
            <w:gridSpan w:val="2"/>
            <w:tcBorders>
              <w:top w:val="nil"/>
              <w:left w:val="nil"/>
              <w:bottom w:val="nil"/>
              <w:right w:val="nil"/>
            </w:tcBorders>
            <w:shd w:val="clear" w:color="auto" w:fill="FFFFFF"/>
            <w:tcMar>
              <w:left w:w="67" w:type="dxa"/>
              <w:right w:w="67" w:type="dxa"/>
            </w:tcMar>
          </w:tcPr>
          <w:p w14:paraId="640B2AAF" w14:textId="77777777" w:rsidR="00E07CDE" w:rsidRPr="00563AD3" w:rsidRDefault="00E07CDE" w:rsidP="004818D9">
            <w:pPr>
              <w:spacing w:before="67" w:after="67" w:line="240" w:lineRule="auto"/>
              <w:jc w:val="right"/>
              <w:rPr>
                <w:rFonts w:eastAsia="Times New Roman"/>
                <w:color w:val="000000"/>
                <w:sz w:val="14"/>
                <w:szCs w:val="14"/>
              </w:rPr>
            </w:pPr>
          </w:p>
        </w:tc>
        <w:tc>
          <w:tcPr>
            <w:tcW w:w="992" w:type="dxa"/>
            <w:gridSpan w:val="3"/>
            <w:tcBorders>
              <w:top w:val="nil"/>
              <w:left w:val="nil"/>
              <w:bottom w:val="nil"/>
              <w:right w:val="nil"/>
            </w:tcBorders>
            <w:shd w:val="clear" w:color="auto" w:fill="FFFFFF"/>
            <w:tcMar>
              <w:left w:w="67" w:type="dxa"/>
              <w:right w:w="67" w:type="dxa"/>
            </w:tcMar>
          </w:tcPr>
          <w:p w14:paraId="1B715890" w14:textId="77777777" w:rsidR="00E07CDE" w:rsidRPr="00563AD3" w:rsidRDefault="00E07CDE" w:rsidP="004818D9">
            <w:pPr>
              <w:spacing w:before="67" w:after="67" w:line="240" w:lineRule="auto"/>
              <w:jc w:val="right"/>
              <w:rPr>
                <w:rFonts w:eastAsia="Times New Roman"/>
                <w:color w:val="000000"/>
                <w:sz w:val="14"/>
                <w:szCs w:val="14"/>
              </w:rPr>
            </w:pPr>
          </w:p>
        </w:tc>
        <w:tc>
          <w:tcPr>
            <w:tcW w:w="904" w:type="dxa"/>
            <w:tcBorders>
              <w:top w:val="nil"/>
              <w:left w:val="nil"/>
              <w:bottom w:val="nil"/>
              <w:right w:val="nil"/>
            </w:tcBorders>
            <w:shd w:val="clear" w:color="auto" w:fill="FFFFFF"/>
            <w:tcMar>
              <w:left w:w="67" w:type="dxa"/>
              <w:right w:w="67" w:type="dxa"/>
            </w:tcMar>
          </w:tcPr>
          <w:p w14:paraId="665F4FBF" w14:textId="77777777" w:rsidR="00E07CDE" w:rsidRPr="00563AD3" w:rsidRDefault="00E07CDE" w:rsidP="004818D9">
            <w:pPr>
              <w:spacing w:before="67" w:after="67" w:line="240" w:lineRule="auto"/>
              <w:jc w:val="right"/>
              <w:rPr>
                <w:rFonts w:eastAsia="Times New Roman"/>
                <w:color w:val="000000"/>
                <w:sz w:val="14"/>
                <w:szCs w:val="14"/>
              </w:rPr>
            </w:pPr>
          </w:p>
        </w:tc>
        <w:tc>
          <w:tcPr>
            <w:tcW w:w="939" w:type="dxa"/>
            <w:tcBorders>
              <w:top w:val="nil"/>
              <w:left w:val="nil"/>
              <w:bottom w:val="nil"/>
              <w:right w:val="single" w:sz="4" w:space="0" w:color="auto"/>
            </w:tcBorders>
            <w:shd w:val="clear" w:color="auto" w:fill="FFFFFF"/>
            <w:tcMar>
              <w:left w:w="67" w:type="dxa"/>
              <w:right w:w="67" w:type="dxa"/>
            </w:tcMar>
          </w:tcPr>
          <w:p w14:paraId="71833E81" w14:textId="77777777" w:rsidR="00E07CDE" w:rsidRPr="00563AD3" w:rsidRDefault="00E07CDE" w:rsidP="004818D9">
            <w:pPr>
              <w:spacing w:before="67" w:after="67" w:line="240" w:lineRule="auto"/>
              <w:jc w:val="right"/>
              <w:rPr>
                <w:rFonts w:eastAsia="Times New Roman"/>
                <w:color w:val="000000"/>
                <w:sz w:val="14"/>
                <w:szCs w:val="14"/>
              </w:rPr>
            </w:pPr>
          </w:p>
        </w:tc>
      </w:tr>
      <w:tr w:rsidR="00E07CDE" w:rsidRPr="00563AD3" w14:paraId="502B0E01" w14:textId="77777777" w:rsidTr="00C163F3">
        <w:trPr>
          <w:cantSplit/>
          <w:jc w:val="center"/>
        </w:trPr>
        <w:tc>
          <w:tcPr>
            <w:tcW w:w="1586" w:type="dxa"/>
            <w:tcBorders>
              <w:top w:val="nil"/>
              <w:left w:val="single" w:sz="4" w:space="0" w:color="auto"/>
              <w:bottom w:val="nil"/>
              <w:right w:val="nil"/>
            </w:tcBorders>
            <w:shd w:val="clear" w:color="auto" w:fill="FFFFFF"/>
            <w:tcMar>
              <w:left w:w="67" w:type="dxa"/>
              <w:right w:w="67" w:type="dxa"/>
            </w:tcMar>
          </w:tcPr>
          <w:p w14:paraId="09DC05E3"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Delusions</w:t>
            </w:r>
          </w:p>
        </w:tc>
        <w:tc>
          <w:tcPr>
            <w:tcW w:w="995" w:type="dxa"/>
            <w:tcBorders>
              <w:top w:val="nil"/>
              <w:left w:val="nil"/>
              <w:bottom w:val="nil"/>
              <w:right w:val="nil"/>
            </w:tcBorders>
            <w:shd w:val="clear" w:color="auto" w:fill="FFFFFF"/>
            <w:tcMar>
              <w:left w:w="67" w:type="dxa"/>
              <w:right w:w="67" w:type="dxa"/>
            </w:tcMar>
          </w:tcPr>
          <w:p w14:paraId="58DA99F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33 (13.5%)245</w:t>
            </w:r>
          </w:p>
        </w:tc>
        <w:tc>
          <w:tcPr>
            <w:tcW w:w="1056" w:type="dxa"/>
            <w:tcBorders>
              <w:top w:val="nil"/>
              <w:left w:val="nil"/>
              <w:bottom w:val="nil"/>
              <w:right w:val="nil"/>
            </w:tcBorders>
            <w:shd w:val="clear" w:color="auto" w:fill="FFFFFF"/>
            <w:tcMar>
              <w:left w:w="67" w:type="dxa"/>
              <w:right w:w="67" w:type="dxa"/>
            </w:tcMar>
          </w:tcPr>
          <w:p w14:paraId="5550D9DD" w14:textId="3CA4A351"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42 </w:t>
            </w:r>
            <w:r w:rsidR="008F0DD8">
              <w:rPr>
                <w:rFonts w:eastAsia="Times New Roman"/>
                <w:color w:val="000000"/>
                <w:sz w:val="14"/>
                <w:szCs w:val="14"/>
              </w:rPr>
              <w:t xml:space="preserve"> </w:t>
            </w:r>
            <w:r w:rsidRPr="00563AD3">
              <w:rPr>
                <w:rFonts w:eastAsia="Times New Roman"/>
                <w:color w:val="000000"/>
                <w:sz w:val="14"/>
                <w:szCs w:val="14"/>
              </w:rPr>
              <w:t>(13.2%)319</w:t>
            </w:r>
          </w:p>
        </w:tc>
        <w:tc>
          <w:tcPr>
            <w:tcW w:w="1169" w:type="dxa"/>
            <w:tcBorders>
              <w:top w:val="nil"/>
              <w:left w:val="nil"/>
              <w:bottom w:val="nil"/>
              <w:right w:val="nil"/>
            </w:tcBorders>
            <w:shd w:val="clear" w:color="auto" w:fill="FFFFFF"/>
            <w:tcMar>
              <w:left w:w="67" w:type="dxa"/>
              <w:right w:w="67" w:type="dxa"/>
            </w:tcMar>
          </w:tcPr>
          <w:p w14:paraId="19C2E448" w14:textId="68359094"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75</w:t>
            </w:r>
            <w:r w:rsidR="008F0DD8">
              <w:rPr>
                <w:rFonts w:eastAsia="Times New Roman"/>
                <w:color w:val="000000"/>
                <w:sz w:val="14"/>
                <w:szCs w:val="14"/>
              </w:rPr>
              <w:t xml:space="preserve">   </w:t>
            </w:r>
            <w:r w:rsidRPr="00563AD3">
              <w:rPr>
                <w:rFonts w:eastAsia="Times New Roman"/>
                <w:color w:val="000000"/>
                <w:sz w:val="14"/>
                <w:szCs w:val="14"/>
              </w:rPr>
              <w:t xml:space="preserve"> (13.3%)564</w:t>
            </w:r>
          </w:p>
        </w:tc>
        <w:tc>
          <w:tcPr>
            <w:tcW w:w="850" w:type="dxa"/>
            <w:tcBorders>
              <w:top w:val="nil"/>
              <w:left w:val="nil"/>
              <w:bottom w:val="nil"/>
              <w:right w:val="nil"/>
            </w:tcBorders>
            <w:shd w:val="clear" w:color="auto" w:fill="FFFFFF"/>
            <w:tcMar>
              <w:left w:w="67" w:type="dxa"/>
              <w:right w:w="67" w:type="dxa"/>
            </w:tcMar>
          </w:tcPr>
          <w:p w14:paraId="64BC4E5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2.5 (1) 2</w:t>
            </w:r>
          </w:p>
        </w:tc>
        <w:tc>
          <w:tcPr>
            <w:tcW w:w="851" w:type="dxa"/>
            <w:tcBorders>
              <w:top w:val="nil"/>
              <w:left w:val="nil"/>
              <w:bottom w:val="nil"/>
              <w:right w:val="nil"/>
            </w:tcBorders>
            <w:shd w:val="clear" w:color="auto" w:fill="FFFFFF"/>
            <w:tcMar>
              <w:left w:w="67" w:type="dxa"/>
              <w:right w:w="67" w:type="dxa"/>
            </w:tcMar>
          </w:tcPr>
          <w:p w14:paraId="27160B3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2.4 (1.01) 0</w:t>
            </w:r>
          </w:p>
        </w:tc>
        <w:tc>
          <w:tcPr>
            <w:tcW w:w="850" w:type="dxa"/>
            <w:tcBorders>
              <w:top w:val="nil"/>
              <w:left w:val="nil"/>
              <w:bottom w:val="nil"/>
              <w:right w:val="nil"/>
            </w:tcBorders>
            <w:shd w:val="clear" w:color="auto" w:fill="FFFFFF"/>
            <w:tcMar>
              <w:left w:w="67" w:type="dxa"/>
              <w:right w:w="67" w:type="dxa"/>
            </w:tcMar>
          </w:tcPr>
          <w:p w14:paraId="13B90BE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2.4 (1) 2</w:t>
            </w:r>
          </w:p>
        </w:tc>
        <w:tc>
          <w:tcPr>
            <w:tcW w:w="851" w:type="dxa"/>
            <w:tcBorders>
              <w:top w:val="nil"/>
              <w:left w:val="nil"/>
              <w:bottom w:val="nil"/>
              <w:right w:val="nil"/>
            </w:tcBorders>
            <w:shd w:val="clear" w:color="auto" w:fill="FFFFFF"/>
            <w:tcMar>
              <w:left w:w="67" w:type="dxa"/>
              <w:right w:w="67" w:type="dxa"/>
            </w:tcMar>
          </w:tcPr>
          <w:p w14:paraId="3D099AD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(0.68) 2</w:t>
            </w:r>
          </w:p>
        </w:tc>
        <w:tc>
          <w:tcPr>
            <w:tcW w:w="795" w:type="dxa"/>
            <w:tcBorders>
              <w:top w:val="nil"/>
              <w:left w:val="nil"/>
              <w:bottom w:val="nil"/>
              <w:right w:val="nil"/>
            </w:tcBorders>
            <w:shd w:val="clear" w:color="auto" w:fill="FFFFFF"/>
            <w:tcMar>
              <w:left w:w="67" w:type="dxa"/>
              <w:right w:w="67" w:type="dxa"/>
            </w:tcMar>
          </w:tcPr>
          <w:p w14:paraId="34861DB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(0.67) 0</w:t>
            </w:r>
          </w:p>
        </w:tc>
        <w:tc>
          <w:tcPr>
            <w:tcW w:w="795" w:type="dxa"/>
            <w:tcBorders>
              <w:top w:val="nil"/>
              <w:left w:val="nil"/>
              <w:bottom w:val="nil"/>
              <w:right w:val="nil"/>
            </w:tcBorders>
            <w:shd w:val="clear" w:color="auto" w:fill="FFFFFF"/>
            <w:tcMar>
              <w:left w:w="67" w:type="dxa"/>
              <w:right w:w="67" w:type="dxa"/>
            </w:tcMar>
          </w:tcPr>
          <w:p w14:paraId="182F001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(0.67) 2</w:t>
            </w:r>
          </w:p>
        </w:tc>
        <w:tc>
          <w:tcPr>
            <w:tcW w:w="795" w:type="dxa"/>
            <w:tcBorders>
              <w:top w:val="nil"/>
              <w:left w:val="nil"/>
              <w:bottom w:val="nil"/>
              <w:right w:val="nil"/>
            </w:tcBorders>
            <w:shd w:val="clear" w:color="auto" w:fill="FFFFFF"/>
            <w:tcMar>
              <w:left w:w="67" w:type="dxa"/>
              <w:right w:w="67" w:type="dxa"/>
            </w:tcMar>
          </w:tcPr>
          <w:p w14:paraId="5E239A4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(1.19) 2</w:t>
            </w:r>
          </w:p>
        </w:tc>
        <w:tc>
          <w:tcPr>
            <w:tcW w:w="884" w:type="dxa"/>
            <w:tcBorders>
              <w:top w:val="nil"/>
              <w:left w:val="nil"/>
              <w:bottom w:val="nil"/>
              <w:right w:val="nil"/>
            </w:tcBorders>
            <w:shd w:val="clear" w:color="auto" w:fill="FFFFFF"/>
            <w:tcMar>
              <w:left w:w="67" w:type="dxa"/>
              <w:right w:w="67" w:type="dxa"/>
            </w:tcMar>
          </w:tcPr>
          <w:p w14:paraId="16E2251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(1.19) 0</w:t>
            </w:r>
          </w:p>
        </w:tc>
        <w:tc>
          <w:tcPr>
            <w:tcW w:w="851" w:type="dxa"/>
            <w:gridSpan w:val="2"/>
            <w:tcBorders>
              <w:top w:val="nil"/>
              <w:left w:val="nil"/>
              <w:bottom w:val="nil"/>
              <w:right w:val="nil"/>
            </w:tcBorders>
            <w:shd w:val="clear" w:color="auto" w:fill="FFFFFF"/>
            <w:tcMar>
              <w:left w:w="67" w:type="dxa"/>
              <w:right w:w="67" w:type="dxa"/>
            </w:tcMar>
          </w:tcPr>
          <w:p w14:paraId="7CB54C3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(1.19) 2</w:t>
            </w:r>
          </w:p>
        </w:tc>
        <w:tc>
          <w:tcPr>
            <w:tcW w:w="992" w:type="dxa"/>
            <w:gridSpan w:val="3"/>
            <w:tcBorders>
              <w:top w:val="nil"/>
              <w:left w:val="nil"/>
              <w:bottom w:val="nil"/>
              <w:right w:val="nil"/>
            </w:tcBorders>
            <w:shd w:val="clear" w:color="auto" w:fill="FFFFFF"/>
            <w:tcMar>
              <w:left w:w="67" w:type="dxa"/>
              <w:right w:w="67" w:type="dxa"/>
            </w:tcMar>
          </w:tcPr>
          <w:p w14:paraId="52393BD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4.7 (3.07) 2</w:t>
            </w:r>
          </w:p>
        </w:tc>
        <w:tc>
          <w:tcPr>
            <w:tcW w:w="904" w:type="dxa"/>
            <w:tcBorders>
              <w:top w:val="nil"/>
              <w:left w:val="nil"/>
              <w:bottom w:val="nil"/>
              <w:right w:val="nil"/>
            </w:tcBorders>
            <w:shd w:val="clear" w:color="auto" w:fill="FFFFFF"/>
            <w:tcMar>
              <w:left w:w="67" w:type="dxa"/>
              <w:right w:w="67" w:type="dxa"/>
            </w:tcMar>
          </w:tcPr>
          <w:p w14:paraId="78BA402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4.3 (2.99) 0</w:t>
            </w:r>
          </w:p>
        </w:tc>
        <w:tc>
          <w:tcPr>
            <w:tcW w:w="939" w:type="dxa"/>
            <w:tcBorders>
              <w:top w:val="nil"/>
              <w:left w:val="nil"/>
              <w:bottom w:val="nil"/>
              <w:right w:val="single" w:sz="4" w:space="0" w:color="auto"/>
            </w:tcBorders>
            <w:shd w:val="clear" w:color="auto" w:fill="FFFFFF"/>
            <w:tcMar>
              <w:left w:w="67" w:type="dxa"/>
              <w:right w:w="67" w:type="dxa"/>
            </w:tcMar>
          </w:tcPr>
          <w:p w14:paraId="1C3C4B8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4.4 (3.01) 2</w:t>
            </w:r>
          </w:p>
        </w:tc>
      </w:tr>
      <w:tr w:rsidR="00E07CDE" w:rsidRPr="00563AD3" w14:paraId="405B6ADF" w14:textId="77777777" w:rsidTr="00C163F3">
        <w:trPr>
          <w:cantSplit/>
          <w:jc w:val="center"/>
        </w:trPr>
        <w:tc>
          <w:tcPr>
            <w:tcW w:w="1586" w:type="dxa"/>
            <w:tcBorders>
              <w:top w:val="nil"/>
              <w:left w:val="single" w:sz="4" w:space="0" w:color="auto"/>
              <w:bottom w:val="nil"/>
              <w:right w:val="nil"/>
            </w:tcBorders>
            <w:shd w:val="clear" w:color="auto" w:fill="FFFFFF"/>
            <w:tcMar>
              <w:left w:w="67" w:type="dxa"/>
              <w:right w:w="67" w:type="dxa"/>
            </w:tcMar>
          </w:tcPr>
          <w:p w14:paraId="1EC51588"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Hallucinations</w:t>
            </w:r>
          </w:p>
        </w:tc>
        <w:tc>
          <w:tcPr>
            <w:tcW w:w="995" w:type="dxa"/>
            <w:tcBorders>
              <w:top w:val="nil"/>
              <w:left w:val="nil"/>
              <w:bottom w:val="nil"/>
              <w:right w:val="nil"/>
            </w:tcBorders>
            <w:shd w:val="clear" w:color="auto" w:fill="FFFFFF"/>
            <w:tcMar>
              <w:left w:w="67" w:type="dxa"/>
              <w:right w:w="67" w:type="dxa"/>
            </w:tcMar>
          </w:tcPr>
          <w:p w14:paraId="09D7BBB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(10.6%)245</w:t>
            </w:r>
          </w:p>
        </w:tc>
        <w:tc>
          <w:tcPr>
            <w:tcW w:w="1056" w:type="dxa"/>
            <w:tcBorders>
              <w:top w:val="nil"/>
              <w:left w:val="nil"/>
              <w:bottom w:val="nil"/>
              <w:right w:val="nil"/>
            </w:tcBorders>
            <w:shd w:val="clear" w:color="auto" w:fill="FFFFFF"/>
            <w:tcMar>
              <w:left w:w="67" w:type="dxa"/>
              <w:right w:w="67" w:type="dxa"/>
            </w:tcMar>
          </w:tcPr>
          <w:p w14:paraId="3449A6B0" w14:textId="6B6484E6"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29 </w:t>
            </w:r>
            <w:r w:rsidR="008F0DD8">
              <w:rPr>
                <w:rFonts w:eastAsia="Times New Roman"/>
                <w:color w:val="000000"/>
                <w:sz w:val="14"/>
                <w:szCs w:val="14"/>
              </w:rPr>
              <w:t xml:space="preserve">   </w:t>
            </w:r>
            <w:r w:rsidRPr="00563AD3">
              <w:rPr>
                <w:rFonts w:eastAsia="Times New Roman"/>
                <w:color w:val="000000"/>
                <w:sz w:val="14"/>
                <w:szCs w:val="14"/>
              </w:rPr>
              <w:t>(9.1%)319</w:t>
            </w:r>
          </w:p>
        </w:tc>
        <w:tc>
          <w:tcPr>
            <w:tcW w:w="1169" w:type="dxa"/>
            <w:tcBorders>
              <w:top w:val="nil"/>
              <w:left w:val="nil"/>
              <w:bottom w:val="nil"/>
              <w:right w:val="nil"/>
            </w:tcBorders>
            <w:shd w:val="clear" w:color="auto" w:fill="FFFFFF"/>
            <w:tcMar>
              <w:left w:w="67" w:type="dxa"/>
              <w:right w:w="67" w:type="dxa"/>
            </w:tcMar>
          </w:tcPr>
          <w:p w14:paraId="088C78CB" w14:textId="3732D35A"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55 </w:t>
            </w:r>
            <w:r w:rsidR="008F0DD8">
              <w:rPr>
                <w:rFonts w:eastAsia="Times New Roman"/>
                <w:color w:val="000000"/>
                <w:sz w:val="14"/>
                <w:szCs w:val="14"/>
              </w:rPr>
              <w:t xml:space="preserve">     </w:t>
            </w:r>
            <w:r w:rsidRPr="00563AD3">
              <w:rPr>
                <w:rFonts w:eastAsia="Times New Roman"/>
                <w:color w:val="000000"/>
                <w:sz w:val="14"/>
                <w:szCs w:val="14"/>
              </w:rPr>
              <w:t>(9.8%)564</w:t>
            </w:r>
          </w:p>
        </w:tc>
        <w:tc>
          <w:tcPr>
            <w:tcW w:w="850" w:type="dxa"/>
            <w:tcBorders>
              <w:top w:val="nil"/>
              <w:left w:val="nil"/>
              <w:bottom w:val="nil"/>
              <w:right w:val="nil"/>
            </w:tcBorders>
            <w:shd w:val="clear" w:color="auto" w:fill="FFFFFF"/>
            <w:tcMar>
              <w:left w:w="67" w:type="dxa"/>
              <w:right w:w="67" w:type="dxa"/>
            </w:tcMar>
          </w:tcPr>
          <w:p w14:paraId="1002C8D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 (0.88) 0</w:t>
            </w:r>
          </w:p>
        </w:tc>
        <w:tc>
          <w:tcPr>
            <w:tcW w:w="851" w:type="dxa"/>
            <w:tcBorders>
              <w:top w:val="nil"/>
              <w:left w:val="nil"/>
              <w:bottom w:val="nil"/>
              <w:right w:val="nil"/>
            </w:tcBorders>
            <w:shd w:val="clear" w:color="auto" w:fill="FFFFFF"/>
            <w:tcMar>
              <w:left w:w="67" w:type="dxa"/>
              <w:right w:w="67" w:type="dxa"/>
            </w:tcMar>
          </w:tcPr>
          <w:p w14:paraId="55DF58F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(0.98) 0</w:t>
            </w:r>
          </w:p>
        </w:tc>
        <w:tc>
          <w:tcPr>
            <w:tcW w:w="850" w:type="dxa"/>
            <w:tcBorders>
              <w:top w:val="nil"/>
              <w:left w:val="nil"/>
              <w:bottom w:val="nil"/>
              <w:right w:val="nil"/>
            </w:tcBorders>
            <w:shd w:val="clear" w:color="auto" w:fill="FFFFFF"/>
            <w:tcMar>
              <w:left w:w="67" w:type="dxa"/>
              <w:right w:w="67" w:type="dxa"/>
            </w:tcMar>
          </w:tcPr>
          <w:p w14:paraId="7465B1E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2.7 (0.94) 0</w:t>
            </w:r>
          </w:p>
        </w:tc>
        <w:tc>
          <w:tcPr>
            <w:tcW w:w="851" w:type="dxa"/>
            <w:tcBorders>
              <w:top w:val="nil"/>
              <w:left w:val="nil"/>
              <w:bottom w:val="nil"/>
              <w:right w:val="nil"/>
            </w:tcBorders>
            <w:shd w:val="clear" w:color="auto" w:fill="FFFFFF"/>
            <w:tcMar>
              <w:left w:w="67" w:type="dxa"/>
              <w:right w:w="67" w:type="dxa"/>
            </w:tcMar>
          </w:tcPr>
          <w:p w14:paraId="7C67F75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(0.71) 0</w:t>
            </w:r>
          </w:p>
        </w:tc>
        <w:tc>
          <w:tcPr>
            <w:tcW w:w="795" w:type="dxa"/>
            <w:tcBorders>
              <w:top w:val="nil"/>
              <w:left w:val="nil"/>
              <w:bottom w:val="nil"/>
              <w:right w:val="nil"/>
            </w:tcBorders>
            <w:shd w:val="clear" w:color="auto" w:fill="FFFFFF"/>
            <w:tcMar>
              <w:left w:w="67" w:type="dxa"/>
              <w:right w:w="67" w:type="dxa"/>
            </w:tcMar>
          </w:tcPr>
          <w:p w14:paraId="3B89870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(0.57) 0</w:t>
            </w:r>
          </w:p>
        </w:tc>
        <w:tc>
          <w:tcPr>
            <w:tcW w:w="795" w:type="dxa"/>
            <w:tcBorders>
              <w:top w:val="nil"/>
              <w:left w:val="nil"/>
              <w:bottom w:val="nil"/>
              <w:right w:val="nil"/>
            </w:tcBorders>
            <w:shd w:val="clear" w:color="auto" w:fill="FFFFFF"/>
            <w:tcMar>
              <w:left w:w="67" w:type="dxa"/>
              <w:right w:w="67" w:type="dxa"/>
            </w:tcMar>
          </w:tcPr>
          <w:p w14:paraId="260DBBB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(0.63) 0</w:t>
            </w:r>
          </w:p>
        </w:tc>
        <w:tc>
          <w:tcPr>
            <w:tcW w:w="795" w:type="dxa"/>
            <w:tcBorders>
              <w:top w:val="nil"/>
              <w:left w:val="nil"/>
              <w:bottom w:val="nil"/>
              <w:right w:val="nil"/>
            </w:tcBorders>
            <w:shd w:val="clear" w:color="auto" w:fill="FFFFFF"/>
            <w:tcMar>
              <w:left w:w="67" w:type="dxa"/>
              <w:right w:w="67" w:type="dxa"/>
            </w:tcMar>
          </w:tcPr>
          <w:p w14:paraId="77E7EAD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 (1.12) 0</w:t>
            </w:r>
          </w:p>
        </w:tc>
        <w:tc>
          <w:tcPr>
            <w:tcW w:w="884" w:type="dxa"/>
            <w:tcBorders>
              <w:top w:val="nil"/>
              <w:left w:val="nil"/>
              <w:bottom w:val="nil"/>
              <w:right w:val="nil"/>
            </w:tcBorders>
            <w:shd w:val="clear" w:color="auto" w:fill="FFFFFF"/>
            <w:tcMar>
              <w:left w:w="67" w:type="dxa"/>
              <w:right w:w="67" w:type="dxa"/>
            </w:tcMar>
          </w:tcPr>
          <w:p w14:paraId="172A431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0.7 (0.84) 0</w:t>
            </w:r>
          </w:p>
        </w:tc>
        <w:tc>
          <w:tcPr>
            <w:tcW w:w="851" w:type="dxa"/>
            <w:gridSpan w:val="2"/>
            <w:tcBorders>
              <w:top w:val="nil"/>
              <w:left w:val="nil"/>
              <w:bottom w:val="nil"/>
              <w:right w:val="nil"/>
            </w:tcBorders>
            <w:shd w:val="clear" w:color="auto" w:fill="FFFFFF"/>
            <w:tcMar>
              <w:left w:w="67" w:type="dxa"/>
              <w:right w:w="67" w:type="dxa"/>
            </w:tcMar>
          </w:tcPr>
          <w:p w14:paraId="4B5D316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0.9 (1) 0</w:t>
            </w:r>
          </w:p>
        </w:tc>
        <w:tc>
          <w:tcPr>
            <w:tcW w:w="992" w:type="dxa"/>
            <w:gridSpan w:val="3"/>
            <w:tcBorders>
              <w:top w:val="nil"/>
              <w:left w:val="nil"/>
              <w:bottom w:val="nil"/>
              <w:right w:val="nil"/>
            </w:tcBorders>
            <w:shd w:val="clear" w:color="auto" w:fill="FFFFFF"/>
            <w:tcMar>
              <w:left w:w="67" w:type="dxa"/>
              <w:right w:w="67" w:type="dxa"/>
            </w:tcMar>
          </w:tcPr>
          <w:p w14:paraId="513D516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4.5 (2.72) 0</w:t>
            </w:r>
          </w:p>
        </w:tc>
        <w:tc>
          <w:tcPr>
            <w:tcW w:w="904" w:type="dxa"/>
            <w:tcBorders>
              <w:top w:val="nil"/>
              <w:left w:val="nil"/>
              <w:bottom w:val="nil"/>
              <w:right w:val="nil"/>
            </w:tcBorders>
            <w:shd w:val="clear" w:color="auto" w:fill="FFFFFF"/>
            <w:tcMar>
              <w:left w:w="67" w:type="dxa"/>
              <w:right w:w="67" w:type="dxa"/>
            </w:tcMar>
          </w:tcPr>
          <w:p w14:paraId="3867AD9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3.7 (1.91) 0</w:t>
            </w:r>
          </w:p>
        </w:tc>
        <w:tc>
          <w:tcPr>
            <w:tcW w:w="939" w:type="dxa"/>
            <w:tcBorders>
              <w:top w:val="nil"/>
              <w:left w:val="nil"/>
              <w:bottom w:val="nil"/>
              <w:right w:val="single" w:sz="4" w:space="0" w:color="auto"/>
            </w:tcBorders>
            <w:shd w:val="clear" w:color="auto" w:fill="FFFFFF"/>
            <w:tcMar>
              <w:left w:w="67" w:type="dxa"/>
              <w:right w:w="67" w:type="dxa"/>
            </w:tcMar>
          </w:tcPr>
          <w:p w14:paraId="7C7C1C6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4.1 (2.34) 0</w:t>
            </w:r>
          </w:p>
        </w:tc>
      </w:tr>
      <w:tr w:rsidR="00E07CDE" w:rsidRPr="00563AD3" w14:paraId="0BC85D1F" w14:textId="77777777" w:rsidTr="00C163F3">
        <w:trPr>
          <w:cantSplit/>
          <w:jc w:val="center"/>
        </w:trPr>
        <w:tc>
          <w:tcPr>
            <w:tcW w:w="1586" w:type="dxa"/>
            <w:tcBorders>
              <w:top w:val="nil"/>
              <w:left w:val="single" w:sz="4" w:space="0" w:color="auto"/>
              <w:bottom w:val="nil"/>
              <w:right w:val="nil"/>
            </w:tcBorders>
            <w:shd w:val="clear" w:color="auto" w:fill="FFFFFF"/>
            <w:tcMar>
              <w:left w:w="67" w:type="dxa"/>
              <w:right w:w="67" w:type="dxa"/>
            </w:tcMar>
          </w:tcPr>
          <w:p w14:paraId="0E1FCECC"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Agitation/Aggression</w:t>
            </w:r>
          </w:p>
        </w:tc>
        <w:tc>
          <w:tcPr>
            <w:tcW w:w="995" w:type="dxa"/>
            <w:tcBorders>
              <w:top w:val="nil"/>
              <w:left w:val="nil"/>
              <w:bottom w:val="nil"/>
              <w:right w:val="nil"/>
            </w:tcBorders>
            <w:shd w:val="clear" w:color="auto" w:fill="FFFFFF"/>
            <w:tcMar>
              <w:left w:w="67" w:type="dxa"/>
              <w:right w:w="67" w:type="dxa"/>
            </w:tcMar>
          </w:tcPr>
          <w:p w14:paraId="754D1D2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120 (49%)245</w:t>
            </w:r>
          </w:p>
        </w:tc>
        <w:tc>
          <w:tcPr>
            <w:tcW w:w="1056" w:type="dxa"/>
            <w:tcBorders>
              <w:top w:val="nil"/>
              <w:left w:val="nil"/>
              <w:bottom w:val="nil"/>
              <w:right w:val="nil"/>
            </w:tcBorders>
            <w:shd w:val="clear" w:color="auto" w:fill="FFFFFF"/>
            <w:tcMar>
              <w:left w:w="67" w:type="dxa"/>
              <w:right w:w="67" w:type="dxa"/>
            </w:tcMar>
          </w:tcPr>
          <w:p w14:paraId="2A64787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125 (39.2%)319</w:t>
            </w:r>
          </w:p>
        </w:tc>
        <w:tc>
          <w:tcPr>
            <w:tcW w:w="1169" w:type="dxa"/>
            <w:tcBorders>
              <w:top w:val="nil"/>
              <w:left w:val="nil"/>
              <w:bottom w:val="nil"/>
              <w:right w:val="nil"/>
            </w:tcBorders>
            <w:shd w:val="clear" w:color="auto" w:fill="FFFFFF"/>
            <w:tcMar>
              <w:left w:w="67" w:type="dxa"/>
              <w:right w:w="67" w:type="dxa"/>
            </w:tcMar>
          </w:tcPr>
          <w:p w14:paraId="6B6DA36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245 (43.4%)564</w:t>
            </w:r>
          </w:p>
        </w:tc>
        <w:tc>
          <w:tcPr>
            <w:tcW w:w="850" w:type="dxa"/>
            <w:tcBorders>
              <w:top w:val="nil"/>
              <w:left w:val="nil"/>
              <w:bottom w:val="nil"/>
              <w:right w:val="nil"/>
            </w:tcBorders>
            <w:shd w:val="clear" w:color="auto" w:fill="FFFFFF"/>
            <w:tcMar>
              <w:left w:w="67" w:type="dxa"/>
              <w:right w:w="67" w:type="dxa"/>
            </w:tcMar>
          </w:tcPr>
          <w:p w14:paraId="682369A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2.9 (0.89) 0</w:t>
            </w:r>
          </w:p>
        </w:tc>
        <w:tc>
          <w:tcPr>
            <w:tcW w:w="851" w:type="dxa"/>
            <w:tcBorders>
              <w:top w:val="nil"/>
              <w:left w:val="nil"/>
              <w:bottom w:val="nil"/>
              <w:right w:val="nil"/>
            </w:tcBorders>
            <w:shd w:val="clear" w:color="auto" w:fill="FFFFFF"/>
            <w:tcMar>
              <w:left w:w="67" w:type="dxa"/>
              <w:right w:w="67" w:type="dxa"/>
            </w:tcMar>
          </w:tcPr>
          <w:p w14:paraId="319942F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(0.94) 0</w:t>
            </w:r>
          </w:p>
        </w:tc>
        <w:tc>
          <w:tcPr>
            <w:tcW w:w="850" w:type="dxa"/>
            <w:tcBorders>
              <w:top w:val="nil"/>
              <w:left w:val="nil"/>
              <w:bottom w:val="nil"/>
              <w:right w:val="nil"/>
            </w:tcBorders>
            <w:shd w:val="clear" w:color="auto" w:fill="FFFFFF"/>
            <w:tcMar>
              <w:left w:w="67" w:type="dxa"/>
              <w:right w:w="67" w:type="dxa"/>
            </w:tcMar>
          </w:tcPr>
          <w:p w14:paraId="5FAA33D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 (0.93) 0</w:t>
            </w:r>
          </w:p>
        </w:tc>
        <w:tc>
          <w:tcPr>
            <w:tcW w:w="851" w:type="dxa"/>
            <w:tcBorders>
              <w:top w:val="nil"/>
              <w:left w:val="nil"/>
              <w:bottom w:val="nil"/>
              <w:right w:val="nil"/>
            </w:tcBorders>
            <w:shd w:val="clear" w:color="auto" w:fill="FFFFFF"/>
            <w:tcMar>
              <w:left w:w="67" w:type="dxa"/>
              <w:right w:w="67" w:type="dxa"/>
            </w:tcMar>
          </w:tcPr>
          <w:p w14:paraId="1F94084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1.8 (0.71) 0</w:t>
            </w:r>
          </w:p>
        </w:tc>
        <w:tc>
          <w:tcPr>
            <w:tcW w:w="795" w:type="dxa"/>
            <w:tcBorders>
              <w:top w:val="nil"/>
              <w:left w:val="nil"/>
              <w:bottom w:val="nil"/>
              <w:right w:val="nil"/>
            </w:tcBorders>
            <w:shd w:val="clear" w:color="auto" w:fill="FFFFFF"/>
            <w:tcMar>
              <w:left w:w="67" w:type="dxa"/>
              <w:right w:w="67" w:type="dxa"/>
            </w:tcMar>
          </w:tcPr>
          <w:p w14:paraId="0D0ECD6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(0.66) 0</w:t>
            </w:r>
          </w:p>
        </w:tc>
        <w:tc>
          <w:tcPr>
            <w:tcW w:w="795" w:type="dxa"/>
            <w:tcBorders>
              <w:top w:val="nil"/>
              <w:left w:val="nil"/>
              <w:bottom w:val="nil"/>
              <w:right w:val="nil"/>
            </w:tcBorders>
            <w:shd w:val="clear" w:color="auto" w:fill="FFFFFF"/>
            <w:tcMar>
              <w:left w:w="67" w:type="dxa"/>
              <w:right w:w="67" w:type="dxa"/>
            </w:tcMar>
          </w:tcPr>
          <w:p w14:paraId="0BEAF66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(0.69) 0</w:t>
            </w:r>
          </w:p>
        </w:tc>
        <w:tc>
          <w:tcPr>
            <w:tcW w:w="795" w:type="dxa"/>
            <w:tcBorders>
              <w:top w:val="nil"/>
              <w:left w:val="nil"/>
              <w:bottom w:val="nil"/>
              <w:right w:val="nil"/>
            </w:tcBorders>
            <w:shd w:val="clear" w:color="auto" w:fill="FFFFFF"/>
            <w:tcMar>
              <w:left w:w="67" w:type="dxa"/>
              <w:right w:w="67" w:type="dxa"/>
            </w:tcMar>
          </w:tcPr>
          <w:p w14:paraId="4FFBD5A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1.8 (1.17) 0</w:t>
            </w:r>
          </w:p>
        </w:tc>
        <w:tc>
          <w:tcPr>
            <w:tcW w:w="884" w:type="dxa"/>
            <w:tcBorders>
              <w:top w:val="nil"/>
              <w:left w:val="nil"/>
              <w:bottom w:val="nil"/>
              <w:right w:val="nil"/>
            </w:tcBorders>
            <w:shd w:val="clear" w:color="auto" w:fill="FFFFFF"/>
            <w:tcMar>
              <w:left w:w="67" w:type="dxa"/>
              <w:right w:w="67" w:type="dxa"/>
            </w:tcMar>
          </w:tcPr>
          <w:p w14:paraId="0B3FB09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(1.2) 0</w:t>
            </w:r>
          </w:p>
        </w:tc>
        <w:tc>
          <w:tcPr>
            <w:tcW w:w="851" w:type="dxa"/>
            <w:gridSpan w:val="2"/>
            <w:tcBorders>
              <w:top w:val="nil"/>
              <w:left w:val="nil"/>
              <w:bottom w:val="nil"/>
              <w:right w:val="nil"/>
            </w:tcBorders>
            <w:shd w:val="clear" w:color="auto" w:fill="FFFFFF"/>
            <w:tcMar>
              <w:left w:w="67" w:type="dxa"/>
              <w:right w:w="67" w:type="dxa"/>
            </w:tcMar>
          </w:tcPr>
          <w:p w14:paraId="2566A40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(1.18) 0</w:t>
            </w:r>
          </w:p>
        </w:tc>
        <w:tc>
          <w:tcPr>
            <w:tcW w:w="992" w:type="dxa"/>
            <w:gridSpan w:val="3"/>
            <w:tcBorders>
              <w:top w:val="nil"/>
              <w:left w:val="nil"/>
              <w:bottom w:val="nil"/>
              <w:right w:val="nil"/>
            </w:tcBorders>
            <w:shd w:val="clear" w:color="auto" w:fill="FFFFFF"/>
            <w:tcMar>
              <w:left w:w="67" w:type="dxa"/>
              <w:right w:w="67" w:type="dxa"/>
            </w:tcMar>
          </w:tcPr>
          <w:p w14:paraId="6DAEFD6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5.4 (3.24) 0</w:t>
            </w:r>
          </w:p>
        </w:tc>
        <w:tc>
          <w:tcPr>
            <w:tcW w:w="904" w:type="dxa"/>
            <w:tcBorders>
              <w:top w:val="nil"/>
              <w:left w:val="nil"/>
              <w:bottom w:val="nil"/>
              <w:right w:val="nil"/>
            </w:tcBorders>
            <w:shd w:val="clear" w:color="auto" w:fill="FFFFFF"/>
            <w:tcMar>
              <w:left w:w="67" w:type="dxa"/>
              <w:right w:w="67" w:type="dxa"/>
            </w:tcMar>
          </w:tcPr>
          <w:p w14:paraId="6D3C2AF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4.4 (2.62) 0</w:t>
            </w:r>
          </w:p>
        </w:tc>
        <w:tc>
          <w:tcPr>
            <w:tcW w:w="939" w:type="dxa"/>
            <w:tcBorders>
              <w:top w:val="nil"/>
              <w:left w:val="nil"/>
              <w:bottom w:val="nil"/>
              <w:right w:val="single" w:sz="4" w:space="0" w:color="auto"/>
            </w:tcBorders>
            <w:shd w:val="clear" w:color="auto" w:fill="FFFFFF"/>
            <w:tcMar>
              <w:left w:w="67" w:type="dxa"/>
              <w:right w:w="67" w:type="dxa"/>
            </w:tcMar>
          </w:tcPr>
          <w:p w14:paraId="384A0C5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4.9 (2.98) 0</w:t>
            </w:r>
          </w:p>
        </w:tc>
      </w:tr>
      <w:tr w:rsidR="00E07CDE" w:rsidRPr="00563AD3" w14:paraId="6E62EE96" w14:textId="77777777" w:rsidTr="00C163F3">
        <w:trPr>
          <w:cantSplit/>
          <w:jc w:val="center"/>
        </w:trPr>
        <w:tc>
          <w:tcPr>
            <w:tcW w:w="1586" w:type="dxa"/>
            <w:tcBorders>
              <w:top w:val="nil"/>
              <w:left w:val="single" w:sz="4" w:space="0" w:color="auto"/>
              <w:bottom w:val="nil"/>
              <w:right w:val="nil"/>
            </w:tcBorders>
            <w:shd w:val="clear" w:color="auto" w:fill="FFFFFF"/>
            <w:tcMar>
              <w:left w:w="67" w:type="dxa"/>
              <w:right w:w="67" w:type="dxa"/>
            </w:tcMar>
          </w:tcPr>
          <w:p w14:paraId="20A916E0"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Depression/Dysphoria</w:t>
            </w:r>
          </w:p>
        </w:tc>
        <w:tc>
          <w:tcPr>
            <w:tcW w:w="995" w:type="dxa"/>
            <w:tcBorders>
              <w:top w:val="nil"/>
              <w:left w:val="nil"/>
              <w:bottom w:val="nil"/>
              <w:right w:val="nil"/>
            </w:tcBorders>
            <w:shd w:val="clear" w:color="auto" w:fill="FFFFFF"/>
            <w:tcMar>
              <w:left w:w="67" w:type="dxa"/>
              <w:right w:w="67" w:type="dxa"/>
            </w:tcMar>
          </w:tcPr>
          <w:p w14:paraId="11DF5416" w14:textId="13D50878"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63 </w:t>
            </w:r>
            <w:r w:rsidR="008F0DD8">
              <w:rPr>
                <w:rFonts w:eastAsia="Times New Roman"/>
                <w:color w:val="000000"/>
                <w:sz w:val="14"/>
                <w:szCs w:val="14"/>
              </w:rPr>
              <w:t xml:space="preserve">  </w:t>
            </w:r>
            <w:r w:rsidRPr="00563AD3">
              <w:rPr>
                <w:rFonts w:eastAsia="Times New Roman"/>
                <w:color w:val="000000"/>
                <w:sz w:val="14"/>
                <w:szCs w:val="14"/>
              </w:rPr>
              <w:t>(26%)242</w:t>
            </w:r>
          </w:p>
        </w:tc>
        <w:tc>
          <w:tcPr>
            <w:tcW w:w="1056" w:type="dxa"/>
            <w:tcBorders>
              <w:top w:val="nil"/>
              <w:left w:val="nil"/>
              <w:bottom w:val="nil"/>
              <w:right w:val="nil"/>
            </w:tcBorders>
            <w:shd w:val="clear" w:color="auto" w:fill="FFFFFF"/>
            <w:tcMar>
              <w:left w:w="67" w:type="dxa"/>
              <w:right w:w="67" w:type="dxa"/>
            </w:tcMar>
          </w:tcPr>
          <w:p w14:paraId="3FA9991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101 (31.6%)320</w:t>
            </w:r>
          </w:p>
        </w:tc>
        <w:tc>
          <w:tcPr>
            <w:tcW w:w="1169" w:type="dxa"/>
            <w:tcBorders>
              <w:top w:val="nil"/>
              <w:left w:val="nil"/>
              <w:bottom w:val="nil"/>
              <w:right w:val="nil"/>
            </w:tcBorders>
            <w:shd w:val="clear" w:color="auto" w:fill="FFFFFF"/>
            <w:tcMar>
              <w:left w:w="67" w:type="dxa"/>
              <w:right w:w="67" w:type="dxa"/>
            </w:tcMar>
          </w:tcPr>
          <w:p w14:paraId="68641EE3" w14:textId="06B100A3"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164 </w:t>
            </w:r>
            <w:r w:rsidR="008F0DD8">
              <w:rPr>
                <w:rFonts w:eastAsia="Times New Roman"/>
                <w:color w:val="000000"/>
                <w:sz w:val="14"/>
                <w:szCs w:val="14"/>
              </w:rPr>
              <w:t xml:space="preserve"> </w:t>
            </w:r>
            <w:r w:rsidRPr="00563AD3">
              <w:rPr>
                <w:rFonts w:eastAsia="Times New Roman"/>
                <w:color w:val="000000"/>
                <w:sz w:val="14"/>
                <w:szCs w:val="14"/>
              </w:rPr>
              <w:t>(29.2%)562</w:t>
            </w:r>
          </w:p>
        </w:tc>
        <w:tc>
          <w:tcPr>
            <w:tcW w:w="850" w:type="dxa"/>
            <w:tcBorders>
              <w:top w:val="nil"/>
              <w:left w:val="nil"/>
              <w:bottom w:val="nil"/>
              <w:right w:val="nil"/>
            </w:tcBorders>
            <w:shd w:val="clear" w:color="auto" w:fill="FFFFFF"/>
            <w:tcMar>
              <w:left w:w="67" w:type="dxa"/>
              <w:right w:w="67" w:type="dxa"/>
            </w:tcMar>
          </w:tcPr>
          <w:p w14:paraId="6401E87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2.4 (1.01) 0</w:t>
            </w:r>
          </w:p>
        </w:tc>
        <w:tc>
          <w:tcPr>
            <w:tcW w:w="851" w:type="dxa"/>
            <w:tcBorders>
              <w:top w:val="nil"/>
              <w:left w:val="nil"/>
              <w:bottom w:val="nil"/>
              <w:right w:val="nil"/>
            </w:tcBorders>
            <w:shd w:val="clear" w:color="auto" w:fill="FFFFFF"/>
            <w:tcMar>
              <w:left w:w="67" w:type="dxa"/>
              <w:right w:w="67" w:type="dxa"/>
            </w:tcMar>
          </w:tcPr>
          <w:p w14:paraId="3841178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2.4 (0.97) 1</w:t>
            </w:r>
          </w:p>
        </w:tc>
        <w:tc>
          <w:tcPr>
            <w:tcW w:w="850" w:type="dxa"/>
            <w:tcBorders>
              <w:top w:val="nil"/>
              <w:left w:val="nil"/>
              <w:bottom w:val="nil"/>
              <w:right w:val="nil"/>
            </w:tcBorders>
            <w:shd w:val="clear" w:color="auto" w:fill="FFFFFF"/>
            <w:tcMar>
              <w:left w:w="67" w:type="dxa"/>
              <w:right w:w="67" w:type="dxa"/>
            </w:tcMar>
          </w:tcPr>
          <w:p w14:paraId="34310D4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2.4 (0.98) 1</w:t>
            </w:r>
          </w:p>
        </w:tc>
        <w:tc>
          <w:tcPr>
            <w:tcW w:w="851" w:type="dxa"/>
            <w:tcBorders>
              <w:top w:val="nil"/>
              <w:left w:val="nil"/>
              <w:bottom w:val="nil"/>
              <w:right w:val="nil"/>
            </w:tcBorders>
            <w:shd w:val="clear" w:color="auto" w:fill="FFFFFF"/>
            <w:tcMar>
              <w:left w:w="67" w:type="dxa"/>
              <w:right w:w="67" w:type="dxa"/>
            </w:tcMar>
          </w:tcPr>
          <w:p w14:paraId="58D8530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(0.59) 0</w:t>
            </w:r>
          </w:p>
        </w:tc>
        <w:tc>
          <w:tcPr>
            <w:tcW w:w="795" w:type="dxa"/>
            <w:tcBorders>
              <w:top w:val="nil"/>
              <w:left w:val="nil"/>
              <w:bottom w:val="nil"/>
              <w:right w:val="nil"/>
            </w:tcBorders>
            <w:shd w:val="clear" w:color="auto" w:fill="FFFFFF"/>
            <w:tcMar>
              <w:left w:w="67" w:type="dxa"/>
              <w:right w:w="67" w:type="dxa"/>
            </w:tcMar>
          </w:tcPr>
          <w:p w14:paraId="7DF74B9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(0.57) 1</w:t>
            </w:r>
          </w:p>
        </w:tc>
        <w:tc>
          <w:tcPr>
            <w:tcW w:w="795" w:type="dxa"/>
            <w:tcBorders>
              <w:top w:val="nil"/>
              <w:left w:val="nil"/>
              <w:bottom w:val="nil"/>
              <w:right w:val="nil"/>
            </w:tcBorders>
            <w:shd w:val="clear" w:color="auto" w:fill="FFFFFF"/>
            <w:tcMar>
              <w:left w:w="67" w:type="dxa"/>
              <w:right w:w="67" w:type="dxa"/>
            </w:tcMar>
          </w:tcPr>
          <w:p w14:paraId="131C350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(0.57) 1</w:t>
            </w:r>
          </w:p>
        </w:tc>
        <w:tc>
          <w:tcPr>
            <w:tcW w:w="795" w:type="dxa"/>
            <w:tcBorders>
              <w:top w:val="nil"/>
              <w:left w:val="nil"/>
              <w:bottom w:val="nil"/>
              <w:right w:val="nil"/>
            </w:tcBorders>
            <w:shd w:val="clear" w:color="auto" w:fill="FFFFFF"/>
            <w:tcMar>
              <w:left w:w="67" w:type="dxa"/>
              <w:right w:w="67" w:type="dxa"/>
            </w:tcMar>
          </w:tcPr>
          <w:p w14:paraId="3C2B1E8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 (1.17) 0</w:t>
            </w:r>
          </w:p>
        </w:tc>
        <w:tc>
          <w:tcPr>
            <w:tcW w:w="884" w:type="dxa"/>
            <w:tcBorders>
              <w:top w:val="nil"/>
              <w:left w:val="nil"/>
              <w:bottom w:val="nil"/>
              <w:right w:val="nil"/>
            </w:tcBorders>
            <w:shd w:val="clear" w:color="auto" w:fill="FFFFFF"/>
            <w:tcMar>
              <w:left w:w="67" w:type="dxa"/>
              <w:right w:w="67" w:type="dxa"/>
            </w:tcMar>
          </w:tcPr>
          <w:p w14:paraId="5D3F7B8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0.9 (0.9) 1</w:t>
            </w:r>
          </w:p>
        </w:tc>
        <w:tc>
          <w:tcPr>
            <w:tcW w:w="851" w:type="dxa"/>
            <w:gridSpan w:val="2"/>
            <w:tcBorders>
              <w:top w:val="nil"/>
              <w:left w:val="nil"/>
              <w:bottom w:val="nil"/>
              <w:right w:val="nil"/>
            </w:tcBorders>
            <w:shd w:val="clear" w:color="auto" w:fill="FFFFFF"/>
            <w:tcMar>
              <w:left w:w="67" w:type="dxa"/>
              <w:right w:w="67" w:type="dxa"/>
            </w:tcMar>
          </w:tcPr>
          <w:p w14:paraId="677303B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 (1.02) 1</w:t>
            </w:r>
          </w:p>
        </w:tc>
        <w:tc>
          <w:tcPr>
            <w:tcW w:w="992" w:type="dxa"/>
            <w:gridSpan w:val="3"/>
            <w:tcBorders>
              <w:top w:val="nil"/>
              <w:left w:val="nil"/>
              <w:bottom w:val="nil"/>
              <w:right w:val="nil"/>
            </w:tcBorders>
            <w:shd w:val="clear" w:color="auto" w:fill="FFFFFF"/>
            <w:tcMar>
              <w:left w:w="67" w:type="dxa"/>
              <w:right w:w="67" w:type="dxa"/>
            </w:tcMar>
          </w:tcPr>
          <w:p w14:paraId="4262989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3.7 (2.66) 0</w:t>
            </w:r>
          </w:p>
        </w:tc>
        <w:tc>
          <w:tcPr>
            <w:tcW w:w="904" w:type="dxa"/>
            <w:tcBorders>
              <w:top w:val="nil"/>
              <w:left w:val="nil"/>
              <w:bottom w:val="nil"/>
              <w:right w:val="nil"/>
            </w:tcBorders>
            <w:shd w:val="clear" w:color="auto" w:fill="FFFFFF"/>
            <w:tcMar>
              <w:left w:w="67" w:type="dxa"/>
              <w:right w:w="67" w:type="dxa"/>
            </w:tcMar>
          </w:tcPr>
          <w:p w14:paraId="5B849E2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3.5 (2.35) 1</w:t>
            </w:r>
          </w:p>
        </w:tc>
        <w:tc>
          <w:tcPr>
            <w:tcW w:w="939" w:type="dxa"/>
            <w:tcBorders>
              <w:top w:val="nil"/>
              <w:left w:val="nil"/>
              <w:bottom w:val="nil"/>
              <w:right w:val="single" w:sz="4" w:space="0" w:color="auto"/>
            </w:tcBorders>
            <w:shd w:val="clear" w:color="auto" w:fill="FFFFFF"/>
            <w:tcMar>
              <w:left w:w="67" w:type="dxa"/>
              <w:right w:w="67" w:type="dxa"/>
            </w:tcMar>
          </w:tcPr>
          <w:p w14:paraId="09B48BC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3.6 (2.47) 1</w:t>
            </w:r>
          </w:p>
        </w:tc>
      </w:tr>
      <w:tr w:rsidR="00E07CDE" w:rsidRPr="00563AD3" w14:paraId="723EE4E1" w14:textId="77777777" w:rsidTr="00C163F3">
        <w:trPr>
          <w:cantSplit/>
          <w:jc w:val="center"/>
        </w:trPr>
        <w:tc>
          <w:tcPr>
            <w:tcW w:w="1586" w:type="dxa"/>
            <w:tcBorders>
              <w:top w:val="nil"/>
              <w:left w:val="single" w:sz="4" w:space="0" w:color="auto"/>
              <w:bottom w:val="nil"/>
              <w:right w:val="nil"/>
            </w:tcBorders>
            <w:shd w:val="clear" w:color="auto" w:fill="FFFFFF"/>
            <w:tcMar>
              <w:left w:w="67" w:type="dxa"/>
              <w:right w:w="67" w:type="dxa"/>
            </w:tcMar>
          </w:tcPr>
          <w:p w14:paraId="6467F184"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Anxiety</w:t>
            </w:r>
          </w:p>
        </w:tc>
        <w:tc>
          <w:tcPr>
            <w:tcW w:w="995" w:type="dxa"/>
            <w:tcBorders>
              <w:top w:val="nil"/>
              <w:left w:val="nil"/>
              <w:bottom w:val="nil"/>
              <w:right w:val="nil"/>
            </w:tcBorders>
            <w:shd w:val="clear" w:color="auto" w:fill="FFFFFF"/>
            <w:tcMar>
              <w:left w:w="67" w:type="dxa"/>
              <w:right w:w="67" w:type="dxa"/>
            </w:tcMar>
          </w:tcPr>
          <w:p w14:paraId="02A94D1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47 (19.3%)244</w:t>
            </w:r>
          </w:p>
        </w:tc>
        <w:tc>
          <w:tcPr>
            <w:tcW w:w="1056" w:type="dxa"/>
            <w:tcBorders>
              <w:top w:val="nil"/>
              <w:left w:val="nil"/>
              <w:bottom w:val="nil"/>
              <w:right w:val="nil"/>
            </w:tcBorders>
            <w:shd w:val="clear" w:color="auto" w:fill="FFFFFF"/>
            <w:tcMar>
              <w:left w:w="67" w:type="dxa"/>
              <w:right w:w="67" w:type="dxa"/>
            </w:tcMar>
          </w:tcPr>
          <w:p w14:paraId="33FE3F2C" w14:textId="00652CCB"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57 </w:t>
            </w:r>
            <w:r w:rsidR="008F0DD8">
              <w:rPr>
                <w:rFonts w:eastAsia="Times New Roman"/>
                <w:color w:val="000000"/>
                <w:sz w:val="14"/>
                <w:szCs w:val="14"/>
              </w:rPr>
              <w:t xml:space="preserve"> </w:t>
            </w:r>
            <w:r w:rsidRPr="00563AD3">
              <w:rPr>
                <w:rFonts w:eastAsia="Times New Roman"/>
                <w:color w:val="000000"/>
                <w:sz w:val="14"/>
                <w:szCs w:val="14"/>
              </w:rPr>
              <w:t>(17.9%)319</w:t>
            </w:r>
          </w:p>
        </w:tc>
        <w:tc>
          <w:tcPr>
            <w:tcW w:w="1169" w:type="dxa"/>
            <w:tcBorders>
              <w:top w:val="nil"/>
              <w:left w:val="nil"/>
              <w:bottom w:val="nil"/>
              <w:right w:val="nil"/>
            </w:tcBorders>
            <w:shd w:val="clear" w:color="auto" w:fill="FFFFFF"/>
            <w:tcMar>
              <w:left w:w="67" w:type="dxa"/>
              <w:right w:w="67" w:type="dxa"/>
            </w:tcMar>
          </w:tcPr>
          <w:p w14:paraId="3BCA4517" w14:textId="532C24E3"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104</w:t>
            </w:r>
            <w:r w:rsidR="008F0DD8">
              <w:rPr>
                <w:rFonts w:eastAsia="Times New Roman"/>
                <w:color w:val="000000"/>
                <w:sz w:val="14"/>
                <w:szCs w:val="14"/>
              </w:rPr>
              <w:t xml:space="preserve"> </w:t>
            </w:r>
            <w:r w:rsidRPr="00563AD3">
              <w:rPr>
                <w:rFonts w:eastAsia="Times New Roman"/>
                <w:color w:val="000000"/>
                <w:sz w:val="14"/>
                <w:szCs w:val="14"/>
              </w:rPr>
              <w:t xml:space="preserve"> (18.5%)563</w:t>
            </w:r>
          </w:p>
        </w:tc>
        <w:tc>
          <w:tcPr>
            <w:tcW w:w="850" w:type="dxa"/>
            <w:tcBorders>
              <w:top w:val="nil"/>
              <w:left w:val="nil"/>
              <w:bottom w:val="nil"/>
              <w:right w:val="nil"/>
            </w:tcBorders>
            <w:shd w:val="clear" w:color="auto" w:fill="FFFFFF"/>
            <w:tcMar>
              <w:left w:w="67" w:type="dxa"/>
              <w:right w:w="67" w:type="dxa"/>
            </w:tcMar>
          </w:tcPr>
          <w:p w14:paraId="59C9667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2.7 (0.99) 2</w:t>
            </w:r>
          </w:p>
        </w:tc>
        <w:tc>
          <w:tcPr>
            <w:tcW w:w="851" w:type="dxa"/>
            <w:tcBorders>
              <w:top w:val="nil"/>
              <w:left w:val="nil"/>
              <w:bottom w:val="nil"/>
              <w:right w:val="nil"/>
            </w:tcBorders>
            <w:shd w:val="clear" w:color="auto" w:fill="FFFFFF"/>
            <w:tcMar>
              <w:left w:w="67" w:type="dxa"/>
              <w:right w:w="67" w:type="dxa"/>
            </w:tcMar>
          </w:tcPr>
          <w:p w14:paraId="1E6D88C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2.5 (0.87) 1</w:t>
            </w:r>
          </w:p>
        </w:tc>
        <w:tc>
          <w:tcPr>
            <w:tcW w:w="850" w:type="dxa"/>
            <w:tcBorders>
              <w:top w:val="nil"/>
              <w:left w:val="nil"/>
              <w:bottom w:val="nil"/>
              <w:right w:val="nil"/>
            </w:tcBorders>
            <w:shd w:val="clear" w:color="auto" w:fill="FFFFFF"/>
            <w:tcMar>
              <w:left w:w="67" w:type="dxa"/>
              <w:right w:w="67" w:type="dxa"/>
            </w:tcMar>
          </w:tcPr>
          <w:p w14:paraId="6B25ED9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(0.93) 3</w:t>
            </w:r>
          </w:p>
        </w:tc>
        <w:tc>
          <w:tcPr>
            <w:tcW w:w="851" w:type="dxa"/>
            <w:tcBorders>
              <w:top w:val="nil"/>
              <w:left w:val="nil"/>
              <w:bottom w:val="nil"/>
              <w:right w:val="nil"/>
            </w:tcBorders>
            <w:shd w:val="clear" w:color="auto" w:fill="FFFFFF"/>
            <w:tcMar>
              <w:left w:w="67" w:type="dxa"/>
              <w:right w:w="67" w:type="dxa"/>
            </w:tcMar>
          </w:tcPr>
          <w:p w14:paraId="2917F6B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(0.74) 2</w:t>
            </w:r>
          </w:p>
        </w:tc>
        <w:tc>
          <w:tcPr>
            <w:tcW w:w="795" w:type="dxa"/>
            <w:tcBorders>
              <w:top w:val="nil"/>
              <w:left w:val="nil"/>
              <w:bottom w:val="nil"/>
              <w:right w:val="nil"/>
            </w:tcBorders>
            <w:shd w:val="clear" w:color="auto" w:fill="FFFFFF"/>
            <w:tcMar>
              <w:left w:w="67" w:type="dxa"/>
              <w:right w:w="67" w:type="dxa"/>
            </w:tcMar>
          </w:tcPr>
          <w:p w14:paraId="1760D44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(0.66) 1</w:t>
            </w:r>
          </w:p>
        </w:tc>
        <w:tc>
          <w:tcPr>
            <w:tcW w:w="795" w:type="dxa"/>
            <w:tcBorders>
              <w:top w:val="nil"/>
              <w:left w:val="nil"/>
              <w:bottom w:val="nil"/>
              <w:right w:val="nil"/>
            </w:tcBorders>
            <w:shd w:val="clear" w:color="auto" w:fill="FFFFFF"/>
            <w:tcMar>
              <w:left w:w="67" w:type="dxa"/>
              <w:right w:w="67" w:type="dxa"/>
            </w:tcMar>
          </w:tcPr>
          <w:p w14:paraId="78BC5CB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(0.7) 3</w:t>
            </w:r>
          </w:p>
        </w:tc>
        <w:tc>
          <w:tcPr>
            <w:tcW w:w="795" w:type="dxa"/>
            <w:tcBorders>
              <w:top w:val="nil"/>
              <w:left w:val="nil"/>
              <w:bottom w:val="nil"/>
              <w:right w:val="nil"/>
            </w:tcBorders>
            <w:shd w:val="clear" w:color="auto" w:fill="FFFFFF"/>
            <w:tcMar>
              <w:left w:w="67" w:type="dxa"/>
              <w:right w:w="67" w:type="dxa"/>
            </w:tcMar>
          </w:tcPr>
          <w:p w14:paraId="6D3CD547" w14:textId="367E0BBF"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w:t>
            </w:r>
            <w:r w:rsidR="008F0DD8">
              <w:rPr>
                <w:rFonts w:eastAsia="Times New Roman"/>
                <w:color w:val="000000"/>
                <w:sz w:val="14"/>
                <w:szCs w:val="14"/>
              </w:rPr>
              <w:t xml:space="preserve"> </w:t>
            </w:r>
            <w:r w:rsidRPr="00563AD3">
              <w:rPr>
                <w:rFonts w:eastAsia="Times New Roman"/>
                <w:color w:val="000000"/>
                <w:sz w:val="14"/>
                <w:szCs w:val="14"/>
              </w:rPr>
              <w:t xml:space="preserve"> (1.2) 2</w:t>
            </w:r>
          </w:p>
        </w:tc>
        <w:tc>
          <w:tcPr>
            <w:tcW w:w="884" w:type="dxa"/>
            <w:tcBorders>
              <w:top w:val="nil"/>
              <w:left w:val="nil"/>
              <w:bottom w:val="nil"/>
              <w:right w:val="nil"/>
            </w:tcBorders>
            <w:shd w:val="clear" w:color="auto" w:fill="FFFFFF"/>
            <w:tcMar>
              <w:left w:w="67" w:type="dxa"/>
              <w:right w:w="67" w:type="dxa"/>
            </w:tcMar>
          </w:tcPr>
          <w:p w14:paraId="51CF030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 (1.06) 1</w:t>
            </w:r>
          </w:p>
        </w:tc>
        <w:tc>
          <w:tcPr>
            <w:tcW w:w="851" w:type="dxa"/>
            <w:gridSpan w:val="2"/>
            <w:tcBorders>
              <w:top w:val="nil"/>
              <w:left w:val="nil"/>
              <w:bottom w:val="nil"/>
              <w:right w:val="nil"/>
            </w:tcBorders>
            <w:shd w:val="clear" w:color="auto" w:fill="FFFFFF"/>
            <w:tcMar>
              <w:left w:w="67" w:type="dxa"/>
              <w:right w:w="67" w:type="dxa"/>
            </w:tcMar>
          </w:tcPr>
          <w:p w14:paraId="0DB4BFC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(1.13) 3</w:t>
            </w:r>
          </w:p>
        </w:tc>
        <w:tc>
          <w:tcPr>
            <w:tcW w:w="992" w:type="dxa"/>
            <w:gridSpan w:val="3"/>
            <w:tcBorders>
              <w:top w:val="nil"/>
              <w:left w:val="nil"/>
              <w:bottom w:val="nil"/>
              <w:right w:val="nil"/>
            </w:tcBorders>
            <w:shd w:val="clear" w:color="auto" w:fill="FFFFFF"/>
            <w:tcMar>
              <w:left w:w="67" w:type="dxa"/>
              <w:right w:w="67" w:type="dxa"/>
            </w:tcMar>
          </w:tcPr>
          <w:p w14:paraId="6A2CDAC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4.6 (2.92) 2</w:t>
            </w:r>
          </w:p>
        </w:tc>
        <w:tc>
          <w:tcPr>
            <w:tcW w:w="904" w:type="dxa"/>
            <w:tcBorders>
              <w:top w:val="nil"/>
              <w:left w:val="nil"/>
              <w:bottom w:val="nil"/>
              <w:right w:val="nil"/>
            </w:tcBorders>
            <w:shd w:val="clear" w:color="auto" w:fill="FFFFFF"/>
            <w:tcMar>
              <w:left w:w="67" w:type="dxa"/>
              <w:right w:w="67" w:type="dxa"/>
            </w:tcMar>
          </w:tcPr>
          <w:p w14:paraId="55D2D13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 (2.71) 1</w:t>
            </w:r>
          </w:p>
        </w:tc>
        <w:tc>
          <w:tcPr>
            <w:tcW w:w="939" w:type="dxa"/>
            <w:tcBorders>
              <w:top w:val="nil"/>
              <w:left w:val="nil"/>
              <w:bottom w:val="nil"/>
              <w:right w:val="single" w:sz="4" w:space="0" w:color="auto"/>
            </w:tcBorders>
            <w:shd w:val="clear" w:color="auto" w:fill="FFFFFF"/>
            <w:tcMar>
              <w:left w:w="67" w:type="dxa"/>
              <w:right w:w="67" w:type="dxa"/>
            </w:tcMar>
          </w:tcPr>
          <w:p w14:paraId="13B06C7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4.3 (2.81) 3</w:t>
            </w:r>
          </w:p>
        </w:tc>
      </w:tr>
      <w:tr w:rsidR="00E07CDE" w:rsidRPr="00563AD3" w14:paraId="000CC872" w14:textId="77777777" w:rsidTr="00C163F3">
        <w:trPr>
          <w:cantSplit/>
          <w:jc w:val="center"/>
        </w:trPr>
        <w:tc>
          <w:tcPr>
            <w:tcW w:w="1586" w:type="dxa"/>
            <w:tcBorders>
              <w:top w:val="nil"/>
              <w:left w:val="single" w:sz="4" w:space="0" w:color="auto"/>
              <w:bottom w:val="nil"/>
              <w:right w:val="nil"/>
            </w:tcBorders>
            <w:shd w:val="clear" w:color="auto" w:fill="FFFFFF"/>
            <w:tcMar>
              <w:left w:w="67" w:type="dxa"/>
              <w:right w:w="67" w:type="dxa"/>
            </w:tcMar>
          </w:tcPr>
          <w:p w14:paraId="71DF7409"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Elation/Euphoria</w:t>
            </w:r>
          </w:p>
        </w:tc>
        <w:tc>
          <w:tcPr>
            <w:tcW w:w="995" w:type="dxa"/>
            <w:tcBorders>
              <w:top w:val="nil"/>
              <w:left w:val="nil"/>
              <w:bottom w:val="nil"/>
              <w:right w:val="nil"/>
            </w:tcBorders>
            <w:shd w:val="clear" w:color="auto" w:fill="FFFFFF"/>
            <w:tcMar>
              <w:left w:w="67" w:type="dxa"/>
              <w:right w:w="67" w:type="dxa"/>
            </w:tcMar>
          </w:tcPr>
          <w:p w14:paraId="2473777B" w14:textId="443713EA"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15 </w:t>
            </w:r>
            <w:r w:rsidR="008F0DD8">
              <w:rPr>
                <w:rFonts w:eastAsia="Times New Roman"/>
                <w:color w:val="000000"/>
                <w:sz w:val="14"/>
                <w:szCs w:val="14"/>
              </w:rPr>
              <w:t xml:space="preserve"> </w:t>
            </w:r>
            <w:r w:rsidRPr="00563AD3">
              <w:rPr>
                <w:rFonts w:eastAsia="Times New Roman"/>
                <w:color w:val="000000"/>
                <w:sz w:val="14"/>
                <w:szCs w:val="14"/>
              </w:rPr>
              <w:t>(6.1%)244</w:t>
            </w:r>
          </w:p>
        </w:tc>
        <w:tc>
          <w:tcPr>
            <w:tcW w:w="1056" w:type="dxa"/>
            <w:tcBorders>
              <w:top w:val="nil"/>
              <w:left w:val="nil"/>
              <w:bottom w:val="nil"/>
              <w:right w:val="nil"/>
            </w:tcBorders>
            <w:shd w:val="clear" w:color="auto" w:fill="FFFFFF"/>
            <w:tcMar>
              <w:left w:w="67" w:type="dxa"/>
              <w:right w:w="67" w:type="dxa"/>
            </w:tcMar>
          </w:tcPr>
          <w:p w14:paraId="7CBB670C" w14:textId="32663B2F"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19 </w:t>
            </w:r>
            <w:r w:rsidR="008F0DD8">
              <w:rPr>
                <w:rFonts w:eastAsia="Times New Roman"/>
                <w:color w:val="000000"/>
                <w:sz w:val="14"/>
                <w:szCs w:val="14"/>
              </w:rPr>
              <w:t xml:space="preserve">      </w:t>
            </w:r>
            <w:r w:rsidRPr="00563AD3">
              <w:rPr>
                <w:rFonts w:eastAsia="Times New Roman"/>
                <w:color w:val="000000"/>
                <w:sz w:val="14"/>
                <w:szCs w:val="14"/>
              </w:rPr>
              <w:t>(6%)319</w:t>
            </w:r>
          </w:p>
        </w:tc>
        <w:tc>
          <w:tcPr>
            <w:tcW w:w="1169" w:type="dxa"/>
            <w:tcBorders>
              <w:top w:val="nil"/>
              <w:left w:val="nil"/>
              <w:bottom w:val="nil"/>
              <w:right w:val="nil"/>
            </w:tcBorders>
            <w:shd w:val="clear" w:color="auto" w:fill="FFFFFF"/>
            <w:tcMar>
              <w:left w:w="67" w:type="dxa"/>
              <w:right w:w="67" w:type="dxa"/>
            </w:tcMar>
          </w:tcPr>
          <w:p w14:paraId="3C6D2E7F" w14:textId="0E9F8E91"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34</w:t>
            </w:r>
            <w:r w:rsidR="008F0DD8">
              <w:rPr>
                <w:rFonts w:eastAsia="Times New Roman"/>
                <w:color w:val="000000"/>
                <w:sz w:val="14"/>
                <w:szCs w:val="14"/>
              </w:rPr>
              <w:t xml:space="preserve">         </w:t>
            </w:r>
            <w:r w:rsidRPr="00563AD3">
              <w:rPr>
                <w:rFonts w:eastAsia="Times New Roman"/>
                <w:color w:val="000000"/>
                <w:sz w:val="14"/>
                <w:szCs w:val="14"/>
              </w:rPr>
              <w:t xml:space="preserve"> (6%)563</w:t>
            </w:r>
          </w:p>
        </w:tc>
        <w:tc>
          <w:tcPr>
            <w:tcW w:w="850" w:type="dxa"/>
            <w:tcBorders>
              <w:top w:val="nil"/>
              <w:left w:val="nil"/>
              <w:bottom w:val="nil"/>
              <w:right w:val="nil"/>
            </w:tcBorders>
            <w:shd w:val="clear" w:color="auto" w:fill="FFFFFF"/>
            <w:tcMar>
              <w:left w:w="67" w:type="dxa"/>
              <w:right w:w="67" w:type="dxa"/>
            </w:tcMar>
          </w:tcPr>
          <w:p w14:paraId="439D90C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 (1.01) 0</w:t>
            </w:r>
          </w:p>
        </w:tc>
        <w:tc>
          <w:tcPr>
            <w:tcW w:w="851" w:type="dxa"/>
            <w:tcBorders>
              <w:top w:val="nil"/>
              <w:left w:val="nil"/>
              <w:bottom w:val="nil"/>
              <w:right w:val="nil"/>
            </w:tcBorders>
            <w:shd w:val="clear" w:color="auto" w:fill="FFFFFF"/>
            <w:tcMar>
              <w:left w:w="67" w:type="dxa"/>
              <w:right w:w="67" w:type="dxa"/>
            </w:tcMar>
          </w:tcPr>
          <w:p w14:paraId="0EC82FE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2.4 (0.9) 0</w:t>
            </w:r>
          </w:p>
        </w:tc>
        <w:tc>
          <w:tcPr>
            <w:tcW w:w="850" w:type="dxa"/>
            <w:tcBorders>
              <w:top w:val="nil"/>
              <w:left w:val="nil"/>
              <w:bottom w:val="nil"/>
              <w:right w:val="nil"/>
            </w:tcBorders>
            <w:shd w:val="clear" w:color="auto" w:fill="FFFFFF"/>
            <w:tcMar>
              <w:left w:w="67" w:type="dxa"/>
              <w:right w:w="67" w:type="dxa"/>
            </w:tcMar>
          </w:tcPr>
          <w:p w14:paraId="30E2BCA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(0.96) 0</w:t>
            </w:r>
          </w:p>
        </w:tc>
        <w:tc>
          <w:tcPr>
            <w:tcW w:w="851" w:type="dxa"/>
            <w:tcBorders>
              <w:top w:val="nil"/>
              <w:left w:val="nil"/>
              <w:bottom w:val="nil"/>
              <w:right w:val="nil"/>
            </w:tcBorders>
            <w:shd w:val="clear" w:color="auto" w:fill="FFFFFF"/>
            <w:tcMar>
              <w:left w:w="67" w:type="dxa"/>
              <w:right w:w="67" w:type="dxa"/>
            </w:tcMar>
          </w:tcPr>
          <w:p w14:paraId="056C700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(0.63) 0</w:t>
            </w:r>
          </w:p>
        </w:tc>
        <w:tc>
          <w:tcPr>
            <w:tcW w:w="795" w:type="dxa"/>
            <w:tcBorders>
              <w:top w:val="nil"/>
              <w:left w:val="nil"/>
              <w:bottom w:val="nil"/>
              <w:right w:val="nil"/>
            </w:tcBorders>
            <w:shd w:val="clear" w:color="auto" w:fill="FFFFFF"/>
            <w:tcMar>
              <w:left w:w="67" w:type="dxa"/>
              <w:right w:w="67" w:type="dxa"/>
            </w:tcMar>
          </w:tcPr>
          <w:p w14:paraId="2C12346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(0.67) 0</w:t>
            </w:r>
          </w:p>
        </w:tc>
        <w:tc>
          <w:tcPr>
            <w:tcW w:w="795" w:type="dxa"/>
            <w:tcBorders>
              <w:top w:val="nil"/>
              <w:left w:val="nil"/>
              <w:bottom w:val="nil"/>
              <w:right w:val="nil"/>
            </w:tcBorders>
            <w:shd w:val="clear" w:color="auto" w:fill="FFFFFF"/>
            <w:tcMar>
              <w:left w:w="67" w:type="dxa"/>
              <w:right w:w="67" w:type="dxa"/>
            </w:tcMar>
          </w:tcPr>
          <w:p w14:paraId="5170286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(0.65) 0</w:t>
            </w:r>
          </w:p>
        </w:tc>
        <w:tc>
          <w:tcPr>
            <w:tcW w:w="795" w:type="dxa"/>
            <w:tcBorders>
              <w:top w:val="nil"/>
              <w:left w:val="nil"/>
              <w:bottom w:val="nil"/>
              <w:right w:val="nil"/>
            </w:tcBorders>
            <w:shd w:val="clear" w:color="auto" w:fill="FFFFFF"/>
            <w:tcMar>
              <w:left w:w="67" w:type="dxa"/>
              <w:right w:w="67" w:type="dxa"/>
            </w:tcMar>
          </w:tcPr>
          <w:p w14:paraId="56CBF0D5" w14:textId="4A2B188F"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0.3 </w:t>
            </w:r>
            <w:r w:rsidR="008F0DD8">
              <w:rPr>
                <w:rFonts w:eastAsia="Times New Roman"/>
                <w:color w:val="000000"/>
                <w:sz w:val="14"/>
                <w:szCs w:val="14"/>
              </w:rPr>
              <w:t xml:space="preserve"> </w:t>
            </w:r>
            <w:r w:rsidRPr="00563AD3">
              <w:rPr>
                <w:rFonts w:eastAsia="Times New Roman"/>
                <w:color w:val="000000"/>
                <w:sz w:val="14"/>
                <w:szCs w:val="14"/>
              </w:rPr>
              <w:t>(0.8) 0</w:t>
            </w:r>
          </w:p>
        </w:tc>
        <w:tc>
          <w:tcPr>
            <w:tcW w:w="884" w:type="dxa"/>
            <w:tcBorders>
              <w:top w:val="nil"/>
              <w:left w:val="nil"/>
              <w:bottom w:val="nil"/>
              <w:right w:val="nil"/>
            </w:tcBorders>
            <w:shd w:val="clear" w:color="auto" w:fill="FFFFFF"/>
            <w:tcMar>
              <w:left w:w="67" w:type="dxa"/>
              <w:right w:w="67" w:type="dxa"/>
            </w:tcMar>
          </w:tcPr>
          <w:p w14:paraId="68E2F24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0.3 (0.58) 0</w:t>
            </w:r>
          </w:p>
        </w:tc>
        <w:tc>
          <w:tcPr>
            <w:tcW w:w="851" w:type="dxa"/>
            <w:gridSpan w:val="2"/>
            <w:tcBorders>
              <w:top w:val="nil"/>
              <w:left w:val="nil"/>
              <w:bottom w:val="nil"/>
              <w:right w:val="nil"/>
            </w:tcBorders>
            <w:shd w:val="clear" w:color="auto" w:fill="FFFFFF"/>
            <w:tcMar>
              <w:left w:w="67" w:type="dxa"/>
              <w:right w:w="67" w:type="dxa"/>
            </w:tcMar>
          </w:tcPr>
          <w:p w14:paraId="65761C0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0.3 (0.68) 0</w:t>
            </w:r>
          </w:p>
        </w:tc>
        <w:tc>
          <w:tcPr>
            <w:tcW w:w="992" w:type="dxa"/>
            <w:gridSpan w:val="3"/>
            <w:tcBorders>
              <w:top w:val="nil"/>
              <w:left w:val="nil"/>
              <w:bottom w:val="nil"/>
              <w:right w:val="nil"/>
            </w:tcBorders>
            <w:shd w:val="clear" w:color="auto" w:fill="FFFFFF"/>
            <w:tcMar>
              <w:left w:w="67" w:type="dxa"/>
              <w:right w:w="67" w:type="dxa"/>
            </w:tcMar>
          </w:tcPr>
          <w:p w14:paraId="7F1F4C1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4.3 (3.27) 0</w:t>
            </w:r>
          </w:p>
        </w:tc>
        <w:tc>
          <w:tcPr>
            <w:tcW w:w="904" w:type="dxa"/>
            <w:tcBorders>
              <w:top w:val="nil"/>
              <w:left w:val="nil"/>
              <w:bottom w:val="nil"/>
              <w:right w:val="nil"/>
            </w:tcBorders>
            <w:shd w:val="clear" w:color="auto" w:fill="FFFFFF"/>
            <w:tcMar>
              <w:left w:w="67" w:type="dxa"/>
              <w:right w:w="67" w:type="dxa"/>
            </w:tcMar>
          </w:tcPr>
          <w:p w14:paraId="6EB78DC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3.4 (2.81) 0</w:t>
            </w:r>
          </w:p>
        </w:tc>
        <w:tc>
          <w:tcPr>
            <w:tcW w:w="939" w:type="dxa"/>
            <w:tcBorders>
              <w:top w:val="nil"/>
              <w:left w:val="nil"/>
              <w:bottom w:val="nil"/>
              <w:right w:val="single" w:sz="4" w:space="0" w:color="auto"/>
            </w:tcBorders>
            <w:shd w:val="clear" w:color="auto" w:fill="FFFFFF"/>
            <w:tcMar>
              <w:left w:w="67" w:type="dxa"/>
              <w:right w:w="67" w:type="dxa"/>
            </w:tcMar>
          </w:tcPr>
          <w:p w14:paraId="12C73A1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3.8 (3.01) 0</w:t>
            </w:r>
          </w:p>
        </w:tc>
      </w:tr>
      <w:tr w:rsidR="00E07CDE" w:rsidRPr="00563AD3" w14:paraId="40288F4A" w14:textId="77777777" w:rsidTr="00C163F3">
        <w:trPr>
          <w:cantSplit/>
          <w:jc w:val="center"/>
        </w:trPr>
        <w:tc>
          <w:tcPr>
            <w:tcW w:w="1586" w:type="dxa"/>
            <w:tcBorders>
              <w:top w:val="nil"/>
              <w:left w:val="single" w:sz="4" w:space="0" w:color="auto"/>
              <w:bottom w:val="nil"/>
              <w:right w:val="nil"/>
            </w:tcBorders>
            <w:shd w:val="clear" w:color="auto" w:fill="FFFFFF"/>
            <w:tcMar>
              <w:left w:w="67" w:type="dxa"/>
              <w:right w:w="67" w:type="dxa"/>
            </w:tcMar>
          </w:tcPr>
          <w:p w14:paraId="05727E75"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Apathy/Indifference</w:t>
            </w:r>
          </w:p>
        </w:tc>
        <w:tc>
          <w:tcPr>
            <w:tcW w:w="995" w:type="dxa"/>
            <w:tcBorders>
              <w:top w:val="nil"/>
              <w:left w:val="nil"/>
              <w:bottom w:val="nil"/>
              <w:right w:val="nil"/>
            </w:tcBorders>
            <w:shd w:val="clear" w:color="auto" w:fill="FFFFFF"/>
            <w:tcMar>
              <w:left w:w="67" w:type="dxa"/>
              <w:right w:w="67" w:type="dxa"/>
            </w:tcMar>
          </w:tcPr>
          <w:p w14:paraId="1469F51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73 (29.9%)244</w:t>
            </w:r>
          </w:p>
        </w:tc>
        <w:tc>
          <w:tcPr>
            <w:tcW w:w="1056" w:type="dxa"/>
            <w:tcBorders>
              <w:top w:val="nil"/>
              <w:left w:val="nil"/>
              <w:bottom w:val="nil"/>
              <w:right w:val="nil"/>
            </w:tcBorders>
            <w:shd w:val="clear" w:color="auto" w:fill="FFFFFF"/>
            <w:tcMar>
              <w:left w:w="67" w:type="dxa"/>
              <w:right w:w="67" w:type="dxa"/>
            </w:tcMar>
          </w:tcPr>
          <w:p w14:paraId="3FEC6FC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116 (36.3%)320</w:t>
            </w:r>
          </w:p>
        </w:tc>
        <w:tc>
          <w:tcPr>
            <w:tcW w:w="1169" w:type="dxa"/>
            <w:tcBorders>
              <w:top w:val="nil"/>
              <w:left w:val="nil"/>
              <w:bottom w:val="nil"/>
              <w:right w:val="nil"/>
            </w:tcBorders>
            <w:shd w:val="clear" w:color="auto" w:fill="FFFFFF"/>
            <w:tcMar>
              <w:left w:w="67" w:type="dxa"/>
              <w:right w:w="67" w:type="dxa"/>
            </w:tcMar>
          </w:tcPr>
          <w:p w14:paraId="6C88252F" w14:textId="0BC39D23"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189</w:t>
            </w:r>
            <w:r w:rsidR="008F0DD8">
              <w:rPr>
                <w:rFonts w:eastAsia="Times New Roman"/>
                <w:color w:val="000000"/>
                <w:sz w:val="14"/>
                <w:szCs w:val="14"/>
              </w:rPr>
              <w:t xml:space="preserve">  </w:t>
            </w:r>
            <w:r w:rsidRPr="00563AD3">
              <w:rPr>
                <w:rFonts w:eastAsia="Times New Roman"/>
                <w:color w:val="000000"/>
                <w:sz w:val="14"/>
                <w:szCs w:val="14"/>
              </w:rPr>
              <w:t xml:space="preserve"> (33.5%)564</w:t>
            </w:r>
          </w:p>
        </w:tc>
        <w:tc>
          <w:tcPr>
            <w:tcW w:w="850" w:type="dxa"/>
            <w:tcBorders>
              <w:top w:val="nil"/>
              <w:left w:val="nil"/>
              <w:bottom w:val="nil"/>
              <w:right w:val="nil"/>
            </w:tcBorders>
            <w:shd w:val="clear" w:color="auto" w:fill="FFFFFF"/>
            <w:tcMar>
              <w:left w:w="67" w:type="dxa"/>
              <w:right w:w="67" w:type="dxa"/>
            </w:tcMar>
          </w:tcPr>
          <w:p w14:paraId="3E075D2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3.1 (0.87) 1</w:t>
            </w:r>
          </w:p>
        </w:tc>
        <w:tc>
          <w:tcPr>
            <w:tcW w:w="851" w:type="dxa"/>
            <w:tcBorders>
              <w:top w:val="nil"/>
              <w:left w:val="nil"/>
              <w:bottom w:val="nil"/>
              <w:right w:val="nil"/>
            </w:tcBorders>
            <w:shd w:val="clear" w:color="auto" w:fill="FFFFFF"/>
            <w:tcMar>
              <w:left w:w="67" w:type="dxa"/>
              <w:right w:w="67" w:type="dxa"/>
            </w:tcMar>
          </w:tcPr>
          <w:p w14:paraId="3B8E972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 (0.98) 1</w:t>
            </w:r>
          </w:p>
        </w:tc>
        <w:tc>
          <w:tcPr>
            <w:tcW w:w="850" w:type="dxa"/>
            <w:tcBorders>
              <w:top w:val="nil"/>
              <w:left w:val="nil"/>
              <w:bottom w:val="nil"/>
              <w:right w:val="nil"/>
            </w:tcBorders>
            <w:shd w:val="clear" w:color="auto" w:fill="FFFFFF"/>
            <w:tcMar>
              <w:left w:w="67" w:type="dxa"/>
              <w:right w:w="67" w:type="dxa"/>
            </w:tcMar>
          </w:tcPr>
          <w:p w14:paraId="6848E2F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2.9 (0.95) 2</w:t>
            </w:r>
          </w:p>
        </w:tc>
        <w:tc>
          <w:tcPr>
            <w:tcW w:w="851" w:type="dxa"/>
            <w:tcBorders>
              <w:top w:val="nil"/>
              <w:left w:val="nil"/>
              <w:bottom w:val="nil"/>
              <w:right w:val="nil"/>
            </w:tcBorders>
            <w:shd w:val="clear" w:color="auto" w:fill="FFFFFF"/>
            <w:tcMar>
              <w:left w:w="67" w:type="dxa"/>
              <w:right w:w="67" w:type="dxa"/>
            </w:tcMar>
          </w:tcPr>
          <w:p w14:paraId="4F391CD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(0.77) 1</w:t>
            </w:r>
          </w:p>
        </w:tc>
        <w:tc>
          <w:tcPr>
            <w:tcW w:w="795" w:type="dxa"/>
            <w:tcBorders>
              <w:top w:val="nil"/>
              <w:left w:val="nil"/>
              <w:bottom w:val="nil"/>
              <w:right w:val="nil"/>
            </w:tcBorders>
            <w:shd w:val="clear" w:color="auto" w:fill="FFFFFF"/>
            <w:tcMar>
              <w:left w:w="67" w:type="dxa"/>
              <w:right w:w="67" w:type="dxa"/>
            </w:tcMar>
          </w:tcPr>
          <w:p w14:paraId="5D14338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(0.62) 1</w:t>
            </w:r>
          </w:p>
        </w:tc>
        <w:tc>
          <w:tcPr>
            <w:tcW w:w="795" w:type="dxa"/>
            <w:tcBorders>
              <w:top w:val="nil"/>
              <w:left w:val="nil"/>
              <w:bottom w:val="nil"/>
              <w:right w:val="nil"/>
            </w:tcBorders>
            <w:shd w:val="clear" w:color="auto" w:fill="FFFFFF"/>
            <w:tcMar>
              <w:left w:w="67" w:type="dxa"/>
              <w:right w:w="67" w:type="dxa"/>
            </w:tcMar>
          </w:tcPr>
          <w:p w14:paraId="6B09B08F" w14:textId="0155F98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1.6 </w:t>
            </w:r>
            <w:r w:rsidR="008F0DD8">
              <w:rPr>
                <w:rFonts w:eastAsia="Times New Roman"/>
                <w:color w:val="000000"/>
                <w:sz w:val="14"/>
                <w:szCs w:val="14"/>
              </w:rPr>
              <w:t xml:space="preserve"> </w:t>
            </w:r>
            <w:r w:rsidRPr="00563AD3">
              <w:rPr>
                <w:rFonts w:eastAsia="Times New Roman"/>
                <w:color w:val="000000"/>
                <w:sz w:val="14"/>
                <w:szCs w:val="14"/>
              </w:rPr>
              <w:t>(0.7) 2</w:t>
            </w:r>
          </w:p>
        </w:tc>
        <w:tc>
          <w:tcPr>
            <w:tcW w:w="795" w:type="dxa"/>
            <w:tcBorders>
              <w:top w:val="nil"/>
              <w:left w:val="nil"/>
              <w:bottom w:val="nil"/>
              <w:right w:val="nil"/>
            </w:tcBorders>
            <w:shd w:val="clear" w:color="auto" w:fill="FFFFFF"/>
            <w:tcMar>
              <w:left w:w="67" w:type="dxa"/>
              <w:right w:w="67" w:type="dxa"/>
            </w:tcMar>
          </w:tcPr>
          <w:p w14:paraId="6DC75B1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0.7 (0.93) 1</w:t>
            </w:r>
          </w:p>
        </w:tc>
        <w:tc>
          <w:tcPr>
            <w:tcW w:w="884" w:type="dxa"/>
            <w:tcBorders>
              <w:top w:val="nil"/>
              <w:left w:val="nil"/>
              <w:bottom w:val="nil"/>
              <w:right w:val="nil"/>
            </w:tcBorders>
            <w:shd w:val="clear" w:color="auto" w:fill="FFFFFF"/>
            <w:tcMar>
              <w:left w:w="67" w:type="dxa"/>
              <w:right w:w="67" w:type="dxa"/>
            </w:tcMar>
          </w:tcPr>
          <w:p w14:paraId="13FDF54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0.7 (0.91) 1</w:t>
            </w:r>
          </w:p>
        </w:tc>
        <w:tc>
          <w:tcPr>
            <w:tcW w:w="851" w:type="dxa"/>
            <w:gridSpan w:val="2"/>
            <w:tcBorders>
              <w:top w:val="nil"/>
              <w:left w:val="nil"/>
              <w:bottom w:val="nil"/>
              <w:right w:val="nil"/>
            </w:tcBorders>
            <w:shd w:val="clear" w:color="auto" w:fill="FFFFFF"/>
            <w:tcMar>
              <w:left w:w="67" w:type="dxa"/>
              <w:right w:w="67" w:type="dxa"/>
            </w:tcMar>
          </w:tcPr>
          <w:p w14:paraId="10B80EC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0.7 (0.91) 2</w:t>
            </w:r>
          </w:p>
        </w:tc>
        <w:tc>
          <w:tcPr>
            <w:tcW w:w="992" w:type="dxa"/>
            <w:gridSpan w:val="3"/>
            <w:tcBorders>
              <w:top w:val="nil"/>
              <w:left w:val="nil"/>
              <w:bottom w:val="nil"/>
              <w:right w:val="nil"/>
            </w:tcBorders>
            <w:shd w:val="clear" w:color="auto" w:fill="FFFFFF"/>
            <w:tcMar>
              <w:left w:w="67" w:type="dxa"/>
              <w:right w:w="67" w:type="dxa"/>
            </w:tcMar>
          </w:tcPr>
          <w:p w14:paraId="001C65B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5.7 (3.39) 1</w:t>
            </w:r>
          </w:p>
        </w:tc>
        <w:tc>
          <w:tcPr>
            <w:tcW w:w="904" w:type="dxa"/>
            <w:tcBorders>
              <w:top w:val="nil"/>
              <w:left w:val="nil"/>
              <w:bottom w:val="nil"/>
              <w:right w:val="nil"/>
            </w:tcBorders>
            <w:shd w:val="clear" w:color="auto" w:fill="FFFFFF"/>
            <w:tcMar>
              <w:left w:w="67" w:type="dxa"/>
              <w:right w:w="67" w:type="dxa"/>
            </w:tcMar>
          </w:tcPr>
          <w:p w14:paraId="5C7669B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4.3 (2.91) 1</w:t>
            </w:r>
          </w:p>
        </w:tc>
        <w:tc>
          <w:tcPr>
            <w:tcW w:w="939" w:type="dxa"/>
            <w:tcBorders>
              <w:top w:val="nil"/>
              <w:left w:val="nil"/>
              <w:bottom w:val="nil"/>
              <w:right w:val="single" w:sz="4" w:space="0" w:color="auto"/>
            </w:tcBorders>
            <w:shd w:val="clear" w:color="auto" w:fill="FFFFFF"/>
            <w:tcMar>
              <w:left w:w="67" w:type="dxa"/>
              <w:right w:w="67" w:type="dxa"/>
            </w:tcMar>
          </w:tcPr>
          <w:p w14:paraId="45C20AE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4.9 (3.16) 2</w:t>
            </w:r>
          </w:p>
        </w:tc>
      </w:tr>
      <w:tr w:rsidR="00E07CDE" w:rsidRPr="00563AD3" w14:paraId="3E3BEE44" w14:textId="77777777" w:rsidTr="00C163F3">
        <w:trPr>
          <w:cantSplit/>
          <w:jc w:val="center"/>
        </w:trPr>
        <w:tc>
          <w:tcPr>
            <w:tcW w:w="1586" w:type="dxa"/>
            <w:tcBorders>
              <w:top w:val="nil"/>
              <w:left w:val="single" w:sz="4" w:space="0" w:color="auto"/>
              <w:bottom w:val="nil"/>
              <w:right w:val="nil"/>
            </w:tcBorders>
            <w:shd w:val="clear" w:color="auto" w:fill="FFFFFF"/>
            <w:tcMar>
              <w:left w:w="67" w:type="dxa"/>
              <w:right w:w="67" w:type="dxa"/>
            </w:tcMar>
          </w:tcPr>
          <w:p w14:paraId="6F0DE824"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Disinhibition</w:t>
            </w:r>
          </w:p>
        </w:tc>
        <w:tc>
          <w:tcPr>
            <w:tcW w:w="995" w:type="dxa"/>
            <w:tcBorders>
              <w:top w:val="nil"/>
              <w:left w:val="nil"/>
              <w:bottom w:val="nil"/>
              <w:right w:val="nil"/>
            </w:tcBorders>
            <w:shd w:val="clear" w:color="auto" w:fill="FFFFFF"/>
            <w:tcMar>
              <w:left w:w="67" w:type="dxa"/>
              <w:right w:w="67" w:type="dxa"/>
            </w:tcMar>
          </w:tcPr>
          <w:p w14:paraId="038F9A4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35 (14.3%)244</w:t>
            </w:r>
          </w:p>
        </w:tc>
        <w:tc>
          <w:tcPr>
            <w:tcW w:w="1056" w:type="dxa"/>
            <w:tcBorders>
              <w:top w:val="nil"/>
              <w:left w:val="nil"/>
              <w:bottom w:val="nil"/>
              <w:right w:val="nil"/>
            </w:tcBorders>
            <w:shd w:val="clear" w:color="auto" w:fill="FFFFFF"/>
            <w:tcMar>
              <w:left w:w="67" w:type="dxa"/>
              <w:right w:w="67" w:type="dxa"/>
            </w:tcMar>
          </w:tcPr>
          <w:p w14:paraId="371D55C1" w14:textId="03871F8D"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30 </w:t>
            </w:r>
            <w:r w:rsidR="008F0DD8">
              <w:rPr>
                <w:rFonts w:eastAsia="Times New Roman"/>
                <w:color w:val="000000"/>
                <w:sz w:val="14"/>
                <w:szCs w:val="14"/>
              </w:rPr>
              <w:t xml:space="preserve">   </w:t>
            </w:r>
            <w:r w:rsidRPr="00563AD3">
              <w:rPr>
                <w:rFonts w:eastAsia="Times New Roman"/>
                <w:color w:val="000000"/>
                <w:sz w:val="14"/>
                <w:szCs w:val="14"/>
              </w:rPr>
              <w:t>(9.4%)320</w:t>
            </w:r>
          </w:p>
        </w:tc>
        <w:tc>
          <w:tcPr>
            <w:tcW w:w="1169" w:type="dxa"/>
            <w:tcBorders>
              <w:top w:val="nil"/>
              <w:left w:val="nil"/>
              <w:bottom w:val="nil"/>
              <w:right w:val="nil"/>
            </w:tcBorders>
            <w:shd w:val="clear" w:color="auto" w:fill="FFFFFF"/>
            <w:tcMar>
              <w:left w:w="67" w:type="dxa"/>
              <w:right w:w="67" w:type="dxa"/>
            </w:tcMar>
          </w:tcPr>
          <w:p w14:paraId="7B6F920B" w14:textId="2D6D8E3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65</w:t>
            </w:r>
            <w:r w:rsidR="008F0DD8">
              <w:rPr>
                <w:rFonts w:eastAsia="Times New Roman"/>
                <w:color w:val="000000"/>
                <w:sz w:val="14"/>
                <w:szCs w:val="14"/>
              </w:rPr>
              <w:t xml:space="preserve">   </w:t>
            </w:r>
            <w:r w:rsidRPr="00563AD3">
              <w:rPr>
                <w:rFonts w:eastAsia="Times New Roman"/>
                <w:color w:val="000000"/>
                <w:sz w:val="14"/>
                <w:szCs w:val="14"/>
              </w:rPr>
              <w:t xml:space="preserve"> (11.5%)564</w:t>
            </w:r>
          </w:p>
        </w:tc>
        <w:tc>
          <w:tcPr>
            <w:tcW w:w="850" w:type="dxa"/>
            <w:tcBorders>
              <w:top w:val="nil"/>
              <w:left w:val="nil"/>
              <w:bottom w:val="nil"/>
              <w:right w:val="nil"/>
            </w:tcBorders>
            <w:shd w:val="clear" w:color="auto" w:fill="FFFFFF"/>
            <w:tcMar>
              <w:left w:w="67" w:type="dxa"/>
              <w:right w:w="67" w:type="dxa"/>
            </w:tcMar>
          </w:tcPr>
          <w:p w14:paraId="0242B46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2.7 (1.07) 0</w:t>
            </w:r>
          </w:p>
        </w:tc>
        <w:tc>
          <w:tcPr>
            <w:tcW w:w="851" w:type="dxa"/>
            <w:tcBorders>
              <w:top w:val="nil"/>
              <w:left w:val="nil"/>
              <w:bottom w:val="nil"/>
              <w:right w:val="nil"/>
            </w:tcBorders>
            <w:shd w:val="clear" w:color="auto" w:fill="FFFFFF"/>
            <w:tcMar>
              <w:left w:w="67" w:type="dxa"/>
              <w:right w:w="67" w:type="dxa"/>
            </w:tcMar>
          </w:tcPr>
          <w:p w14:paraId="540F5F0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2.9 (0.88) 0</w:t>
            </w:r>
          </w:p>
        </w:tc>
        <w:tc>
          <w:tcPr>
            <w:tcW w:w="850" w:type="dxa"/>
            <w:tcBorders>
              <w:top w:val="nil"/>
              <w:left w:val="nil"/>
              <w:bottom w:val="nil"/>
              <w:right w:val="nil"/>
            </w:tcBorders>
            <w:shd w:val="clear" w:color="auto" w:fill="FFFFFF"/>
            <w:tcMar>
              <w:left w:w="67" w:type="dxa"/>
              <w:right w:w="67" w:type="dxa"/>
            </w:tcMar>
          </w:tcPr>
          <w:p w14:paraId="6CBD95A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 (0.99) 0</w:t>
            </w:r>
          </w:p>
        </w:tc>
        <w:tc>
          <w:tcPr>
            <w:tcW w:w="851" w:type="dxa"/>
            <w:tcBorders>
              <w:top w:val="nil"/>
              <w:left w:val="nil"/>
              <w:bottom w:val="nil"/>
              <w:right w:val="nil"/>
            </w:tcBorders>
            <w:shd w:val="clear" w:color="auto" w:fill="FFFFFF"/>
            <w:tcMar>
              <w:left w:w="67" w:type="dxa"/>
              <w:right w:w="67" w:type="dxa"/>
            </w:tcMar>
          </w:tcPr>
          <w:p w14:paraId="402390D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(0.67) 0</w:t>
            </w:r>
          </w:p>
        </w:tc>
        <w:tc>
          <w:tcPr>
            <w:tcW w:w="795" w:type="dxa"/>
            <w:tcBorders>
              <w:top w:val="nil"/>
              <w:left w:val="nil"/>
              <w:bottom w:val="nil"/>
              <w:right w:val="nil"/>
            </w:tcBorders>
            <w:shd w:val="clear" w:color="auto" w:fill="FFFFFF"/>
            <w:tcMar>
              <w:left w:w="67" w:type="dxa"/>
              <w:right w:w="67" w:type="dxa"/>
            </w:tcMar>
          </w:tcPr>
          <w:p w14:paraId="2F78928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(0.83) 0</w:t>
            </w:r>
          </w:p>
        </w:tc>
        <w:tc>
          <w:tcPr>
            <w:tcW w:w="795" w:type="dxa"/>
            <w:tcBorders>
              <w:top w:val="nil"/>
              <w:left w:val="nil"/>
              <w:bottom w:val="nil"/>
              <w:right w:val="nil"/>
            </w:tcBorders>
            <w:shd w:val="clear" w:color="auto" w:fill="FFFFFF"/>
            <w:tcMar>
              <w:left w:w="67" w:type="dxa"/>
              <w:right w:w="67" w:type="dxa"/>
            </w:tcMar>
          </w:tcPr>
          <w:p w14:paraId="3F98FEC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(0.74) 0</w:t>
            </w:r>
          </w:p>
        </w:tc>
        <w:tc>
          <w:tcPr>
            <w:tcW w:w="795" w:type="dxa"/>
            <w:tcBorders>
              <w:top w:val="nil"/>
              <w:left w:val="nil"/>
              <w:bottom w:val="nil"/>
              <w:right w:val="nil"/>
            </w:tcBorders>
            <w:shd w:val="clear" w:color="auto" w:fill="FFFFFF"/>
            <w:tcMar>
              <w:left w:w="67" w:type="dxa"/>
              <w:right w:w="67" w:type="dxa"/>
            </w:tcMar>
          </w:tcPr>
          <w:p w14:paraId="6B73270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(1.39) 0</w:t>
            </w:r>
          </w:p>
        </w:tc>
        <w:tc>
          <w:tcPr>
            <w:tcW w:w="884" w:type="dxa"/>
            <w:tcBorders>
              <w:top w:val="nil"/>
              <w:left w:val="nil"/>
              <w:bottom w:val="nil"/>
              <w:right w:val="nil"/>
            </w:tcBorders>
            <w:shd w:val="clear" w:color="auto" w:fill="FFFFFF"/>
            <w:tcMar>
              <w:left w:w="67" w:type="dxa"/>
              <w:right w:w="67" w:type="dxa"/>
            </w:tcMar>
          </w:tcPr>
          <w:p w14:paraId="3BAD38B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(1.45) 0</w:t>
            </w:r>
          </w:p>
        </w:tc>
        <w:tc>
          <w:tcPr>
            <w:tcW w:w="851" w:type="dxa"/>
            <w:gridSpan w:val="2"/>
            <w:tcBorders>
              <w:top w:val="nil"/>
              <w:left w:val="nil"/>
              <w:bottom w:val="nil"/>
              <w:right w:val="nil"/>
            </w:tcBorders>
            <w:shd w:val="clear" w:color="auto" w:fill="FFFFFF"/>
            <w:tcMar>
              <w:left w:w="67" w:type="dxa"/>
              <w:right w:w="67" w:type="dxa"/>
            </w:tcMar>
          </w:tcPr>
          <w:p w14:paraId="7F65CA6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(1.41) 0</w:t>
            </w:r>
          </w:p>
        </w:tc>
        <w:tc>
          <w:tcPr>
            <w:tcW w:w="992" w:type="dxa"/>
            <w:gridSpan w:val="3"/>
            <w:tcBorders>
              <w:top w:val="nil"/>
              <w:left w:val="nil"/>
              <w:bottom w:val="nil"/>
              <w:right w:val="nil"/>
            </w:tcBorders>
            <w:shd w:val="clear" w:color="auto" w:fill="FFFFFF"/>
            <w:tcMar>
              <w:left w:w="67" w:type="dxa"/>
              <w:right w:w="67" w:type="dxa"/>
            </w:tcMar>
          </w:tcPr>
          <w:p w14:paraId="7F11B56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4.9 (3.08) 0</w:t>
            </w:r>
          </w:p>
        </w:tc>
        <w:tc>
          <w:tcPr>
            <w:tcW w:w="904" w:type="dxa"/>
            <w:tcBorders>
              <w:top w:val="nil"/>
              <w:left w:val="nil"/>
              <w:bottom w:val="nil"/>
              <w:right w:val="nil"/>
            </w:tcBorders>
            <w:shd w:val="clear" w:color="auto" w:fill="FFFFFF"/>
            <w:tcMar>
              <w:left w:w="67" w:type="dxa"/>
              <w:right w:w="67" w:type="dxa"/>
            </w:tcMar>
          </w:tcPr>
          <w:p w14:paraId="65699D1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5.3 (3.44) 0</w:t>
            </w:r>
          </w:p>
        </w:tc>
        <w:tc>
          <w:tcPr>
            <w:tcW w:w="939" w:type="dxa"/>
            <w:tcBorders>
              <w:top w:val="nil"/>
              <w:left w:val="nil"/>
              <w:bottom w:val="nil"/>
              <w:right w:val="single" w:sz="4" w:space="0" w:color="auto"/>
            </w:tcBorders>
            <w:shd w:val="clear" w:color="auto" w:fill="FFFFFF"/>
            <w:tcMar>
              <w:left w:w="67" w:type="dxa"/>
              <w:right w:w="67" w:type="dxa"/>
            </w:tcMar>
          </w:tcPr>
          <w:p w14:paraId="1FBD5A3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5.1 (3.23) 0</w:t>
            </w:r>
          </w:p>
        </w:tc>
      </w:tr>
      <w:tr w:rsidR="00E07CDE" w:rsidRPr="00563AD3" w14:paraId="2B003384" w14:textId="77777777" w:rsidTr="00C163F3">
        <w:trPr>
          <w:cantSplit/>
          <w:jc w:val="center"/>
        </w:trPr>
        <w:tc>
          <w:tcPr>
            <w:tcW w:w="1586" w:type="dxa"/>
            <w:tcBorders>
              <w:top w:val="nil"/>
              <w:left w:val="single" w:sz="4" w:space="0" w:color="auto"/>
              <w:bottom w:val="nil"/>
              <w:right w:val="nil"/>
            </w:tcBorders>
            <w:shd w:val="clear" w:color="auto" w:fill="FFFFFF"/>
            <w:tcMar>
              <w:left w:w="67" w:type="dxa"/>
              <w:right w:w="67" w:type="dxa"/>
            </w:tcMar>
          </w:tcPr>
          <w:p w14:paraId="1C307634"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Irritability/Lability</w:t>
            </w:r>
          </w:p>
        </w:tc>
        <w:tc>
          <w:tcPr>
            <w:tcW w:w="995" w:type="dxa"/>
            <w:tcBorders>
              <w:top w:val="nil"/>
              <w:left w:val="nil"/>
              <w:bottom w:val="nil"/>
              <w:right w:val="nil"/>
            </w:tcBorders>
            <w:shd w:val="clear" w:color="auto" w:fill="FFFFFF"/>
            <w:tcMar>
              <w:left w:w="67" w:type="dxa"/>
              <w:right w:w="67" w:type="dxa"/>
            </w:tcMar>
          </w:tcPr>
          <w:p w14:paraId="0A33780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83 (33.9%)245</w:t>
            </w:r>
          </w:p>
        </w:tc>
        <w:tc>
          <w:tcPr>
            <w:tcW w:w="1056" w:type="dxa"/>
            <w:tcBorders>
              <w:top w:val="nil"/>
              <w:left w:val="nil"/>
              <w:bottom w:val="nil"/>
              <w:right w:val="nil"/>
            </w:tcBorders>
            <w:shd w:val="clear" w:color="auto" w:fill="FFFFFF"/>
            <w:tcMar>
              <w:left w:w="67" w:type="dxa"/>
              <w:right w:w="67" w:type="dxa"/>
            </w:tcMar>
          </w:tcPr>
          <w:p w14:paraId="73900419" w14:textId="440F10F3"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99 </w:t>
            </w:r>
            <w:r w:rsidR="008F0DD8">
              <w:rPr>
                <w:rFonts w:eastAsia="Times New Roman"/>
                <w:color w:val="000000"/>
                <w:sz w:val="14"/>
                <w:szCs w:val="14"/>
              </w:rPr>
              <w:t xml:space="preserve"> </w:t>
            </w:r>
            <w:r w:rsidRPr="00563AD3">
              <w:rPr>
                <w:rFonts w:eastAsia="Times New Roman"/>
                <w:color w:val="000000"/>
                <w:sz w:val="14"/>
                <w:szCs w:val="14"/>
              </w:rPr>
              <w:t>(30.9%)320</w:t>
            </w:r>
          </w:p>
        </w:tc>
        <w:tc>
          <w:tcPr>
            <w:tcW w:w="1169" w:type="dxa"/>
            <w:tcBorders>
              <w:top w:val="nil"/>
              <w:left w:val="nil"/>
              <w:bottom w:val="nil"/>
              <w:right w:val="nil"/>
            </w:tcBorders>
            <w:shd w:val="clear" w:color="auto" w:fill="FFFFFF"/>
            <w:tcMar>
              <w:left w:w="67" w:type="dxa"/>
              <w:right w:w="67" w:type="dxa"/>
            </w:tcMar>
          </w:tcPr>
          <w:p w14:paraId="76FA1A55" w14:textId="52C1DB9A"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182</w:t>
            </w:r>
            <w:r w:rsidR="008F0DD8">
              <w:rPr>
                <w:rFonts w:eastAsia="Times New Roman"/>
                <w:color w:val="000000"/>
                <w:sz w:val="14"/>
                <w:szCs w:val="14"/>
              </w:rPr>
              <w:t xml:space="preserve"> </w:t>
            </w:r>
            <w:r w:rsidRPr="00563AD3">
              <w:rPr>
                <w:rFonts w:eastAsia="Times New Roman"/>
                <w:color w:val="000000"/>
                <w:sz w:val="14"/>
                <w:szCs w:val="14"/>
              </w:rPr>
              <w:t xml:space="preserve"> (32.2%)565</w:t>
            </w:r>
          </w:p>
        </w:tc>
        <w:tc>
          <w:tcPr>
            <w:tcW w:w="850" w:type="dxa"/>
            <w:tcBorders>
              <w:top w:val="nil"/>
              <w:left w:val="nil"/>
              <w:bottom w:val="nil"/>
              <w:right w:val="nil"/>
            </w:tcBorders>
            <w:shd w:val="clear" w:color="auto" w:fill="FFFFFF"/>
            <w:tcMar>
              <w:left w:w="67" w:type="dxa"/>
              <w:right w:w="67" w:type="dxa"/>
            </w:tcMar>
          </w:tcPr>
          <w:p w14:paraId="73D1146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(0.92) 0</w:t>
            </w:r>
          </w:p>
        </w:tc>
        <w:tc>
          <w:tcPr>
            <w:tcW w:w="851" w:type="dxa"/>
            <w:tcBorders>
              <w:top w:val="nil"/>
              <w:left w:val="nil"/>
              <w:bottom w:val="nil"/>
              <w:right w:val="nil"/>
            </w:tcBorders>
            <w:shd w:val="clear" w:color="auto" w:fill="FFFFFF"/>
            <w:tcMar>
              <w:left w:w="67" w:type="dxa"/>
              <w:right w:w="67" w:type="dxa"/>
            </w:tcMar>
          </w:tcPr>
          <w:p w14:paraId="3708B86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2.7 (0.88) 0</w:t>
            </w:r>
          </w:p>
        </w:tc>
        <w:tc>
          <w:tcPr>
            <w:tcW w:w="850" w:type="dxa"/>
            <w:tcBorders>
              <w:top w:val="nil"/>
              <w:left w:val="nil"/>
              <w:bottom w:val="nil"/>
              <w:right w:val="nil"/>
            </w:tcBorders>
            <w:shd w:val="clear" w:color="auto" w:fill="FFFFFF"/>
            <w:tcMar>
              <w:left w:w="67" w:type="dxa"/>
              <w:right w:w="67" w:type="dxa"/>
            </w:tcMar>
          </w:tcPr>
          <w:p w14:paraId="6497A43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2.7 (0.9) 0</w:t>
            </w:r>
          </w:p>
        </w:tc>
        <w:tc>
          <w:tcPr>
            <w:tcW w:w="851" w:type="dxa"/>
            <w:tcBorders>
              <w:top w:val="nil"/>
              <w:left w:val="nil"/>
              <w:bottom w:val="nil"/>
              <w:right w:val="nil"/>
            </w:tcBorders>
            <w:shd w:val="clear" w:color="auto" w:fill="FFFFFF"/>
            <w:tcMar>
              <w:left w:w="67" w:type="dxa"/>
              <w:right w:w="67" w:type="dxa"/>
            </w:tcMar>
          </w:tcPr>
          <w:p w14:paraId="2884509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(0.66) 0</w:t>
            </w:r>
          </w:p>
        </w:tc>
        <w:tc>
          <w:tcPr>
            <w:tcW w:w="795" w:type="dxa"/>
            <w:tcBorders>
              <w:top w:val="nil"/>
              <w:left w:val="nil"/>
              <w:bottom w:val="nil"/>
              <w:right w:val="nil"/>
            </w:tcBorders>
            <w:shd w:val="clear" w:color="auto" w:fill="FFFFFF"/>
            <w:tcMar>
              <w:left w:w="67" w:type="dxa"/>
              <w:right w:w="67" w:type="dxa"/>
            </w:tcMar>
          </w:tcPr>
          <w:p w14:paraId="77146C9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(0.69) 0</w:t>
            </w:r>
          </w:p>
        </w:tc>
        <w:tc>
          <w:tcPr>
            <w:tcW w:w="795" w:type="dxa"/>
            <w:tcBorders>
              <w:top w:val="nil"/>
              <w:left w:val="nil"/>
              <w:bottom w:val="nil"/>
              <w:right w:val="nil"/>
            </w:tcBorders>
            <w:shd w:val="clear" w:color="auto" w:fill="FFFFFF"/>
            <w:tcMar>
              <w:left w:w="67" w:type="dxa"/>
              <w:right w:w="67" w:type="dxa"/>
            </w:tcMar>
          </w:tcPr>
          <w:p w14:paraId="6596145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(0.68) 0</w:t>
            </w:r>
          </w:p>
        </w:tc>
        <w:tc>
          <w:tcPr>
            <w:tcW w:w="795" w:type="dxa"/>
            <w:tcBorders>
              <w:top w:val="nil"/>
              <w:left w:val="nil"/>
              <w:bottom w:val="nil"/>
              <w:right w:val="nil"/>
            </w:tcBorders>
            <w:shd w:val="clear" w:color="auto" w:fill="FFFFFF"/>
            <w:tcMar>
              <w:left w:w="67" w:type="dxa"/>
              <w:right w:w="67" w:type="dxa"/>
            </w:tcMar>
          </w:tcPr>
          <w:p w14:paraId="4996949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(1.14) 0</w:t>
            </w:r>
          </w:p>
        </w:tc>
        <w:tc>
          <w:tcPr>
            <w:tcW w:w="884" w:type="dxa"/>
            <w:tcBorders>
              <w:top w:val="nil"/>
              <w:left w:val="nil"/>
              <w:bottom w:val="nil"/>
              <w:right w:val="nil"/>
            </w:tcBorders>
            <w:shd w:val="clear" w:color="auto" w:fill="FFFFFF"/>
            <w:tcMar>
              <w:left w:w="67" w:type="dxa"/>
              <w:right w:w="67" w:type="dxa"/>
            </w:tcMar>
          </w:tcPr>
          <w:p w14:paraId="30CF0F9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(1.18) 1</w:t>
            </w:r>
          </w:p>
        </w:tc>
        <w:tc>
          <w:tcPr>
            <w:tcW w:w="851" w:type="dxa"/>
            <w:gridSpan w:val="2"/>
            <w:tcBorders>
              <w:top w:val="nil"/>
              <w:left w:val="nil"/>
              <w:bottom w:val="nil"/>
              <w:right w:val="nil"/>
            </w:tcBorders>
            <w:shd w:val="clear" w:color="auto" w:fill="FFFFFF"/>
            <w:tcMar>
              <w:left w:w="67" w:type="dxa"/>
              <w:right w:w="67" w:type="dxa"/>
            </w:tcMar>
          </w:tcPr>
          <w:p w14:paraId="1294F5A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(1.17) 1</w:t>
            </w:r>
          </w:p>
        </w:tc>
        <w:tc>
          <w:tcPr>
            <w:tcW w:w="992" w:type="dxa"/>
            <w:gridSpan w:val="3"/>
            <w:tcBorders>
              <w:top w:val="nil"/>
              <w:left w:val="nil"/>
              <w:bottom w:val="nil"/>
              <w:right w:val="nil"/>
            </w:tcBorders>
            <w:shd w:val="clear" w:color="auto" w:fill="FFFFFF"/>
            <w:tcMar>
              <w:left w:w="67" w:type="dxa"/>
              <w:right w:w="67" w:type="dxa"/>
            </w:tcMar>
          </w:tcPr>
          <w:p w14:paraId="77A2036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4.5 (3.12) 0</w:t>
            </w:r>
          </w:p>
        </w:tc>
        <w:tc>
          <w:tcPr>
            <w:tcW w:w="904" w:type="dxa"/>
            <w:tcBorders>
              <w:top w:val="nil"/>
              <w:left w:val="nil"/>
              <w:bottom w:val="nil"/>
              <w:right w:val="nil"/>
            </w:tcBorders>
            <w:shd w:val="clear" w:color="auto" w:fill="FFFFFF"/>
            <w:tcMar>
              <w:left w:w="67" w:type="dxa"/>
              <w:right w:w="67" w:type="dxa"/>
            </w:tcMar>
          </w:tcPr>
          <w:p w14:paraId="1D69758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4.4 (2.89) 0</w:t>
            </w:r>
          </w:p>
        </w:tc>
        <w:tc>
          <w:tcPr>
            <w:tcW w:w="939" w:type="dxa"/>
            <w:tcBorders>
              <w:top w:val="nil"/>
              <w:left w:val="nil"/>
              <w:bottom w:val="nil"/>
              <w:right w:val="single" w:sz="4" w:space="0" w:color="auto"/>
            </w:tcBorders>
            <w:shd w:val="clear" w:color="auto" w:fill="FFFFFF"/>
            <w:tcMar>
              <w:left w:w="67" w:type="dxa"/>
              <w:right w:w="67" w:type="dxa"/>
            </w:tcMar>
          </w:tcPr>
          <w:p w14:paraId="71CEF0F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4.5 (2.99) 0</w:t>
            </w:r>
          </w:p>
        </w:tc>
      </w:tr>
      <w:tr w:rsidR="008A1A04" w:rsidRPr="00563AD3" w14:paraId="15315557" w14:textId="77777777" w:rsidTr="00C163F3">
        <w:trPr>
          <w:cantSplit/>
          <w:jc w:val="center"/>
        </w:trPr>
        <w:tc>
          <w:tcPr>
            <w:tcW w:w="1586" w:type="dxa"/>
            <w:tcBorders>
              <w:top w:val="nil"/>
              <w:left w:val="single" w:sz="4" w:space="0" w:color="auto"/>
              <w:bottom w:val="nil"/>
              <w:right w:val="nil"/>
            </w:tcBorders>
            <w:shd w:val="clear" w:color="auto" w:fill="FFFFFF"/>
            <w:tcMar>
              <w:left w:w="67" w:type="dxa"/>
              <w:right w:w="67" w:type="dxa"/>
            </w:tcMar>
          </w:tcPr>
          <w:p w14:paraId="41C51084" w14:textId="498E039A" w:rsidR="008A1A04" w:rsidRPr="00563AD3" w:rsidRDefault="008A1A04" w:rsidP="004818D9">
            <w:pPr>
              <w:spacing w:before="67" w:after="67" w:line="240" w:lineRule="auto"/>
              <w:rPr>
                <w:rFonts w:eastAsia="Times New Roman"/>
                <w:color w:val="000000"/>
                <w:sz w:val="14"/>
                <w:szCs w:val="14"/>
              </w:rPr>
            </w:pPr>
            <w:r w:rsidRPr="00563AD3">
              <w:rPr>
                <w:rFonts w:eastAsia="Times New Roman"/>
                <w:color w:val="000000"/>
                <w:sz w:val="14"/>
                <w:szCs w:val="14"/>
              </w:rPr>
              <w:t xml:space="preserve">Aberrant </w:t>
            </w:r>
            <w:r>
              <w:rPr>
                <w:rFonts w:eastAsia="Times New Roman"/>
                <w:color w:val="000000"/>
                <w:sz w:val="14"/>
                <w:szCs w:val="14"/>
              </w:rPr>
              <w:t>m</w:t>
            </w:r>
            <w:r w:rsidRPr="00563AD3">
              <w:rPr>
                <w:rFonts w:eastAsia="Times New Roman"/>
                <w:color w:val="000000"/>
                <w:sz w:val="14"/>
                <w:szCs w:val="14"/>
              </w:rPr>
              <w:t>otor</w:t>
            </w:r>
            <w:r w:rsidRPr="00563AD3">
              <w:rPr>
                <w:rFonts w:eastAsia="Times New Roman"/>
                <w:color w:val="000000"/>
                <w:sz w:val="14"/>
                <w:szCs w:val="14"/>
              </w:rPr>
              <w:br/>
            </w:r>
            <w:r>
              <w:rPr>
                <w:rFonts w:eastAsia="Times New Roman"/>
                <w:color w:val="000000"/>
                <w:sz w:val="14"/>
                <w:szCs w:val="14"/>
              </w:rPr>
              <w:t>b</w:t>
            </w:r>
            <w:r w:rsidRPr="00563AD3">
              <w:rPr>
                <w:rFonts w:eastAsia="Times New Roman"/>
                <w:color w:val="000000"/>
                <w:sz w:val="14"/>
                <w:szCs w:val="14"/>
              </w:rPr>
              <w:t>ehaviour</w:t>
            </w:r>
          </w:p>
        </w:tc>
        <w:tc>
          <w:tcPr>
            <w:tcW w:w="995" w:type="dxa"/>
            <w:tcBorders>
              <w:top w:val="nil"/>
              <w:left w:val="nil"/>
              <w:bottom w:val="nil"/>
              <w:right w:val="nil"/>
            </w:tcBorders>
            <w:shd w:val="clear" w:color="auto" w:fill="FFFFFF"/>
            <w:tcMar>
              <w:left w:w="67" w:type="dxa"/>
              <w:right w:w="67" w:type="dxa"/>
            </w:tcMar>
          </w:tcPr>
          <w:p w14:paraId="40176F52"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71 (29.1%)244</w:t>
            </w:r>
          </w:p>
        </w:tc>
        <w:tc>
          <w:tcPr>
            <w:tcW w:w="1056" w:type="dxa"/>
            <w:tcBorders>
              <w:top w:val="nil"/>
              <w:left w:val="nil"/>
              <w:bottom w:val="nil"/>
              <w:right w:val="nil"/>
            </w:tcBorders>
            <w:shd w:val="clear" w:color="auto" w:fill="FFFFFF"/>
            <w:tcMar>
              <w:left w:w="67" w:type="dxa"/>
              <w:right w:w="67" w:type="dxa"/>
            </w:tcMar>
          </w:tcPr>
          <w:p w14:paraId="5E166EAF" w14:textId="6DAC4735"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90 </w:t>
            </w:r>
            <w:r w:rsidR="008F0DD8">
              <w:rPr>
                <w:rFonts w:eastAsia="Times New Roman"/>
                <w:color w:val="000000"/>
                <w:sz w:val="14"/>
                <w:szCs w:val="14"/>
              </w:rPr>
              <w:t xml:space="preserve"> </w:t>
            </w:r>
            <w:r w:rsidRPr="00563AD3">
              <w:rPr>
                <w:rFonts w:eastAsia="Times New Roman"/>
                <w:color w:val="000000"/>
                <w:sz w:val="14"/>
                <w:szCs w:val="14"/>
              </w:rPr>
              <w:t>(28.2%)319</w:t>
            </w:r>
          </w:p>
        </w:tc>
        <w:tc>
          <w:tcPr>
            <w:tcW w:w="1169" w:type="dxa"/>
            <w:tcBorders>
              <w:top w:val="nil"/>
              <w:left w:val="nil"/>
              <w:bottom w:val="nil"/>
              <w:right w:val="nil"/>
            </w:tcBorders>
            <w:shd w:val="clear" w:color="auto" w:fill="FFFFFF"/>
            <w:tcMar>
              <w:left w:w="67" w:type="dxa"/>
              <w:right w:w="67" w:type="dxa"/>
            </w:tcMar>
          </w:tcPr>
          <w:p w14:paraId="1DA11DDF" w14:textId="7D46D878"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161 </w:t>
            </w:r>
            <w:r w:rsidR="008F0DD8">
              <w:rPr>
                <w:rFonts w:eastAsia="Times New Roman"/>
                <w:color w:val="000000"/>
                <w:sz w:val="14"/>
                <w:szCs w:val="14"/>
              </w:rPr>
              <w:t xml:space="preserve"> </w:t>
            </w:r>
            <w:r w:rsidRPr="00563AD3">
              <w:rPr>
                <w:rFonts w:eastAsia="Times New Roman"/>
                <w:color w:val="000000"/>
                <w:sz w:val="14"/>
                <w:szCs w:val="14"/>
              </w:rPr>
              <w:t>(28.6%)563</w:t>
            </w:r>
          </w:p>
        </w:tc>
        <w:tc>
          <w:tcPr>
            <w:tcW w:w="850" w:type="dxa"/>
            <w:tcBorders>
              <w:top w:val="nil"/>
              <w:left w:val="nil"/>
              <w:bottom w:val="nil"/>
              <w:right w:val="nil"/>
            </w:tcBorders>
            <w:shd w:val="clear" w:color="auto" w:fill="FFFFFF"/>
            <w:tcMar>
              <w:left w:w="67" w:type="dxa"/>
              <w:right w:w="67" w:type="dxa"/>
            </w:tcMar>
          </w:tcPr>
          <w:p w14:paraId="4903B5E0"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3.4 (0.73) 0</w:t>
            </w:r>
          </w:p>
        </w:tc>
        <w:tc>
          <w:tcPr>
            <w:tcW w:w="851" w:type="dxa"/>
            <w:tcBorders>
              <w:top w:val="nil"/>
              <w:left w:val="nil"/>
              <w:bottom w:val="nil"/>
              <w:right w:val="nil"/>
            </w:tcBorders>
            <w:shd w:val="clear" w:color="auto" w:fill="FFFFFF"/>
            <w:tcMar>
              <w:left w:w="67" w:type="dxa"/>
              <w:right w:w="67" w:type="dxa"/>
            </w:tcMar>
          </w:tcPr>
          <w:p w14:paraId="2E651F41"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3.4 (0.69) 0</w:t>
            </w:r>
          </w:p>
        </w:tc>
        <w:tc>
          <w:tcPr>
            <w:tcW w:w="850" w:type="dxa"/>
            <w:tcBorders>
              <w:top w:val="nil"/>
              <w:left w:val="nil"/>
              <w:bottom w:val="nil"/>
              <w:right w:val="nil"/>
            </w:tcBorders>
            <w:shd w:val="clear" w:color="auto" w:fill="FFFFFF"/>
            <w:tcMar>
              <w:left w:w="67" w:type="dxa"/>
              <w:right w:w="67" w:type="dxa"/>
            </w:tcMar>
          </w:tcPr>
          <w:p w14:paraId="786CC206"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3.4 (0.7) 0</w:t>
            </w:r>
          </w:p>
        </w:tc>
        <w:tc>
          <w:tcPr>
            <w:tcW w:w="851" w:type="dxa"/>
            <w:tcBorders>
              <w:top w:val="nil"/>
              <w:left w:val="nil"/>
              <w:bottom w:val="nil"/>
              <w:right w:val="nil"/>
            </w:tcBorders>
            <w:shd w:val="clear" w:color="auto" w:fill="FFFFFF"/>
            <w:tcMar>
              <w:left w:w="67" w:type="dxa"/>
              <w:right w:w="67" w:type="dxa"/>
            </w:tcMar>
          </w:tcPr>
          <w:p w14:paraId="7F5C4FF8"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(0.62) 0</w:t>
            </w:r>
          </w:p>
        </w:tc>
        <w:tc>
          <w:tcPr>
            <w:tcW w:w="795" w:type="dxa"/>
            <w:tcBorders>
              <w:top w:val="nil"/>
              <w:left w:val="nil"/>
              <w:bottom w:val="nil"/>
              <w:right w:val="nil"/>
            </w:tcBorders>
            <w:shd w:val="clear" w:color="auto" w:fill="FFFFFF"/>
            <w:tcMar>
              <w:left w:w="67" w:type="dxa"/>
              <w:right w:w="67" w:type="dxa"/>
            </w:tcMar>
          </w:tcPr>
          <w:p w14:paraId="1374DD99"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(0.67) 0</w:t>
            </w:r>
          </w:p>
        </w:tc>
        <w:tc>
          <w:tcPr>
            <w:tcW w:w="795" w:type="dxa"/>
            <w:tcBorders>
              <w:top w:val="nil"/>
              <w:left w:val="nil"/>
              <w:bottom w:val="nil"/>
              <w:right w:val="nil"/>
            </w:tcBorders>
            <w:shd w:val="clear" w:color="auto" w:fill="FFFFFF"/>
            <w:tcMar>
              <w:left w:w="67" w:type="dxa"/>
              <w:right w:w="67" w:type="dxa"/>
            </w:tcMar>
          </w:tcPr>
          <w:p w14:paraId="0565FDD8"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(0.65) 0</w:t>
            </w:r>
          </w:p>
        </w:tc>
        <w:tc>
          <w:tcPr>
            <w:tcW w:w="795" w:type="dxa"/>
            <w:tcBorders>
              <w:top w:val="nil"/>
              <w:left w:val="nil"/>
              <w:bottom w:val="nil"/>
              <w:right w:val="nil"/>
            </w:tcBorders>
            <w:shd w:val="clear" w:color="auto" w:fill="FFFFFF"/>
            <w:tcMar>
              <w:left w:w="67" w:type="dxa"/>
              <w:right w:w="67" w:type="dxa"/>
            </w:tcMar>
          </w:tcPr>
          <w:p w14:paraId="34C7F0FB"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1.1 (0.98) 0</w:t>
            </w:r>
          </w:p>
        </w:tc>
        <w:tc>
          <w:tcPr>
            <w:tcW w:w="884" w:type="dxa"/>
            <w:tcBorders>
              <w:top w:val="nil"/>
              <w:left w:val="nil"/>
              <w:bottom w:val="nil"/>
              <w:right w:val="nil"/>
            </w:tcBorders>
            <w:shd w:val="clear" w:color="auto" w:fill="FFFFFF"/>
            <w:tcMar>
              <w:left w:w="67" w:type="dxa"/>
              <w:right w:w="67" w:type="dxa"/>
            </w:tcMar>
          </w:tcPr>
          <w:p w14:paraId="757498C9"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1.1 (1.12) 0</w:t>
            </w:r>
          </w:p>
        </w:tc>
        <w:tc>
          <w:tcPr>
            <w:tcW w:w="851" w:type="dxa"/>
            <w:gridSpan w:val="2"/>
            <w:tcBorders>
              <w:top w:val="nil"/>
              <w:left w:val="nil"/>
              <w:bottom w:val="nil"/>
              <w:right w:val="nil"/>
            </w:tcBorders>
            <w:shd w:val="clear" w:color="auto" w:fill="FFFFFF"/>
            <w:tcMar>
              <w:left w:w="67" w:type="dxa"/>
              <w:right w:w="67" w:type="dxa"/>
            </w:tcMar>
          </w:tcPr>
          <w:p w14:paraId="15163B6D"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1.1 (1.06) 0</w:t>
            </w:r>
          </w:p>
        </w:tc>
        <w:tc>
          <w:tcPr>
            <w:tcW w:w="992" w:type="dxa"/>
            <w:gridSpan w:val="3"/>
            <w:tcBorders>
              <w:top w:val="nil"/>
              <w:left w:val="nil"/>
              <w:bottom w:val="nil"/>
              <w:right w:val="nil"/>
            </w:tcBorders>
            <w:shd w:val="clear" w:color="auto" w:fill="FFFFFF"/>
            <w:tcMar>
              <w:left w:w="67" w:type="dxa"/>
              <w:right w:w="67" w:type="dxa"/>
            </w:tcMar>
          </w:tcPr>
          <w:p w14:paraId="10F2875D"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5.6 (2.58) 0</w:t>
            </w:r>
          </w:p>
        </w:tc>
        <w:tc>
          <w:tcPr>
            <w:tcW w:w="904" w:type="dxa"/>
            <w:tcBorders>
              <w:top w:val="nil"/>
              <w:left w:val="nil"/>
              <w:bottom w:val="nil"/>
              <w:right w:val="nil"/>
            </w:tcBorders>
            <w:shd w:val="clear" w:color="auto" w:fill="FFFFFF"/>
            <w:tcMar>
              <w:left w:w="67" w:type="dxa"/>
              <w:right w:w="67" w:type="dxa"/>
            </w:tcMar>
          </w:tcPr>
          <w:p w14:paraId="433FA831"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6 (2.98) 0</w:t>
            </w:r>
          </w:p>
        </w:tc>
        <w:tc>
          <w:tcPr>
            <w:tcW w:w="939" w:type="dxa"/>
            <w:tcBorders>
              <w:top w:val="nil"/>
              <w:left w:val="nil"/>
              <w:bottom w:val="nil"/>
              <w:right w:val="single" w:sz="4" w:space="0" w:color="auto"/>
            </w:tcBorders>
            <w:shd w:val="clear" w:color="auto" w:fill="FFFFFF"/>
            <w:tcMar>
              <w:left w:w="67" w:type="dxa"/>
              <w:right w:w="67" w:type="dxa"/>
            </w:tcMar>
          </w:tcPr>
          <w:p w14:paraId="7C243C7C"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5.8 (2.81) 0</w:t>
            </w:r>
          </w:p>
        </w:tc>
      </w:tr>
      <w:tr w:rsidR="008A1A04" w:rsidRPr="00563AD3" w14:paraId="3546FC89" w14:textId="77777777" w:rsidTr="00C163F3">
        <w:trPr>
          <w:cantSplit/>
          <w:jc w:val="center"/>
        </w:trPr>
        <w:tc>
          <w:tcPr>
            <w:tcW w:w="1586" w:type="dxa"/>
            <w:tcBorders>
              <w:top w:val="nil"/>
              <w:left w:val="single" w:sz="4" w:space="0" w:color="auto"/>
              <w:bottom w:val="nil"/>
              <w:right w:val="nil"/>
            </w:tcBorders>
            <w:shd w:val="clear" w:color="auto" w:fill="FFFFFF"/>
            <w:tcMar>
              <w:left w:w="67" w:type="dxa"/>
              <w:right w:w="67" w:type="dxa"/>
            </w:tcMar>
          </w:tcPr>
          <w:p w14:paraId="20A39A7D" w14:textId="21BE88F6" w:rsidR="008A1A04" w:rsidRPr="00563AD3" w:rsidRDefault="008A1A04" w:rsidP="004818D9">
            <w:pPr>
              <w:keepNext/>
              <w:spacing w:before="67" w:after="67" w:line="240" w:lineRule="auto"/>
              <w:rPr>
                <w:rFonts w:eastAsia="Times New Roman"/>
                <w:color w:val="000000"/>
                <w:sz w:val="14"/>
                <w:szCs w:val="14"/>
              </w:rPr>
            </w:pPr>
            <w:r w:rsidRPr="00563AD3">
              <w:rPr>
                <w:rFonts w:eastAsia="Times New Roman"/>
                <w:color w:val="000000"/>
                <w:sz w:val="14"/>
                <w:szCs w:val="14"/>
              </w:rPr>
              <w:t>Sle</w:t>
            </w:r>
            <w:r>
              <w:rPr>
                <w:rFonts w:eastAsia="Times New Roman"/>
                <w:color w:val="000000"/>
                <w:sz w:val="14"/>
                <w:szCs w:val="14"/>
              </w:rPr>
              <w:t>ep and night time b</w:t>
            </w:r>
            <w:r w:rsidRPr="00563AD3">
              <w:rPr>
                <w:rFonts w:eastAsia="Times New Roman"/>
                <w:color w:val="000000"/>
                <w:sz w:val="14"/>
                <w:szCs w:val="14"/>
              </w:rPr>
              <w:t xml:space="preserve">ehaviour </w:t>
            </w:r>
            <w:r>
              <w:rPr>
                <w:rFonts w:eastAsia="Times New Roman"/>
                <w:color w:val="000000"/>
                <w:sz w:val="14"/>
                <w:szCs w:val="14"/>
              </w:rPr>
              <w:t>d</w:t>
            </w:r>
            <w:r w:rsidRPr="00563AD3">
              <w:rPr>
                <w:rFonts w:eastAsia="Times New Roman"/>
                <w:color w:val="000000"/>
                <w:sz w:val="14"/>
                <w:szCs w:val="14"/>
              </w:rPr>
              <w:t>isorders</w:t>
            </w:r>
          </w:p>
        </w:tc>
        <w:tc>
          <w:tcPr>
            <w:tcW w:w="995" w:type="dxa"/>
            <w:tcBorders>
              <w:top w:val="nil"/>
              <w:left w:val="nil"/>
              <w:bottom w:val="nil"/>
              <w:right w:val="nil"/>
            </w:tcBorders>
            <w:shd w:val="clear" w:color="auto" w:fill="FFFFFF"/>
            <w:tcMar>
              <w:left w:w="67" w:type="dxa"/>
              <w:right w:w="67" w:type="dxa"/>
            </w:tcMar>
          </w:tcPr>
          <w:p w14:paraId="3F6A6382" w14:textId="77777777"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39 (15.9%)245</w:t>
            </w:r>
          </w:p>
        </w:tc>
        <w:tc>
          <w:tcPr>
            <w:tcW w:w="1056" w:type="dxa"/>
            <w:tcBorders>
              <w:top w:val="nil"/>
              <w:left w:val="nil"/>
              <w:bottom w:val="nil"/>
              <w:right w:val="nil"/>
            </w:tcBorders>
            <w:shd w:val="clear" w:color="auto" w:fill="FFFFFF"/>
            <w:tcMar>
              <w:left w:w="67" w:type="dxa"/>
              <w:right w:w="67" w:type="dxa"/>
            </w:tcMar>
          </w:tcPr>
          <w:p w14:paraId="6F78519C" w14:textId="13E4B0DC"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51 </w:t>
            </w:r>
            <w:r w:rsidR="008F0DD8">
              <w:rPr>
                <w:rFonts w:eastAsia="Times New Roman"/>
                <w:color w:val="000000"/>
                <w:sz w:val="14"/>
                <w:szCs w:val="14"/>
              </w:rPr>
              <w:t xml:space="preserve">    </w:t>
            </w:r>
            <w:r w:rsidRPr="00563AD3">
              <w:rPr>
                <w:rFonts w:eastAsia="Times New Roman"/>
                <w:color w:val="000000"/>
                <w:sz w:val="14"/>
                <w:szCs w:val="14"/>
              </w:rPr>
              <w:t>(16%)319</w:t>
            </w:r>
          </w:p>
        </w:tc>
        <w:tc>
          <w:tcPr>
            <w:tcW w:w="1169" w:type="dxa"/>
            <w:tcBorders>
              <w:top w:val="nil"/>
              <w:left w:val="nil"/>
              <w:bottom w:val="nil"/>
              <w:right w:val="nil"/>
            </w:tcBorders>
            <w:shd w:val="clear" w:color="auto" w:fill="FFFFFF"/>
            <w:tcMar>
              <w:left w:w="67" w:type="dxa"/>
              <w:right w:w="67" w:type="dxa"/>
            </w:tcMar>
          </w:tcPr>
          <w:p w14:paraId="75DFB046" w14:textId="1FDB764E"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90</w:t>
            </w:r>
            <w:r w:rsidR="008F0DD8">
              <w:rPr>
                <w:rFonts w:eastAsia="Times New Roman"/>
                <w:color w:val="000000"/>
                <w:sz w:val="14"/>
                <w:szCs w:val="14"/>
              </w:rPr>
              <w:t xml:space="preserve">      </w:t>
            </w:r>
            <w:r w:rsidRPr="00563AD3">
              <w:rPr>
                <w:rFonts w:eastAsia="Times New Roman"/>
                <w:color w:val="000000"/>
                <w:sz w:val="14"/>
                <w:szCs w:val="14"/>
              </w:rPr>
              <w:t xml:space="preserve"> (16%)564</w:t>
            </w:r>
          </w:p>
        </w:tc>
        <w:tc>
          <w:tcPr>
            <w:tcW w:w="850" w:type="dxa"/>
            <w:tcBorders>
              <w:top w:val="nil"/>
              <w:left w:val="nil"/>
              <w:bottom w:val="nil"/>
              <w:right w:val="nil"/>
            </w:tcBorders>
            <w:shd w:val="clear" w:color="auto" w:fill="FFFFFF"/>
            <w:tcMar>
              <w:left w:w="67" w:type="dxa"/>
              <w:right w:w="67" w:type="dxa"/>
            </w:tcMar>
          </w:tcPr>
          <w:p w14:paraId="217A6F22" w14:textId="77777777"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3 (1) 0</w:t>
            </w:r>
          </w:p>
        </w:tc>
        <w:tc>
          <w:tcPr>
            <w:tcW w:w="851" w:type="dxa"/>
            <w:tcBorders>
              <w:top w:val="nil"/>
              <w:left w:val="nil"/>
              <w:bottom w:val="nil"/>
              <w:right w:val="nil"/>
            </w:tcBorders>
            <w:shd w:val="clear" w:color="auto" w:fill="FFFFFF"/>
            <w:tcMar>
              <w:left w:w="67" w:type="dxa"/>
              <w:right w:w="67" w:type="dxa"/>
            </w:tcMar>
          </w:tcPr>
          <w:p w14:paraId="71062F02" w14:textId="77777777"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2.9 (0.97) 0</w:t>
            </w:r>
          </w:p>
        </w:tc>
        <w:tc>
          <w:tcPr>
            <w:tcW w:w="850" w:type="dxa"/>
            <w:tcBorders>
              <w:top w:val="nil"/>
              <w:left w:val="nil"/>
              <w:bottom w:val="nil"/>
              <w:right w:val="nil"/>
            </w:tcBorders>
            <w:shd w:val="clear" w:color="auto" w:fill="FFFFFF"/>
            <w:tcMar>
              <w:left w:w="67" w:type="dxa"/>
              <w:right w:w="67" w:type="dxa"/>
            </w:tcMar>
          </w:tcPr>
          <w:p w14:paraId="154660C2" w14:textId="77777777"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3 (0.98) 0</w:t>
            </w:r>
          </w:p>
        </w:tc>
        <w:tc>
          <w:tcPr>
            <w:tcW w:w="851" w:type="dxa"/>
            <w:tcBorders>
              <w:top w:val="nil"/>
              <w:left w:val="nil"/>
              <w:bottom w:val="nil"/>
              <w:right w:val="nil"/>
            </w:tcBorders>
            <w:shd w:val="clear" w:color="auto" w:fill="FFFFFF"/>
            <w:tcMar>
              <w:left w:w="67" w:type="dxa"/>
              <w:right w:w="67" w:type="dxa"/>
            </w:tcMar>
          </w:tcPr>
          <w:p w14:paraId="47FA9DDC" w14:textId="77777777"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1.5 (0.79) 0</w:t>
            </w:r>
          </w:p>
        </w:tc>
        <w:tc>
          <w:tcPr>
            <w:tcW w:w="795" w:type="dxa"/>
            <w:tcBorders>
              <w:top w:val="nil"/>
              <w:left w:val="nil"/>
              <w:bottom w:val="nil"/>
              <w:right w:val="nil"/>
            </w:tcBorders>
            <w:shd w:val="clear" w:color="auto" w:fill="FFFFFF"/>
            <w:tcMar>
              <w:left w:w="67" w:type="dxa"/>
              <w:right w:w="67" w:type="dxa"/>
            </w:tcMar>
          </w:tcPr>
          <w:p w14:paraId="7486E147" w14:textId="77777777"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1.6 (0.66) 0</w:t>
            </w:r>
          </w:p>
        </w:tc>
        <w:tc>
          <w:tcPr>
            <w:tcW w:w="795" w:type="dxa"/>
            <w:tcBorders>
              <w:top w:val="nil"/>
              <w:left w:val="nil"/>
              <w:bottom w:val="nil"/>
              <w:right w:val="nil"/>
            </w:tcBorders>
            <w:shd w:val="clear" w:color="auto" w:fill="FFFFFF"/>
            <w:tcMar>
              <w:left w:w="67" w:type="dxa"/>
              <w:right w:w="67" w:type="dxa"/>
            </w:tcMar>
          </w:tcPr>
          <w:p w14:paraId="757D5142" w14:textId="77777777"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1.6 (0.72) 0</w:t>
            </w:r>
          </w:p>
        </w:tc>
        <w:tc>
          <w:tcPr>
            <w:tcW w:w="795" w:type="dxa"/>
            <w:tcBorders>
              <w:top w:val="nil"/>
              <w:left w:val="nil"/>
              <w:bottom w:val="nil"/>
              <w:right w:val="nil"/>
            </w:tcBorders>
            <w:shd w:val="clear" w:color="auto" w:fill="FFFFFF"/>
            <w:tcMar>
              <w:left w:w="67" w:type="dxa"/>
              <w:right w:w="67" w:type="dxa"/>
            </w:tcMar>
          </w:tcPr>
          <w:p w14:paraId="63A3438A" w14:textId="77777777"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1.7 (1.28) 0</w:t>
            </w:r>
          </w:p>
        </w:tc>
        <w:tc>
          <w:tcPr>
            <w:tcW w:w="884" w:type="dxa"/>
            <w:tcBorders>
              <w:top w:val="nil"/>
              <w:left w:val="nil"/>
              <w:bottom w:val="nil"/>
              <w:right w:val="nil"/>
            </w:tcBorders>
            <w:shd w:val="clear" w:color="auto" w:fill="FFFFFF"/>
            <w:tcMar>
              <w:left w:w="67" w:type="dxa"/>
              <w:right w:w="67" w:type="dxa"/>
            </w:tcMar>
          </w:tcPr>
          <w:p w14:paraId="0962FB00" w14:textId="77777777"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2 (1.26) 0</w:t>
            </w:r>
          </w:p>
        </w:tc>
        <w:tc>
          <w:tcPr>
            <w:tcW w:w="851" w:type="dxa"/>
            <w:gridSpan w:val="2"/>
            <w:tcBorders>
              <w:top w:val="nil"/>
              <w:left w:val="nil"/>
              <w:bottom w:val="nil"/>
              <w:right w:val="nil"/>
            </w:tcBorders>
            <w:shd w:val="clear" w:color="auto" w:fill="FFFFFF"/>
            <w:tcMar>
              <w:left w:w="67" w:type="dxa"/>
              <w:right w:w="67" w:type="dxa"/>
            </w:tcMar>
          </w:tcPr>
          <w:p w14:paraId="3543D7C3" w14:textId="77777777"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1.8 (1.27) 0</w:t>
            </w:r>
          </w:p>
        </w:tc>
        <w:tc>
          <w:tcPr>
            <w:tcW w:w="992" w:type="dxa"/>
            <w:gridSpan w:val="3"/>
            <w:tcBorders>
              <w:top w:val="nil"/>
              <w:left w:val="nil"/>
              <w:bottom w:val="nil"/>
              <w:right w:val="nil"/>
            </w:tcBorders>
            <w:shd w:val="clear" w:color="auto" w:fill="FFFFFF"/>
            <w:tcMar>
              <w:left w:w="67" w:type="dxa"/>
              <w:right w:w="67" w:type="dxa"/>
            </w:tcMar>
          </w:tcPr>
          <w:p w14:paraId="06B9267D" w14:textId="77777777"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4.9 (3.55) 0</w:t>
            </w:r>
          </w:p>
        </w:tc>
        <w:tc>
          <w:tcPr>
            <w:tcW w:w="904" w:type="dxa"/>
            <w:tcBorders>
              <w:top w:val="nil"/>
              <w:left w:val="nil"/>
              <w:bottom w:val="nil"/>
              <w:right w:val="nil"/>
            </w:tcBorders>
            <w:shd w:val="clear" w:color="auto" w:fill="FFFFFF"/>
            <w:tcMar>
              <w:left w:w="67" w:type="dxa"/>
              <w:right w:w="67" w:type="dxa"/>
            </w:tcMar>
          </w:tcPr>
          <w:p w14:paraId="08064A4D" w14:textId="77777777"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5 (3.01) 0</w:t>
            </w:r>
          </w:p>
        </w:tc>
        <w:tc>
          <w:tcPr>
            <w:tcW w:w="939" w:type="dxa"/>
            <w:tcBorders>
              <w:top w:val="nil"/>
              <w:left w:val="nil"/>
              <w:bottom w:val="nil"/>
              <w:right w:val="single" w:sz="4" w:space="0" w:color="auto"/>
            </w:tcBorders>
            <w:shd w:val="clear" w:color="auto" w:fill="FFFFFF"/>
            <w:tcMar>
              <w:left w:w="67" w:type="dxa"/>
              <w:right w:w="67" w:type="dxa"/>
            </w:tcMar>
          </w:tcPr>
          <w:p w14:paraId="745D2AFC" w14:textId="77777777" w:rsidR="008A1A04" w:rsidRPr="00563AD3" w:rsidRDefault="008A1A04"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5 (3.24) 0</w:t>
            </w:r>
          </w:p>
        </w:tc>
      </w:tr>
      <w:tr w:rsidR="008A1A04" w:rsidRPr="00563AD3" w14:paraId="3EF86676" w14:textId="77777777" w:rsidTr="00C163F3">
        <w:trPr>
          <w:cantSplit/>
          <w:jc w:val="center"/>
        </w:trPr>
        <w:tc>
          <w:tcPr>
            <w:tcW w:w="1586" w:type="dxa"/>
            <w:tcBorders>
              <w:top w:val="nil"/>
              <w:left w:val="single" w:sz="4" w:space="0" w:color="auto"/>
              <w:bottom w:val="single" w:sz="4" w:space="0" w:color="auto"/>
              <w:right w:val="nil"/>
            </w:tcBorders>
            <w:shd w:val="clear" w:color="auto" w:fill="FFFFFF"/>
            <w:tcMar>
              <w:left w:w="67" w:type="dxa"/>
              <w:right w:w="67" w:type="dxa"/>
            </w:tcMar>
          </w:tcPr>
          <w:p w14:paraId="7F52D853" w14:textId="7BA004D5" w:rsidR="008A1A04" w:rsidRPr="00563AD3" w:rsidRDefault="008A1A04" w:rsidP="004818D9">
            <w:pPr>
              <w:spacing w:before="67" w:after="67" w:line="240" w:lineRule="auto"/>
              <w:rPr>
                <w:rFonts w:eastAsia="Times New Roman"/>
                <w:color w:val="000000"/>
                <w:sz w:val="14"/>
                <w:szCs w:val="14"/>
              </w:rPr>
            </w:pPr>
            <w:r w:rsidRPr="00563AD3">
              <w:rPr>
                <w:rFonts w:eastAsia="Times New Roman"/>
                <w:color w:val="000000"/>
                <w:sz w:val="14"/>
                <w:szCs w:val="14"/>
              </w:rPr>
              <w:t xml:space="preserve">Appetite and </w:t>
            </w:r>
            <w:r>
              <w:rPr>
                <w:rFonts w:eastAsia="Times New Roman"/>
                <w:color w:val="000000"/>
                <w:sz w:val="14"/>
                <w:szCs w:val="14"/>
              </w:rPr>
              <w:t>e</w:t>
            </w:r>
            <w:r w:rsidRPr="00563AD3">
              <w:rPr>
                <w:rFonts w:eastAsia="Times New Roman"/>
                <w:color w:val="000000"/>
                <w:sz w:val="14"/>
                <w:szCs w:val="14"/>
              </w:rPr>
              <w:t>ating</w:t>
            </w:r>
            <w:r w:rsidRPr="00563AD3">
              <w:rPr>
                <w:rFonts w:eastAsia="Times New Roman"/>
                <w:color w:val="000000"/>
                <w:sz w:val="14"/>
                <w:szCs w:val="14"/>
              </w:rPr>
              <w:br/>
            </w:r>
            <w:r>
              <w:rPr>
                <w:rFonts w:eastAsia="Times New Roman"/>
                <w:color w:val="000000"/>
                <w:sz w:val="14"/>
                <w:szCs w:val="14"/>
              </w:rPr>
              <w:t>c</w:t>
            </w:r>
            <w:r w:rsidRPr="00563AD3">
              <w:rPr>
                <w:rFonts w:eastAsia="Times New Roman"/>
                <w:color w:val="000000"/>
                <w:sz w:val="14"/>
                <w:szCs w:val="14"/>
              </w:rPr>
              <w:t>hanges</w:t>
            </w:r>
          </w:p>
        </w:tc>
        <w:tc>
          <w:tcPr>
            <w:tcW w:w="995" w:type="dxa"/>
            <w:tcBorders>
              <w:top w:val="nil"/>
              <w:left w:val="nil"/>
              <w:bottom w:val="single" w:sz="4" w:space="0" w:color="auto"/>
              <w:right w:val="nil"/>
            </w:tcBorders>
            <w:shd w:val="clear" w:color="auto" w:fill="FFFFFF"/>
            <w:tcMar>
              <w:left w:w="67" w:type="dxa"/>
              <w:right w:w="67" w:type="dxa"/>
            </w:tcMar>
          </w:tcPr>
          <w:p w14:paraId="2841F013"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48 (19.6%)245</w:t>
            </w:r>
          </w:p>
        </w:tc>
        <w:tc>
          <w:tcPr>
            <w:tcW w:w="1056" w:type="dxa"/>
            <w:tcBorders>
              <w:top w:val="nil"/>
              <w:left w:val="nil"/>
              <w:bottom w:val="single" w:sz="4" w:space="0" w:color="auto"/>
              <w:right w:val="nil"/>
            </w:tcBorders>
            <w:shd w:val="clear" w:color="auto" w:fill="FFFFFF"/>
            <w:tcMar>
              <w:left w:w="67" w:type="dxa"/>
              <w:right w:w="67" w:type="dxa"/>
            </w:tcMar>
          </w:tcPr>
          <w:p w14:paraId="04A3CF90" w14:textId="0042F992"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46 </w:t>
            </w:r>
            <w:r w:rsidR="008F0DD8">
              <w:rPr>
                <w:rFonts w:eastAsia="Times New Roman"/>
                <w:color w:val="000000"/>
                <w:sz w:val="14"/>
                <w:szCs w:val="14"/>
              </w:rPr>
              <w:t xml:space="preserve">  </w:t>
            </w:r>
            <w:r w:rsidRPr="00563AD3">
              <w:rPr>
                <w:rFonts w:eastAsia="Times New Roman"/>
                <w:color w:val="000000"/>
                <w:sz w:val="14"/>
                <w:szCs w:val="14"/>
              </w:rPr>
              <w:t>(14.4%)319</w:t>
            </w:r>
          </w:p>
        </w:tc>
        <w:tc>
          <w:tcPr>
            <w:tcW w:w="1169" w:type="dxa"/>
            <w:tcBorders>
              <w:top w:val="nil"/>
              <w:left w:val="nil"/>
              <w:bottom w:val="single" w:sz="4" w:space="0" w:color="auto"/>
              <w:right w:val="nil"/>
            </w:tcBorders>
            <w:shd w:val="clear" w:color="auto" w:fill="FFFFFF"/>
            <w:tcMar>
              <w:left w:w="67" w:type="dxa"/>
              <w:right w:w="67" w:type="dxa"/>
            </w:tcMar>
          </w:tcPr>
          <w:p w14:paraId="1B5E85CE" w14:textId="15C76A30"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94 </w:t>
            </w:r>
            <w:r w:rsidR="008F0DD8">
              <w:rPr>
                <w:rFonts w:eastAsia="Times New Roman"/>
                <w:color w:val="000000"/>
                <w:sz w:val="14"/>
                <w:szCs w:val="14"/>
              </w:rPr>
              <w:t xml:space="preserve">   </w:t>
            </w:r>
            <w:r w:rsidRPr="00563AD3">
              <w:rPr>
                <w:rFonts w:eastAsia="Times New Roman"/>
                <w:color w:val="000000"/>
                <w:sz w:val="14"/>
                <w:szCs w:val="14"/>
              </w:rPr>
              <w:t>(16.7%)564</w:t>
            </w:r>
          </w:p>
        </w:tc>
        <w:tc>
          <w:tcPr>
            <w:tcW w:w="850" w:type="dxa"/>
            <w:tcBorders>
              <w:top w:val="nil"/>
              <w:left w:val="nil"/>
              <w:bottom w:val="single" w:sz="4" w:space="0" w:color="auto"/>
              <w:right w:val="nil"/>
            </w:tcBorders>
            <w:shd w:val="clear" w:color="auto" w:fill="FFFFFF"/>
            <w:tcMar>
              <w:left w:w="67" w:type="dxa"/>
              <w:right w:w="67" w:type="dxa"/>
            </w:tcMar>
          </w:tcPr>
          <w:p w14:paraId="143FF60C"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3.3 (0.7) 1</w:t>
            </w:r>
          </w:p>
        </w:tc>
        <w:tc>
          <w:tcPr>
            <w:tcW w:w="851" w:type="dxa"/>
            <w:tcBorders>
              <w:top w:val="nil"/>
              <w:left w:val="nil"/>
              <w:bottom w:val="single" w:sz="4" w:space="0" w:color="auto"/>
              <w:right w:val="nil"/>
            </w:tcBorders>
            <w:shd w:val="clear" w:color="auto" w:fill="FFFFFF"/>
            <w:tcMar>
              <w:left w:w="67" w:type="dxa"/>
              <w:right w:w="67" w:type="dxa"/>
            </w:tcMar>
          </w:tcPr>
          <w:p w14:paraId="74CEE566"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3.2 (0.88) 1</w:t>
            </w:r>
          </w:p>
        </w:tc>
        <w:tc>
          <w:tcPr>
            <w:tcW w:w="850" w:type="dxa"/>
            <w:tcBorders>
              <w:top w:val="nil"/>
              <w:left w:val="nil"/>
              <w:bottom w:val="single" w:sz="4" w:space="0" w:color="auto"/>
              <w:right w:val="nil"/>
            </w:tcBorders>
            <w:shd w:val="clear" w:color="auto" w:fill="FFFFFF"/>
            <w:tcMar>
              <w:left w:w="67" w:type="dxa"/>
              <w:right w:w="67" w:type="dxa"/>
            </w:tcMar>
          </w:tcPr>
          <w:p w14:paraId="40437F5A"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3.3 (0.79) 2</w:t>
            </w:r>
          </w:p>
        </w:tc>
        <w:tc>
          <w:tcPr>
            <w:tcW w:w="851" w:type="dxa"/>
            <w:tcBorders>
              <w:top w:val="nil"/>
              <w:left w:val="nil"/>
              <w:bottom w:val="single" w:sz="4" w:space="0" w:color="auto"/>
              <w:right w:val="nil"/>
            </w:tcBorders>
            <w:shd w:val="clear" w:color="auto" w:fill="FFFFFF"/>
            <w:tcMar>
              <w:left w:w="67" w:type="dxa"/>
              <w:right w:w="67" w:type="dxa"/>
            </w:tcMar>
          </w:tcPr>
          <w:p w14:paraId="78797EED"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1.9 (0.62) 1</w:t>
            </w:r>
          </w:p>
        </w:tc>
        <w:tc>
          <w:tcPr>
            <w:tcW w:w="795" w:type="dxa"/>
            <w:tcBorders>
              <w:top w:val="nil"/>
              <w:left w:val="nil"/>
              <w:bottom w:val="single" w:sz="4" w:space="0" w:color="auto"/>
              <w:right w:val="nil"/>
            </w:tcBorders>
            <w:shd w:val="clear" w:color="auto" w:fill="FFFFFF"/>
            <w:tcMar>
              <w:left w:w="67" w:type="dxa"/>
              <w:right w:w="67" w:type="dxa"/>
            </w:tcMar>
          </w:tcPr>
          <w:p w14:paraId="68074521"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1.8 (0.63) 1</w:t>
            </w:r>
          </w:p>
        </w:tc>
        <w:tc>
          <w:tcPr>
            <w:tcW w:w="795" w:type="dxa"/>
            <w:tcBorders>
              <w:top w:val="nil"/>
              <w:left w:val="nil"/>
              <w:bottom w:val="single" w:sz="4" w:space="0" w:color="auto"/>
              <w:right w:val="nil"/>
            </w:tcBorders>
            <w:shd w:val="clear" w:color="auto" w:fill="FFFFFF"/>
            <w:tcMar>
              <w:left w:w="67" w:type="dxa"/>
              <w:right w:w="67" w:type="dxa"/>
            </w:tcMar>
          </w:tcPr>
          <w:p w14:paraId="79F3E6B7"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1.8 (0.62) 2</w:t>
            </w:r>
          </w:p>
        </w:tc>
        <w:tc>
          <w:tcPr>
            <w:tcW w:w="795" w:type="dxa"/>
            <w:tcBorders>
              <w:top w:val="nil"/>
              <w:left w:val="nil"/>
              <w:bottom w:val="single" w:sz="4" w:space="0" w:color="auto"/>
              <w:right w:val="nil"/>
            </w:tcBorders>
            <w:shd w:val="clear" w:color="auto" w:fill="FFFFFF"/>
            <w:tcMar>
              <w:left w:w="67" w:type="dxa"/>
              <w:right w:w="67" w:type="dxa"/>
            </w:tcMar>
          </w:tcPr>
          <w:p w14:paraId="1CE6F19E"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(1.21) 1</w:t>
            </w:r>
          </w:p>
        </w:tc>
        <w:tc>
          <w:tcPr>
            <w:tcW w:w="884" w:type="dxa"/>
            <w:tcBorders>
              <w:top w:val="nil"/>
              <w:left w:val="nil"/>
              <w:bottom w:val="single" w:sz="4" w:space="0" w:color="auto"/>
              <w:right w:val="nil"/>
            </w:tcBorders>
            <w:shd w:val="clear" w:color="auto" w:fill="FFFFFF"/>
            <w:tcMar>
              <w:left w:w="67" w:type="dxa"/>
              <w:right w:w="67" w:type="dxa"/>
            </w:tcMar>
          </w:tcPr>
          <w:p w14:paraId="62D00D0B"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(1.3) 1</w:t>
            </w:r>
          </w:p>
        </w:tc>
        <w:tc>
          <w:tcPr>
            <w:tcW w:w="851" w:type="dxa"/>
            <w:gridSpan w:val="2"/>
            <w:tcBorders>
              <w:top w:val="nil"/>
              <w:left w:val="nil"/>
              <w:bottom w:val="single" w:sz="4" w:space="0" w:color="auto"/>
              <w:right w:val="nil"/>
            </w:tcBorders>
            <w:shd w:val="clear" w:color="auto" w:fill="FFFFFF"/>
            <w:tcMar>
              <w:left w:w="67" w:type="dxa"/>
              <w:right w:w="67" w:type="dxa"/>
            </w:tcMar>
          </w:tcPr>
          <w:p w14:paraId="6291463F"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(1.25) 2</w:t>
            </w:r>
          </w:p>
        </w:tc>
        <w:tc>
          <w:tcPr>
            <w:tcW w:w="992" w:type="dxa"/>
            <w:gridSpan w:val="3"/>
            <w:tcBorders>
              <w:top w:val="nil"/>
              <w:left w:val="nil"/>
              <w:bottom w:val="single" w:sz="4" w:space="0" w:color="auto"/>
              <w:right w:val="nil"/>
            </w:tcBorders>
            <w:shd w:val="clear" w:color="auto" w:fill="FFFFFF"/>
            <w:tcMar>
              <w:left w:w="67" w:type="dxa"/>
              <w:right w:w="67" w:type="dxa"/>
            </w:tcMar>
          </w:tcPr>
          <w:p w14:paraId="7A40C443"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6.3 (2.87) 1</w:t>
            </w:r>
          </w:p>
        </w:tc>
        <w:tc>
          <w:tcPr>
            <w:tcW w:w="904" w:type="dxa"/>
            <w:tcBorders>
              <w:top w:val="nil"/>
              <w:left w:val="nil"/>
              <w:bottom w:val="single" w:sz="4" w:space="0" w:color="auto"/>
              <w:right w:val="nil"/>
            </w:tcBorders>
            <w:shd w:val="clear" w:color="auto" w:fill="FFFFFF"/>
            <w:tcMar>
              <w:left w:w="67" w:type="dxa"/>
              <w:right w:w="67" w:type="dxa"/>
            </w:tcMar>
          </w:tcPr>
          <w:p w14:paraId="21B63554"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5.8 (2.71) 1</w:t>
            </w:r>
          </w:p>
        </w:tc>
        <w:tc>
          <w:tcPr>
            <w:tcW w:w="939" w:type="dxa"/>
            <w:tcBorders>
              <w:top w:val="nil"/>
              <w:left w:val="nil"/>
              <w:bottom w:val="single" w:sz="4" w:space="0" w:color="auto"/>
              <w:right w:val="single" w:sz="4" w:space="0" w:color="auto"/>
            </w:tcBorders>
            <w:shd w:val="clear" w:color="auto" w:fill="FFFFFF"/>
            <w:tcMar>
              <w:left w:w="67" w:type="dxa"/>
              <w:right w:w="67" w:type="dxa"/>
            </w:tcMar>
          </w:tcPr>
          <w:p w14:paraId="66289C13" w14:textId="77777777" w:rsidR="008A1A04" w:rsidRPr="00563AD3" w:rsidRDefault="008A1A04"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6 (2.79) 2</w:t>
            </w:r>
          </w:p>
        </w:tc>
      </w:tr>
    </w:tbl>
    <w:p w14:paraId="5A7F8360" w14:textId="77777777" w:rsidR="00E07CDE" w:rsidRPr="00563AD3" w:rsidRDefault="00E07CDE" w:rsidP="009B13F3">
      <w:pPr>
        <w:autoSpaceDE/>
        <w:autoSpaceDN/>
        <w:adjustRightInd/>
        <w:spacing w:before="120" w:after="0"/>
        <w:rPr>
          <w:rFonts w:eastAsia="Calibri"/>
          <w:sz w:val="24"/>
          <w:szCs w:val="24"/>
          <w:lang w:eastAsia="en-US"/>
        </w:rPr>
      </w:pPr>
    </w:p>
    <w:p w14:paraId="68DFD0CA" w14:textId="67E69F5A" w:rsidR="00E07CDE" w:rsidRPr="00563AD3" w:rsidRDefault="00E07CDE" w:rsidP="004818D9">
      <w:pPr>
        <w:pStyle w:val="Tableheading"/>
        <w:rPr>
          <w:rFonts w:eastAsia="Calibri"/>
          <w:lang w:eastAsia="en-US"/>
        </w:rPr>
      </w:pPr>
      <w:bookmarkStart w:id="327" w:name="_Toc500935003"/>
      <w:bookmarkStart w:id="328" w:name="_Toc948248"/>
      <w:r w:rsidRPr="00563AD3">
        <w:rPr>
          <w:rFonts w:eastAsia="Calibri"/>
          <w:lang w:eastAsia="en-US"/>
        </w:rPr>
        <w:t xml:space="preserve">Table </w:t>
      </w:r>
      <w:r w:rsidR="009919B5">
        <w:rPr>
          <w:rFonts w:eastAsia="Calibri"/>
          <w:lang w:eastAsia="en-US"/>
        </w:rPr>
        <w:t xml:space="preserve">51 </w:t>
      </w:r>
      <w:r w:rsidR="00E35291">
        <w:rPr>
          <w:rFonts w:eastAsia="Calibri"/>
          <w:lang w:eastAsia="en-US"/>
        </w:rPr>
        <w:t>NPI-NH at 16-</w:t>
      </w:r>
      <w:r w:rsidRPr="00563AD3">
        <w:rPr>
          <w:rFonts w:eastAsia="Calibri"/>
          <w:lang w:eastAsia="en-US"/>
        </w:rPr>
        <w:t>months original cohort</w:t>
      </w:r>
      <w:bookmarkEnd w:id="327"/>
      <w:r w:rsidRPr="00563AD3">
        <w:rPr>
          <w:rFonts w:eastAsia="Calibri"/>
          <w:lang w:eastAsia="en-US"/>
        </w:rPr>
        <w:t xml:space="preserve"> – unadjusted scores</w:t>
      </w:r>
      <w:bookmarkEnd w:id="328"/>
    </w:p>
    <w:tbl>
      <w:tblPr>
        <w:tblW w:w="15082" w:type="dxa"/>
        <w:jc w:val="center"/>
        <w:tblLayout w:type="fixed"/>
        <w:tblCellMar>
          <w:left w:w="0" w:type="dxa"/>
          <w:right w:w="0" w:type="dxa"/>
        </w:tblCellMar>
        <w:tblLook w:val="0000" w:firstRow="0" w:lastRow="0" w:firstColumn="0" w:lastColumn="0" w:noHBand="0" w:noVBand="0"/>
      </w:tblPr>
      <w:tblGrid>
        <w:gridCol w:w="1413"/>
        <w:gridCol w:w="173"/>
        <w:gridCol w:w="961"/>
        <w:gridCol w:w="46"/>
        <w:gridCol w:w="946"/>
        <w:gridCol w:w="1125"/>
        <w:gridCol w:w="802"/>
        <w:gridCol w:w="993"/>
        <w:gridCol w:w="802"/>
        <w:gridCol w:w="802"/>
        <w:gridCol w:w="993"/>
        <w:gridCol w:w="802"/>
        <w:gridCol w:w="802"/>
        <w:gridCol w:w="993"/>
        <w:gridCol w:w="802"/>
        <w:gridCol w:w="832"/>
        <w:gridCol w:w="33"/>
        <w:gridCol w:w="960"/>
        <w:gridCol w:w="802"/>
      </w:tblGrid>
      <w:tr w:rsidR="00E07CDE" w:rsidRPr="00563AD3" w14:paraId="53281E6A" w14:textId="77777777" w:rsidTr="00C163F3">
        <w:trPr>
          <w:cantSplit/>
          <w:tblHeader/>
          <w:jc w:val="center"/>
        </w:trPr>
        <w:tc>
          <w:tcPr>
            <w:tcW w:w="1586" w:type="dxa"/>
            <w:gridSpan w:val="2"/>
            <w:tcBorders>
              <w:top w:val="single" w:sz="4" w:space="0" w:color="auto"/>
              <w:left w:val="single" w:sz="4" w:space="0" w:color="auto"/>
              <w:bottom w:val="nil"/>
              <w:right w:val="nil"/>
            </w:tcBorders>
            <w:shd w:val="clear" w:color="auto" w:fill="FFFFFF"/>
            <w:tcMar>
              <w:left w:w="67" w:type="dxa"/>
              <w:right w:w="67" w:type="dxa"/>
            </w:tcMar>
            <w:vAlign w:val="bottom"/>
          </w:tcPr>
          <w:p w14:paraId="6D59CA32" w14:textId="77777777" w:rsidR="00E07CDE" w:rsidRPr="00563AD3" w:rsidRDefault="00E07CDE" w:rsidP="004818D9">
            <w:pPr>
              <w:keepNext/>
              <w:spacing w:before="67" w:after="67" w:line="240" w:lineRule="auto"/>
              <w:jc w:val="center"/>
              <w:rPr>
                <w:rFonts w:eastAsia="Times New Roman"/>
                <w:b/>
                <w:bCs/>
                <w:color w:val="000000"/>
                <w:sz w:val="14"/>
                <w:szCs w:val="14"/>
              </w:rPr>
            </w:pPr>
          </w:p>
        </w:tc>
        <w:tc>
          <w:tcPr>
            <w:tcW w:w="13496" w:type="dxa"/>
            <w:gridSpan w:val="17"/>
            <w:tcBorders>
              <w:top w:val="single" w:sz="4" w:space="0" w:color="auto"/>
              <w:left w:val="nil"/>
              <w:bottom w:val="nil"/>
              <w:right w:val="single" w:sz="4" w:space="0" w:color="auto"/>
            </w:tcBorders>
            <w:shd w:val="clear" w:color="auto" w:fill="FFFFFF"/>
            <w:tcMar>
              <w:left w:w="67" w:type="dxa"/>
              <w:right w:w="67" w:type="dxa"/>
            </w:tcMar>
            <w:vAlign w:val="bottom"/>
          </w:tcPr>
          <w:p w14:paraId="28AEC0D3" w14:textId="758DAA12" w:rsidR="00E07CDE" w:rsidRPr="00563AD3" w:rsidRDefault="00E35291" w:rsidP="004818D9">
            <w:pPr>
              <w:keepNext/>
              <w:spacing w:before="67" w:after="67" w:line="240" w:lineRule="auto"/>
              <w:jc w:val="center"/>
              <w:rPr>
                <w:rFonts w:eastAsia="Times New Roman"/>
                <w:b/>
                <w:bCs/>
                <w:color w:val="000000"/>
                <w:sz w:val="14"/>
                <w:szCs w:val="14"/>
              </w:rPr>
            </w:pPr>
            <w:r>
              <w:rPr>
                <w:rFonts w:eastAsia="Times New Roman"/>
                <w:b/>
                <w:bCs/>
                <w:color w:val="000000"/>
                <w:sz w:val="14"/>
                <w:szCs w:val="14"/>
              </w:rPr>
              <w:t>16-</w:t>
            </w:r>
            <w:r w:rsidR="00E07CDE" w:rsidRPr="00563AD3">
              <w:rPr>
                <w:rFonts w:eastAsia="Times New Roman"/>
                <w:b/>
                <w:bCs/>
                <w:color w:val="000000"/>
                <w:sz w:val="14"/>
                <w:szCs w:val="14"/>
              </w:rPr>
              <w:t>months original cohort</w:t>
            </w:r>
          </w:p>
        </w:tc>
      </w:tr>
      <w:tr w:rsidR="00E07CDE" w:rsidRPr="00563AD3" w14:paraId="795CA080" w14:textId="77777777" w:rsidTr="00C163F3">
        <w:trPr>
          <w:cantSplit/>
          <w:tblHeader/>
          <w:jc w:val="center"/>
        </w:trPr>
        <w:tc>
          <w:tcPr>
            <w:tcW w:w="1586" w:type="dxa"/>
            <w:gridSpan w:val="2"/>
            <w:tcBorders>
              <w:top w:val="nil"/>
              <w:left w:val="single" w:sz="4" w:space="0" w:color="auto"/>
              <w:bottom w:val="nil"/>
              <w:right w:val="nil"/>
            </w:tcBorders>
            <w:shd w:val="clear" w:color="auto" w:fill="FFFFFF"/>
            <w:tcMar>
              <w:left w:w="67" w:type="dxa"/>
              <w:right w:w="67" w:type="dxa"/>
            </w:tcMar>
            <w:vAlign w:val="bottom"/>
          </w:tcPr>
          <w:p w14:paraId="4523B873" w14:textId="77777777" w:rsidR="00E07CDE" w:rsidRPr="00563AD3" w:rsidRDefault="00E07CDE" w:rsidP="004818D9">
            <w:pPr>
              <w:keepNext/>
              <w:spacing w:before="67" w:after="67" w:line="240" w:lineRule="auto"/>
              <w:jc w:val="center"/>
              <w:rPr>
                <w:rFonts w:eastAsia="Times New Roman"/>
                <w:b/>
                <w:bCs/>
                <w:color w:val="000000"/>
                <w:sz w:val="14"/>
                <w:szCs w:val="14"/>
              </w:rPr>
            </w:pPr>
          </w:p>
        </w:tc>
        <w:tc>
          <w:tcPr>
            <w:tcW w:w="3078" w:type="dxa"/>
            <w:gridSpan w:val="4"/>
            <w:tcBorders>
              <w:top w:val="nil"/>
              <w:left w:val="nil"/>
              <w:bottom w:val="nil"/>
              <w:right w:val="nil"/>
            </w:tcBorders>
            <w:shd w:val="clear" w:color="auto" w:fill="FFFFFF"/>
            <w:tcMar>
              <w:left w:w="67" w:type="dxa"/>
              <w:right w:w="67" w:type="dxa"/>
            </w:tcMar>
            <w:vAlign w:val="bottom"/>
          </w:tcPr>
          <w:p w14:paraId="0667FBDB"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Number experiencing</w:t>
            </w:r>
            <w:r w:rsidRPr="00563AD3">
              <w:rPr>
                <w:rFonts w:eastAsia="Times New Roman"/>
                <w:b/>
                <w:bCs/>
                <w:color w:val="000000"/>
                <w:sz w:val="14"/>
                <w:szCs w:val="14"/>
              </w:rPr>
              <w:br/>
              <w:t>the behaviour</w:t>
            </w:r>
            <w:r w:rsidRPr="00563AD3">
              <w:rPr>
                <w:rFonts w:eastAsia="Times New Roman"/>
                <w:b/>
                <w:bCs/>
                <w:color w:val="000000"/>
                <w:sz w:val="14"/>
                <w:szCs w:val="14"/>
              </w:rPr>
              <w:br/>
              <w:t>N (%) completed</w:t>
            </w:r>
          </w:p>
        </w:tc>
        <w:tc>
          <w:tcPr>
            <w:tcW w:w="2597" w:type="dxa"/>
            <w:gridSpan w:val="3"/>
            <w:tcBorders>
              <w:top w:val="nil"/>
              <w:left w:val="nil"/>
              <w:bottom w:val="nil"/>
              <w:right w:val="nil"/>
            </w:tcBorders>
            <w:shd w:val="clear" w:color="auto" w:fill="FFFFFF"/>
            <w:tcMar>
              <w:left w:w="67" w:type="dxa"/>
              <w:right w:w="67" w:type="dxa"/>
            </w:tcMar>
            <w:vAlign w:val="bottom"/>
          </w:tcPr>
          <w:p w14:paraId="5E35BF7F"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Frequency</w:t>
            </w:r>
            <w:r w:rsidRPr="00563AD3">
              <w:rPr>
                <w:rFonts w:eastAsia="Times New Roman"/>
                <w:b/>
                <w:bCs/>
                <w:color w:val="000000"/>
                <w:sz w:val="14"/>
                <w:szCs w:val="14"/>
              </w:rPr>
              <w:br/>
              <w:t>score</w:t>
            </w:r>
          </w:p>
        </w:tc>
        <w:tc>
          <w:tcPr>
            <w:tcW w:w="2597" w:type="dxa"/>
            <w:gridSpan w:val="3"/>
            <w:tcBorders>
              <w:top w:val="nil"/>
              <w:left w:val="nil"/>
              <w:bottom w:val="nil"/>
              <w:right w:val="nil"/>
            </w:tcBorders>
            <w:shd w:val="clear" w:color="auto" w:fill="FFFFFF"/>
            <w:tcMar>
              <w:left w:w="67" w:type="dxa"/>
              <w:right w:w="67" w:type="dxa"/>
            </w:tcMar>
            <w:vAlign w:val="bottom"/>
          </w:tcPr>
          <w:p w14:paraId="4F005B27"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Severity</w:t>
            </w:r>
            <w:r w:rsidRPr="00563AD3">
              <w:rPr>
                <w:rFonts w:eastAsia="Times New Roman"/>
                <w:b/>
                <w:bCs/>
                <w:color w:val="000000"/>
                <w:sz w:val="14"/>
                <w:szCs w:val="14"/>
              </w:rPr>
              <w:br/>
              <w:t>score</w:t>
            </w:r>
          </w:p>
        </w:tc>
        <w:tc>
          <w:tcPr>
            <w:tcW w:w="2597" w:type="dxa"/>
            <w:gridSpan w:val="3"/>
            <w:tcBorders>
              <w:top w:val="nil"/>
              <w:left w:val="nil"/>
              <w:bottom w:val="nil"/>
              <w:right w:val="nil"/>
            </w:tcBorders>
            <w:shd w:val="clear" w:color="auto" w:fill="FFFFFF"/>
            <w:tcMar>
              <w:left w:w="67" w:type="dxa"/>
              <w:right w:w="67" w:type="dxa"/>
            </w:tcMar>
            <w:vAlign w:val="bottom"/>
          </w:tcPr>
          <w:p w14:paraId="5BB5D636"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Caregiver</w:t>
            </w:r>
            <w:r w:rsidRPr="00563AD3">
              <w:rPr>
                <w:rFonts w:eastAsia="Times New Roman"/>
                <w:b/>
                <w:bCs/>
                <w:color w:val="000000"/>
                <w:sz w:val="14"/>
                <w:szCs w:val="14"/>
              </w:rPr>
              <w:br/>
              <w:t>distress score</w:t>
            </w:r>
          </w:p>
        </w:tc>
        <w:tc>
          <w:tcPr>
            <w:tcW w:w="2627" w:type="dxa"/>
            <w:gridSpan w:val="4"/>
            <w:tcBorders>
              <w:top w:val="nil"/>
              <w:left w:val="nil"/>
              <w:bottom w:val="nil"/>
              <w:right w:val="single" w:sz="4" w:space="0" w:color="auto"/>
            </w:tcBorders>
            <w:shd w:val="clear" w:color="auto" w:fill="FFFFFF"/>
            <w:tcMar>
              <w:left w:w="67" w:type="dxa"/>
              <w:right w:w="67" w:type="dxa"/>
            </w:tcMar>
            <w:vAlign w:val="bottom"/>
          </w:tcPr>
          <w:p w14:paraId="69E7B6CC"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Total domain</w:t>
            </w:r>
            <w:r w:rsidRPr="00563AD3">
              <w:rPr>
                <w:rFonts w:eastAsia="Times New Roman"/>
                <w:b/>
                <w:bCs/>
                <w:color w:val="000000"/>
                <w:sz w:val="14"/>
                <w:szCs w:val="14"/>
              </w:rPr>
              <w:br/>
              <w:t>score</w:t>
            </w:r>
          </w:p>
        </w:tc>
      </w:tr>
      <w:tr w:rsidR="00E07CDE" w:rsidRPr="00563AD3" w14:paraId="2E9B757F" w14:textId="77777777" w:rsidTr="00C163F3">
        <w:trPr>
          <w:cantSplit/>
          <w:tblHeader/>
          <w:jc w:val="center"/>
        </w:trPr>
        <w:tc>
          <w:tcPr>
            <w:tcW w:w="1586" w:type="dxa"/>
            <w:gridSpan w:val="2"/>
            <w:tcBorders>
              <w:top w:val="nil"/>
              <w:left w:val="single" w:sz="4" w:space="0" w:color="auto"/>
              <w:bottom w:val="single" w:sz="4" w:space="0" w:color="000000"/>
              <w:right w:val="nil"/>
            </w:tcBorders>
            <w:shd w:val="clear" w:color="auto" w:fill="FFFFFF"/>
            <w:tcMar>
              <w:left w:w="67" w:type="dxa"/>
              <w:right w:w="67" w:type="dxa"/>
            </w:tcMar>
            <w:vAlign w:val="bottom"/>
          </w:tcPr>
          <w:p w14:paraId="71863A05"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Mean (SD) Missing</w:t>
            </w:r>
          </w:p>
        </w:tc>
        <w:tc>
          <w:tcPr>
            <w:tcW w:w="1007" w:type="dxa"/>
            <w:gridSpan w:val="2"/>
            <w:tcBorders>
              <w:top w:val="nil"/>
              <w:left w:val="nil"/>
              <w:bottom w:val="single" w:sz="4" w:space="0" w:color="000000"/>
              <w:right w:val="nil"/>
            </w:tcBorders>
            <w:shd w:val="clear" w:color="auto" w:fill="FFFFFF"/>
            <w:tcMar>
              <w:left w:w="67" w:type="dxa"/>
              <w:right w:w="67" w:type="dxa"/>
            </w:tcMar>
            <w:vAlign w:val="bottom"/>
          </w:tcPr>
          <w:p w14:paraId="456CC4D5" w14:textId="078A4E8D"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r w:rsidR="00E35291">
              <w:rPr>
                <w:rFonts w:eastAsia="Times New Roman"/>
                <w:b/>
                <w:bCs/>
                <w:color w:val="000000"/>
                <w:sz w:val="14"/>
                <w:szCs w:val="14"/>
              </w:rPr>
              <w:t xml:space="preserve">      </w:t>
            </w:r>
            <w:r w:rsidRPr="00563AD3">
              <w:rPr>
                <w:rFonts w:eastAsia="Times New Roman"/>
                <w:b/>
                <w:bCs/>
                <w:color w:val="000000"/>
                <w:sz w:val="14"/>
                <w:szCs w:val="14"/>
              </w:rPr>
              <w:t>(n = 308)</w:t>
            </w:r>
          </w:p>
        </w:tc>
        <w:tc>
          <w:tcPr>
            <w:tcW w:w="946" w:type="dxa"/>
            <w:tcBorders>
              <w:top w:val="nil"/>
              <w:left w:val="nil"/>
              <w:bottom w:val="single" w:sz="4" w:space="0" w:color="000000"/>
              <w:right w:val="nil"/>
            </w:tcBorders>
            <w:shd w:val="clear" w:color="auto" w:fill="FFFFFF"/>
            <w:tcMar>
              <w:left w:w="67" w:type="dxa"/>
              <w:right w:w="67" w:type="dxa"/>
            </w:tcMar>
            <w:vAlign w:val="bottom"/>
          </w:tcPr>
          <w:p w14:paraId="78C7F252" w14:textId="5D9EF7EB" w:rsidR="00E07CDE" w:rsidRPr="00563AD3" w:rsidRDefault="008A1A04" w:rsidP="004818D9">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r w:rsidRPr="008A1A04">
              <w:rPr>
                <w:rFonts w:eastAsia="Times New Roman"/>
                <w:b/>
                <w:bCs/>
                <w:color w:val="000000"/>
                <w:sz w:val="14"/>
                <w:szCs w:val="14"/>
              </w:rPr>
              <w:t xml:space="preserve"> </w:t>
            </w:r>
            <w:r w:rsidR="00E07CDE" w:rsidRPr="00563AD3">
              <w:rPr>
                <w:rFonts w:eastAsia="Times New Roman"/>
                <w:b/>
                <w:bCs/>
                <w:color w:val="000000"/>
                <w:sz w:val="14"/>
                <w:szCs w:val="14"/>
              </w:rPr>
              <w:t>Intervention (n = 418)</w:t>
            </w:r>
          </w:p>
        </w:tc>
        <w:tc>
          <w:tcPr>
            <w:tcW w:w="1125" w:type="dxa"/>
            <w:tcBorders>
              <w:top w:val="nil"/>
              <w:left w:val="nil"/>
              <w:bottom w:val="single" w:sz="4" w:space="0" w:color="000000"/>
              <w:right w:val="nil"/>
            </w:tcBorders>
            <w:shd w:val="clear" w:color="auto" w:fill="FFFFFF"/>
            <w:tcMar>
              <w:left w:w="67" w:type="dxa"/>
              <w:right w:w="67" w:type="dxa"/>
            </w:tcMar>
            <w:vAlign w:val="bottom"/>
          </w:tcPr>
          <w:p w14:paraId="29A836EA"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Total (n = 726)</w:t>
            </w:r>
          </w:p>
        </w:tc>
        <w:tc>
          <w:tcPr>
            <w:tcW w:w="802" w:type="dxa"/>
            <w:tcBorders>
              <w:top w:val="nil"/>
              <w:left w:val="nil"/>
              <w:bottom w:val="single" w:sz="4" w:space="0" w:color="000000"/>
              <w:right w:val="nil"/>
            </w:tcBorders>
            <w:shd w:val="clear" w:color="auto" w:fill="FFFFFF"/>
            <w:tcMar>
              <w:left w:w="67" w:type="dxa"/>
              <w:right w:w="67" w:type="dxa"/>
            </w:tcMar>
            <w:vAlign w:val="bottom"/>
          </w:tcPr>
          <w:p w14:paraId="354F840D"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993" w:type="dxa"/>
            <w:tcBorders>
              <w:top w:val="nil"/>
              <w:left w:val="nil"/>
              <w:bottom w:val="single" w:sz="4" w:space="0" w:color="000000"/>
              <w:right w:val="nil"/>
            </w:tcBorders>
            <w:shd w:val="clear" w:color="auto" w:fill="FFFFFF"/>
            <w:tcMar>
              <w:left w:w="67" w:type="dxa"/>
              <w:right w:w="67" w:type="dxa"/>
            </w:tcMar>
            <w:vAlign w:val="bottom"/>
          </w:tcPr>
          <w:p w14:paraId="4689C6C8" w14:textId="6278D9E6" w:rsidR="00E07CDE" w:rsidRPr="00563AD3" w:rsidRDefault="008A1A04" w:rsidP="004818D9">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r w:rsidR="00E07CDE" w:rsidRPr="00563AD3">
              <w:rPr>
                <w:rFonts w:eastAsia="Times New Roman"/>
                <w:b/>
                <w:bCs/>
                <w:color w:val="000000"/>
                <w:sz w:val="14"/>
                <w:szCs w:val="14"/>
              </w:rPr>
              <w:t xml:space="preserve"> </w:t>
            </w:r>
          </w:p>
        </w:tc>
        <w:tc>
          <w:tcPr>
            <w:tcW w:w="802" w:type="dxa"/>
            <w:tcBorders>
              <w:top w:val="nil"/>
              <w:left w:val="nil"/>
              <w:bottom w:val="single" w:sz="4" w:space="0" w:color="000000"/>
              <w:right w:val="nil"/>
            </w:tcBorders>
            <w:shd w:val="clear" w:color="auto" w:fill="FFFFFF"/>
            <w:tcMar>
              <w:left w:w="67" w:type="dxa"/>
              <w:right w:w="67" w:type="dxa"/>
            </w:tcMar>
            <w:vAlign w:val="bottom"/>
          </w:tcPr>
          <w:p w14:paraId="2E9BBB40"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Total</w:t>
            </w:r>
          </w:p>
        </w:tc>
        <w:tc>
          <w:tcPr>
            <w:tcW w:w="802" w:type="dxa"/>
            <w:tcBorders>
              <w:top w:val="nil"/>
              <w:left w:val="nil"/>
              <w:bottom w:val="single" w:sz="4" w:space="0" w:color="000000"/>
              <w:right w:val="nil"/>
            </w:tcBorders>
            <w:shd w:val="clear" w:color="auto" w:fill="FFFFFF"/>
            <w:tcMar>
              <w:left w:w="67" w:type="dxa"/>
              <w:right w:w="67" w:type="dxa"/>
            </w:tcMar>
            <w:vAlign w:val="bottom"/>
          </w:tcPr>
          <w:p w14:paraId="276B62DD"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993" w:type="dxa"/>
            <w:tcBorders>
              <w:top w:val="nil"/>
              <w:left w:val="nil"/>
              <w:bottom w:val="single" w:sz="4" w:space="0" w:color="000000"/>
              <w:right w:val="nil"/>
            </w:tcBorders>
            <w:shd w:val="clear" w:color="auto" w:fill="FFFFFF"/>
            <w:tcMar>
              <w:left w:w="67" w:type="dxa"/>
              <w:right w:w="67" w:type="dxa"/>
            </w:tcMar>
            <w:vAlign w:val="bottom"/>
          </w:tcPr>
          <w:p w14:paraId="5DBC7F3E" w14:textId="31DF0200" w:rsidR="00E07CDE" w:rsidRPr="00563AD3" w:rsidRDefault="008A1A04" w:rsidP="004818D9">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r w:rsidR="00E07CDE" w:rsidRPr="00563AD3">
              <w:rPr>
                <w:rFonts w:eastAsia="Times New Roman"/>
                <w:b/>
                <w:bCs/>
                <w:color w:val="000000"/>
                <w:sz w:val="14"/>
                <w:szCs w:val="14"/>
              </w:rPr>
              <w:t xml:space="preserve"> </w:t>
            </w:r>
          </w:p>
        </w:tc>
        <w:tc>
          <w:tcPr>
            <w:tcW w:w="802" w:type="dxa"/>
            <w:tcBorders>
              <w:top w:val="nil"/>
              <w:left w:val="nil"/>
              <w:bottom w:val="single" w:sz="4" w:space="0" w:color="000000"/>
              <w:right w:val="nil"/>
            </w:tcBorders>
            <w:shd w:val="clear" w:color="auto" w:fill="FFFFFF"/>
            <w:tcMar>
              <w:left w:w="67" w:type="dxa"/>
              <w:right w:w="67" w:type="dxa"/>
            </w:tcMar>
            <w:vAlign w:val="bottom"/>
          </w:tcPr>
          <w:p w14:paraId="236A47E4"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Total </w:t>
            </w:r>
          </w:p>
        </w:tc>
        <w:tc>
          <w:tcPr>
            <w:tcW w:w="802" w:type="dxa"/>
            <w:tcBorders>
              <w:top w:val="nil"/>
              <w:left w:val="nil"/>
              <w:bottom w:val="single" w:sz="4" w:space="0" w:color="000000"/>
              <w:right w:val="nil"/>
            </w:tcBorders>
            <w:shd w:val="clear" w:color="auto" w:fill="FFFFFF"/>
            <w:tcMar>
              <w:left w:w="67" w:type="dxa"/>
              <w:right w:w="67" w:type="dxa"/>
            </w:tcMar>
            <w:vAlign w:val="bottom"/>
          </w:tcPr>
          <w:p w14:paraId="3F54AB8D"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993" w:type="dxa"/>
            <w:tcBorders>
              <w:top w:val="nil"/>
              <w:left w:val="nil"/>
              <w:bottom w:val="single" w:sz="4" w:space="0" w:color="000000"/>
              <w:right w:val="nil"/>
            </w:tcBorders>
            <w:shd w:val="clear" w:color="auto" w:fill="FFFFFF"/>
            <w:tcMar>
              <w:left w:w="67" w:type="dxa"/>
              <w:right w:w="67" w:type="dxa"/>
            </w:tcMar>
            <w:vAlign w:val="bottom"/>
          </w:tcPr>
          <w:p w14:paraId="2E462321" w14:textId="2A140F6C" w:rsidR="00E07CDE" w:rsidRPr="00563AD3" w:rsidRDefault="008A1A04" w:rsidP="004818D9">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r w:rsidR="00E07CDE" w:rsidRPr="00563AD3">
              <w:rPr>
                <w:rFonts w:eastAsia="Times New Roman"/>
                <w:b/>
                <w:bCs/>
                <w:color w:val="000000"/>
                <w:sz w:val="14"/>
                <w:szCs w:val="14"/>
              </w:rPr>
              <w:t xml:space="preserve"> </w:t>
            </w:r>
          </w:p>
        </w:tc>
        <w:tc>
          <w:tcPr>
            <w:tcW w:w="802" w:type="dxa"/>
            <w:tcBorders>
              <w:top w:val="nil"/>
              <w:left w:val="nil"/>
              <w:bottom w:val="single" w:sz="4" w:space="0" w:color="000000"/>
              <w:right w:val="nil"/>
            </w:tcBorders>
            <w:shd w:val="clear" w:color="auto" w:fill="FFFFFF"/>
            <w:tcMar>
              <w:left w:w="67" w:type="dxa"/>
              <w:right w:w="67" w:type="dxa"/>
            </w:tcMar>
            <w:vAlign w:val="bottom"/>
          </w:tcPr>
          <w:p w14:paraId="53BE79D6"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Total </w:t>
            </w:r>
          </w:p>
        </w:tc>
        <w:tc>
          <w:tcPr>
            <w:tcW w:w="832" w:type="dxa"/>
            <w:tcBorders>
              <w:top w:val="nil"/>
              <w:left w:val="nil"/>
              <w:bottom w:val="single" w:sz="4" w:space="0" w:color="000000"/>
              <w:right w:val="nil"/>
            </w:tcBorders>
            <w:shd w:val="clear" w:color="auto" w:fill="FFFFFF"/>
            <w:tcMar>
              <w:left w:w="67" w:type="dxa"/>
              <w:right w:w="67" w:type="dxa"/>
            </w:tcMar>
            <w:vAlign w:val="bottom"/>
          </w:tcPr>
          <w:p w14:paraId="4D54E035"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993" w:type="dxa"/>
            <w:gridSpan w:val="2"/>
            <w:tcBorders>
              <w:top w:val="nil"/>
              <w:left w:val="nil"/>
              <w:bottom w:val="single" w:sz="4" w:space="0" w:color="000000"/>
              <w:right w:val="nil"/>
            </w:tcBorders>
            <w:shd w:val="clear" w:color="auto" w:fill="FFFFFF"/>
            <w:tcMar>
              <w:left w:w="67" w:type="dxa"/>
              <w:right w:w="67" w:type="dxa"/>
            </w:tcMar>
            <w:vAlign w:val="bottom"/>
          </w:tcPr>
          <w:p w14:paraId="4C2A2672" w14:textId="1E9DDB8E" w:rsidR="00E07CDE" w:rsidRPr="00563AD3" w:rsidRDefault="008A1A04" w:rsidP="004818D9">
            <w:pPr>
              <w:keepNext/>
              <w:spacing w:before="67" w:after="67" w:line="240" w:lineRule="auto"/>
              <w:jc w:val="center"/>
              <w:rPr>
                <w:rFonts w:eastAsia="Times New Roman"/>
                <w:b/>
                <w:bCs/>
                <w:color w:val="000000"/>
                <w:sz w:val="14"/>
                <w:szCs w:val="14"/>
              </w:rPr>
            </w:pPr>
            <w:r w:rsidRPr="008A1A04">
              <w:rPr>
                <w:rFonts w:eastAsia="Times New Roman"/>
                <w:b/>
                <w:bCs/>
                <w:color w:val="000000"/>
                <w:sz w:val="14"/>
                <w:szCs w:val="14"/>
              </w:rPr>
              <w:t>DCM</w:t>
            </w:r>
            <w:r w:rsidRPr="008A1A04">
              <w:rPr>
                <w:rFonts w:eastAsia="Times New Roman"/>
                <w:b/>
                <w:bCs/>
                <w:color w:val="000000"/>
                <w:sz w:val="14"/>
                <w:szCs w:val="14"/>
                <w:vertAlign w:val="superscript"/>
              </w:rPr>
              <w:t>TM</w:t>
            </w:r>
            <w:r w:rsidR="00E07CDE" w:rsidRPr="00563AD3">
              <w:rPr>
                <w:rFonts w:eastAsia="Times New Roman"/>
                <w:b/>
                <w:bCs/>
                <w:color w:val="000000"/>
                <w:sz w:val="14"/>
                <w:szCs w:val="14"/>
              </w:rPr>
              <w:t xml:space="preserve"> </w:t>
            </w:r>
          </w:p>
        </w:tc>
        <w:tc>
          <w:tcPr>
            <w:tcW w:w="802" w:type="dxa"/>
            <w:tcBorders>
              <w:top w:val="nil"/>
              <w:left w:val="nil"/>
              <w:bottom w:val="single" w:sz="4" w:space="0" w:color="000000"/>
              <w:right w:val="single" w:sz="4" w:space="0" w:color="auto"/>
            </w:tcBorders>
            <w:shd w:val="clear" w:color="auto" w:fill="FFFFFF"/>
            <w:tcMar>
              <w:left w:w="67" w:type="dxa"/>
              <w:right w:w="67" w:type="dxa"/>
            </w:tcMar>
            <w:vAlign w:val="bottom"/>
          </w:tcPr>
          <w:p w14:paraId="0811D16A"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Total </w:t>
            </w:r>
          </w:p>
        </w:tc>
      </w:tr>
      <w:tr w:rsidR="00E07CDE" w:rsidRPr="00563AD3" w14:paraId="2C504368"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1CF76680" w14:textId="77777777" w:rsidR="00E07CDE" w:rsidRPr="00563AD3" w:rsidRDefault="00E07CDE" w:rsidP="004818D9">
            <w:pPr>
              <w:spacing w:before="67" w:after="67" w:line="240" w:lineRule="auto"/>
              <w:rPr>
                <w:rFonts w:eastAsia="Times New Roman"/>
                <w:b/>
                <w:bCs/>
                <w:color w:val="000000"/>
                <w:sz w:val="14"/>
                <w:szCs w:val="14"/>
              </w:rPr>
            </w:pPr>
            <w:r w:rsidRPr="00563AD3">
              <w:rPr>
                <w:rFonts w:eastAsia="Times New Roman"/>
                <w:b/>
                <w:bCs/>
                <w:color w:val="000000"/>
                <w:sz w:val="14"/>
                <w:szCs w:val="14"/>
              </w:rPr>
              <w:t>Total score:</w:t>
            </w:r>
          </w:p>
        </w:tc>
        <w:tc>
          <w:tcPr>
            <w:tcW w:w="1134" w:type="dxa"/>
            <w:gridSpan w:val="2"/>
            <w:tcBorders>
              <w:top w:val="nil"/>
              <w:left w:val="nil"/>
              <w:bottom w:val="nil"/>
              <w:right w:val="nil"/>
            </w:tcBorders>
            <w:shd w:val="clear" w:color="auto" w:fill="FFFFFF"/>
            <w:tcMar>
              <w:left w:w="67" w:type="dxa"/>
              <w:right w:w="67" w:type="dxa"/>
            </w:tcMar>
          </w:tcPr>
          <w:p w14:paraId="5A23FC6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185 (60.1%)</w:t>
            </w:r>
          </w:p>
        </w:tc>
        <w:tc>
          <w:tcPr>
            <w:tcW w:w="992" w:type="dxa"/>
            <w:gridSpan w:val="2"/>
            <w:tcBorders>
              <w:top w:val="nil"/>
              <w:left w:val="nil"/>
              <w:bottom w:val="nil"/>
              <w:right w:val="nil"/>
            </w:tcBorders>
            <w:shd w:val="clear" w:color="auto" w:fill="FFFFFF"/>
            <w:tcMar>
              <w:left w:w="67" w:type="dxa"/>
              <w:right w:w="67" w:type="dxa"/>
            </w:tcMar>
          </w:tcPr>
          <w:p w14:paraId="3197460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222 (53.1%)</w:t>
            </w:r>
          </w:p>
        </w:tc>
        <w:tc>
          <w:tcPr>
            <w:tcW w:w="1125" w:type="dxa"/>
            <w:tcBorders>
              <w:top w:val="nil"/>
              <w:left w:val="nil"/>
              <w:bottom w:val="nil"/>
              <w:right w:val="nil"/>
            </w:tcBorders>
            <w:shd w:val="clear" w:color="auto" w:fill="FFFFFF"/>
            <w:tcMar>
              <w:left w:w="67" w:type="dxa"/>
              <w:right w:w="67" w:type="dxa"/>
            </w:tcMar>
          </w:tcPr>
          <w:p w14:paraId="1366340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407 (56.1%)</w:t>
            </w:r>
          </w:p>
        </w:tc>
        <w:tc>
          <w:tcPr>
            <w:tcW w:w="802" w:type="dxa"/>
            <w:tcBorders>
              <w:top w:val="nil"/>
              <w:left w:val="nil"/>
              <w:bottom w:val="nil"/>
              <w:right w:val="nil"/>
            </w:tcBorders>
            <w:shd w:val="clear" w:color="auto" w:fill="FFFFFF"/>
            <w:tcMar>
              <w:left w:w="67" w:type="dxa"/>
              <w:right w:w="67" w:type="dxa"/>
            </w:tcMar>
          </w:tcPr>
          <w:p w14:paraId="52E63D24" w14:textId="77777777" w:rsidR="00E07CDE" w:rsidRPr="00563AD3" w:rsidRDefault="00E07CDE" w:rsidP="004818D9">
            <w:pPr>
              <w:spacing w:before="67" w:after="67" w:line="240" w:lineRule="auto"/>
              <w:jc w:val="right"/>
              <w:rPr>
                <w:rFonts w:eastAsia="Times New Roman"/>
                <w:color w:val="000000"/>
                <w:sz w:val="14"/>
                <w:szCs w:val="14"/>
              </w:rPr>
            </w:pPr>
          </w:p>
        </w:tc>
        <w:tc>
          <w:tcPr>
            <w:tcW w:w="993" w:type="dxa"/>
            <w:tcBorders>
              <w:top w:val="nil"/>
              <w:left w:val="nil"/>
              <w:bottom w:val="nil"/>
              <w:right w:val="nil"/>
            </w:tcBorders>
            <w:shd w:val="clear" w:color="auto" w:fill="FFFFFF"/>
            <w:tcMar>
              <w:left w:w="67" w:type="dxa"/>
              <w:right w:w="67" w:type="dxa"/>
            </w:tcMar>
          </w:tcPr>
          <w:p w14:paraId="65C4770D" w14:textId="77777777" w:rsidR="00E07CDE" w:rsidRPr="00563AD3" w:rsidRDefault="00E07CDE" w:rsidP="004818D9">
            <w:pPr>
              <w:spacing w:before="67" w:after="67" w:line="240" w:lineRule="auto"/>
              <w:jc w:val="right"/>
              <w:rPr>
                <w:rFonts w:eastAsia="Times New Roman"/>
                <w:color w:val="000000"/>
                <w:sz w:val="14"/>
                <w:szCs w:val="14"/>
              </w:rPr>
            </w:pPr>
          </w:p>
        </w:tc>
        <w:tc>
          <w:tcPr>
            <w:tcW w:w="802" w:type="dxa"/>
            <w:tcBorders>
              <w:top w:val="nil"/>
              <w:left w:val="nil"/>
              <w:bottom w:val="nil"/>
              <w:right w:val="nil"/>
            </w:tcBorders>
            <w:shd w:val="clear" w:color="auto" w:fill="FFFFFF"/>
            <w:tcMar>
              <w:left w:w="67" w:type="dxa"/>
              <w:right w:w="67" w:type="dxa"/>
            </w:tcMar>
          </w:tcPr>
          <w:p w14:paraId="3D1819EB" w14:textId="77777777" w:rsidR="00E07CDE" w:rsidRPr="00563AD3" w:rsidRDefault="00E07CDE" w:rsidP="004818D9">
            <w:pPr>
              <w:spacing w:before="67" w:after="67" w:line="240" w:lineRule="auto"/>
              <w:jc w:val="right"/>
              <w:rPr>
                <w:rFonts w:eastAsia="Times New Roman"/>
                <w:color w:val="000000"/>
                <w:sz w:val="14"/>
                <w:szCs w:val="14"/>
              </w:rPr>
            </w:pPr>
          </w:p>
        </w:tc>
        <w:tc>
          <w:tcPr>
            <w:tcW w:w="802" w:type="dxa"/>
            <w:tcBorders>
              <w:top w:val="nil"/>
              <w:left w:val="nil"/>
              <w:bottom w:val="nil"/>
              <w:right w:val="nil"/>
            </w:tcBorders>
            <w:shd w:val="clear" w:color="auto" w:fill="FFFFFF"/>
            <w:tcMar>
              <w:left w:w="67" w:type="dxa"/>
              <w:right w:w="67" w:type="dxa"/>
            </w:tcMar>
          </w:tcPr>
          <w:p w14:paraId="60A7314C" w14:textId="77777777" w:rsidR="00E07CDE" w:rsidRPr="00563AD3" w:rsidRDefault="00E07CDE" w:rsidP="004818D9">
            <w:pPr>
              <w:spacing w:before="67" w:after="67" w:line="240" w:lineRule="auto"/>
              <w:jc w:val="right"/>
              <w:rPr>
                <w:rFonts w:eastAsia="Times New Roman"/>
                <w:color w:val="000000"/>
                <w:sz w:val="14"/>
                <w:szCs w:val="14"/>
              </w:rPr>
            </w:pPr>
          </w:p>
        </w:tc>
        <w:tc>
          <w:tcPr>
            <w:tcW w:w="993" w:type="dxa"/>
            <w:tcBorders>
              <w:top w:val="nil"/>
              <w:left w:val="nil"/>
              <w:bottom w:val="nil"/>
              <w:right w:val="nil"/>
            </w:tcBorders>
            <w:shd w:val="clear" w:color="auto" w:fill="FFFFFF"/>
            <w:tcMar>
              <w:left w:w="67" w:type="dxa"/>
              <w:right w:w="67" w:type="dxa"/>
            </w:tcMar>
          </w:tcPr>
          <w:p w14:paraId="091B2427" w14:textId="77777777" w:rsidR="00E07CDE" w:rsidRPr="00563AD3" w:rsidRDefault="00E07CDE" w:rsidP="004818D9">
            <w:pPr>
              <w:spacing w:before="67" w:after="67" w:line="240" w:lineRule="auto"/>
              <w:jc w:val="right"/>
              <w:rPr>
                <w:rFonts w:eastAsia="Times New Roman"/>
                <w:color w:val="000000"/>
                <w:sz w:val="14"/>
                <w:szCs w:val="14"/>
              </w:rPr>
            </w:pPr>
          </w:p>
        </w:tc>
        <w:tc>
          <w:tcPr>
            <w:tcW w:w="802" w:type="dxa"/>
            <w:tcBorders>
              <w:top w:val="nil"/>
              <w:left w:val="nil"/>
              <w:bottom w:val="nil"/>
              <w:right w:val="nil"/>
            </w:tcBorders>
            <w:shd w:val="clear" w:color="auto" w:fill="FFFFFF"/>
            <w:tcMar>
              <w:left w:w="67" w:type="dxa"/>
              <w:right w:w="67" w:type="dxa"/>
            </w:tcMar>
          </w:tcPr>
          <w:p w14:paraId="7146A316" w14:textId="77777777" w:rsidR="00E07CDE" w:rsidRPr="00563AD3" w:rsidRDefault="00E07CDE" w:rsidP="004818D9">
            <w:pPr>
              <w:spacing w:before="67" w:after="67" w:line="240" w:lineRule="auto"/>
              <w:jc w:val="right"/>
              <w:rPr>
                <w:rFonts w:eastAsia="Times New Roman"/>
                <w:color w:val="000000"/>
                <w:sz w:val="14"/>
                <w:szCs w:val="14"/>
              </w:rPr>
            </w:pPr>
          </w:p>
        </w:tc>
        <w:tc>
          <w:tcPr>
            <w:tcW w:w="802" w:type="dxa"/>
            <w:tcBorders>
              <w:top w:val="nil"/>
              <w:left w:val="nil"/>
              <w:bottom w:val="nil"/>
              <w:right w:val="nil"/>
            </w:tcBorders>
            <w:shd w:val="clear" w:color="auto" w:fill="FFFFFF"/>
            <w:tcMar>
              <w:left w:w="67" w:type="dxa"/>
              <w:right w:w="67" w:type="dxa"/>
            </w:tcMar>
          </w:tcPr>
          <w:p w14:paraId="3DEB88A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1.8 (3.12) 0</w:t>
            </w:r>
          </w:p>
        </w:tc>
        <w:tc>
          <w:tcPr>
            <w:tcW w:w="993" w:type="dxa"/>
            <w:tcBorders>
              <w:top w:val="nil"/>
              <w:left w:val="nil"/>
              <w:bottom w:val="nil"/>
              <w:right w:val="nil"/>
            </w:tcBorders>
            <w:shd w:val="clear" w:color="auto" w:fill="FFFFFF"/>
            <w:tcMar>
              <w:left w:w="67" w:type="dxa"/>
              <w:right w:w="67" w:type="dxa"/>
            </w:tcMar>
          </w:tcPr>
          <w:p w14:paraId="0FE6BD66" w14:textId="13584D4C"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(2.79)</w:t>
            </w:r>
            <w:r w:rsidR="00E35291">
              <w:rPr>
                <w:rFonts w:eastAsia="Times New Roman"/>
                <w:color w:val="000000"/>
                <w:sz w:val="14"/>
                <w:szCs w:val="14"/>
              </w:rPr>
              <w:t xml:space="preserve">    </w:t>
            </w:r>
            <w:r w:rsidRPr="00563AD3">
              <w:rPr>
                <w:rFonts w:eastAsia="Times New Roman"/>
                <w:color w:val="000000"/>
                <w:sz w:val="14"/>
                <w:szCs w:val="14"/>
              </w:rPr>
              <w:t xml:space="preserve"> 0</w:t>
            </w:r>
          </w:p>
        </w:tc>
        <w:tc>
          <w:tcPr>
            <w:tcW w:w="802" w:type="dxa"/>
            <w:tcBorders>
              <w:top w:val="nil"/>
              <w:left w:val="nil"/>
              <w:bottom w:val="nil"/>
              <w:right w:val="nil"/>
            </w:tcBorders>
            <w:shd w:val="clear" w:color="auto" w:fill="FFFFFF"/>
            <w:tcMar>
              <w:left w:w="67" w:type="dxa"/>
              <w:right w:w="67" w:type="dxa"/>
            </w:tcMar>
          </w:tcPr>
          <w:p w14:paraId="21FCAB2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(2.94) 0</w:t>
            </w:r>
          </w:p>
        </w:tc>
        <w:tc>
          <w:tcPr>
            <w:tcW w:w="865" w:type="dxa"/>
            <w:gridSpan w:val="2"/>
            <w:tcBorders>
              <w:top w:val="nil"/>
              <w:left w:val="nil"/>
              <w:bottom w:val="nil"/>
              <w:right w:val="nil"/>
            </w:tcBorders>
            <w:shd w:val="clear" w:color="auto" w:fill="FFFFFF"/>
            <w:tcMar>
              <w:left w:w="67" w:type="dxa"/>
              <w:right w:w="67" w:type="dxa"/>
            </w:tcMar>
          </w:tcPr>
          <w:p w14:paraId="753EBA6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10.4 (9.25) 0</w:t>
            </w:r>
          </w:p>
        </w:tc>
        <w:tc>
          <w:tcPr>
            <w:tcW w:w="960" w:type="dxa"/>
            <w:tcBorders>
              <w:top w:val="nil"/>
              <w:left w:val="nil"/>
              <w:bottom w:val="nil"/>
              <w:right w:val="nil"/>
            </w:tcBorders>
            <w:shd w:val="clear" w:color="auto" w:fill="FFFFFF"/>
            <w:tcMar>
              <w:left w:w="67" w:type="dxa"/>
              <w:right w:w="67" w:type="dxa"/>
            </w:tcMar>
          </w:tcPr>
          <w:p w14:paraId="0280F275" w14:textId="412E3E03"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7.7 (9.36) </w:t>
            </w:r>
            <w:r w:rsidR="00E35291">
              <w:rPr>
                <w:rFonts w:eastAsia="Times New Roman"/>
                <w:color w:val="000000"/>
                <w:sz w:val="14"/>
                <w:szCs w:val="14"/>
              </w:rPr>
              <w:t xml:space="preserve">   </w:t>
            </w:r>
            <w:r w:rsidRPr="00563AD3">
              <w:rPr>
                <w:rFonts w:eastAsia="Times New Roman"/>
                <w:color w:val="000000"/>
                <w:sz w:val="14"/>
                <w:szCs w:val="14"/>
              </w:rPr>
              <w:t>0</w:t>
            </w:r>
          </w:p>
        </w:tc>
        <w:tc>
          <w:tcPr>
            <w:tcW w:w="802" w:type="dxa"/>
            <w:tcBorders>
              <w:top w:val="nil"/>
              <w:left w:val="nil"/>
              <w:bottom w:val="nil"/>
              <w:right w:val="single" w:sz="4" w:space="0" w:color="auto"/>
            </w:tcBorders>
            <w:shd w:val="clear" w:color="auto" w:fill="FFFFFF"/>
            <w:tcMar>
              <w:left w:w="67" w:type="dxa"/>
              <w:right w:w="67" w:type="dxa"/>
            </w:tcMar>
          </w:tcPr>
          <w:p w14:paraId="27E23677" w14:textId="33E52FFC"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8.9 (9.4) </w:t>
            </w:r>
            <w:r w:rsidR="00E35291">
              <w:rPr>
                <w:rFonts w:eastAsia="Times New Roman"/>
                <w:color w:val="000000"/>
                <w:sz w:val="14"/>
                <w:szCs w:val="14"/>
              </w:rPr>
              <w:t xml:space="preserve">  </w:t>
            </w:r>
            <w:r w:rsidRPr="00563AD3">
              <w:rPr>
                <w:rFonts w:eastAsia="Times New Roman"/>
                <w:color w:val="000000"/>
                <w:sz w:val="14"/>
                <w:szCs w:val="14"/>
              </w:rPr>
              <w:t>0</w:t>
            </w:r>
          </w:p>
        </w:tc>
      </w:tr>
      <w:tr w:rsidR="00E07CDE" w:rsidRPr="00563AD3" w14:paraId="683C3304"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1E36C4E6" w14:textId="77777777" w:rsidR="00E07CDE" w:rsidRPr="00563AD3" w:rsidRDefault="00E07CDE" w:rsidP="004818D9">
            <w:pPr>
              <w:spacing w:before="67" w:after="67" w:line="240" w:lineRule="auto"/>
              <w:rPr>
                <w:rFonts w:eastAsia="Times New Roman"/>
                <w:b/>
                <w:bCs/>
                <w:color w:val="000000"/>
                <w:sz w:val="14"/>
                <w:szCs w:val="14"/>
              </w:rPr>
            </w:pPr>
            <w:r w:rsidRPr="00563AD3">
              <w:rPr>
                <w:rFonts w:eastAsia="Times New Roman"/>
                <w:b/>
                <w:bCs/>
                <w:color w:val="000000"/>
                <w:sz w:val="14"/>
                <w:szCs w:val="14"/>
              </w:rPr>
              <w:t>Subscales:</w:t>
            </w:r>
          </w:p>
        </w:tc>
        <w:tc>
          <w:tcPr>
            <w:tcW w:w="1134" w:type="dxa"/>
            <w:gridSpan w:val="2"/>
            <w:tcBorders>
              <w:top w:val="nil"/>
              <w:left w:val="nil"/>
              <w:bottom w:val="nil"/>
              <w:right w:val="nil"/>
            </w:tcBorders>
            <w:shd w:val="clear" w:color="auto" w:fill="FFFFFF"/>
            <w:tcMar>
              <w:left w:w="67" w:type="dxa"/>
              <w:right w:w="67" w:type="dxa"/>
            </w:tcMar>
          </w:tcPr>
          <w:p w14:paraId="362C7669" w14:textId="77777777" w:rsidR="00E07CDE" w:rsidRPr="00563AD3" w:rsidRDefault="00E07CDE" w:rsidP="004818D9">
            <w:pPr>
              <w:spacing w:before="67" w:after="67" w:line="240" w:lineRule="auto"/>
              <w:jc w:val="right"/>
              <w:rPr>
                <w:rFonts w:eastAsia="Times New Roman"/>
                <w:color w:val="000000"/>
                <w:sz w:val="14"/>
                <w:szCs w:val="14"/>
              </w:rPr>
            </w:pPr>
          </w:p>
        </w:tc>
        <w:tc>
          <w:tcPr>
            <w:tcW w:w="992" w:type="dxa"/>
            <w:gridSpan w:val="2"/>
            <w:tcBorders>
              <w:top w:val="nil"/>
              <w:left w:val="nil"/>
              <w:bottom w:val="nil"/>
              <w:right w:val="nil"/>
            </w:tcBorders>
            <w:shd w:val="clear" w:color="auto" w:fill="FFFFFF"/>
            <w:tcMar>
              <w:left w:w="67" w:type="dxa"/>
              <w:right w:w="67" w:type="dxa"/>
            </w:tcMar>
          </w:tcPr>
          <w:p w14:paraId="62C75F3A" w14:textId="77777777" w:rsidR="00E07CDE" w:rsidRPr="00563AD3" w:rsidRDefault="00E07CDE" w:rsidP="004818D9">
            <w:pPr>
              <w:spacing w:before="67" w:after="67" w:line="240" w:lineRule="auto"/>
              <w:jc w:val="right"/>
              <w:rPr>
                <w:rFonts w:eastAsia="Times New Roman"/>
                <w:color w:val="000000"/>
                <w:sz w:val="14"/>
                <w:szCs w:val="14"/>
              </w:rPr>
            </w:pPr>
          </w:p>
        </w:tc>
        <w:tc>
          <w:tcPr>
            <w:tcW w:w="1125" w:type="dxa"/>
            <w:tcBorders>
              <w:top w:val="nil"/>
              <w:left w:val="nil"/>
              <w:bottom w:val="nil"/>
              <w:right w:val="nil"/>
            </w:tcBorders>
            <w:shd w:val="clear" w:color="auto" w:fill="FFFFFF"/>
            <w:tcMar>
              <w:left w:w="67" w:type="dxa"/>
              <w:right w:w="67" w:type="dxa"/>
            </w:tcMar>
          </w:tcPr>
          <w:p w14:paraId="159D200B" w14:textId="77777777" w:rsidR="00E07CDE" w:rsidRPr="00563AD3" w:rsidRDefault="00E07CDE" w:rsidP="004818D9">
            <w:pPr>
              <w:spacing w:before="67" w:after="67" w:line="240" w:lineRule="auto"/>
              <w:jc w:val="right"/>
              <w:rPr>
                <w:rFonts w:eastAsia="Times New Roman"/>
                <w:color w:val="000000"/>
                <w:sz w:val="14"/>
                <w:szCs w:val="14"/>
              </w:rPr>
            </w:pPr>
          </w:p>
        </w:tc>
        <w:tc>
          <w:tcPr>
            <w:tcW w:w="802" w:type="dxa"/>
            <w:tcBorders>
              <w:top w:val="nil"/>
              <w:left w:val="nil"/>
              <w:bottom w:val="nil"/>
              <w:right w:val="nil"/>
            </w:tcBorders>
            <w:shd w:val="clear" w:color="auto" w:fill="FFFFFF"/>
            <w:tcMar>
              <w:left w:w="67" w:type="dxa"/>
              <w:right w:w="67" w:type="dxa"/>
            </w:tcMar>
          </w:tcPr>
          <w:p w14:paraId="47E31605" w14:textId="77777777" w:rsidR="00E07CDE" w:rsidRPr="00563AD3" w:rsidRDefault="00E07CDE" w:rsidP="004818D9">
            <w:pPr>
              <w:spacing w:before="67" w:after="67" w:line="240" w:lineRule="auto"/>
              <w:jc w:val="right"/>
              <w:rPr>
                <w:rFonts w:eastAsia="Times New Roman"/>
                <w:color w:val="000000"/>
                <w:sz w:val="14"/>
                <w:szCs w:val="14"/>
              </w:rPr>
            </w:pPr>
          </w:p>
        </w:tc>
        <w:tc>
          <w:tcPr>
            <w:tcW w:w="993" w:type="dxa"/>
            <w:tcBorders>
              <w:top w:val="nil"/>
              <w:left w:val="nil"/>
              <w:bottom w:val="nil"/>
              <w:right w:val="nil"/>
            </w:tcBorders>
            <w:shd w:val="clear" w:color="auto" w:fill="FFFFFF"/>
            <w:tcMar>
              <w:left w:w="67" w:type="dxa"/>
              <w:right w:w="67" w:type="dxa"/>
            </w:tcMar>
          </w:tcPr>
          <w:p w14:paraId="6DD0975A" w14:textId="77777777" w:rsidR="00E07CDE" w:rsidRPr="00563AD3" w:rsidRDefault="00E07CDE" w:rsidP="004818D9">
            <w:pPr>
              <w:spacing w:before="67" w:after="67" w:line="240" w:lineRule="auto"/>
              <w:jc w:val="right"/>
              <w:rPr>
                <w:rFonts w:eastAsia="Times New Roman"/>
                <w:color w:val="000000"/>
                <w:sz w:val="14"/>
                <w:szCs w:val="14"/>
              </w:rPr>
            </w:pPr>
          </w:p>
        </w:tc>
        <w:tc>
          <w:tcPr>
            <w:tcW w:w="802" w:type="dxa"/>
            <w:tcBorders>
              <w:top w:val="nil"/>
              <w:left w:val="nil"/>
              <w:bottom w:val="nil"/>
              <w:right w:val="nil"/>
            </w:tcBorders>
            <w:shd w:val="clear" w:color="auto" w:fill="FFFFFF"/>
            <w:tcMar>
              <w:left w:w="67" w:type="dxa"/>
              <w:right w:w="67" w:type="dxa"/>
            </w:tcMar>
          </w:tcPr>
          <w:p w14:paraId="764B5A38" w14:textId="77777777" w:rsidR="00E07CDE" w:rsidRPr="00563AD3" w:rsidRDefault="00E07CDE" w:rsidP="004818D9">
            <w:pPr>
              <w:spacing w:before="67" w:after="67" w:line="240" w:lineRule="auto"/>
              <w:jc w:val="right"/>
              <w:rPr>
                <w:rFonts w:eastAsia="Times New Roman"/>
                <w:color w:val="000000"/>
                <w:sz w:val="14"/>
                <w:szCs w:val="14"/>
              </w:rPr>
            </w:pPr>
          </w:p>
        </w:tc>
        <w:tc>
          <w:tcPr>
            <w:tcW w:w="802" w:type="dxa"/>
            <w:tcBorders>
              <w:top w:val="nil"/>
              <w:left w:val="nil"/>
              <w:bottom w:val="nil"/>
              <w:right w:val="nil"/>
            </w:tcBorders>
            <w:shd w:val="clear" w:color="auto" w:fill="FFFFFF"/>
            <w:tcMar>
              <w:left w:w="67" w:type="dxa"/>
              <w:right w:w="67" w:type="dxa"/>
            </w:tcMar>
          </w:tcPr>
          <w:p w14:paraId="43D1005E" w14:textId="77777777" w:rsidR="00E07CDE" w:rsidRPr="00563AD3" w:rsidRDefault="00E07CDE" w:rsidP="004818D9">
            <w:pPr>
              <w:spacing w:before="67" w:after="67" w:line="240" w:lineRule="auto"/>
              <w:jc w:val="right"/>
              <w:rPr>
                <w:rFonts w:eastAsia="Times New Roman"/>
                <w:color w:val="000000"/>
                <w:sz w:val="14"/>
                <w:szCs w:val="14"/>
              </w:rPr>
            </w:pPr>
          </w:p>
        </w:tc>
        <w:tc>
          <w:tcPr>
            <w:tcW w:w="993" w:type="dxa"/>
            <w:tcBorders>
              <w:top w:val="nil"/>
              <w:left w:val="nil"/>
              <w:bottom w:val="nil"/>
              <w:right w:val="nil"/>
            </w:tcBorders>
            <w:shd w:val="clear" w:color="auto" w:fill="FFFFFF"/>
            <w:tcMar>
              <w:left w:w="67" w:type="dxa"/>
              <w:right w:w="67" w:type="dxa"/>
            </w:tcMar>
          </w:tcPr>
          <w:p w14:paraId="4407F0E3" w14:textId="77777777" w:rsidR="00E07CDE" w:rsidRPr="00563AD3" w:rsidRDefault="00E07CDE" w:rsidP="004818D9">
            <w:pPr>
              <w:spacing w:before="67" w:after="67" w:line="240" w:lineRule="auto"/>
              <w:jc w:val="right"/>
              <w:rPr>
                <w:rFonts w:eastAsia="Times New Roman"/>
                <w:color w:val="000000"/>
                <w:sz w:val="14"/>
                <w:szCs w:val="14"/>
              </w:rPr>
            </w:pPr>
          </w:p>
        </w:tc>
        <w:tc>
          <w:tcPr>
            <w:tcW w:w="802" w:type="dxa"/>
            <w:tcBorders>
              <w:top w:val="nil"/>
              <w:left w:val="nil"/>
              <w:bottom w:val="nil"/>
              <w:right w:val="nil"/>
            </w:tcBorders>
            <w:shd w:val="clear" w:color="auto" w:fill="FFFFFF"/>
            <w:tcMar>
              <w:left w:w="67" w:type="dxa"/>
              <w:right w:w="67" w:type="dxa"/>
            </w:tcMar>
          </w:tcPr>
          <w:p w14:paraId="7FB10D07" w14:textId="77777777" w:rsidR="00E07CDE" w:rsidRPr="00563AD3" w:rsidRDefault="00E07CDE" w:rsidP="004818D9">
            <w:pPr>
              <w:spacing w:before="67" w:after="67" w:line="240" w:lineRule="auto"/>
              <w:jc w:val="right"/>
              <w:rPr>
                <w:rFonts w:eastAsia="Times New Roman"/>
                <w:color w:val="000000"/>
                <w:sz w:val="14"/>
                <w:szCs w:val="14"/>
              </w:rPr>
            </w:pPr>
          </w:p>
        </w:tc>
        <w:tc>
          <w:tcPr>
            <w:tcW w:w="802" w:type="dxa"/>
            <w:tcBorders>
              <w:top w:val="nil"/>
              <w:left w:val="nil"/>
              <w:bottom w:val="nil"/>
              <w:right w:val="nil"/>
            </w:tcBorders>
            <w:shd w:val="clear" w:color="auto" w:fill="FFFFFF"/>
            <w:tcMar>
              <w:left w:w="67" w:type="dxa"/>
              <w:right w:w="67" w:type="dxa"/>
            </w:tcMar>
          </w:tcPr>
          <w:p w14:paraId="464DBA35" w14:textId="77777777" w:rsidR="00E07CDE" w:rsidRPr="00563AD3" w:rsidRDefault="00E07CDE" w:rsidP="004818D9">
            <w:pPr>
              <w:spacing w:before="67" w:after="67" w:line="240" w:lineRule="auto"/>
              <w:jc w:val="right"/>
              <w:rPr>
                <w:rFonts w:eastAsia="Times New Roman"/>
                <w:color w:val="000000"/>
                <w:sz w:val="14"/>
                <w:szCs w:val="14"/>
              </w:rPr>
            </w:pPr>
          </w:p>
        </w:tc>
        <w:tc>
          <w:tcPr>
            <w:tcW w:w="993" w:type="dxa"/>
            <w:tcBorders>
              <w:top w:val="nil"/>
              <w:left w:val="nil"/>
              <w:bottom w:val="nil"/>
              <w:right w:val="nil"/>
            </w:tcBorders>
            <w:shd w:val="clear" w:color="auto" w:fill="FFFFFF"/>
            <w:tcMar>
              <w:left w:w="67" w:type="dxa"/>
              <w:right w:w="67" w:type="dxa"/>
            </w:tcMar>
          </w:tcPr>
          <w:p w14:paraId="2EED560D" w14:textId="77777777" w:rsidR="00E07CDE" w:rsidRPr="00563AD3" w:rsidRDefault="00E07CDE" w:rsidP="004818D9">
            <w:pPr>
              <w:spacing w:before="67" w:after="67" w:line="240" w:lineRule="auto"/>
              <w:jc w:val="right"/>
              <w:rPr>
                <w:rFonts w:eastAsia="Times New Roman"/>
                <w:color w:val="000000"/>
                <w:sz w:val="14"/>
                <w:szCs w:val="14"/>
              </w:rPr>
            </w:pPr>
          </w:p>
        </w:tc>
        <w:tc>
          <w:tcPr>
            <w:tcW w:w="802" w:type="dxa"/>
            <w:tcBorders>
              <w:top w:val="nil"/>
              <w:left w:val="nil"/>
              <w:bottom w:val="nil"/>
              <w:right w:val="nil"/>
            </w:tcBorders>
            <w:shd w:val="clear" w:color="auto" w:fill="FFFFFF"/>
            <w:tcMar>
              <w:left w:w="67" w:type="dxa"/>
              <w:right w:w="67" w:type="dxa"/>
            </w:tcMar>
          </w:tcPr>
          <w:p w14:paraId="620AFF8C" w14:textId="77777777" w:rsidR="00E07CDE" w:rsidRPr="00563AD3" w:rsidRDefault="00E07CDE" w:rsidP="004818D9">
            <w:pPr>
              <w:spacing w:before="67" w:after="67" w:line="240" w:lineRule="auto"/>
              <w:jc w:val="right"/>
              <w:rPr>
                <w:rFonts w:eastAsia="Times New Roman"/>
                <w:color w:val="000000"/>
                <w:sz w:val="14"/>
                <w:szCs w:val="14"/>
              </w:rPr>
            </w:pPr>
          </w:p>
        </w:tc>
        <w:tc>
          <w:tcPr>
            <w:tcW w:w="865" w:type="dxa"/>
            <w:gridSpan w:val="2"/>
            <w:tcBorders>
              <w:top w:val="nil"/>
              <w:left w:val="nil"/>
              <w:bottom w:val="nil"/>
              <w:right w:val="nil"/>
            </w:tcBorders>
            <w:shd w:val="clear" w:color="auto" w:fill="FFFFFF"/>
            <w:tcMar>
              <w:left w:w="67" w:type="dxa"/>
              <w:right w:w="67" w:type="dxa"/>
            </w:tcMar>
          </w:tcPr>
          <w:p w14:paraId="5AFA7AFE" w14:textId="77777777" w:rsidR="00E07CDE" w:rsidRPr="00563AD3" w:rsidRDefault="00E07CDE" w:rsidP="004818D9">
            <w:pPr>
              <w:spacing w:before="67" w:after="67" w:line="240" w:lineRule="auto"/>
              <w:jc w:val="right"/>
              <w:rPr>
                <w:rFonts w:eastAsia="Times New Roman"/>
                <w:color w:val="000000"/>
                <w:sz w:val="14"/>
                <w:szCs w:val="14"/>
              </w:rPr>
            </w:pPr>
          </w:p>
        </w:tc>
        <w:tc>
          <w:tcPr>
            <w:tcW w:w="960" w:type="dxa"/>
            <w:tcBorders>
              <w:top w:val="nil"/>
              <w:left w:val="nil"/>
              <w:bottom w:val="nil"/>
              <w:right w:val="nil"/>
            </w:tcBorders>
            <w:shd w:val="clear" w:color="auto" w:fill="FFFFFF"/>
            <w:tcMar>
              <w:left w:w="67" w:type="dxa"/>
              <w:right w:w="67" w:type="dxa"/>
            </w:tcMar>
          </w:tcPr>
          <w:p w14:paraId="564D5A02" w14:textId="77777777" w:rsidR="00E07CDE" w:rsidRPr="00563AD3" w:rsidRDefault="00E07CDE" w:rsidP="004818D9">
            <w:pPr>
              <w:spacing w:before="67" w:after="67" w:line="240" w:lineRule="auto"/>
              <w:jc w:val="right"/>
              <w:rPr>
                <w:rFonts w:eastAsia="Times New Roman"/>
                <w:color w:val="000000"/>
                <w:sz w:val="14"/>
                <w:szCs w:val="14"/>
              </w:rPr>
            </w:pPr>
          </w:p>
        </w:tc>
        <w:tc>
          <w:tcPr>
            <w:tcW w:w="802" w:type="dxa"/>
            <w:tcBorders>
              <w:top w:val="nil"/>
              <w:left w:val="nil"/>
              <w:bottom w:val="nil"/>
              <w:right w:val="single" w:sz="4" w:space="0" w:color="auto"/>
            </w:tcBorders>
            <w:shd w:val="clear" w:color="auto" w:fill="FFFFFF"/>
            <w:tcMar>
              <w:left w:w="67" w:type="dxa"/>
              <w:right w:w="67" w:type="dxa"/>
            </w:tcMar>
          </w:tcPr>
          <w:p w14:paraId="7082E29A" w14:textId="77777777" w:rsidR="00E07CDE" w:rsidRPr="00563AD3" w:rsidRDefault="00E07CDE" w:rsidP="004818D9">
            <w:pPr>
              <w:spacing w:before="67" w:after="67" w:line="240" w:lineRule="auto"/>
              <w:jc w:val="right"/>
              <w:rPr>
                <w:rFonts w:eastAsia="Times New Roman"/>
                <w:color w:val="000000"/>
                <w:sz w:val="14"/>
                <w:szCs w:val="14"/>
              </w:rPr>
            </w:pPr>
          </w:p>
        </w:tc>
      </w:tr>
      <w:tr w:rsidR="00E07CDE" w:rsidRPr="00563AD3" w14:paraId="712AA9D8"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687E1111"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Delusions</w:t>
            </w:r>
          </w:p>
        </w:tc>
        <w:tc>
          <w:tcPr>
            <w:tcW w:w="1134" w:type="dxa"/>
            <w:gridSpan w:val="2"/>
            <w:tcBorders>
              <w:top w:val="nil"/>
              <w:left w:val="nil"/>
              <w:bottom w:val="nil"/>
              <w:right w:val="nil"/>
            </w:tcBorders>
            <w:shd w:val="clear" w:color="auto" w:fill="FFFFFF"/>
            <w:tcMar>
              <w:left w:w="67" w:type="dxa"/>
              <w:right w:w="67" w:type="dxa"/>
            </w:tcMar>
          </w:tcPr>
          <w:p w14:paraId="4761B99A" w14:textId="4EC64A78"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18 </w:t>
            </w:r>
            <w:r w:rsidR="00E35291">
              <w:rPr>
                <w:rFonts w:eastAsia="Times New Roman"/>
                <w:color w:val="000000"/>
                <w:sz w:val="14"/>
                <w:szCs w:val="14"/>
              </w:rPr>
              <w:t xml:space="preserve">     </w:t>
            </w:r>
            <w:r w:rsidRPr="00563AD3">
              <w:rPr>
                <w:rFonts w:eastAsia="Times New Roman"/>
                <w:color w:val="000000"/>
                <w:sz w:val="14"/>
                <w:szCs w:val="14"/>
              </w:rPr>
              <w:t>(9.7%)185</w:t>
            </w:r>
          </w:p>
        </w:tc>
        <w:tc>
          <w:tcPr>
            <w:tcW w:w="992" w:type="dxa"/>
            <w:gridSpan w:val="2"/>
            <w:tcBorders>
              <w:top w:val="nil"/>
              <w:left w:val="nil"/>
              <w:bottom w:val="nil"/>
              <w:right w:val="nil"/>
            </w:tcBorders>
            <w:shd w:val="clear" w:color="auto" w:fill="FFFFFF"/>
            <w:tcMar>
              <w:left w:w="67" w:type="dxa"/>
              <w:right w:w="67" w:type="dxa"/>
            </w:tcMar>
          </w:tcPr>
          <w:p w14:paraId="0B1A2F87" w14:textId="1A22D258"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20</w:t>
            </w:r>
            <w:r w:rsidR="00E35291">
              <w:rPr>
                <w:rFonts w:eastAsia="Times New Roman"/>
                <w:color w:val="000000"/>
                <w:sz w:val="14"/>
                <w:szCs w:val="14"/>
              </w:rPr>
              <w:t xml:space="preserve">    </w:t>
            </w:r>
            <w:r w:rsidRPr="00563AD3">
              <w:rPr>
                <w:rFonts w:eastAsia="Times New Roman"/>
                <w:color w:val="000000"/>
                <w:sz w:val="14"/>
                <w:szCs w:val="14"/>
              </w:rPr>
              <w:t xml:space="preserve"> (9%)222</w:t>
            </w:r>
          </w:p>
        </w:tc>
        <w:tc>
          <w:tcPr>
            <w:tcW w:w="1125" w:type="dxa"/>
            <w:tcBorders>
              <w:top w:val="nil"/>
              <w:left w:val="nil"/>
              <w:bottom w:val="nil"/>
              <w:right w:val="nil"/>
            </w:tcBorders>
            <w:shd w:val="clear" w:color="auto" w:fill="FFFFFF"/>
            <w:tcMar>
              <w:left w:w="67" w:type="dxa"/>
              <w:right w:w="67" w:type="dxa"/>
            </w:tcMar>
          </w:tcPr>
          <w:p w14:paraId="069DF4B6" w14:textId="48DA9668"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38</w:t>
            </w:r>
            <w:r w:rsidR="00E35291">
              <w:rPr>
                <w:rFonts w:eastAsia="Times New Roman"/>
                <w:color w:val="000000"/>
                <w:sz w:val="14"/>
                <w:szCs w:val="14"/>
              </w:rPr>
              <w:t xml:space="preserve">    </w:t>
            </w:r>
            <w:r w:rsidRPr="00563AD3">
              <w:rPr>
                <w:rFonts w:eastAsia="Times New Roman"/>
                <w:color w:val="000000"/>
                <w:sz w:val="14"/>
                <w:szCs w:val="14"/>
              </w:rPr>
              <w:t xml:space="preserve"> (9.3%)407</w:t>
            </w:r>
          </w:p>
        </w:tc>
        <w:tc>
          <w:tcPr>
            <w:tcW w:w="802" w:type="dxa"/>
            <w:tcBorders>
              <w:top w:val="nil"/>
              <w:left w:val="nil"/>
              <w:bottom w:val="nil"/>
              <w:right w:val="nil"/>
            </w:tcBorders>
            <w:shd w:val="clear" w:color="auto" w:fill="FFFFFF"/>
            <w:tcMar>
              <w:left w:w="67" w:type="dxa"/>
              <w:right w:w="67" w:type="dxa"/>
            </w:tcMar>
          </w:tcPr>
          <w:p w14:paraId="74C1931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 (1.26) 0</w:t>
            </w:r>
          </w:p>
        </w:tc>
        <w:tc>
          <w:tcPr>
            <w:tcW w:w="993" w:type="dxa"/>
            <w:tcBorders>
              <w:top w:val="nil"/>
              <w:left w:val="nil"/>
              <w:bottom w:val="nil"/>
              <w:right w:val="nil"/>
            </w:tcBorders>
            <w:shd w:val="clear" w:color="auto" w:fill="FFFFFF"/>
            <w:tcMar>
              <w:left w:w="67" w:type="dxa"/>
              <w:right w:w="67" w:type="dxa"/>
            </w:tcMar>
          </w:tcPr>
          <w:p w14:paraId="413533F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(1.1) 0</w:t>
            </w:r>
          </w:p>
        </w:tc>
        <w:tc>
          <w:tcPr>
            <w:tcW w:w="802" w:type="dxa"/>
            <w:tcBorders>
              <w:top w:val="nil"/>
              <w:left w:val="nil"/>
              <w:bottom w:val="nil"/>
              <w:right w:val="nil"/>
            </w:tcBorders>
            <w:shd w:val="clear" w:color="auto" w:fill="FFFFFF"/>
            <w:tcMar>
              <w:left w:w="67" w:type="dxa"/>
              <w:right w:w="67" w:type="dxa"/>
            </w:tcMar>
          </w:tcPr>
          <w:p w14:paraId="311898A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2.7 (1.16) 0</w:t>
            </w:r>
          </w:p>
        </w:tc>
        <w:tc>
          <w:tcPr>
            <w:tcW w:w="802" w:type="dxa"/>
            <w:tcBorders>
              <w:top w:val="nil"/>
              <w:left w:val="nil"/>
              <w:bottom w:val="nil"/>
              <w:right w:val="nil"/>
            </w:tcBorders>
            <w:shd w:val="clear" w:color="auto" w:fill="FFFFFF"/>
            <w:tcMar>
              <w:left w:w="67" w:type="dxa"/>
              <w:right w:w="67" w:type="dxa"/>
            </w:tcMar>
          </w:tcPr>
          <w:p w14:paraId="17A5F2E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(0.57) 0</w:t>
            </w:r>
          </w:p>
        </w:tc>
        <w:tc>
          <w:tcPr>
            <w:tcW w:w="993" w:type="dxa"/>
            <w:tcBorders>
              <w:top w:val="nil"/>
              <w:left w:val="nil"/>
              <w:bottom w:val="nil"/>
              <w:right w:val="nil"/>
            </w:tcBorders>
            <w:shd w:val="clear" w:color="auto" w:fill="FFFFFF"/>
            <w:tcMar>
              <w:left w:w="67" w:type="dxa"/>
              <w:right w:w="67" w:type="dxa"/>
            </w:tcMar>
          </w:tcPr>
          <w:p w14:paraId="54652BE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(0.51) 0</w:t>
            </w:r>
          </w:p>
        </w:tc>
        <w:tc>
          <w:tcPr>
            <w:tcW w:w="802" w:type="dxa"/>
            <w:tcBorders>
              <w:top w:val="nil"/>
              <w:left w:val="nil"/>
              <w:bottom w:val="nil"/>
              <w:right w:val="nil"/>
            </w:tcBorders>
            <w:shd w:val="clear" w:color="auto" w:fill="FFFFFF"/>
            <w:tcMar>
              <w:left w:w="67" w:type="dxa"/>
              <w:right w:w="67" w:type="dxa"/>
            </w:tcMar>
          </w:tcPr>
          <w:p w14:paraId="4852843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(0.55) 0</w:t>
            </w:r>
          </w:p>
        </w:tc>
        <w:tc>
          <w:tcPr>
            <w:tcW w:w="802" w:type="dxa"/>
            <w:tcBorders>
              <w:top w:val="nil"/>
              <w:left w:val="nil"/>
              <w:bottom w:val="nil"/>
              <w:right w:val="nil"/>
            </w:tcBorders>
            <w:shd w:val="clear" w:color="auto" w:fill="FFFFFF"/>
            <w:tcMar>
              <w:left w:w="67" w:type="dxa"/>
              <w:right w:w="67" w:type="dxa"/>
            </w:tcMar>
          </w:tcPr>
          <w:p w14:paraId="20A7853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0.9 (1.16) 0</w:t>
            </w:r>
          </w:p>
        </w:tc>
        <w:tc>
          <w:tcPr>
            <w:tcW w:w="993" w:type="dxa"/>
            <w:tcBorders>
              <w:top w:val="nil"/>
              <w:left w:val="nil"/>
              <w:bottom w:val="nil"/>
              <w:right w:val="nil"/>
            </w:tcBorders>
            <w:shd w:val="clear" w:color="auto" w:fill="FFFFFF"/>
            <w:tcMar>
              <w:left w:w="67" w:type="dxa"/>
              <w:right w:w="67" w:type="dxa"/>
            </w:tcMar>
          </w:tcPr>
          <w:p w14:paraId="55ADF77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(1.07) 1</w:t>
            </w:r>
          </w:p>
        </w:tc>
        <w:tc>
          <w:tcPr>
            <w:tcW w:w="802" w:type="dxa"/>
            <w:tcBorders>
              <w:top w:val="nil"/>
              <w:left w:val="nil"/>
              <w:bottom w:val="nil"/>
              <w:right w:val="nil"/>
            </w:tcBorders>
            <w:shd w:val="clear" w:color="auto" w:fill="FFFFFF"/>
            <w:tcMar>
              <w:left w:w="67" w:type="dxa"/>
              <w:right w:w="67" w:type="dxa"/>
            </w:tcMar>
          </w:tcPr>
          <w:p w14:paraId="0DFAF5A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 (1.13) 1</w:t>
            </w:r>
          </w:p>
        </w:tc>
        <w:tc>
          <w:tcPr>
            <w:tcW w:w="865" w:type="dxa"/>
            <w:gridSpan w:val="2"/>
            <w:tcBorders>
              <w:top w:val="nil"/>
              <w:left w:val="nil"/>
              <w:bottom w:val="nil"/>
              <w:right w:val="nil"/>
            </w:tcBorders>
            <w:shd w:val="clear" w:color="auto" w:fill="FFFFFF"/>
            <w:tcMar>
              <w:left w:w="67" w:type="dxa"/>
              <w:right w:w="67" w:type="dxa"/>
            </w:tcMar>
          </w:tcPr>
          <w:p w14:paraId="6FAE0F2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5.2 (3.03) 0</w:t>
            </w:r>
          </w:p>
        </w:tc>
        <w:tc>
          <w:tcPr>
            <w:tcW w:w="960" w:type="dxa"/>
            <w:tcBorders>
              <w:top w:val="nil"/>
              <w:left w:val="nil"/>
              <w:bottom w:val="nil"/>
              <w:right w:val="nil"/>
            </w:tcBorders>
            <w:shd w:val="clear" w:color="auto" w:fill="FFFFFF"/>
            <w:tcMar>
              <w:left w:w="67" w:type="dxa"/>
              <w:right w:w="67" w:type="dxa"/>
            </w:tcMar>
          </w:tcPr>
          <w:p w14:paraId="038954E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3.9 (2.28) 0</w:t>
            </w:r>
          </w:p>
        </w:tc>
        <w:tc>
          <w:tcPr>
            <w:tcW w:w="802" w:type="dxa"/>
            <w:tcBorders>
              <w:top w:val="nil"/>
              <w:left w:val="nil"/>
              <w:bottom w:val="nil"/>
              <w:right w:val="single" w:sz="4" w:space="0" w:color="auto"/>
            </w:tcBorders>
            <w:shd w:val="clear" w:color="auto" w:fill="FFFFFF"/>
            <w:tcMar>
              <w:left w:w="67" w:type="dxa"/>
              <w:right w:w="67" w:type="dxa"/>
            </w:tcMar>
          </w:tcPr>
          <w:p w14:paraId="468B82E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4.5 (2.71) 0</w:t>
            </w:r>
          </w:p>
        </w:tc>
      </w:tr>
      <w:tr w:rsidR="00E07CDE" w:rsidRPr="00563AD3" w14:paraId="08EBD5EF"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0CC2A4F4"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Hallucinations</w:t>
            </w:r>
          </w:p>
        </w:tc>
        <w:tc>
          <w:tcPr>
            <w:tcW w:w="1134" w:type="dxa"/>
            <w:gridSpan w:val="2"/>
            <w:tcBorders>
              <w:top w:val="nil"/>
              <w:left w:val="nil"/>
              <w:bottom w:val="nil"/>
              <w:right w:val="nil"/>
            </w:tcBorders>
            <w:shd w:val="clear" w:color="auto" w:fill="FFFFFF"/>
            <w:tcMar>
              <w:left w:w="67" w:type="dxa"/>
              <w:right w:w="67" w:type="dxa"/>
            </w:tcMar>
          </w:tcPr>
          <w:p w14:paraId="223EE442" w14:textId="0B545461"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15 </w:t>
            </w:r>
            <w:r w:rsidR="00E35291">
              <w:rPr>
                <w:rFonts w:eastAsia="Times New Roman"/>
                <w:color w:val="000000"/>
                <w:sz w:val="14"/>
                <w:szCs w:val="14"/>
              </w:rPr>
              <w:t xml:space="preserve">     </w:t>
            </w:r>
            <w:r w:rsidRPr="00563AD3">
              <w:rPr>
                <w:rFonts w:eastAsia="Times New Roman"/>
                <w:color w:val="000000"/>
                <w:sz w:val="14"/>
                <w:szCs w:val="14"/>
              </w:rPr>
              <w:t>(8.1%)185</w:t>
            </w:r>
          </w:p>
        </w:tc>
        <w:tc>
          <w:tcPr>
            <w:tcW w:w="992" w:type="dxa"/>
            <w:gridSpan w:val="2"/>
            <w:tcBorders>
              <w:top w:val="nil"/>
              <w:left w:val="nil"/>
              <w:bottom w:val="nil"/>
              <w:right w:val="nil"/>
            </w:tcBorders>
            <w:shd w:val="clear" w:color="auto" w:fill="FFFFFF"/>
            <w:tcMar>
              <w:left w:w="67" w:type="dxa"/>
              <w:right w:w="67" w:type="dxa"/>
            </w:tcMar>
          </w:tcPr>
          <w:p w14:paraId="61C7739E" w14:textId="2615692E"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20</w:t>
            </w:r>
            <w:r w:rsidR="00E35291">
              <w:rPr>
                <w:rFonts w:eastAsia="Times New Roman"/>
                <w:color w:val="000000"/>
                <w:sz w:val="14"/>
                <w:szCs w:val="14"/>
              </w:rPr>
              <w:t xml:space="preserve">    </w:t>
            </w:r>
            <w:r w:rsidRPr="00563AD3">
              <w:rPr>
                <w:rFonts w:eastAsia="Times New Roman"/>
                <w:color w:val="000000"/>
                <w:sz w:val="14"/>
                <w:szCs w:val="14"/>
              </w:rPr>
              <w:t xml:space="preserve"> (9%)222</w:t>
            </w:r>
          </w:p>
        </w:tc>
        <w:tc>
          <w:tcPr>
            <w:tcW w:w="1125" w:type="dxa"/>
            <w:tcBorders>
              <w:top w:val="nil"/>
              <w:left w:val="nil"/>
              <w:bottom w:val="nil"/>
              <w:right w:val="nil"/>
            </w:tcBorders>
            <w:shd w:val="clear" w:color="auto" w:fill="FFFFFF"/>
            <w:tcMar>
              <w:left w:w="67" w:type="dxa"/>
              <w:right w:w="67" w:type="dxa"/>
            </w:tcMar>
          </w:tcPr>
          <w:p w14:paraId="3BAB64B7" w14:textId="79270BC8"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35</w:t>
            </w:r>
            <w:r w:rsidR="00E35291">
              <w:rPr>
                <w:rFonts w:eastAsia="Times New Roman"/>
                <w:color w:val="000000"/>
                <w:sz w:val="14"/>
                <w:szCs w:val="14"/>
              </w:rPr>
              <w:t xml:space="preserve">    </w:t>
            </w:r>
            <w:r w:rsidRPr="00563AD3">
              <w:rPr>
                <w:rFonts w:eastAsia="Times New Roman"/>
                <w:color w:val="000000"/>
                <w:sz w:val="14"/>
                <w:szCs w:val="14"/>
              </w:rPr>
              <w:t xml:space="preserve"> (8.6%)407</w:t>
            </w:r>
          </w:p>
        </w:tc>
        <w:tc>
          <w:tcPr>
            <w:tcW w:w="802" w:type="dxa"/>
            <w:tcBorders>
              <w:top w:val="nil"/>
              <w:left w:val="nil"/>
              <w:bottom w:val="nil"/>
              <w:right w:val="nil"/>
            </w:tcBorders>
            <w:shd w:val="clear" w:color="auto" w:fill="FFFFFF"/>
            <w:tcMar>
              <w:left w:w="67" w:type="dxa"/>
              <w:right w:w="67" w:type="dxa"/>
            </w:tcMar>
          </w:tcPr>
          <w:p w14:paraId="3943A50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2.3 (1.18) 0</w:t>
            </w:r>
          </w:p>
        </w:tc>
        <w:tc>
          <w:tcPr>
            <w:tcW w:w="993" w:type="dxa"/>
            <w:tcBorders>
              <w:top w:val="nil"/>
              <w:left w:val="nil"/>
              <w:bottom w:val="nil"/>
              <w:right w:val="nil"/>
            </w:tcBorders>
            <w:shd w:val="clear" w:color="auto" w:fill="FFFFFF"/>
            <w:tcMar>
              <w:left w:w="67" w:type="dxa"/>
              <w:right w:w="67" w:type="dxa"/>
            </w:tcMar>
          </w:tcPr>
          <w:p w14:paraId="731F1AF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 (1.08) 0</w:t>
            </w:r>
          </w:p>
        </w:tc>
        <w:tc>
          <w:tcPr>
            <w:tcW w:w="802" w:type="dxa"/>
            <w:tcBorders>
              <w:top w:val="nil"/>
              <w:left w:val="nil"/>
              <w:bottom w:val="nil"/>
              <w:right w:val="nil"/>
            </w:tcBorders>
            <w:shd w:val="clear" w:color="auto" w:fill="FFFFFF"/>
            <w:tcMar>
              <w:left w:w="67" w:type="dxa"/>
              <w:right w:w="67" w:type="dxa"/>
            </w:tcMar>
          </w:tcPr>
          <w:p w14:paraId="0B5A67A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2.7 (1.15) 0</w:t>
            </w:r>
          </w:p>
        </w:tc>
        <w:tc>
          <w:tcPr>
            <w:tcW w:w="802" w:type="dxa"/>
            <w:tcBorders>
              <w:top w:val="nil"/>
              <w:left w:val="nil"/>
              <w:bottom w:val="nil"/>
              <w:right w:val="nil"/>
            </w:tcBorders>
            <w:shd w:val="clear" w:color="auto" w:fill="FFFFFF"/>
            <w:tcMar>
              <w:left w:w="67" w:type="dxa"/>
              <w:right w:w="67" w:type="dxa"/>
            </w:tcMar>
          </w:tcPr>
          <w:p w14:paraId="26461C3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(0.63) 0</w:t>
            </w:r>
          </w:p>
        </w:tc>
        <w:tc>
          <w:tcPr>
            <w:tcW w:w="993" w:type="dxa"/>
            <w:tcBorders>
              <w:top w:val="nil"/>
              <w:left w:val="nil"/>
              <w:bottom w:val="nil"/>
              <w:right w:val="nil"/>
            </w:tcBorders>
            <w:shd w:val="clear" w:color="auto" w:fill="FFFFFF"/>
            <w:tcMar>
              <w:left w:w="67" w:type="dxa"/>
              <w:right w:w="67" w:type="dxa"/>
            </w:tcMar>
          </w:tcPr>
          <w:p w14:paraId="6AB4976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(0.44) 0</w:t>
            </w:r>
          </w:p>
        </w:tc>
        <w:tc>
          <w:tcPr>
            <w:tcW w:w="802" w:type="dxa"/>
            <w:tcBorders>
              <w:top w:val="nil"/>
              <w:left w:val="nil"/>
              <w:bottom w:val="nil"/>
              <w:right w:val="nil"/>
            </w:tcBorders>
            <w:shd w:val="clear" w:color="auto" w:fill="FFFFFF"/>
            <w:tcMar>
              <w:left w:w="67" w:type="dxa"/>
              <w:right w:w="67" w:type="dxa"/>
            </w:tcMar>
          </w:tcPr>
          <w:p w14:paraId="2D216A8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(0.53) 0</w:t>
            </w:r>
          </w:p>
        </w:tc>
        <w:tc>
          <w:tcPr>
            <w:tcW w:w="802" w:type="dxa"/>
            <w:tcBorders>
              <w:top w:val="nil"/>
              <w:left w:val="nil"/>
              <w:bottom w:val="nil"/>
              <w:right w:val="nil"/>
            </w:tcBorders>
            <w:shd w:val="clear" w:color="auto" w:fill="FFFFFF"/>
            <w:tcMar>
              <w:left w:w="67" w:type="dxa"/>
              <w:right w:w="67" w:type="dxa"/>
            </w:tcMar>
          </w:tcPr>
          <w:p w14:paraId="7601105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0.2 (0.41) 0</w:t>
            </w:r>
          </w:p>
        </w:tc>
        <w:tc>
          <w:tcPr>
            <w:tcW w:w="993" w:type="dxa"/>
            <w:tcBorders>
              <w:top w:val="nil"/>
              <w:left w:val="nil"/>
              <w:bottom w:val="nil"/>
              <w:right w:val="nil"/>
            </w:tcBorders>
            <w:shd w:val="clear" w:color="auto" w:fill="FFFFFF"/>
            <w:tcMar>
              <w:left w:w="67" w:type="dxa"/>
              <w:right w:w="67" w:type="dxa"/>
            </w:tcMar>
          </w:tcPr>
          <w:p w14:paraId="21DCBC2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0.6 (0.82) 0</w:t>
            </w:r>
          </w:p>
        </w:tc>
        <w:tc>
          <w:tcPr>
            <w:tcW w:w="802" w:type="dxa"/>
            <w:tcBorders>
              <w:top w:val="nil"/>
              <w:left w:val="nil"/>
              <w:bottom w:val="nil"/>
              <w:right w:val="nil"/>
            </w:tcBorders>
            <w:shd w:val="clear" w:color="auto" w:fill="FFFFFF"/>
            <w:tcMar>
              <w:left w:w="67" w:type="dxa"/>
              <w:right w:w="67" w:type="dxa"/>
            </w:tcMar>
          </w:tcPr>
          <w:p w14:paraId="2C2A5F29" w14:textId="0154191A"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0.4 (0.7)</w:t>
            </w:r>
            <w:r w:rsidR="00E35291">
              <w:rPr>
                <w:rFonts w:eastAsia="Times New Roman"/>
                <w:color w:val="000000"/>
                <w:sz w:val="14"/>
                <w:szCs w:val="14"/>
              </w:rPr>
              <w:t xml:space="preserve"> </w:t>
            </w:r>
            <w:r w:rsidRPr="00563AD3">
              <w:rPr>
                <w:rFonts w:eastAsia="Times New Roman"/>
                <w:color w:val="000000"/>
                <w:sz w:val="14"/>
                <w:szCs w:val="14"/>
              </w:rPr>
              <w:t xml:space="preserve"> 0</w:t>
            </w:r>
          </w:p>
        </w:tc>
        <w:tc>
          <w:tcPr>
            <w:tcW w:w="865" w:type="dxa"/>
            <w:gridSpan w:val="2"/>
            <w:tcBorders>
              <w:top w:val="nil"/>
              <w:left w:val="nil"/>
              <w:bottom w:val="nil"/>
              <w:right w:val="nil"/>
            </w:tcBorders>
            <w:shd w:val="clear" w:color="auto" w:fill="FFFFFF"/>
            <w:tcMar>
              <w:left w:w="67" w:type="dxa"/>
              <w:right w:w="67" w:type="dxa"/>
            </w:tcMar>
          </w:tcPr>
          <w:p w14:paraId="7091769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3.3 (2.32) 0</w:t>
            </w:r>
          </w:p>
        </w:tc>
        <w:tc>
          <w:tcPr>
            <w:tcW w:w="960" w:type="dxa"/>
            <w:tcBorders>
              <w:top w:val="nil"/>
              <w:left w:val="nil"/>
              <w:bottom w:val="nil"/>
              <w:right w:val="nil"/>
            </w:tcBorders>
            <w:shd w:val="clear" w:color="auto" w:fill="FFFFFF"/>
            <w:tcMar>
              <w:left w:w="67" w:type="dxa"/>
              <w:right w:w="67" w:type="dxa"/>
            </w:tcMar>
          </w:tcPr>
          <w:p w14:paraId="177E8E3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3.8 (1.99) 0</w:t>
            </w:r>
          </w:p>
        </w:tc>
        <w:tc>
          <w:tcPr>
            <w:tcW w:w="802" w:type="dxa"/>
            <w:tcBorders>
              <w:top w:val="nil"/>
              <w:left w:val="nil"/>
              <w:bottom w:val="nil"/>
              <w:right w:val="single" w:sz="4" w:space="0" w:color="auto"/>
            </w:tcBorders>
            <w:shd w:val="clear" w:color="auto" w:fill="FFFFFF"/>
            <w:tcMar>
              <w:left w:w="67" w:type="dxa"/>
              <w:right w:w="67" w:type="dxa"/>
            </w:tcMar>
          </w:tcPr>
          <w:p w14:paraId="6D2393D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3.6 (2.12) 0</w:t>
            </w:r>
          </w:p>
        </w:tc>
      </w:tr>
      <w:tr w:rsidR="00E07CDE" w:rsidRPr="00563AD3" w14:paraId="47BD5BD3"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5A7AED17" w14:textId="4107F24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Agitation/</w:t>
            </w:r>
            <w:r w:rsidR="008A1A04">
              <w:rPr>
                <w:rFonts w:eastAsia="Times New Roman"/>
                <w:color w:val="000000"/>
                <w:sz w:val="14"/>
                <w:szCs w:val="14"/>
              </w:rPr>
              <w:t xml:space="preserve"> </w:t>
            </w:r>
            <w:r w:rsidRPr="00563AD3">
              <w:rPr>
                <w:rFonts w:eastAsia="Times New Roman"/>
                <w:color w:val="000000"/>
                <w:sz w:val="14"/>
                <w:szCs w:val="14"/>
              </w:rPr>
              <w:t>Aggression</w:t>
            </w:r>
          </w:p>
        </w:tc>
        <w:tc>
          <w:tcPr>
            <w:tcW w:w="1134" w:type="dxa"/>
            <w:gridSpan w:val="2"/>
            <w:tcBorders>
              <w:top w:val="nil"/>
              <w:left w:val="nil"/>
              <w:bottom w:val="nil"/>
              <w:right w:val="nil"/>
            </w:tcBorders>
            <w:shd w:val="clear" w:color="auto" w:fill="FFFFFF"/>
            <w:tcMar>
              <w:left w:w="67" w:type="dxa"/>
              <w:right w:w="67" w:type="dxa"/>
            </w:tcMar>
          </w:tcPr>
          <w:p w14:paraId="38E67F32" w14:textId="703EFD6A"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82 </w:t>
            </w:r>
            <w:r w:rsidR="00E35291">
              <w:rPr>
                <w:rFonts w:eastAsia="Times New Roman"/>
                <w:color w:val="000000"/>
                <w:sz w:val="14"/>
                <w:szCs w:val="14"/>
              </w:rPr>
              <w:t xml:space="preserve">    </w:t>
            </w:r>
            <w:r w:rsidRPr="00563AD3">
              <w:rPr>
                <w:rFonts w:eastAsia="Times New Roman"/>
                <w:color w:val="000000"/>
                <w:sz w:val="14"/>
                <w:szCs w:val="14"/>
              </w:rPr>
              <w:t>(44.3%)185</w:t>
            </w:r>
          </w:p>
        </w:tc>
        <w:tc>
          <w:tcPr>
            <w:tcW w:w="992" w:type="dxa"/>
            <w:gridSpan w:val="2"/>
            <w:tcBorders>
              <w:top w:val="nil"/>
              <w:left w:val="nil"/>
              <w:bottom w:val="nil"/>
              <w:right w:val="nil"/>
            </w:tcBorders>
            <w:shd w:val="clear" w:color="auto" w:fill="FFFFFF"/>
            <w:tcMar>
              <w:left w:w="67" w:type="dxa"/>
              <w:right w:w="67" w:type="dxa"/>
            </w:tcMar>
          </w:tcPr>
          <w:p w14:paraId="7DAA73F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76 (34.2%)222</w:t>
            </w:r>
          </w:p>
        </w:tc>
        <w:tc>
          <w:tcPr>
            <w:tcW w:w="1125" w:type="dxa"/>
            <w:tcBorders>
              <w:top w:val="nil"/>
              <w:left w:val="nil"/>
              <w:bottom w:val="nil"/>
              <w:right w:val="nil"/>
            </w:tcBorders>
            <w:shd w:val="clear" w:color="auto" w:fill="FFFFFF"/>
            <w:tcMar>
              <w:left w:w="67" w:type="dxa"/>
              <w:right w:w="67" w:type="dxa"/>
            </w:tcMar>
          </w:tcPr>
          <w:p w14:paraId="0F2F733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158 (38.8%)407</w:t>
            </w:r>
          </w:p>
        </w:tc>
        <w:tc>
          <w:tcPr>
            <w:tcW w:w="802" w:type="dxa"/>
            <w:tcBorders>
              <w:top w:val="nil"/>
              <w:left w:val="nil"/>
              <w:bottom w:val="nil"/>
              <w:right w:val="nil"/>
            </w:tcBorders>
            <w:shd w:val="clear" w:color="auto" w:fill="FFFFFF"/>
            <w:tcMar>
              <w:left w:w="67" w:type="dxa"/>
              <w:right w:w="67" w:type="dxa"/>
            </w:tcMar>
          </w:tcPr>
          <w:p w14:paraId="2A62FBF0" w14:textId="12EF3271"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w:t>
            </w:r>
            <w:r w:rsidR="00E35291">
              <w:rPr>
                <w:rFonts w:eastAsia="Times New Roman"/>
                <w:color w:val="000000"/>
                <w:sz w:val="14"/>
                <w:szCs w:val="14"/>
              </w:rPr>
              <w:t xml:space="preserve">  </w:t>
            </w:r>
            <w:r w:rsidRPr="00563AD3">
              <w:rPr>
                <w:rFonts w:eastAsia="Times New Roman"/>
                <w:color w:val="000000"/>
                <w:sz w:val="14"/>
                <w:szCs w:val="14"/>
              </w:rPr>
              <w:t xml:space="preserve"> (0.92) 0</w:t>
            </w:r>
          </w:p>
        </w:tc>
        <w:tc>
          <w:tcPr>
            <w:tcW w:w="993" w:type="dxa"/>
            <w:tcBorders>
              <w:top w:val="nil"/>
              <w:left w:val="nil"/>
              <w:bottom w:val="nil"/>
              <w:right w:val="nil"/>
            </w:tcBorders>
            <w:shd w:val="clear" w:color="auto" w:fill="FFFFFF"/>
            <w:tcMar>
              <w:left w:w="67" w:type="dxa"/>
              <w:right w:w="67" w:type="dxa"/>
            </w:tcMar>
          </w:tcPr>
          <w:p w14:paraId="3267F79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 (1.02) 0</w:t>
            </w:r>
          </w:p>
        </w:tc>
        <w:tc>
          <w:tcPr>
            <w:tcW w:w="802" w:type="dxa"/>
            <w:tcBorders>
              <w:top w:val="nil"/>
              <w:left w:val="nil"/>
              <w:bottom w:val="nil"/>
              <w:right w:val="nil"/>
            </w:tcBorders>
            <w:shd w:val="clear" w:color="auto" w:fill="FFFFFF"/>
            <w:tcMar>
              <w:left w:w="67" w:type="dxa"/>
              <w:right w:w="67" w:type="dxa"/>
            </w:tcMar>
          </w:tcPr>
          <w:p w14:paraId="59910CD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2.9 (0.97) 0</w:t>
            </w:r>
          </w:p>
        </w:tc>
        <w:tc>
          <w:tcPr>
            <w:tcW w:w="802" w:type="dxa"/>
            <w:tcBorders>
              <w:top w:val="nil"/>
              <w:left w:val="nil"/>
              <w:bottom w:val="nil"/>
              <w:right w:val="nil"/>
            </w:tcBorders>
            <w:shd w:val="clear" w:color="auto" w:fill="FFFFFF"/>
            <w:tcMar>
              <w:left w:w="67" w:type="dxa"/>
              <w:right w:w="67" w:type="dxa"/>
            </w:tcMar>
          </w:tcPr>
          <w:p w14:paraId="2CA5FFB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(0.55) 0</w:t>
            </w:r>
          </w:p>
        </w:tc>
        <w:tc>
          <w:tcPr>
            <w:tcW w:w="993" w:type="dxa"/>
            <w:tcBorders>
              <w:top w:val="nil"/>
              <w:left w:val="nil"/>
              <w:bottom w:val="nil"/>
              <w:right w:val="nil"/>
            </w:tcBorders>
            <w:shd w:val="clear" w:color="auto" w:fill="FFFFFF"/>
            <w:tcMar>
              <w:left w:w="67" w:type="dxa"/>
              <w:right w:w="67" w:type="dxa"/>
            </w:tcMar>
          </w:tcPr>
          <w:p w14:paraId="77504CD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(0.64) 0</w:t>
            </w:r>
          </w:p>
        </w:tc>
        <w:tc>
          <w:tcPr>
            <w:tcW w:w="802" w:type="dxa"/>
            <w:tcBorders>
              <w:top w:val="nil"/>
              <w:left w:val="nil"/>
              <w:bottom w:val="nil"/>
              <w:right w:val="nil"/>
            </w:tcBorders>
            <w:shd w:val="clear" w:color="auto" w:fill="FFFFFF"/>
            <w:tcMar>
              <w:left w:w="67" w:type="dxa"/>
              <w:right w:w="67" w:type="dxa"/>
            </w:tcMar>
          </w:tcPr>
          <w:p w14:paraId="5EA014B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(0.59) 0</w:t>
            </w:r>
          </w:p>
        </w:tc>
        <w:tc>
          <w:tcPr>
            <w:tcW w:w="802" w:type="dxa"/>
            <w:tcBorders>
              <w:top w:val="nil"/>
              <w:left w:val="nil"/>
              <w:bottom w:val="nil"/>
              <w:right w:val="nil"/>
            </w:tcBorders>
            <w:shd w:val="clear" w:color="auto" w:fill="FFFFFF"/>
            <w:tcMar>
              <w:left w:w="67" w:type="dxa"/>
              <w:right w:w="67" w:type="dxa"/>
            </w:tcMar>
          </w:tcPr>
          <w:p w14:paraId="3E47973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(1.17) 0</w:t>
            </w:r>
          </w:p>
        </w:tc>
        <w:tc>
          <w:tcPr>
            <w:tcW w:w="993" w:type="dxa"/>
            <w:tcBorders>
              <w:top w:val="nil"/>
              <w:left w:val="nil"/>
              <w:bottom w:val="nil"/>
              <w:right w:val="nil"/>
            </w:tcBorders>
            <w:shd w:val="clear" w:color="auto" w:fill="FFFFFF"/>
            <w:tcMar>
              <w:left w:w="67" w:type="dxa"/>
              <w:right w:w="67" w:type="dxa"/>
            </w:tcMar>
          </w:tcPr>
          <w:p w14:paraId="5B80A73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(1.17) 0</w:t>
            </w:r>
          </w:p>
        </w:tc>
        <w:tc>
          <w:tcPr>
            <w:tcW w:w="802" w:type="dxa"/>
            <w:tcBorders>
              <w:top w:val="nil"/>
              <w:left w:val="nil"/>
              <w:bottom w:val="nil"/>
              <w:right w:val="nil"/>
            </w:tcBorders>
            <w:shd w:val="clear" w:color="auto" w:fill="FFFFFF"/>
            <w:tcMar>
              <w:left w:w="67" w:type="dxa"/>
              <w:right w:w="67" w:type="dxa"/>
            </w:tcMar>
          </w:tcPr>
          <w:p w14:paraId="719BD67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(1.17) 0</w:t>
            </w:r>
          </w:p>
        </w:tc>
        <w:tc>
          <w:tcPr>
            <w:tcW w:w="865" w:type="dxa"/>
            <w:gridSpan w:val="2"/>
            <w:tcBorders>
              <w:top w:val="nil"/>
              <w:left w:val="nil"/>
              <w:bottom w:val="nil"/>
              <w:right w:val="nil"/>
            </w:tcBorders>
            <w:shd w:val="clear" w:color="auto" w:fill="FFFFFF"/>
            <w:tcMar>
              <w:left w:w="67" w:type="dxa"/>
              <w:right w:w="67" w:type="dxa"/>
            </w:tcMar>
          </w:tcPr>
          <w:p w14:paraId="027EE21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4.5 (2.3) 0</w:t>
            </w:r>
          </w:p>
        </w:tc>
        <w:tc>
          <w:tcPr>
            <w:tcW w:w="960" w:type="dxa"/>
            <w:tcBorders>
              <w:top w:val="nil"/>
              <w:left w:val="nil"/>
              <w:bottom w:val="nil"/>
              <w:right w:val="nil"/>
            </w:tcBorders>
            <w:shd w:val="clear" w:color="auto" w:fill="FFFFFF"/>
            <w:tcMar>
              <w:left w:w="67" w:type="dxa"/>
              <w:right w:w="67" w:type="dxa"/>
            </w:tcMar>
          </w:tcPr>
          <w:p w14:paraId="58B3ED1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4.5 (3) 0</w:t>
            </w:r>
          </w:p>
        </w:tc>
        <w:tc>
          <w:tcPr>
            <w:tcW w:w="802" w:type="dxa"/>
            <w:tcBorders>
              <w:top w:val="nil"/>
              <w:left w:val="nil"/>
              <w:bottom w:val="nil"/>
              <w:right w:val="single" w:sz="4" w:space="0" w:color="auto"/>
            </w:tcBorders>
            <w:shd w:val="clear" w:color="auto" w:fill="FFFFFF"/>
            <w:tcMar>
              <w:left w:w="67" w:type="dxa"/>
              <w:right w:w="67" w:type="dxa"/>
            </w:tcMar>
          </w:tcPr>
          <w:p w14:paraId="099C2ED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4.5 (2.65) 0</w:t>
            </w:r>
          </w:p>
        </w:tc>
      </w:tr>
      <w:tr w:rsidR="00E07CDE" w:rsidRPr="00563AD3" w14:paraId="5A24506D"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46787B34" w14:textId="163A1EA1"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Depression/</w:t>
            </w:r>
            <w:r w:rsidR="008A1A04">
              <w:rPr>
                <w:rFonts w:eastAsia="Times New Roman"/>
                <w:color w:val="000000"/>
                <w:sz w:val="14"/>
                <w:szCs w:val="14"/>
              </w:rPr>
              <w:t xml:space="preserve"> </w:t>
            </w:r>
            <w:r w:rsidRPr="00563AD3">
              <w:rPr>
                <w:rFonts w:eastAsia="Times New Roman"/>
                <w:color w:val="000000"/>
                <w:sz w:val="14"/>
                <w:szCs w:val="14"/>
              </w:rPr>
              <w:t>Dysphoria</w:t>
            </w:r>
          </w:p>
        </w:tc>
        <w:tc>
          <w:tcPr>
            <w:tcW w:w="1134" w:type="dxa"/>
            <w:gridSpan w:val="2"/>
            <w:tcBorders>
              <w:top w:val="nil"/>
              <w:left w:val="nil"/>
              <w:bottom w:val="nil"/>
              <w:right w:val="nil"/>
            </w:tcBorders>
            <w:shd w:val="clear" w:color="auto" w:fill="FFFFFF"/>
            <w:tcMar>
              <w:left w:w="67" w:type="dxa"/>
              <w:right w:w="67" w:type="dxa"/>
            </w:tcMar>
          </w:tcPr>
          <w:p w14:paraId="171B53A8" w14:textId="4EFE020C"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63 </w:t>
            </w:r>
            <w:r w:rsidR="00E35291">
              <w:rPr>
                <w:rFonts w:eastAsia="Times New Roman"/>
                <w:color w:val="000000"/>
                <w:sz w:val="14"/>
                <w:szCs w:val="14"/>
              </w:rPr>
              <w:t xml:space="preserve">   </w:t>
            </w:r>
            <w:r w:rsidRPr="00563AD3">
              <w:rPr>
                <w:rFonts w:eastAsia="Times New Roman"/>
                <w:color w:val="000000"/>
                <w:sz w:val="14"/>
                <w:szCs w:val="14"/>
              </w:rPr>
              <w:t>(34.1%)185</w:t>
            </w:r>
          </w:p>
        </w:tc>
        <w:tc>
          <w:tcPr>
            <w:tcW w:w="992" w:type="dxa"/>
            <w:gridSpan w:val="2"/>
            <w:tcBorders>
              <w:top w:val="nil"/>
              <w:left w:val="nil"/>
              <w:bottom w:val="nil"/>
              <w:right w:val="nil"/>
            </w:tcBorders>
            <w:shd w:val="clear" w:color="auto" w:fill="FFFFFF"/>
            <w:tcMar>
              <w:left w:w="67" w:type="dxa"/>
              <w:right w:w="67" w:type="dxa"/>
            </w:tcMar>
          </w:tcPr>
          <w:p w14:paraId="0E651EB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55 (24.8%)222</w:t>
            </w:r>
          </w:p>
        </w:tc>
        <w:tc>
          <w:tcPr>
            <w:tcW w:w="1125" w:type="dxa"/>
            <w:tcBorders>
              <w:top w:val="nil"/>
              <w:left w:val="nil"/>
              <w:bottom w:val="nil"/>
              <w:right w:val="nil"/>
            </w:tcBorders>
            <w:shd w:val="clear" w:color="auto" w:fill="FFFFFF"/>
            <w:tcMar>
              <w:left w:w="67" w:type="dxa"/>
              <w:right w:w="67" w:type="dxa"/>
            </w:tcMar>
          </w:tcPr>
          <w:p w14:paraId="5858EFCE" w14:textId="7115226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118</w:t>
            </w:r>
            <w:r w:rsidR="00E35291">
              <w:rPr>
                <w:rFonts w:eastAsia="Times New Roman"/>
                <w:color w:val="000000"/>
                <w:sz w:val="14"/>
                <w:szCs w:val="14"/>
              </w:rPr>
              <w:t xml:space="preserve">   </w:t>
            </w:r>
            <w:r w:rsidRPr="00563AD3">
              <w:rPr>
                <w:rFonts w:eastAsia="Times New Roman"/>
                <w:color w:val="000000"/>
                <w:sz w:val="14"/>
                <w:szCs w:val="14"/>
              </w:rPr>
              <w:t xml:space="preserve"> (29%)407</w:t>
            </w:r>
          </w:p>
        </w:tc>
        <w:tc>
          <w:tcPr>
            <w:tcW w:w="802" w:type="dxa"/>
            <w:tcBorders>
              <w:top w:val="nil"/>
              <w:left w:val="nil"/>
              <w:bottom w:val="nil"/>
              <w:right w:val="nil"/>
            </w:tcBorders>
            <w:shd w:val="clear" w:color="auto" w:fill="FFFFFF"/>
            <w:tcMar>
              <w:left w:w="67" w:type="dxa"/>
              <w:right w:w="67" w:type="dxa"/>
            </w:tcMar>
          </w:tcPr>
          <w:p w14:paraId="66F4A60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(0.9) 1</w:t>
            </w:r>
          </w:p>
        </w:tc>
        <w:tc>
          <w:tcPr>
            <w:tcW w:w="993" w:type="dxa"/>
            <w:tcBorders>
              <w:top w:val="nil"/>
              <w:left w:val="nil"/>
              <w:bottom w:val="nil"/>
              <w:right w:val="nil"/>
            </w:tcBorders>
            <w:shd w:val="clear" w:color="auto" w:fill="FFFFFF"/>
            <w:tcMar>
              <w:left w:w="67" w:type="dxa"/>
              <w:right w:w="67" w:type="dxa"/>
            </w:tcMar>
          </w:tcPr>
          <w:p w14:paraId="52930FF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2.5 (0.95) 1</w:t>
            </w:r>
          </w:p>
        </w:tc>
        <w:tc>
          <w:tcPr>
            <w:tcW w:w="802" w:type="dxa"/>
            <w:tcBorders>
              <w:top w:val="nil"/>
              <w:left w:val="nil"/>
              <w:bottom w:val="nil"/>
              <w:right w:val="nil"/>
            </w:tcBorders>
            <w:shd w:val="clear" w:color="auto" w:fill="FFFFFF"/>
            <w:tcMar>
              <w:left w:w="67" w:type="dxa"/>
              <w:right w:w="67" w:type="dxa"/>
            </w:tcMar>
          </w:tcPr>
          <w:p w14:paraId="6ED98A3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2.5 (0.92) 2</w:t>
            </w:r>
          </w:p>
        </w:tc>
        <w:tc>
          <w:tcPr>
            <w:tcW w:w="802" w:type="dxa"/>
            <w:tcBorders>
              <w:top w:val="nil"/>
              <w:left w:val="nil"/>
              <w:bottom w:val="nil"/>
              <w:right w:val="nil"/>
            </w:tcBorders>
            <w:shd w:val="clear" w:color="auto" w:fill="FFFFFF"/>
            <w:tcMar>
              <w:left w:w="67" w:type="dxa"/>
              <w:right w:w="67" w:type="dxa"/>
            </w:tcMar>
          </w:tcPr>
          <w:p w14:paraId="2A98655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(0.49) 1</w:t>
            </w:r>
          </w:p>
        </w:tc>
        <w:tc>
          <w:tcPr>
            <w:tcW w:w="993" w:type="dxa"/>
            <w:tcBorders>
              <w:top w:val="nil"/>
              <w:left w:val="nil"/>
              <w:bottom w:val="nil"/>
              <w:right w:val="nil"/>
            </w:tcBorders>
            <w:shd w:val="clear" w:color="auto" w:fill="FFFFFF"/>
            <w:tcMar>
              <w:left w:w="67" w:type="dxa"/>
              <w:right w:w="67" w:type="dxa"/>
            </w:tcMar>
          </w:tcPr>
          <w:p w14:paraId="337513D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 (0.49) 1</w:t>
            </w:r>
          </w:p>
        </w:tc>
        <w:tc>
          <w:tcPr>
            <w:tcW w:w="802" w:type="dxa"/>
            <w:tcBorders>
              <w:top w:val="nil"/>
              <w:left w:val="nil"/>
              <w:bottom w:val="nil"/>
              <w:right w:val="nil"/>
            </w:tcBorders>
            <w:shd w:val="clear" w:color="auto" w:fill="FFFFFF"/>
            <w:tcMar>
              <w:left w:w="67" w:type="dxa"/>
              <w:right w:w="67" w:type="dxa"/>
            </w:tcMar>
          </w:tcPr>
          <w:p w14:paraId="2D864F3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(0.49) 2</w:t>
            </w:r>
          </w:p>
        </w:tc>
        <w:tc>
          <w:tcPr>
            <w:tcW w:w="802" w:type="dxa"/>
            <w:tcBorders>
              <w:top w:val="nil"/>
              <w:left w:val="nil"/>
              <w:bottom w:val="nil"/>
              <w:right w:val="nil"/>
            </w:tcBorders>
            <w:shd w:val="clear" w:color="auto" w:fill="FFFFFF"/>
            <w:tcMar>
              <w:left w:w="67" w:type="dxa"/>
              <w:right w:w="67" w:type="dxa"/>
            </w:tcMar>
          </w:tcPr>
          <w:p w14:paraId="149A7283" w14:textId="399C075B"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0.6 </w:t>
            </w:r>
            <w:r w:rsidR="00E35291">
              <w:rPr>
                <w:rFonts w:eastAsia="Times New Roman"/>
                <w:color w:val="000000"/>
                <w:sz w:val="14"/>
                <w:szCs w:val="14"/>
              </w:rPr>
              <w:t xml:space="preserve"> </w:t>
            </w:r>
            <w:r w:rsidRPr="00563AD3">
              <w:rPr>
                <w:rFonts w:eastAsia="Times New Roman"/>
                <w:color w:val="000000"/>
                <w:sz w:val="14"/>
                <w:szCs w:val="14"/>
              </w:rPr>
              <w:t>(0.94) 1</w:t>
            </w:r>
          </w:p>
        </w:tc>
        <w:tc>
          <w:tcPr>
            <w:tcW w:w="993" w:type="dxa"/>
            <w:tcBorders>
              <w:top w:val="nil"/>
              <w:left w:val="nil"/>
              <w:bottom w:val="nil"/>
              <w:right w:val="nil"/>
            </w:tcBorders>
            <w:shd w:val="clear" w:color="auto" w:fill="FFFFFF"/>
            <w:tcMar>
              <w:left w:w="67" w:type="dxa"/>
              <w:right w:w="67" w:type="dxa"/>
            </w:tcMar>
          </w:tcPr>
          <w:p w14:paraId="0427CA8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0.6 (0.77) 1</w:t>
            </w:r>
          </w:p>
        </w:tc>
        <w:tc>
          <w:tcPr>
            <w:tcW w:w="802" w:type="dxa"/>
            <w:tcBorders>
              <w:top w:val="nil"/>
              <w:left w:val="nil"/>
              <w:bottom w:val="nil"/>
              <w:right w:val="nil"/>
            </w:tcBorders>
            <w:shd w:val="clear" w:color="auto" w:fill="FFFFFF"/>
            <w:tcMar>
              <w:left w:w="67" w:type="dxa"/>
              <w:right w:w="67" w:type="dxa"/>
            </w:tcMar>
          </w:tcPr>
          <w:p w14:paraId="05918D1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0.6 (0.86) 2</w:t>
            </w:r>
          </w:p>
        </w:tc>
        <w:tc>
          <w:tcPr>
            <w:tcW w:w="865" w:type="dxa"/>
            <w:gridSpan w:val="2"/>
            <w:tcBorders>
              <w:top w:val="nil"/>
              <w:left w:val="nil"/>
              <w:bottom w:val="nil"/>
              <w:right w:val="nil"/>
            </w:tcBorders>
            <w:shd w:val="clear" w:color="auto" w:fill="FFFFFF"/>
            <w:tcMar>
              <w:left w:w="67" w:type="dxa"/>
              <w:right w:w="67" w:type="dxa"/>
            </w:tcMar>
          </w:tcPr>
          <w:p w14:paraId="3BDD677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3.5 (2.09) 1</w:t>
            </w:r>
          </w:p>
        </w:tc>
        <w:tc>
          <w:tcPr>
            <w:tcW w:w="960" w:type="dxa"/>
            <w:tcBorders>
              <w:top w:val="nil"/>
              <w:left w:val="nil"/>
              <w:bottom w:val="nil"/>
              <w:right w:val="nil"/>
            </w:tcBorders>
            <w:shd w:val="clear" w:color="auto" w:fill="FFFFFF"/>
            <w:tcMar>
              <w:left w:w="67" w:type="dxa"/>
              <w:right w:w="67" w:type="dxa"/>
            </w:tcMar>
          </w:tcPr>
          <w:p w14:paraId="37D82DF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3.1 (1.87) 1</w:t>
            </w:r>
          </w:p>
        </w:tc>
        <w:tc>
          <w:tcPr>
            <w:tcW w:w="802" w:type="dxa"/>
            <w:tcBorders>
              <w:top w:val="nil"/>
              <w:left w:val="nil"/>
              <w:bottom w:val="nil"/>
              <w:right w:val="single" w:sz="4" w:space="0" w:color="auto"/>
            </w:tcBorders>
            <w:shd w:val="clear" w:color="auto" w:fill="FFFFFF"/>
            <w:tcMar>
              <w:left w:w="67" w:type="dxa"/>
              <w:right w:w="67" w:type="dxa"/>
            </w:tcMar>
          </w:tcPr>
          <w:p w14:paraId="7B67DA0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3.3 (1.99) 2</w:t>
            </w:r>
          </w:p>
        </w:tc>
      </w:tr>
      <w:tr w:rsidR="00E07CDE" w:rsidRPr="00563AD3" w14:paraId="7DB7E943"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3E2E589D"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Anxiety</w:t>
            </w:r>
          </w:p>
        </w:tc>
        <w:tc>
          <w:tcPr>
            <w:tcW w:w="1134" w:type="dxa"/>
            <w:gridSpan w:val="2"/>
            <w:tcBorders>
              <w:top w:val="nil"/>
              <w:left w:val="nil"/>
              <w:bottom w:val="nil"/>
              <w:right w:val="nil"/>
            </w:tcBorders>
            <w:shd w:val="clear" w:color="auto" w:fill="FFFFFF"/>
            <w:tcMar>
              <w:left w:w="67" w:type="dxa"/>
              <w:right w:w="67" w:type="dxa"/>
            </w:tcMar>
          </w:tcPr>
          <w:p w14:paraId="130A51E9" w14:textId="47AA5F2C"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29</w:t>
            </w:r>
            <w:r w:rsidR="00E35291">
              <w:rPr>
                <w:rFonts w:eastAsia="Times New Roman"/>
                <w:color w:val="000000"/>
                <w:sz w:val="14"/>
                <w:szCs w:val="14"/>
              </w:rPr>
              <w:t xml:space="preserve">   </w:t>
            </w:r>
            <w:r w:rsidRPr="00563AD3">
              <w:rPr>
                <w:rFonts w:eastAsia="Times New Roman"/>
                <w:color w:val="000000"/>
                <w:sz w:val="14"/>
                <w:szCs w:val="14"/>
              </w:rPr>
              <w:t xml:space="preserve"> (15.7%)185</w:t>
            </w:r>
          </w:p>
        </w:tc>
        <w:tc>
          <w:tcPr>
            <w:tcW w:w="992" w:type="dxa"/>
            <w:gridSpan w:val="2"/>
            <w:tcBorders>
              <w:top w:val="nil"/>
              <w:left w:val="nil"/>
              <w:bottom w:val="nil"/>
              <w:right w:val="nil"/>
            </w:tcBorders>
            <w:shd w:val="clear" w:color="auto" w:fill="FFFFFF"/>
            <w:tcMar>
              <w:left w:w="67" w:type="dxa"/>
              <w:right w:w="67" w:type="dxa"/>
            </w:tcMar>
          </w:tcPr>
          <w:p w14:paraId="0DF5071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34 (15.3%)222</w:t>
            </w:r>
          </w:p>
        </w:tc>
        <w:tc>
          <w:tcPr>
            <w:tcW w:w="1125" w:type="dxa"/>
            <w:tcBorders>
              <w:top w:val="nil"/>
              <w:left w:val="nil"/>
              <w:bottom w:val="nil"/>
              <w:right w:val="nil"/>
            </w:tcBorders>
            <w:shd w:val="clear" w:color="auto" w:fill="FFFFFF"/>
            <w:tcMar>
              <w:left w:w="67" w:type="dxa"/>
              <w:right w:w="67" w:type="dxa"/>
            </w:tcMar>
          </w:tcPr>
          <w:p w14:paraId="0C1D3CEC" w14:textId="74244B0E"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63</w:t>
            </w:r>
            <w:r w:rsidR="00E35291">
              <w:rPr>
                <w:rFonts w:eastAsia="Times New Roman"/>
                <w:color w:val="000000"/>
                <w:sz w:val="14"/>
                <w:szCs w:val="14"/>
              </w:rPr>
              <w:t xml:space="preserve">   </w:t>
            </w:r>
            <w:r w:rsidRPr="00563AD3">
              <w:rPr>
                <w:rFonts w:eastAsia="Times New Roman"/>
                <w:color w:val="000000"/>
                <w:sz w:val="14"/>
                <w:szCs w:val="14"/>
              </w:rPr>
              <w:t xml:space="preserve"> (15.5%)407</w:t>
            </w:r>
          </w:p>
        </w:tc>
        <w:tc>
          <w:tcPr>
            <w:tcW w:w="802" w:type="dxa"/>
            <w:tcBorders>
              <w:top w:val="nil"/>
              <w:left w:val="nil"/>
              <w:bottom w:val="nil"/>
              <w:right w:val="nil"/>
            </w:tcBorders>
            <w:shd w:val="clear" w:color="auto" w:fill="FFFFFF"/>
            <w:tcMar>
              <w:left w:w="67" w:type="dxa"/>
              <w:right w:w="67" w:type="dxa"/>
            </w:tcMar>
          </w:tcPr>
          <w:p w14:paraId="58B6D51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2.9 (0.84) 0</w:t>
            </w:r>
          </w:p>
        </w:tc>
        <w:tc>
          <w:tcPr>
            <w:tcW w:w="993" w:type="dxa"/>
            <w:tcBorders>
              <w:top w:val="nil"/>
              <w:left w:val="nil"/>
              <w:bottom w:val="nil"/>
              <w:right w:val="nil"/>
            </w:tcBorders>
            <w:shd w:val="clear" w:color="auto" w:fill="FFFFFF"/>
            <w:tcMar>
              <w:left w:w="67" w:type="dxa"/>
              <w:right w:w="67" w:type="dxa"/>
            </w:tcMar>
          </w:tcPr>
          <w:p w14:paraId="791AC04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2.7 (0.94) 1</w:t>
            </w:r>
          </w:p>
        </w:tc>
        <w:tc>
          <w:tcPr>
            <w:tcW w:w="802" w:type="dxa"/>
            <w:tcBorders>
              <w:top w:val="nil"/>
              <w:left w:val="nil"/>
              <w:bottom w:val="nil"/>
              <w:right w:val="nil"/>
            </w:tcBorders>
            <w:shd w:val="clear" w:color="auto" w:fill="FFFFFF"/>
            <w:tcMar>
              <w:left w:w="67" w:type="dxa"/>
              <w:right w:w="67" w:type="dxa"/>
            </w:tcMar>
          </w:tcPr>
          <w:p w14:paraId="124E6E15" w14:textId="7FF2FC4B"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w:t>
            </w:r>
            <w:r w:rsidR="00E35291">
              <w:rPr>
                <w:rFonts w:eastAsia="Times New Roman"/>
                <w:color w:val="000000"/>
                <w:sz w:val="14"/>
                <w:szCs w:val="14"/>
              </w:rPr>
              <w:t xml:space="preserve"> </w:t>
            </w:r>
            <w:r w:rsidRPr="00563AD3">
              <w:rPr>
                <w:rFonts w:eastAsia="Times New Roman"/>
                <w:color w:val="000000"/>
                <w:sz w:val="14"/>
                <w:szCs w:val="14"/>
              </w:rPr>
              <w:t xml:space="preserve"> (0.9) 1</w:t>
            </w:r>
          </w:p>
        </w:tc>
        <w:tc>
          <w:tcPr>
            <w:tcW w:w="802" w:type="dxa"/>
            <w:tcBorders>
              <w:top w:val="nil"/>
              <w:left w:val="nil"/>
              <w:bottom w:val="nil"/>
              <w:right w:val="nil"/>
            </w:tcBorders>
            <w:shd w:val="clear" w:color="auto" w:fill="FFFFFF"/>
            <w:tcMar>
              <w:left w:w="67" w:type="dxa"/>
              <w:right w:w="67" w:type="dxa"/>
            </w:tcMar>
          </w:tcPr>
          <w:p w14:paraId="65E1E7D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(0.51) 0</w:t>
            </w:r>
          </w:p>
        </w:tc>
        <w:tc>
          <w:tcPr>
            <w:tcW w:w="993" w:type="dxa"/>
            <w:tcBorders>
              <w:top w:val="nil"/>
              <w:left w:val="nil"/>
              <w:bottom w:val="nil"/>
              <w:right w:val="nil"/>
            </w:tcBorders>
            <w:shd w:val="clear" w:color="auto" w:fill="FFFFFF"/>
            <w:tcMar>
              <w:left w:w="67" w:type="dxa"/>
              <w:right w:w="67" w:type="dxa"/>
            </w:tcMar>
          </w:tcPr>
          <w:p w14:paraId="2687A5C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(0.67) 1</w:t>
            </w:r>
          </w:p>
        </w:tc>
        <w:tc>
          <w:tcPr>
            <w:tcW w:w="802" w:type="dxa"/>
            <w:tcBorders>
              <w:top w:val="nil"/>
              <w:left w:val="nil"/>
              <w:bottom w:val="nil"/>
              <w:right w:val="nil"/>
            </w:tcBorders>
            <w:shd w:val="clear" w:color="auto" w:fill="FFFFFF"/>
            <w:tcMar>
              <w:left w:w="67" w:type="dxa"/>
              <w:right w:w="67" w:type="dxa"/>
            </w:tcMar>
          </w:tcPr>
          <w:p w14:paraId="3CF097F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(0.59) 1</w:t>
            </w:r>
          </w:p>
        </w:tc>
        <w:tc>
          <w:tcPr>
            <w:tcW w:w="802" w:type="dxa"/>
            <w:tcBorders>
              <w:top w:val="nil"/>
              <w:left w:val="nil"/>
              <w:bottom w:val="nil"/>
              <w:right w:val="nil"/>
            </w:tcBorders>
            <w:shd w:val="clear" w:color="auto" w:fill="FFFFFF"/>
            <w:tcMar>
              <w:left w:w="67" w:type="dxa"/>
              <w:right w:w="67" w:type="dxa"/>
            </w:tcMar>
          </w:tcPr>
          <w:p w14:paraId="7503C20A" w14:textId="21951B96" w:rsidR="00E07CDE" w:rsidRPr="00563AD3" w:rsidRDefault="00E35291" w:rsidP="004818D9">
            <w:pPr>
              <w:spacing w:before="67" w:after="67" w:line="240" w:lineRule="auto"/>
              <w:jc w:val="right"/>
              <w:rPr>
                <w:rFonts w:eastAsia="Times New Roman"/>
                <w:color w:val="000000"/>
                <w:sz w:val="14"/>
                <w:szCs w:val="14"/>
              </w:rPr>
            </w:pPr>
            <w:r>
              <w:rPr>
                <w:rFonts w:eastAsia="Times New Roman"/>
                <w:color w:val="000000"/>
                <w:sz w:val="14"/>
                <w:szCs w:val="14"/>
              </w:rPr>
              <w:t xml:space="preserve">1 </w:t>
            </w:r>
            <w:r w:rsidR="00E07CDE" w:rsidRPr="00563AD3">
              <w:rPr>
                <w:rFonts w:eastAsia="Times New Roman"/>
                <w:color w:val="000000"/>
                <w:sz w:val="14"/>
                <w:szCs w:val="14"/>
              </w:rPr>
              <w:t>(0.98)</w:t>
            </w:r>
            <w:r>
              <w:rPr>
                <w:rFonts w:eastAsia="Times New Roman"/>
                <w:color w:val="000000"/>
                <w:sz w:val="14"/>
                <w:szCs w:val="14"/>
              </w:rPr>
              <w:t xml:space="preserve">  </w:t>
            </w:r>
            <w:r w:rsidR="00E07CDE" w:rsidRPr="00563AD3">
              <w:rPr>
                <w:rFonts w:eastAsia="Times New Roman"/>
                <w:color w:val="000000"/>
                <w:sz w:val="14"/>
                <w:szCs w:val="14"/>
              </w:rPr>
              <w:t xml:space="preserve"> 0</w:t>
            </w:r>
          </w:p>
        </w:tc>
        <w:tc>
          <w:tcPr>
            <w:tcW w:w="993" w:type="dxa"/>
            <w:tcBorders>
              <w:top w:val="nil"/>
              <w:left w:val="nil"/>
              <w:bottom w:val="nil"/>
              <w:right w:val="nil"/>
            </w:tcBorders>
            <w:shd w:val="clear" w:color="auto" w:fill="FFFFFF"/>
            <w:tcMar>
              <w:left w:w="67" w:type="dxa"/>
              <w:right w:w="67" w:type="dxa"/>
            </w:tcMar>
          </w:tcPr>
          <w:p w14:paraId="2C37E08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 (1.16) 1</w:t>
            </w:r>
          </w:p>
        </w:tc>
        <w:tc>
          <w:tcPr>
            <w:tcW w:w="802" w:type="dxa"/>
            <w:tcBorders>
              <w:top w:val="nil"/>
              <w:left w:val="nil"/>
              <w:bottom w:val="nil"/>
              <w:right w:val="nil"/>
            </w:tcBorders>
            <w:shd w:val="clear" w:color="auto" w:fill="FFFFFF"/>
            <w:tcMar>
              <w:left w:w="67" w:type="dxa"/>
              <w:right w:w="67" w:type="dxa"/>
            </w:tcMar>
          </w:tcPr>
          <w:p w14:paraId="76ACC433" w14:textId="7180A2CD"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 (1.07) </w:t>
            </w:r>
            <w:r w:rsidR="00E35291">
              <w:rPr>
                <w:rFonts w:eastAsia="Times New Roman"/>
                <w:color w:val="000000"/>
                <w:sz w:val="14"/>
                <w:szCs w:val="14"/>
              </w:rPr>
              <w:t xml:space="preserve">  </w:t>
            </w:r>
            <w:r w:rsidRPr="00563AD3">
              <w:rPr>
                <w:rFonts w:eastAsia="Times New Roman"/>
                <w:color w:val="000000"/>
                <w:sz w:val="14"/>
                <w:szCs w:val="14"/>
              </w:rPr>
              <w:t>1</w:t>
            </w:r>
          </w:p>
        </w:tc>
        <w:tc>
          <w:tcPr>
            <w:tcW w:w="865" w:type="dxa"/>
            <w:gridSpan w:val="2"/>
            <w:tcBorders>
              <w:top w:val="nil"/>
              <w:left w:val="nil"/>
              <w:bottom w:val="nil"/>
              <w:right w:val="nil"/>
            </w:tcBorders>
            <w:shd w:val="clear" w:color="auto" w:fill="FFFFFF"/>
            <w:tcMar>
              <w:left w:w="67" w:type="dxa"/>
              <w:right w:w="67" w:type="dxa"/>
            </w:tcMar>
          </w:tcPr>
          <w:p w14:paraId="5CEFC4B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4.5 (2.28) 0</w:t>
            </w:r>
          </w:p>
        </w:tc>
        <w:tc>
          <w:tcPr>
            <w:tcW w:w="960" w:type="dxa"/>
            <w:tcBorders>
              <w:top w:val="nil"/>
              <w:left w:val="nil"/>
              <w:bottom w:val="nil"/>
              <w:right w:val="nil"/>
            </w:tcBorders>
            <w:shd w:val="clear" w:color="auto" w:fill="FFFFFF"/>
            <w:tcMar>
              <w:left w:w="67" w:type="dxa"/>
              <w:right w:w="67" w:type="dxa"/>
            </w:tcMar>
          </w:tcPr>
          <w:p w14:paraId="755AD22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4.4 (2.83) 1</w:t>
            </w:r>
          </w:p>
        </w:tc>
        <w:tc>
          <w:tcPr>
            <w:tcW w:w="802" w:type="dxa"/>
            <w:tcBorders>
              <w:top w:val="nil"/>
              <w:left w:val="nil"/>
              <w:bottom w:val="nil"/>
              <w:right w:val="single" w:sz="4" w:space="0" w:color="auto"/>
            </w:tcBorders>
            <w:shd w:val="clear" w:color="auto" w:fill="FFFFFF"/>
            <w:tcMar>
              <w:left w:w="67" w:type="dxa"/>
              <w:right w:w="67" w:type="dxa"/>
            </w:tcMar>
          </w:tcPr>
          <w:p w14:paraId="383C55E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4.4 (2.56) 1</w:t>
            </w:r>
          </w:p>
        </w:tc>
      </w:tr>
      <w:tr w:rsidR="00E07CDE" w:rsidRPr="00563AD3" w14:paraId="4512F6DF"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137C9C97"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Elation/Euphoria</w:t>
            </w:r>
          </w:p>
        </w:tc>
        <w:tc>
          <w:tcPr>
            <w:tcW w:w="1134" w:type="dxa"/>
            <w:gridSpan w:val="2"/>
            <w:tcBorders>
              <w:top w:val="nil"/>
              <w:left w:val="nil"/>
              <w:bottom w:val="nil"/>
              <w:right w:val="nil"/>
            </w:tcBorders>
            <w:shd w:val="clear" w:color="auto" w:fill="FFFFFF"/>
            <w:tcMar>
              <w:left w:w="67" w:type="dxa"/>
              <w:right w:w="67" w:type="dxa"/>
            </w:tcMar>
          </w:tcPr>
          <w:p w14:paraId="2E8FFA0A" w14:textId="05CEC204"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7 </w:t>
            </w:r>
            <w:r w:rsidR="00E35291">
              <w:rPr>
                <w:rFonts w:eastAsia="Times New Roman"/>
                <w:color w:val="000000"/>
                <w:sz w:val="14"/>
                <w:szCs w:val="14"/>
              </w:rPr>
              <w:t xml:space="preserve">       </w:t>
            </w:r>
            <w:r w:rsidRPr="00563AD3">
              <w:rPr>
                <w:rFonts w:eastAsia="Times New Roman"/>
                <w:color w:val="000000"/>
                <w:sz w:val="14"/>
                <w:szCs w:val="14"/>
              </w:rPr>
              <w:t>(3.8%)185</w:t>
            </w:r>
          </w:p>
        </w:tc>
        <w:tc>
          <w:tcPr>
            <w:tcW w:w="992" w:type="dxa"/>
            <w:gridSpan w:val="2"/>
            <w:tcBorders>
              <w:top w:val="nil"/>
              <w:left w:val="nil"/>
              <w:bottom w:val="nil"/>
              <w:right w:val="nil"/>
            </w:tcBorders>
            <w:shd w:val="clear" w:color="auto" w:fill="FFFFFF"/>
            <w:tcMar>
              <w:left w:w="67" w:type="dxa"/>
              <w:right w:w="67" w:type="dxa"/>
            </w:tcMar>
          </w:tcPr>
          <w:p w14:paraId="6478196A" w14:textId="37C8FD31"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w:t>
            </w:r>
            <w:r w:rsidR="00E35291">
              <w:rPr>
                <w:rFonts w:eastAsia="Times New Roman"/>
                <w:color w:val="000000"/>
                <w:sz w:val="14"/>
                <w:szCs w:val="14"/>
              </w:rPr>
              <w:t xml:space="preserve"> </w:t>
            </w:r>
            <w:r w:rsidRPr="00563AD3">
              <w:rPr>
                <w:rFonts w:eastAsia="Times New Roman"/>
                <w:color w:val="000000"/>
                <w:sz w:val="14"/>
                <w:szCs w:val="14"/>
              </w:rPr>
              <w:t xml:space="preserve"> (6.3%)222</w:t>
            </w:r>
          </w:p>
        </w:tc>
        <w:tc>
          <w:tcPr>
            <w:tcW w:w="1125" w:type="dxa"/>
            <w:tcBorders>
              <w:top w:val="nil"/>
              <w:left w:val="nil"/>
              <w:bottom w:val="nil"/>
              <w:right w:val="nil"/>
            </w:tcBorders>
            <w:shd w:val="clear" w:color="auto" w:fill="FFFFFF"/>
            <w:tcMar>
              <w:left w:w="67" w:type="dxa"/>
              <w:right w:w="67" w:type="dxa"/>
            </w:tcMar>
          </w:tcPr>
          <w:p w14:paraId="6E73D1CB" w14:textId="2EF503A2"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21 </w:t>
            </w:r>
            <w:r w:rsidR="00E35291">
              <w:rPr>
                <w:rFonts w:eastAsia="Times New Roman"/>
                <w:color w:val="000000"/>
                <w:sz w:val="14"/>
                <w:szCs w:val="14"/>
              </w:rPr>
              <w:t xml:space="preserve">    </w:t>
            </w:r>
            <w:r w:rsidRPr="00563AD3">
              <w:rPr>
                <w:rFonts w:eastAsia="Times New Roman"/>
                <w:color w:val="000000"/>
                <w:sz w:val="14"/>
                <w:szCs w:val="14"/>
              </w:rPr>
              <w:t>(5.2%)407</w:t>
            </w:r>
          </w:p>
        </w:tc>
        <w:tc>
          <w:tcPr>
            <w:tcW w:w="802" w:type="dxa"/>
            <w:tcBorders>
              <w:top w:val="nil"/>
              <w:left w:val="nil"/>
              <w:bottom w:val="nil"/>
              <w:right w:val="nil"/>
            </w:tcBorders>
            <w:shd w:val="clear" w:color="auto" w:fill="FFFFFF"/>
            <w:tcMar>
              <w:left w:w="67" w:type="dxa"/>
              <w:right w:w="67" w:type="dxa"/>
            </w:tcMar>
          </w:tcPr>
          <w:p w14:paraId="6C44543A" w14:textId="791B4DF6"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3.1</w:t>
            </w:r>
            <w:r w:rsidR="00E35291">
              <w:rPr>
                <w:rFonts w:eastAsia="Times New Roman"/>
                <w:color w:val="000000"/>
                <w:sz w:val="14"/>
                <w:szCs w:val="14"/>
              </w:rPr>
              <w:t xml:space="preserve"> </w:t>
            </w:r>
            <w:r w:rsidRPr="00563AD3">
              <w:rPr>
                <w:rFonts w:eastAsia="Times New Roman"/>
                <w:color w:val="000000"/>
                <w:sz w:val="14"/>
                <w:szCs w:val="14"/>
              </w:rPr>
              <w:t xml:space="preserve"> (0.9) 0</w:t>
            </w:r>
          </w:p>
        </w:tc>
        <w:tc>
          <w:tcPr>
            <w:tcW w:w="993" w:type="dxa"/>
            <w:tcBorders>
              <w:top w:val="nil"/>
              <w:left w:val="nil"/>
              <w:bottom w:val="nil"/>
              <w:right w:val="nil"/>
            </w:tcBorders>
            <w:shd w:val="clear" w:color="auto" w:fill="FFFFFF"/>
            <w:tcMar>
              <w:left w:w="67" w:type="dxa"/>
              <w:right w:w="67" w:type="dxa"/>
            </w:tcMar>
          </w:tcPr>
          <w:p w14:paraId="14601C1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(1.02) 0</w:t>
            </w:r>
          </w:p>
        </w:tc>
        <w:tc>
          <w:tcPr>
            <w:tcW w:w="802" w:type="dxa"/>
            <w:tcBorders>
              <w:top w:val="nil"/>
              <w:left w:val="nil"/>
              <w:bottom w:val="nil"/>
              <w:right w:val="nil"/>
            </w:tcBorders>
            <w:shd w:val="clear" w:color="auto" w:fill="FFFFFF"/>
            <w:tcMar>
              <w:left w:w="67" w:type="dxa"/>
              <w:right w:w="67" w:type="dxa"/>
            </w:tcMar>
          </w:tcPr>
          <w:p w14:paraId="4622BBA1" w14:textId="706AE378"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w:t>
            </w:r>
            <w:r w:rsidR="00E35291">
              <w:rPr>
                <w:rFonts w:eastAsia="Times New Roman"/>
                <w:color w:val="000000"/>
                <w:sz w:val="14"/>
                <w:szCs w:val="14"/>
              </w:rPr>
              <w:t xml:space="preserve">    </w:t>
            </w:r>
            <w:r w:rsidRPr="00563AD3">
              <w:rPr>
                <w:rFonts w:eastAsia="Times New Roman"/>
                <w:color w:val="000000"/>
                <w:sz w:val="14"/>
                <w:szCs w:val="14"/>
              </w:rPr>
              <w:t xml:space="preserve"> (1) 0</w:t>
            </w:r>
          </w:p>
        </w:tc>
        <w:tc>
          <w:tcPr>
            <w:tcW w:w="802" w:type="dxa"/>
            <w:tcBorders>
              <w:top w:val="nil"/>
              <w:left w:val="nil"/>
              <w:bottom w:val="nil"/>
              <w:right w:val="nil"/>
            </w:tcBorders>
            <w:shd w:val="clear" w:color="auto" w:fill="FFFFFF"/>
            <w:tcMar>
              <w:left w:w="67" w:type="dxa"/>
              <w:right w:w="67" w:type="dxa"/>
            </w:tcMar>
          </w:tcPr>
          <w:p w14:paraId="3D84F37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(0.49) 0</w:t>
            </w:r>
          </w:p>
        </w:tc>
        <w:tc>
          <w:tcPr>
            <w:tcW w:w="993" w:type="dxa"/>
            <w:tcBorders>
              <w:top w:val="nil"/>
              <w:left w:val="nil"/>
              <w:bottom w:val="nil"/>
              <w:right w:val="nil"/>
            </w:tcBorders>
            <w:shd w:val="clear" w:color="auto" w:fill="FFFFFF"/>
            <w:tcMar>
              <w:left w:w="67" w:type="dxa"/>
              <w:right w:w="67" w:type="dxa"/>
            </w:tcMar>
          </w:tcPr>
          <w:p w14:paraId="307C1BB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 (0.43) 0</w:t>
            </w:r>
          </w:p>
        </w:tc>
        <w:tc>
          <w:tcPr>
            <w:tcW w:w="802" w:type="dxa"/>
            <w:tcBorders>
              <w:top w:val="nil"/>
              <w:left w:val="nil"/>
              <w:bottom w:val="nil"/>
              <w:right w:val="nil"/>
            </w:tcBorders>
            <w:shd w:val="clear" w:color="auto" w:fill="FFFFFF"/>
            <w:tcMar>
              <w:left w:w="67" w:type="dxa"/>
              <w:right w:w="67" w:type="dxa"/>
            </w:tcMar>
          </w:tcPr>
          <w:p w14:paraId="24409B1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 (0.44) 0</w:t>
            </w:r>
          </w:p>
        </w:tc>
        <w:tc>
          <w:tcPr>
            <w:tcW w:w="802" w:type="dxa"/>
            <w:tcBorders>
              <w:top w:val="nil"/>
              <w:left w:val="nil"/>
              <w:bottom w:val="nil"/>
              <w:right w:val="nil"/>
            </w:tcBorders>
            <w:shd w:val="clear" w:color="auto" w:fill="FFFFFF"/>
            <w:tcMar>
              <w:left w:w="67" w:type="dxa"/>
              <w:right w:w="67" w:type="dxa"/>
            </w:tcMar>
          </w:tcPr>
          <w:p w14:paraId="5D89B59D" w14:textId="145F94C0"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w:t>
            </w:r>
            <w:r w:rsidR="00E35291">
              <w:rPr>
                <w:rFonts w:eastAsia="Times New Roman"/>
                <w:color w:val="000000"/>
                <w:sz w:val="14"/>
                <w:szCs w:val="14"/>
              </w:rPr>
              <w:t xml:space="preserve"> </w:t>
            </w:r>
            <w:r w:rsidRPr="00563AD3">
              <w:rPr>
                <w:rFonts w:eastAsia="Times New Roman"/>
                <w:color w:val="000000"/>
                <w:sz w:val="14"/>
                <w:szCs w:val="14"/>
              </w:rPr>
              <w:t>(0)</w:t>
            </w:r>
            <w:r w:rsidR="00E35291">
              <w:rPr>
                <w:rFonts w:eastAsia="Times New Roman"/>
                <w:color w:val="000000"/>
                <w:sz w:val="14"/>
                <w:szCs w:val="14"/>
              </w:rPr>
              <w:t xml:space="preserve">       </w:t>
            </w:r>
            <w:r w:rsidRPr="00563AD3">
              <w:rPr>
                <w:rFonts w:eastAsia="Times New Roman"/>
                <w:color w:val="000000"/>
                <w:sz w:val="14"/>
                <w:szCs w:val="14"/>
              </w:rPr>
              <w:t xml:space="preserve"> 0</w:t>
            </w:r>
          </w:p>
        </w:tc>
        <w:tc>
          <w:tcPr>
            <w:tcW w:w="993" w:type="dxa"/>
            <w:tcBorders>
              <w:top w:val="nil"/>
              <w:left w:val="nil"/>
              <w:bottom w:val="nil"/>
              <w:right w:val="nil"/>
            </w:tcBorders>
            <w:shd w:val="clear" w:color="auto" w:fill="FFFFFF"/>
            <w:tcMar>
              <w:left w:w="67" w:type="dxa"/>
              <w:right w:w="67" w:type="dxa"/>
            </w:tcMar>
          </w:tcPr>
          <w:p w14:paraId="07092B1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0.2 (0.58) 0</w:t>
            </w:r>
          </w:p>
        </w:tc>
        <w:tc>
          <w:tcPr>
            <w:tcW w:w="802" w:type="dxa"/>
            <w:tcBorders>
              <w:top w:val="nil"/>
              <w:left w:val="nil"/>
              <w:bottom w:val="nil"/>
              <w:right w:val="nil"/>
            </w:tcBorders>
            <w:shd w:val="clear" w:color="auto" w:fill="FFFFFF"/>
            <w:tcMar>
              <w:left w:w="67" w:type="dxa"/>
              <w:right w:w="67" w:type="dxa"/>
            </w:tcMar>
          </w:tcPr>
          <w:p w14:paraId="05C6F02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0.1 (0.48) 0</w:t>
            </w:r>
          </w:p>
        </w:tc>
        <w:tc>
          <w:tcPr>
            <w:tcW w:w="865" w:type="dxa"/>
            <w:gridSpan w:val="2"/>
            <w:tcBorders>
              <w:top w:val="nil"/>
              <w:left w:val="nil"/>
              <w:bottom w:val="nil"/>
              <w:right w:val="nil"/>
            </w:tcBorders>
            <w:shd w:val="clear" w:color="auto" w:fill="FFFFFF"/>
            <w:tcMar>
              <w:left w:w="67" w:type="dxa"/>
              <w:right w:w="67" w:type="dxa"/>
            </w:tcMar>
          </w:tcPr>
          <w:p w14:paraId="3BF7664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4.1 (2.19) 0</w:t>
            </w:r>
          </w:p>
        </w:tc>
        <w:tc>
          <w:tcPr>
            <w:tcW w:w="960" w:type="dxa"/>
            <w:tcBorders>
              <w:top w:val="nil"/>
              <w:left w:val="nil"/>
              <w:bottom w:val="nil"/>
              <w:right w:val="nil"/>
            </w:tcBorders>
            <w:shd w:val="clear" w:color="auto" w:fill="FFFFFF"/>
            <w:tcMar>
              <w:left w:w="67" w:type="dxa"/>
              <w:right w:w="67" w:type="dxa"/>
            </w:tcMar>
          </w:tcPr>
          <w:p w14:paraId="1D1C6DE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3.3 (2.09) 0</w:t>
            </w:r>
          </w:p>
        </w:tc>
        <w:tc>
          <w:tcPr>
            <w:tcW w:w="802" w:type="dxa"/>
            <w:tcBorders>
              <w:top w:val="nil"/>
              <w:left w:val="nil"/>
              <w:bottom w:val="nil"/>
              <w:right w:val="single" w:sz="4" w:space="0" w:color="auto"/>
            </w:tcBorders>
            <w:shd w:val="clear" w:color="auto" w:fill="FFFFFF"/>
            <w:tcMar>
              <w:left w:w="67" w:type="dxa"/>
              <w:right w:w="67" w:type="dxa"/>
            </w:tcMar>
          </w:tcPr>
          <w:p w14:paraId="66B190F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3.6 (2.11) 0</w:t>
            </w:r>
          </w:p>
        </w:tc>
      </w:tr>
      <w:tr w:rsidR="00E07CDE" w:rsidRPr="00563AD3" w14:paraId="304849EE"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0395AA1F"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Apathy/Indifference</w:t>
            </w:r>
          </w:p>
        </w:tc>
        <w:tc>
          <w:tcPr>
            <w:tcW w:w="1134" w:type="dxa"/>
            <w:gridSpan w:val="2"/>
            <w:tcBorders>
              <w:top w:val="nil"/>
              <w:left w:val="nil"/>
              <w:bottom w:val="nil"/>
              <w:right w:val="nil"/>
            </w:tcBorders>
            <w:shd w:val="clear" w:color="auto" w:fill="FFFFFF"/>
            <w:tcMar>
              <w:left w:w="67" w:type="dxa"/>
              <w:right w:w="67" w:type="dxa"/>
            </w:tcMar>
          </w:tcPr>
          <w:p w14:paraId="1FAC2A53" w14:textId="578D1A28"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73 </w:t>
            </w:r>
            <w:r w:rsidR="00E35291">
              <w:rPr>
                <w:rFonts w:eastAsia="Times New Roman"/>
                <w:color w:val="000000"/>
                <w:sz w:val="14"/>
                <w:szCs w:val="14"/>
              </w:rPr>
              <w:t xml:space="preserve">   </w:t>
            </w:r>
            <w:r w:rsidRPr="00563AD3">
              <w:rPr>
                <w:rFonts w:eastAsia="Times New Roman"/>
                <w:color w:val="000000"/>
                <w:sz w:val="14"/>
                <w:szCs w:val="14"/>
              </w:rPr>
              <w:t>(39.5%)185</w:t>
            </w:r>
          </w:p>
        </w:tc>
        <w:tc>
          <w:tcPr>
            <w:tcW w:w="992" w:type="dxa"/>
            <w:gridSpan w:val="2"/>
            <w:tcBorders>
              <w:top w:val="nil"/>
              <w:left w:val="nil"/>
              <w:bottom w:val="nil"/>
              <w:right w:val="nil"/>
            </w:tcBorders>
            <w:shd w:val="clear" w:color="auto" w:fill="FFFFFF"/>
            <w:tcMar>
              <w:left w:w="67" w:type="dxa"/>
              <w:right w:w="67" w:type="dxa"/>
            </w:tcMar>
          </w:tcPr>
          <w:p w14:paraId="2AE07B6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62 (27.9%)222</w:t>
            </w:r>
          </w:p>
        </w:tc>
        <w:tc>
          <w:tcPr>
            <w:tcW w:w="1125" w:type="dxa"/>
            <w:tcBorders>
              <w:top w:val="nil"/>
              <w:left w:val="nil"/>
              <w:bottom w:val="nil"/>
              <w:right w:val="nil"/>
            </w:tcBorders>
            <w:shd w:val="clear" w:color="auto" w:fill="FFFFFF"/>
            <w:tcMar>
              <w:left w:w="67" w:type="dxa"/>
              <w:right w:w="67" w:type="dxa"/>
            </w:tcMar>
          </w:tcPr>
          <w:p w14:paraId="00EC1D8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135 (33.2%)407</w:t>
            </w:r>
          </w:p>
        </w:tc>
        <w:tc>
          <w:tcPr>
            <w:tcW w:w="802" w:type="dxa"/>
            <w:tcBorders>
              <w:top w:val="nil"/>
              <w:left w:val="nil"/>
              <w:bottom w:val="nil"/>
              <w:right w:val="nil"/>
            </w:tcBorders>
            <w:shd w:val="clear" w:color="auto" w:fill="FFFFFF"/>
            <w:tcMar>
              <w:left w:w="67" w:type="dxa"/>
              <w:right w:w="67" w:type="dxa"/>
            </w:tcMar>
          </w:tcPr>
          <w:p w14:paraId="7D35937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3.3 (1.01) 0</w:t>
            </w:r>
          </w:p>
        </w:tc>
        <w:tc>
          <w:tcPr>
            <w:tcW w:w="993" w:type="dxa"/>
            <w:tcBorders>
              <w:top w:val="nil"/>
              <w:left w:val="nil"/>
              <w:bottom w:val="nil"/>
              <w:right w:val="nil"/>
            </w:tcBorders>
            <w:shd w:val="clear" w:color="auto" w:fill="FFFFFF"/>
            <w:tcMar>
              <w:left w:w="67" w:type="dxa"/>
              <w:right w:w="67" w:type="dxa"/>
            </w:tcMar>
          </w:tcPr>
          <w:p w14:paraId="0B672AC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 (1) 0</w:t>
            </w:r>
          </w:p>
        </w:tc>
        <w:tc>
          <w:tcPr>
            <w:tcW w:w="802" w:type="dxa"/>
            <w:tcBorders>
              <w:top w:val="nil"/>
              <w:left w:val="nil"/>
              <w:bottom w:val="nil"/>
              <w:right w:val="nil"/>
            </w:tcBorders>
            <w:shd w:val="clear" w:color="auto" w:fill="FFFFFF"/>
            <w:tcMar>
              <w:left w:w="67" w:type="dxa"/>
              <w:right w:w="67" w:type="dxa"/>
            </w:tcMar>
          </w:tcPr>
          <w:p w14:paraId="0FDFEA2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3.2 (1.01) 0</w:t>
            </w:r>
          </w:p>
        </w:tc>
        <w:tc>
          <w:tcPr>
            <w:tcW w:w="802" w:type="dxa"/>
            <w:tcBorders>
              <w:top w:val="nil"/>
              <w:left w:val="nil"/>
              <w:bottom w:val="nil"/>
              <w:right w:val="nil"/>
            </w:tcBorders>
            <w:shd w:val="clear" w:color="auto" w:fill="FFFFFF"/>
            <w:tcMar>
              <w:left w:w="67" w:type="dxa"/>
              <w:right w:w="67" w:type="dxa"/>
            </w:tcMar>
          </w:tcPr>
          <w:p w14:paraId="1C25E0C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(0.69) 0</w:t>
            </w:r>
          </w:p>
        </w:tc>
        <w:tc>
          <w:tcPr>
            <w:tcW w:w="993" w:type="dxa"/>
            <w:tcBorders>
              <w:top w:val="nil"/>
              <w:left w:val="nil"/>
              <w:bottom w:val="nil"/>
              <w:right w:val="nil"/>
            </w:tcBorders>
            <w:shd w:val="clear" w:color="auto" w:fill="FFFFFF"/>
            <w:tcMar>
              <w:left w:w="67" w:type="dxa"/>
              <w:right w:w="67" w:type="dxa"/>
            </w:tcMar>
          </w:tcPr>
          <w:p w14:paraId="742D4EF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(0.73) 0</w:t>
            </w:r>
          </w:p>
        </w:tc>
        <w:tc>
          <w:tcPr>
            <w:tcW w:w="802" w:type="dxa"/>
            <w:tcBorders>
              <w:top w:val="nil"/>
              <w:left w:val="nil"/>
              <w:bottom w:val="nil"/>
              <w:right w:val="nil"/>
            </w:tcBorders>
            <w:shd w:val="clear" w:color="auto" w:fill="FFFFFF"/>
            <w:tcMar>
              <w:left w:w="67" w:type="dxa"/>
              <w:right w:w="67" w:type="dxa"/>
            </w:tcMar>
          </w:tcPr>
          <w:p w14:paraId="093B52A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(0.71) 0</w:t>
            </w:r>
          </w:p>
        </w:tc>
        <w:tc>
          <w:tcPr>
            <w:tcW w:w="802" w:type="dxa"/>
            <w:tcBorders>
              <w:top w:val="nil"/>
              <w:left w:val="nil"/>
              <w:bottom w:val="nil"/>
              <w:right w:val="nil"/>
            </w:tcBorders>
            <w:shd w:val="clear" w:color="auto" w:fill="FFFFFF"/>
            <w:tcMar>
              <w:left w:w="67" w:type="dxa"/>
              <w:right w:w="67" w:type="dxa"/>
            </w:tcMar>
          </w:tcPr>
          <w:p w14:paraId="43DF243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0.4 (0.63) 0</w:t>
            </w:r>
          </w:p>
        </w:tc>
        <w:tc>
          <w:tcPr>
            <w:tcW w:w="993" w:type="dxa"/>
            <w:tcBorders>
              <w:top w:val="nil"/>
              <w:left w:val="nil"/>
              <w:bottom w:val="nil"/>
              <w:right w:val="nil"/>
            </w:tcBorders>
            <w:shd w:val="clear" w:color="auto" w:fill="FFFFFF"/>
            <w:tcMar>
              <w:left w:w="67" w:type="dxa"/>
              <w:right w:w="67" w:type="dxa"/>
            </w:tcMar>
          </w:tcPr>
          <w:p w14:paraId="627C3CD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0.5 (0.88) 0</w:t>
            </w:r>
          </w:p>
        </w:tc>
        <w:tc>
          <w:tcPr>
            <w:tcW w:w="802" w:type="dxa"/>
            <w:tcBorders>
              <w:top w:val="nil"/>
              <w:left w:val="nil"/>
              <w:bottom w:val="nil"/>
              <w:right w:val="nil"/>
            </w:tcBorders>
            <w:shd w:val="clear" w:color="auto" w:fill="FFFFFF"/>
            <w:tcMar>
              <w:left w:w="67" w:type="dxa"/>
              <w:right w:w="67" w:type="dxa"/>
            </w:tcMar>
          </w:tcPr>
          <w:p w14:paraId="5338256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0.4 (0.76) 0</w:t>
            </w:r>
          </w:p>
        </w:tc>
        <w:tc>
          <w:tcPr>
            <w:tcW w:w="865" w:type="dxa"/>
            <w:gridSpan w:val="2"/>
            <w:tcBorders>
              <w:top w:val="nil"/>
              <w:left w:val="nil"/>
              <w:bottom w:val="nil"/>
              <w:right w:val="nil"/>
            </w:tcBorders>
            <w:shd w:val="clear" w:color="auto" w:fill="FFFFFF"/>
            <w:tcMar>
              <w:left w:w="67" w:type="dxa"/>
              <w:right w:w="67" w:type="dxa"/>
            </w:tcMar>
          </w:tcPr>
          <w:p w14:paraId="2BFEE96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5.5 (3.33) 0</w:t>
            </w:r>
          </w:p>
        </w:tc>
        <w:tc>
          <w:tcPr>
            <w:tcW w:w="960" w:type="dxa"/>
            <w:tcBorders>
              <w:top w:val="nil"/>
              <w:left w:val="nil"/>
              <w:bottom w:val="nil"/>
              <w:right w:val="nil"/>
            </w:tcBorders>
            <w:shd w:val="clear" w:color="auto" w:fill="FFFFFF"/>
            <w:tcMar>
              <w:left w:w="67" w:type="dxa"/>
              <w:right w:w="67" w:type="dxa"/>
            </w:tcMar>
          </w:tcPr>
          <w:p w14:paraId="6D4E101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5.2 (3.4) 0</w:t>
            </w:r>
          </w:p>
        </w:tc>
        <w:tc>
          <w:tcPr>
            <w:tcW w:w="802" w:type="dxa"/>
            <w:tcBorders>
              <w:top w:val="nil"/>
              <w:left w:val="nil"/>
              <w:bottom w:val="nil"/>
              <w:right w:val="single" w:sz="4" w:space="0" w:color="auto"/>
            </w:tcBorders>
            <w:shd w:val="clear" w:color="auto" w:fill="FFFFFF"/>
            <w:tcMar>
              <w:left w:w="67" w:type="dxa"/>
              <w:right w:w="67" w:type="dxa"/>
            </w:tcMar>
          </w:tcPr>
          <w:p w14:paraId="66CBB76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5.3 (3.36) 0</w:t>
            </w:r>
          </w:p>
        </w:tc>
      </w:tr>
      <w:tr w:rsidR="00E07CDE" w:rsidRPr="00563AD3" w14:paraId="2E45EB34"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604902EE"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Disinhibition</w:t>
            </w:r>
          </w:p>
        </w:tc>
        <w:tc>
          <w:tcPr>
            <w:tcW w:w="1134" w:type="dxa"/>
            <w:gridSpan w:val="2"/>
            <w:tcBorders>
              <w:top w:val="nil"/>
              <w:left w:val="nil"/>
              <w:bottom w:val="nil"/>
              <w:right w:val="nil"/>
            </w:tcBorders>
            <w:shd w:val="clear" w:color="auto" w:fill="FFFFFF"/>
            <w:tcMar>
              <w:left w:w="67" w:type="dxa"/>
              <w:right w:w="67" w:type="dxa"/>
            </w:tcMar>
          </w:tcPr>
          <w:p w14:paraId="6C024BA3" w14:textId="4573B10C"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24 </w:t>
            </w:r>
            <w:r w:rsidR="00E35291">
              <w:rPr>
                <w:rFonts w:eastAsia="Times New Roman"/>
                <w:color w:val="000000"/>
                <w:sz w:val="14"/>
                <w:szCs w:val="14"/>
              </w:rPr>
              <w:t xml:space="preserve">      </w:t>
            </w:r>
            <w:r w:rsidRPr="00563AD3">
              <w:rPr>
                <w:rFonts w:eastAsia="Times New Roman"/>
                <w:color w:val="000000"/>
                <w:sz w:val="14"/>
                <w:szCs w:val="14"/>
              </w:rPr>
              <w:t>(13%)185</w:t>
            </w:r>
          </w:p>
        </w:tc>
        <w:tc>
          <w:tcPr>
            <w:tcW w:w="992" w:type="dxa"/>
            <w:gridSpan w:val="2"/>
            <w:tcBorders>
              <w:top w:val="nil"/>
              <w:left w:val="nil"/>
              <w:bottom w:val="nil"/>
              <w:right w:val="nil"/>
            </w:tcBorders>
            <w:shd w:val="clear" w:color="auto" w:fill="FFFFFF"/>
            <w:tcMar>
              <w:left w:w="67" w:type="dxa"/>
              <w:right w:w="67" w:type="dxa"/>
            </w:tcMar>
          </w:tcPr>
          <w:p w14:paraId="2F1C8AA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24 (10.8%)222</w:t>
            </w:r>
          </w:p>
        </w:tc>
        <w:tc>
          <w:tcPr>
            <w:tcW w:w="1125" w:type="dxa"/>
            <w:tcBorders>
              <w:top w:val="nil"/>
              <w:left w:val="nil"/>
              <w:bottom w:val="nil"/>
              <w:right w:val="nil"/>
            </w:tcBorders>
            <w:shd w:val="clear" w:color="auto" w:fill="FFFFFF"/>
            <w:tcMar>
              <w:left w:w="67" w:type="dxa"/>
              <w:right w:w="67" w:type="dxa"/>
            </w:tcMar>
          </w:tcPr>
          <w:p w14:paraId="74FEF0DE" w14:textId="2684792C"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48 </w:t>
            </w:r>
            <w:r w:rsidR="00E35291">
              <w:rPr>
                <w:rFonts w:eastAsia="Times New Roman"/>
                <w:color w:val="000000"/>
                <w:sz w:val="14"/>
                <w:szCs w:val="14"/>
              </w:rPr>
              <w:t xml:space="preserve">   </w:t>
            </w:r>
            <w:r w:rsidRPr="00563AD3">
              <w:rPr>
                <w:rFonts w:eastAsia="Times New Roman"/>
                <w:color w:val="000000"/>
                <w:sz w:val="14"/>
                <w:szCs w:val="14"/>
              </w:rPr>
              <w:t>(11.8%)407</w:t>
            </w:r>
          </w:p>
        </w:tc>
        <w:tc>
          <w:tcPr>
            <w:tcW w:w="802" w:type="dxa"/>
            <w:tcBorders>
              <w:top w:val="nil"/>
              <w:left w:val="nil"/>
              <w:bottom w:val="nil"/>
              <w:right w:val="nil"/>
            </w:tcBorders>
            <w:shd w:val="clear" w:color="auto" w:fill="FFFFFF"/>
            <w:tcMar>
              <w:left w:w="67" w:type="dxa"/>
              <w:right w:w="67" w:type="dxa"/>
            </w:tcMar>
          </w:tcPr>
          <w:p w14:paraId="736B5F3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2.5 (1.04) 1</w:t>
            </w:r>
          </w:p>
        </w:tc>
        <w:tc>
          <w:tcPr>
            <w:tcW w:w="993" w:type="dxa"/>
            <w:tcBorders>
              <w:top w:val="nil"/>
              <w:left w:val="nil"/>
              <w:bottom w:val="nil"/>
              <w:right w:val="nil"/>
            </w:tcBorders>
            <w:shd w:val="clear" w:color="auto" w:fill="FFFFFF"/>
            <w:tcMar>
              <w:left w:w="67" w:type="dxa"/>
              <w:right w:w="67" w:type="dxa"/>
            </w:tcMar>
          </w:tcPr>
          <w:p w14:paraId="792FE66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2.5 (1.14) 0</w:t>
            </w:r>
          </w:p>
        </w:tc>
        <w:tc>
          <w:tcPr>
            <w:tcW w:w="802" w:type="dxa"/>
            <w:tcBorders>
              <w:top w:val="nil"/>
              <w:left w:val="nil"/>
              <w:bottom w:val="nil"/>
              <w:right w:val="nil"/>
            </w:tcBorders>
            <w:shd w:val="clear" w:color="auto" w:fill="FFFFFF"/>
            <w:tcMar>
              <w:left w:w="67" w:type="dxa"/>
              <w:right w:w="67" w:type="dxa"/>
            </w:tcMar>
          </w:tcPr>
          <w:p w14:paraId="3DA6737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2.5 (1.08) 1</w:t>
            </w:r>
          </w:p>
        </w:tc>
        <w:tc>
          <w:tcPr>
            <w:tcW w:w="802" w:type="dxa"/>
            <w:tcBorders>
              <w:top w:val="nil"/>
              <w:left w:val="nil"/>
              <w:bottom w:val="nil"/>
              <w:right w:val="nil"/>
            </w:tcBorders>
            <w:shd w:val="clear" w:color="auto" w:fill="FFFFFF"/>
            <w:tcMar>
              <w:left w:w="67" w:type="dxa"/>
              <w:right w:w="67" w:type="dxa"/>
            </w:tcMar>
          </w:tcPr>
          <w:p w14:paraId="35A7FCF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(0.47) 1</w:t>
            </w:r>
          </w:p>
        </w:tc>
        <w:tc>
          <w:tcPr>
            <w:tcW w:w="993" w:type="dxa"/>
            <w:tcBorders>
              <w:top w:val="nil"/>
              <w:left w:val="nil"/>
              <w:bottom w:val="nil"/>
              <w:right w:val="nil"/>
            </w:tcBorders>
            <w:shd w:val="clear" w:color="auto" w:fill="FFFFFF"/>
            <w:tcMar>
              <w:left w:w="67" w:type="dxa"/>
              <w:right w:w="67" w:type="dxa"/>
            </w:tcMar>
          </w:tcPr>
          <w:p w14:paraId="08A1333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(0.56) 0</w:t>
            </w:r>
          </w:p>
        </w:tc>
        <w:tc>
          <w:tcPr>
            <w:tcW w:w="802" w:type="dxa"/>
            <w:tcBorders>
              <w:top w:val="nil"/>
              <w:left w:val="nil"/>
              <w:bottom w:val="nil"/>
              <w:right w:val="nil"/>
            </w:tcBorders>
            <w:shd w:val="clear" w:color="auto" w:fill="FFFFFF"/>
            <w:tcMar>
              <w:left w:w="67" w:type="dxa"/>
              <w:right w:w="67" w:type="dxa"/>
            </w:tcMar>
          </w:tcPr>
          <w:p w14:paraId="2B361BB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(0.52) 1</w:t>
            </w:r>
          </w:p>
        </w:tc>
        <w:tc>
          <w:tcPr>
            <w:tcW w:w="802" w:type="dxa"/>
            <w:tcBorders>
              <w:top w:val="nil"/>
              <w:left w:val="nil"/>
              <w:bottom w:val="nil"/>
              <w:right w:val="nil"/>
            </w:tcBorders>
            <w:shd w:val="clear" w:color="auto" w:fill="FFFFFF"/>
            <w:tcMar>
              <w:left w:w="67" w:type="dxa"/>
              <w:right w:w="67" w:type="dxa"/>
            </w:tcMar>
          </w:tcPr>
          <w:p w14:paraId="55D1524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0.8 (1.03) 1</w:t>
            </w:r>
          </w:p>
        </w:tc>
        <w:tc>
          <w:tcPr>
            <w:tcW w:w="993" w:type="dxa"/>
            <w:tcBorders>
              <w:top w:val="nil"/>
              <w:left w:val="nil"/>
              <w:bottom w:val="nil"/>
              <w:right w:val="nil"/>
            </w:tcBorders>
            <w:shd w:val="clear" w:color="auto" w:fill="FFFFFF"/>
            <w:tcMar>
              <w:left w:w="67" w:type="dxa"/>
              <w:right w:w="67" w:type="dxa"/>
            </w:tcMar>
          </w:tcPr>
          <w:p w14:paraId="5A4E6D1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(1.3) 0</w:t>
            </w:r>
          </w:p>
        </w:tc>
        <w:tc>
          <w:tcPr>
            <w:tcW w:w="802" w:type="dxa"/>
            <w:tcBorders>
              <w:top w:val="nil"/>
              <w:left w:val="nil"/>
              <w:bottom w:val="nil"/>
              <w:right w:val="nil"/>
            </w:tcBorders>
            <w:shd w:val="clear" w:color="auto" w:fill="FFFFFF"/>
            <w:tcMar>
              <w:left w:w="67" w:type="dxa"/>
              <w:right w:w="67" w:type="dxa"/>
            </w:tcMar>
          </w:tcPr>
          <w:p w14:paraId="0DBC22D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1.1 (1.19) 1</w:t>
            </w:r>
          </w:p>
        </w:tc>
        <w:tc>
          <w:tcPr>
            <w:tcW w:w="865" w:type="dxa"/>
            <w:gridSpan w:val="2"/>
            <w:tcBorders>
              <w:top w:val="nil"/>
              <w:left w:val="nil"/>
              <w:bottom w:val="nil"/>
              <w:right w:val="nil"/>
            </w:tcBorders>
            <w:shd w:val="clear" w:color="auto" w:fill="FFFFFF"/>
            <w:tcMar>
              <w:left w:w="67" w:type="dxa"/>
              <w:right w:w="67" w:type="dxa"/>
            </w:tcMar>
          </w:tcPr>
          <w:p w14:paraId="0592366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3.6 (2.43) 1</w:t>
            </w:r>
          </w:p>
        </w:tc>
        <w:tc>
          <w:tcPr>
            <w:tcW w:w="960" w:type="dxa"/>
            <w:tcBorders>
              <w:top w:val="nil"/>
              <w:left w:val="nil"/>
              <w:bottom w:val="nil"/>
              <w:right w:val="nil"/>
            </w:tcBorders>
            <w:shd w:val="clear" w:color="auto" w:fill="FFFFFF"/>
            <w:tcMar>
              <w:left w:w="67" w:type="dxa"/>
              <w:right w:w="67" w:type="dxa"/>
            </w:tcMar>
          </w:tcPr>
          <w:p w14:paraId="553DD72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3.6 (2.59) 0</w:t>
            </w:r>
          </w:p>
        </w:tc>
        <w:tc>
          <w:tcPr>
            <w:tcW w:w="802" w:type="dxa"/>
            <w:tcBorders>
              <w:top w:val="nil"/>
              <w:left w:val="nil"/>
              <w:bottom w:val="nil"/>
              <w:right w:val="single" w:sz="4" w:space="0" w:color="auto"/>
            </w:tcBorders>
            <w:shd w:val="clear" w:color="auto" w:fill="FFFFFF"/>
            <w:tcMar>
              <w:left w:w="67" w:type="dxa"/>
              <w:right w:w="67" w:type="dxa"/>
            </w:tcMar>
          </w:tcPr>
          <w:p w14:paraId="40739C7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3.6 (2.48) 1</w:t>
            </w:r>
          </w:p>
        </w:tc>
      </w:tr>
      <w:tr w:rsidR="00E07CDE" w:rsidRPr="00563AD3" w14:paraId="0E0DBB24"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4B5CF44B"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Irritability/Lability</w:t>
            </w:r>
          </w:p>
        </w:tc>
        <w:tc>
          <w:tcPr>
            <w:tcW w:w="1134" w:type="dxa"/>
            <w:gridSpan w:val="2"/>
            <w:tcBorders>
              <w:top w:val="nil"/>
              <w:left w:val="nil"/>
              <w:bottom w:val="nil"/>
              <w:right w:val="nil"/>
            </w:tcBorders>
            <w:shd w:val="clear" w:color="auto" w:fill="FFFFFF"/>
            <w:tcMar>
              <w:left w:w="67" w:type="dxa"/>
              <w:right w:w="67" w:type="dxa"/>
            </w:tcMar>
          </w:tcPr>
          <w:p w14:paraId="4814C93F" w14:textId="5709063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65</w:t>
            </w:r>
            <w:r w:rsidR="00E35291">
              <w:rPr>
                <w:rFonts w:eastAsia="Times New Roman"/>
                <w:color w:val="000000"/>
                <w:sz w:val="14"/>
                <w:szCs w:val="14"/>
              </w:rPr>
              <w:t xml:space="preserve">    </w:t>
            </w:r>
            <w:r w:rsidRPr="00563AD3">
              <w:rPr>
                <w:rFonts w:eastAsia="Times New Roman"/>
                <w:color w:val="000000"/>
                <w:sz w:val="14"/>
                <w:szCs w:val="14"/>
              </w:rPr>
              <w:t xml:space="preserve"> (35.1%)185</w:t>
            </w:r>
          </w:p>
        </w:tc>
        <w:tc>
          <w:tcPr>
            <w:tcW w:w="992" w:type="dxa"/>
            <w:gridSpan w:val="2"/>
            <w:tcBorders>
              <w:top w:val="nil"/>
              <w:left w:val="nil"/>
              <w:bottom w:val="nil"/>
              <w:right w:val="nil"/>
            </w:tcBorders>
            <w:shd w:val="clear" w:color="auto" w:fill="FFFFFF"/>
            <w:tcMar>
              <w:left w:w="67" w:type="dxa"/>
              <w:right w:w="67" w:type="dxa"/>
            </w:tcMar>
          </w:tcPr>
          <w:p w14:paraId="6079543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66 (29.7%)222</w:t>
            </w:r>
          </w:p>
        </w:tc>
        <w:tc>
          <w:tcPr>
            <w:tcW w:w="1125" w:type="dxa"/>
            <w:tcBorders>
              <w:top w:val="nil"/>
              <w:left w:val="nil"/>
              <w:bottom w:val="nil"/>
              <w:right w:val="nil"/>
            </w:tcBorders>
            <w:shd w:val="clear" w:color="auto" w:fill="FFFFFF"/>
            <w:tcMar>
              <w:left w:w="67" w:type="dxa"/>
              <w:right w:w="67" w:type="dxa"/>
            </w:tcMar>
          </w:tcPr>
          <w:p w14:paraId="29A0DC7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131 (32.2%)407</w:t>
            </w:r>
          </w:p>
        </w:tc>
        <w:tc>
          <w:tcPr>
            <w:tcW w:w="802" w:type="dxa"/>
            <w:tcBorders>
              <w:top w:val="nil"/>
              <w:left w:val="nil"/>
              <w:bottom w:val="nil"/>
              <w:right w:val="nil"/>
            </w:tcBorders>
            <w:shd w:val="clear" w:color="auto" w:fill="FFFFFF"/>
            <w:tcMar>
              <w:left w:w="67" w:type="dxa"/>
              <w:right w:w="67" w:type="dxa"/>
            </w:tcMar>
          </w:tcPr>
          <w:p w14:paraId="1B37495B" w14:textId="4069BF6A"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w:t>
            </w:r>
            <w:r w:rsidR="00E35291">
              <w:rPr>
                <w:rFonts w:eastAsia="Times New Roman"/>
                <w:color w:val="000000"/>
                <w:sz w:val="14"/>
                <w:szCs w:val="14"/>
              </w:rPr>
              <w:t xml:space="preserve">  </w:t>
            </w:r>
            <w:r w:rsidRPr="00563AD3">
              <w:rPr>
                <w:rFonts w:eastAsia="Times New Roman"/>
                <w:color w:val="000000"/>
                <w:sz w:val="14"/>
                <w:szCs w:val="14"/>
              </w:rPr>
              <w:t xml:space="preserve"> (0.76) 0</w:t>
            </w:r>
          </w:p>
        </w:tc>
        <w:tc>
          <w:tcPr>
            <w:tcW w:w="993" w:type="dxa"/>
            <w:tcBorders>
              <w:top w:val="nil"/>
              <w:left w:val="nil"/>
              <w:bottom w:val="nil"/>
              <w:right w:val="nil"/>
            </w:tcBorders>
            <w:shd w:val="clear" w:color="auto" w:fill="FFFFFF"/>
            <w:tcMar>
              <w:left w:w="67" w:type="dxa"/>
              <w:right w:w="67" w:type="dxa"/>
            </w:tcMar>
          </w:tcPr>
          <w:p w14:paraId="3305E66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(1.04) 0</w:t>
            </w:r>
          </w:p>
        </w:tc>
        <w:tc>
          <w:tcPr>
            <w:tcW w:w="802" w:type="dxa"/>
            <w:tcBorders>
              <w:top w:val="nil"/>
              <w:left w:val="nil"/>
              <w:bottom w:val="nil"/>
              <w:right w:val="nil"/>
            </w:tcBorders>
            <w:shd w:val="clear" w:color="auto" w:fill="FFFFFF"/>
            <w:tcMar>
              <w:left w:w="67" w:type="dxa"/>
              <w:right w:w="67" w:type="dxa"/>
            </w:tcMar>
          </w:tcPr>
          <w:p w14:paraId="0464B5B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 (0.92) 0</w:t>
            </w:r>
          </w:p>
        </w:tc>
        <w:tc>
          <w:tcPr>
            <w:tcW w:w="802" w:type="dxa"/>
            <w:tcBorders>
              <w:top w:val="nil"/>
              <w:left w:val="nil"/>
              <w:bottom w:val="nil"/>
              <w:right w:val="nil"/>
            </w:tcBorders>
            <w:shd w:val="clear" w:color="auto" w:fill="FFFFFF"/>
            <w:tcMar>
              <w:left w:w="67" w:type="dxa"/>
              <w:right w:w="67" w:type="dxa"/>
            </w:tcMar>
          </w:tcPr>
          <w:p w14:paraId="269B0A9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(0.56) 0</w:t>
            </w:r>
          </w:p>
        </w:tc>
        <w:tc>
          <w:tcPr>
            <w:tcW w:w="993" w:type="dxa"/>
            <w:tcBorders>
              <w:top w:val="nil"/>
              <w:left w:val="nil"/>
              <w:bottom w:val="nil"/>
              <w:right w:val="nil"/>
            </w:tcBorders>
            <w:shd w:val="clear" w:color="auto" w:fill="FFFFFF"/>
            <w:tcMar>
              <w:left w:w="67" w:type="dxa"/>
              <w:right w:w="67" w:type="dxa"/>
            </w:tcMar>
          </w:tcPr>
          <w:p w14:paraId="24F1FAA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(0.61) 0</w:t>
            </w:r>
          </w:p>
        </w:tc>
        <w:tc>
          <w:tcPr>
            <w:tcW w:w="802" w:type="dxa"/>
            <w:tcBorders>
              <w:top w:val="nil"/>
              <w:left w:val="nil"/>
              <w:bottom w:val="nil"/>
              <w:right w:val="nil"/>
            </w:tcBorders>
            <w:shd w:val="clear" w:color="auto" w:fill="FFFFFF"/>
            <w:tcMar>
              <w:left w:w="67" w:type="dxa"/>
              <w:right w:w="67" w:type="dxa"/>
            </w:tcMar>
          </w:tcPr>
          <w:p w14:paraId="722AA50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(0.59) 0</w:t>
            </w:r>
          </w:p>
        </w:tc>
        <w:tc>
          <w:tcPr>
            <w:tcW w:w="802" w:type="dxa"/>
            <w:tcBorders>
              <w:top w:val="nil"/>
              <w:left w:val="nil"/>
              <w:bottom w:val="nil"/>
              <w:right w:val="nil"/>
            </w:tcBorders>
            <w:shd w:val="clear" w:color="auto" w:fill="FFFFFF"/>
            <w:tcMar>
              <w:left w:w="67" w:type="dxa"/>
              <w:right w:w="67" w:type="dxa"/>
            </w:tcMar>
          </w:tcPr>
          <w:p w14:paraId="690AB44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 (1.09) 0</w:t>
            </w:r>
          </w:p>
        </w:tc>
        <w:tc>
          <w:tcPr>
            <w:tcW w:w="993" w:type="dxa"/>
            <w:tcBorders>
              <w:top w:val="nil"/>
              <w:left w:val="nil"/>
              <w:bottom w:val="nil"/>
              <w:right w:val="nil"/>
            </w:tcBorders>
            <w:shd w:val="clear" w:color="auto" w:fill="FFFFFF"/>
            <w:tcMar>
              <w:left w:w="67" w:type="dxa"/>
              <w:right w:w="67" w:type="dxa"/>
            </w:tcMar>
          </w:tcPr>
          <w:p w14:paraId="5AB29F1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 (1.1) 0</w:t>
            </w:r>
          </w:p>
        </w:tc>
        <w:tc>
          <w:tcPr>
            <w:tcW w:w="802" w:type="dxa"/>
            <w:tcBorders>
              <w:top w:val="nil"/>
              <w:left w:val="nil"/>
              <w:bottom w:val="nil"/>
              <w:right w:val="nil"/>
            </w:tcBorders>
            <w:shd w:val="clear" w:color="auto" w:fill="FFFFFF"/>
            <w:tcMar>
              <w:left w:w="67" w:type="dxa"/>
              <w:right w:w="67" w:type="dxa"/>
            </w:tcMar>
          </w:tcPr>
          <w:p w14:paraId="118E485E" w14:textId="0EB10AB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1.1 (1.1) </w:t>
            </w:r>
            <w:r w:rsidR="00E35291">
              <w:rPr>
                <w:rFonts w:eastAsia="Times New Roman"/>
                <w:color w:val="000000"/>
                <w:sz w:val="14"/>
                <w:szCs w:val="14"/>
              </w:rPr>
              <w:t xml:space="preserve"> </w:t>
            </w:r>
            <w:r w:rsidRPr="00563AD3">
              <w:rPr>
                <w:rFonts w:eastAsia="Times New Roman"/>
                <w:color w:val="000000"/>
                <w:sz w:val="14"/>
                <w:szCs w:val="14"/>
              </w:rPr>
              <w:t>0</w:t>
            </w:r>
          </w:p>
        </w:tc>
        <w:tc>
          <w:tcPr>
            <w:tcW w:w="865" w:type="dxa"/>
            <w:gridSpan w:val="2"/>
            <w:tcBorders>
              <w:top w:val="nil"/>
              <w:left w:val="nil"/>
              <w:bottom w:val="nil"/>
              <w:right w:val="nil"/>
            </w:tcBorders>
            <w:shd w:val="clear" w:color="auto" w:fill="FFFFFF"/>
            <w:tcMar>
              <w:left w:w="67" w:type="dxa"/>
              <w:right w:w="67" w:type="dxa"/>
            </w:tcMar>
          </w:tcPr>
          <w:p w14:paraId="1A7B002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4.5 (2.3) 0</w:t>
            </w:r>
          </w:p>
        </w:tc>
        <w:tc>
          <w:tcPr>
            <w:tcW w:w="960" w:type="dxa"/>
            <w:tcBorders>
              <w:top w:val="nil"/>
              <w:left w:val="nil"/>
              <w:bottom w:val="nil"/>
              <w:right w:val="nil"/>
            </w:tcBorders>
            <w:shd w:val="clear" w:color="auto" w:fill="FFFFFF"/>
            <w:tcMar>
              <w:left w:w="67" w:type="dxa"/>
              <w:right w:w="67" w:type="dxa"/>
            </w:tcMar>
          </w:tcPr>
          <w:p w14:paraId="7BC1FFB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 (2.83) 0</w:t>
            </w:r>
          </w:p>
        </w:tc>
        <w:tc>
          <w:tcPr>
            <w:tcW w:w="802" w:type="dxa"/>
            <w:tcBorders>
              <w:top w:val="nil"/>
              <w:left w:val="nil"/>
              <w:bottom w:val="nil"/>
              <w:right w:val="single" w:sz="4" w:space="0" w:color="auto"/>
            </w:tcBorders>
            <w:shd w:val="clear" w:color="auto" w:fill="FFFFFF"/>
            <w:tcMar>
              <w:left w:w="67" w:type="dxa"/>
              <w:right w:w="67" w:type="dxa"/>
            </w:tcMar>
          </w:tcPr>
          <w:p w14:paraId="5C7BA24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4.2 (2.58) 0</w:t>
            </w:r>
          </w:p>
        </w:tc>
      </w:tr>
      <w:tr w:rsidR="008F0DD8" w:rsidRPr="00563AD3" w14:paraId="5B78511D"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3FD107C7" w14:textId="2DAED111" w:rsidR="008F0DD8" w:rsidRPr="00563AD3" w:rsidRDefault="008F0DD8" w:rsidP="004818D9">
            <w:pPr>
              <w:spacing w:before="67" w:after="67" w:line="240" w:lineRule="auto"/>
              <w:rPr>
                <w:rFonts w:eastAsia="Times New Roman"/>
                <w:color w:val="000000"/>
                <w:sz w:val="14"/>
                <w:szCs w:val="14"/>
              </w:rPr>
            </w:pPr>
            <w:r w:rsidRPr="00563AD3">
              <w:rPr>
                <w:rFonts w:eastAsia="Times New Roman"/>
                <w:color w:val="000000"/>
                <w:sz w:val="14"/>
                <w:szCs w:val="14"/>
              </w:rPr>
              <w:t xml:space="preserve">Aberrant </w:t>
            </w:r>
            <w:r>
              <w:rPr>
                <w:rFonts w:eastAsia="Times New Roman"/>
                <w:color w:val="000000"/>
                <w:sz w:val="14"/>
                <w:szCs w:val="14"/>
              </w:rPr>
              <w:t>m</w:t>
            </w:r>
            <w:r w:rsidRPr="00563AD3">
              <w:rPr>
                <w:rFonts w:eastAsia="Times New Roman"/>
                <w:color w:val="000000"/>
                <w:sz w:val="14"/>
                <w:szCs w:val="14"/>
              </w:rPr>
              <w:t>otor</w:t>
            </w:r>
            <w:r w:rsidRPr="00563AD3">
              <w:rPr>
                <w:rFonts w:eastAsia="Times New Roman"/>
                <w:color w:val="000000"/>
                <w:sz w:val="14"/>
                <w:szCs w:val="14"/>
              </w:rPr>
              <w:br/>
            </w:r>
            <w:r>
              <w:rPr>
                <w:rFonts w:eastAsia="Times New Roman"/>
                <w:color w:val="000000"/>
                <w:sz w:val="14"/>
                <w:szCs w:val="14"/>
              </w:rPr>
              <w:t>b</w:t>
            </w:r>
            <w:r w:rsidRPr="00563AD3">
              <w:rPr>
                <w:rFonts w:eastAsia="Times New Roman"/>
                <w:color w:val="000000"/>
                <w:sz w:val="14"/>
                <w:szCs w:val="14"/>
              </w:rPr>
              <w:t>ehaviour</w:t>
            </w:r>
          </w:p>
        </w:tc>
        <w:tc>
          <w:tcPr>
            <w:tcW w:w="1134" w:type="dxa"/>
            <w:gridSpan w:val="2"/>
            <w:tcBorders>
              <w:top w:val="nil"/>
              <w:left w:val="nil"/>
              <w:bottom w:val="nil"/>
              <w:right w:val="nil"/>
            </w:tcBorders>
            <w:shd w:val="clear" w:color="auto" w:fill="FFFFFF"/>
            <w:tcMar>
              <w:left w:w="67" w:type="dxa"/>
              <w:right w:w="67" w:type="dxa"/>
            </w:tcMar>
          </w:tcPr>
          <w:p w14:paraId="512443DE" w14:textId="55A99F96"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54 </w:t>
            </w:r>
            <w:r w:rsidR="00E35291">
              <w:rPr>
                <w:rFonts w:eastAsia="Times New Roman"/>
                <w:color w:val="000000"/>
                <w:sz w:val="14"/>
                <w:szCs w:val="14"/>
              </w:rPr>
              <w:t xml:space="preserve">   </w:t>
            </w:r>
            <w:r w:rsidRPr="00563AD3">
              <w:rPr>
                <w:rFonts w:eastAsia="Times New Roman"/>
                <w:color w:val="000000"/>
                <w:sz w:val="14"/>
                <w:szCs w:val="14"/>
              </w:rPr>
              <w:t>(29.2%)185</w:t>
            </w:r>
          </w:p>
        </w:tc>
        <w:tc>
          <w:tcPr>
            <w:tcW w:w="992" w:type="dxa"/>
            <w:gridSpan w:val="2"/>
            <w:tcBorders>
              <w:top w:val="nil"/>
              <w:left w:val="nil"/>
              <w:bottom w:val="nil"/>
              <w:right w:val="nil"/>
            </w:tcBorders>
            <w:shd w:val="clear" w:color="auto" w:fill="FFFFFF"/>
            <w:tcMar>
              <w:left w:w="67" w:type="dxa"/>
              <w:right w:w="67" w:type="dxa"/>
            </w:tcMar>
          </w:tcPr>
          <w:p w14:paraId="774C8F09"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38 (17.1%)222</w:t>
            </w:r>
          </w:p>
        </w:tc>
        <w:tc>
          <w:tcPr>
            <w:tcW w:w="1125" w:type="dxa"/>
            <w:tcBorders>
              <w:top w:val="nil"/>
              <w:left w:val="nil"/>
              <w:bottom w:val="nil"/>
              <w:right w:val="nil"/>
            </w:tcBorders>
            <w:shd w:val="clear" w:color="auto" w:fill="FFFFFF"/>
            <w:tcMar>
              <w:left w:w="67" w:type="dxa"/>
              <w:right w:w="67" w:type="dxa"/>
            </w:tcMar>
          </w:tcPr>
          <w:p w14:paraId="4F1841FB" w14:textId="010D9B8E"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92</w:t>
            </w:r>
            <w:r w:rsidR="00E35291">
              <w:rPr>
                <w:rFonts w:eastAsia="Times New Roman"/>
                <w:color w:val="000000"/>
                <w:sz w:val="14"/>
                <w:szCs w:val="14"/>
              </w:rPr>
              <w:t xml:space="preserve">   </w:t>
            </w:r>
            <w:r w:rsidRPr="00563AD3">
              <w:rPr>
                <w:rFonts w:eastAsia="Times New Roman"/>
                <w:color w:val="000000"/>
                <w:sz w:val="14"/>
                <w:szCs w:val="14"/>
              </w:rPr>
              <w:t xml:space="preserve"> (22.6%)407</w:t>
            </w:r>
          </w:p>
        </w:tc>
        <w:tc>
          <w:tcPr>
            <w:tcW w:w="802" w:type="dxa"/>
            <w:tcBorders>
              <w:top w:val="nil"/>
              <w:left w:val="nil"/>
              <w:bottom w:val="nil"/>
              <w:right w:val="nil"/>
            </w:tcBorders>
            <w:shd w:val="clear" w:color="auto" w:fill="FFFFFF"/>
            <w:tcMar>
              <w:left w:w="67" w:type="dxa"/>
              <w:right w:w="67" w:type="dxa"/>
            </w:tcMar>
          </w:tcPr>
          <w:p w14:paraId="70A821CF"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3.4 (0.74) 0</w:t>
            </w:r>
          </w:p>
        </w:tc>
        <w:tc>
          <w:tcPr>
            <w:tcW w:w="993" w:type="dxa"/>
            <w:tcBorders>
              <w:top w:val="nil"/>
              <w:left w:val="nil"/>
              <w:bottom w:val="nil"/>
              <w:right w:val="nil"/>
            </w:tcBorders>
            <w:shd w:val="clear" w:color="auto" w:fill="FFFFFF"/>
            <w:tcMar>
              <w:left w:w="67" w:type="dxa"/>
              <w:right w:w="67" w:type="dxa"/>
            </w:tcMar>
          </w:tcPr>
          <w:p w14:paraId="7D25E40D"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3.5 (0.73) 1</w:t>
            </w:r>
          </w:p>
        </w:tc>
        <w:tc>
          <w:tcPr>
            <w:tcW w:w="802" w:type="dxa"/>
            <w:tcBorders>
              <w:top w:val="nil"/>
              <w:left w:val="nil"/>
              <w:bottom w:val="nil"/>
              <w:right w:val="nil"/>
            </w:tcBorders>
            <w:shd w:val="clear" w:color="auto" w:fill="FFFFFF"/>
            <w:tcMar>
              <w:left w:w="67" w:type="dxa"/>
              <w:right w:w="67" w:type="dxa"/>
            </w:tcMar>
          </w:tcPr>
          <w:p w14:paraId="31AACF9E"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3.4 (0.73) 1</w:t>
            </w:r>
          </w:p>
        </w:tc>
        <w:tc>
          <w:tcPr>
            <w:tcW w:w="802" w:type="dxa"/>
            <w:tcBorders>
              <w:top w:val="nil"/>
              <w:left w:val="nil"/>
              <w:bottom w:val="nil"/>
              <w:right w:val="nil"/>
            </w:tcBorders>
            <w:shd w:val="clear" w:color="auto" w:fill="FFFFFF"/>
            <w:tcMar>
              <w:left w:w="67" w:type="dxa"/>
              <w:right w:w="67" w:type="dxa"/>
            </w:tcMar>
          </w:tcPr>
          <w:p w14:paraId="00EBB4D9"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(0.56) 0</w:t>
            </w:r>
          </w:p>
        </w:tc>
        <w:tc>
          <w:tcPr>
            <w:tcW w:w="993" w:type="dxa"/>
            <w:tcBorders>
              <w:top w:val="nil"/>
              <w:left w:val="nil"/>
              <w:bottom w:val="nil"/>
              <w:right w:val="nil"/>
            </w:tcBorders>
            <w:shd w:val="clear" w:color="auto" w:fill="FFFFFF"/>
            <w:tcMar>
              <w:left w:w="67" w:type="dxa"/>
              <w:right w:w="67" w:type="dxa"/>
            </w:tcMar>
          </w:tcPr>
          <w:p w14:paraId="6D859124"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(0.56) 2</w:t>
            </w:r>
          </w:p>
        </w:tc>
        <w:tc>
          <w:tcPr>
            <w:tcW w:w="802" w:type="dxa"/>
            <w:tcBorders>
              <w:top w:val="nil"/>
              <w:left w:val="nil"/>
              <w:bottom w:val="nil"/>
              <w:right w:val="nil"/>
            </w:tcBorders>
            <w:shd w:val="clear" w:color="auto" w:fill="FFFFFF"/>
            <w:tcMar>
              <w:left w:w="67" w:type="dxa"/>
              <w:right w:w="67" w:type="dxa"/>
            </w:tcMar>
          </w:tcPr>
          <w:p w14:paraId="381E07A5"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(0.56) 2</w:t>
            </w:r>
          </w:p>
        </w:tc>
        <w:tc>
          <w:tcPr>
            <w:tcW w:w="802" w:type="dxa"/>
            <w:tcBorders>
              <w:top w:val="nil"/>
              <w:left w:val="nil"/>
              <w:bottom w:val="nil"/>
              <w:right w:val="nil"/>
            </w:tcBorders>
            <w:shd w:val="clear" w:color="auto" w:fill="FFFFFF"/>
            <w:tcMar>
              <w:left w:w="67" w:type="dxa"/>
              <w:right w:w="67" w:type="dxa"/>
            </w:tcMar>
          </w:tcPr>
          <w:p w14:paraId="731803CE"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0.5 (0.84) 0</w:t>
            </w:r>
          </w:p>
        </w:tc>
        <w:tc>
          <w:tcPr>
            <w:tcW w:w="993" w:type="dxa"/>
            <w:tcBorders>
              <w:top w:val="nil"/>
              <w:left w:val="nil"/>
              <w:bottom w:val="nil"/>
              <w:right w:val="nil"/>
            </w:tcBorders>
            <w:shd w:val="clear" w:color="auto" w:fill="FFFFFF"/>
            <w:tcMar>
              <w:left w:w="67" w:type="dxa"/>
              <w:right w:w="67" w:type="dxa"/>
            </w:tcMar>
          </w:tcPr>
          <w:p w14:paraId="7B56DEE2"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0.9 (1.15) 2</w:t>
            </w:r>
          </w:p>
        </w:tc>
        <w:tc>
          <w:tcPr>
            <w:tcW w:w="802" w:type="dxa"/>
            <w:tcBorders>
              <w:top w:val="nil"/>
              <w:left w:val="nil"/>
              <w:bottom w:val="nil"/>
              <w:right w:val="nil"/>
            </w:tcBorders>
            <w:shd w:val="clear" w:color="auto" w:fill="FFFFFF"/>
            <w:tcMar>
              <w:left w:w="67" w:type="dxa"/>
              <w:right w:w="67" w:type="dxa"/>
            </w:tcMar>
          </w:tcPr>
          <w:p w14:paraId="4EB1776A"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0.7 (0.98) 2</w:t>
            </w:r>
          </w:p>
        </w:tc>
        <w:tc>
          <w:tcPr>
            <w:tcW w:w="865" w:type="dxa"/>
            <w:gridSpan w:val="2"/>
            <w:tcBorders>
              <w:top w:val="nil"/>
              <w:left w:val="nil"/>
              <w:bottom w:val="nil"/>
              <w:right w:val="nil"/>
            </w:tcBorders>
            <w:shd w:val="clear" w:color="auto" w:fill="FFFFFF"/>
            <w:tcMar>
              <w:left w:w="67" w:type="dxa"/>
              <w:right w:w="67" w:type="dxa"/>
            </w:tcMar>
          </w:tcPr>
          <w:p w14:paraId="093F0C55"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4.7 (2.41) 0</w:t>
            </w:r>
          </w:p>
        </w:tc>
        <w:tc>
          <w:tcPr>
            <w:tcW w:w="960" w:type="dxa"/>
            <w:tcBorders>
              <w:top w:val="nil"/>
              <w:left w:val="nil"/>
              <w:bottom w:val="nil"/>
              <w:right w:val="nil"/>
            </w:tcBorders>
            <w:shd w:val="clear" w:color="auto" w:fill="FFFFFF"/>
            <w:tcMar>
              <w:left w:w="67" w:type="dxa"/>
              <w:right w:w="67" w:type="dxa"/>
            </w:tcMar>
          </w:tcPr>
          <w:p w14:paraId="52C8BECB"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5.2 (2.35) 2</w:t>
            </w:r>
          </w:p>
        </w:tc>
        <w:tc>
          <w:tcPr>
            <w:tcW w:w="802" w:type="dxa"/>
            <w:tcBorders>
              <w:top w:val="nil"/>
              <w:left w:val="nil"/>
              <w:bottom w:val="nil"/>
              <w:right w:val="single" w:sz="4" w:space="0" w:color="auto"/>
            </w:tcBorders>
            <w:shd w:val="clear" w:color="auto" w:fill="FFFFFF"/>
            <w:tcMar>
              <w:left w:w="67" w:type="dxa"/>
              <w:right w:w="67" w:type="dxa"/>
            </w:tcMar>
          </w:tcPr>
          <w:p w14:paraId="7A4C4823"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4.9 (2.38) 2</w:t>
            </w:r>
          </w:p>
        </w:tc>
      </w:tr>
      <w:tr w:rsidR="008F0DD8" w:rsidRPr="00563AD3" w14:paraId="0AC2F4EC"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31CC9CAE" w14:textId="16E84BA9" w:rsidR="008F0DD8" w:rsidRPr="00563AD3" w:rsidRDefault="008F0DD8" w:rsidP="004818D9">
            <w:pPr>
              <w:keepNext/>
              <w:spacing w:before="67" w:after="67" w:line="240" w:lineRule="auto"/>
              <w:rPr>
                <w:rFonts w:eastAsia="Times New Roman"/>
                <w:color w:val="000000"/>
                <w:sz w:val="14"/>
                <w:szCs w:val="14"/>
              </w:rPr>
            </w:pPr>
            <w:r w:rsidRPr="00563AD3">
              <w:rPr>
                <w:rFonts w:eastAsia="Times New Roman"/>
                <w:color w:val="000000"/>
                <w:sz w:val="14"/>
                <w:szCs w:val="14"/>
              </w:rPr>
              <w:t>Sle</w:t>
            </w:r>
            <w:r>
              <w:rPr>
                <w:rFonts w:eastAsia="Times New Roman"/>
                <w:color w:val="000000"/>
                <w:sz w:val="14"/>
                <w:szCs w:val="14"/>
              </w:rPr>
              <w:t>ep and night time b</w:t>
            </w:r>
            <w:r w:rsidRPr="00563AD3">
              <w:rPr>
                <w:rFonts w:eastAsia="Times New Roman"/>
                <w:color w:val="000000"/>
                <w:sz w:val="14"/>
                <w:szCs w:val="14"/>
              </w:rPr>
              <w:t xml:space="preserve">ehaviour </w:t>
            </w:r>
            <w:r>
              <w:rPr>
                <w:rFonts w:eastAsia="Times New Roman"/>
                <w:color w:val="000000"/>
                <w:sz w:val="14"/>
                <w:szCs w:val="14"/>
              </w:rPr>
              <w:t>d</w:t>
            </w:r>
            <w:r w:rsidRPr="00563AD3">
              <w:rPr>
                <w:rFonts w:eastAsia="Times New Roman"/>
                <w:color w:val="000000"/>
                <w:sz w:val="14"/>
                <w:szCs w:val="14"/>
              </w:rPr>
              <w:t>isorders</w:t>
            </w:r>
          </w:p>
        </w:tc>
        <w:tc>
          <w:tcPr>
            <w:tcW w:w="1134" w:type="dxa"/>
            <w:gridSpan w:val="2"/>
            <w:tcBorders>
              <w:top w:val="nil"/>
              <w:left w:val="nil"/>
              <w:bottom w:val="nil"/>
              <w:right w:val="nil"/>
            </w:tcBorders>
            <w:shd w:val="clear" w:color="auto" w:fill="FFFFFF"/>
            <w:tcMar>
              <w:left w:w="67" w:type="dxa"/>
              <w:right w:w="67" w:type="dxa"/>
            </w:tcMar>
          </w:tcPr>
          <w:p w14:paraId="11A37C35" w14:textId="645E230A"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22</w:t>
            </w:r>
            <w:r w:rsidR="00E35291">
              <w:rPr>
                <w:rFonts w:eastAsia="Times New Roman"/>
                <w:color w:val="000000"/>
                <w:sz w:val="14"/>
                <w:szCs w:val="14"/>
              </w:rPr>
              <w:t xml:space="preserve">   </w:t>
            </w:r>
            <w:r w:rsidRPr="00563AD3">
              <w:rPr>
                <w:rFonts w:eastAsia="Times New Roman"/>
                <w:color w:val="000000"/>
                <w:sz w:val="14"/>
                <w:szCs w:val="14"/>
              </w:rPr>
              <w:t xml:space="preserve"> (11.9%)185</w:t>
            </w:r>
          </w:p>
        </w:tc>
        <w:tc>
          <w:tcPr>
            <w:tcW w:w="992" w:type="dxa"/>
            <w:gridSpan w:val="2"/>
            <w:tcBorders>
              <w:top w:val="nil"/>
              <w:left w:val="nil"/>
              <w:bottom w:val="nil"/>
              <w:right w:val="nil"/>
            </w:tcBorders>
            <w:shd w:val="clear" w:color="auto" w:fill="FFFFFF"/>
            <w:tcMar>
              <w:left w:w="67" w:type="dxa"/>
              <w:right w:w="67" w:type="dxa"/>
            </w:tcMar>
          </w:tcPr>
          <w:p w14:paraId="47E0AB2F" w14:textId="77777777"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27 (12.2%)222</w:t>
            </w:r>
          </w:p>
        </w:tc>
        <w:tc>
          <w:tcPr>
            <w:tcW w:w="1125" w:type="dxa"/>
            <w:tcBorders>
              <w:top w:val="nil"/>
              <w:left w:val="nil"/>
              <w:bottom w:val="nil"/>
              <w:right w:val="nil"/>
            </w:tcBorders>
            <w:shd w:val="clear" w:color="auto" w:fill="FFFFFF"/>
            <w:tcMar>
              <w:left w:w="67" w:type="dxa"/>
              <w:right w:w="67" w:type="dxa"/>
            </w:tcMar>
          </w:tcPr>
          <w:p w14:paraId="1114112E" w14:textId="630550F0"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49</w:t>
            </w:r>
            <w:r w:rsidR="00E35291">
              <w:rPr>
                <w:rFonts w:eastAsia="Times New Roman"/>
                <w:color w:val="000000"/>
                <w:sz w:val="14"/>
                <w:szCs w:val="14"/>
              </w:rPr>
              <w:t xml:space="preserve">     </w:t>
            </w:r>
            <w:r w:rsidRPr="00563AD3">
              <w:rPr>
                <w:rFonts w:eastAsia="Times New Roman"/>
                <w:color w:val="000000"/>
                <w:sz w:val="14"/>
                <w:szCs w:val="14"/>
              </w:rPr>
              <w:t xml:space="preserve"> (12%)407</w:t>
            </w:r>
          </w:p>
        </w:tc>
        <w:tc>
          <w:tcPr>
            <w:tcW w:w="802" w:type="dxa"/>
            <w:tcBorders>
              <w:top w:val="nil"/>
              <w:left w:val="nil"/>
              <w:bottom w:val="nil"/>
              <w:right w:val="nil"/>
            </w:tcBorders>
            <w:shd w:val="clear" w:color="auto" w:fill="FFFFFF"/>
            <w:tcMar>
              <w:left w:w="67" w:type="dxa"/>
              <w:right w:w="67" w:type="dxa"/>
            </w:tcMar>
          </w:tcPr>
          <w:p w14:paraId="49E3C2CA" w14:textId="77777777"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2.7 (1.08) 0</w:t>
            </w:r>
          </w:p>
        </w:tc>
        <w:tc>
          <w:tcPr>
            <w:tcW w:w="993" w:type="dxa"/>
            <w:tcBorders>
              <w:top w:val="nil"/>
              <w:left w:val="nil"/>
              <w:bottom w:val="nil"/>
              <w:right w:val="nil"/>
            </w:tcBorders>
            <w:shd w:val="clear" w:color="auto" w:fill="FFFFFF"/>
            <w:tcMar>
              <w:left w:w="67" w:type="dxa"/>
              <w:right w:w="67" w:type="dxa"/>
            </w:tcMar>
          </w:tcPr>
          <w:p w14:paraId="41B4983F" w14:textId="77777777"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2.8 (1.03) 4</w:t>
            </w:r>
          </w:p>
        </w:tc>
        <w:tc>
          <w:tcPr>
            <w:tcW w:w="802" w:type="dxa"/>
            <w:tcBorders>
              <w:top w:val="nil"/>
              <w:left w:val="nil"/>
              <w:bottom w:val="nil"/>
              <w:right w:val="nil"/>
            </w:tcBorders>
            <w:shd w:val="clear" w:color="auto" w:fill="FFFFFF"/>
            <w:tcMar>
              <w:left w:w="67" w:type="dxa"/>
              <w:right w:w="67" w:type="dxa"/>
            </w:tcMar>
          </w:tcPr>
          <w:p w14:paraId="4841930F" w14:textId="77777777"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2.8 (1.04) 4</w:t>
            </w:r>
          </w:p>
        </w:tc>
        <w:tc>
          <w:tcPr>
            <w:tcW w:w="802" w:type="dxa"/>
            <w:tcBorders>
              <w:top w:val="nil"/>
              <w:left w:val="nil"/>
              <w:bottom w:val="nil"/>
              <w:right w:val="nil"/>
            </w:tcBorders>
            <w:shd w:val="clear" w:color="auto" w:fill="FFFFFF"/>
            <w:tcMar>
              <w:left w:w="67" w:type="dxa"/>
              <w:right w:w="67" w:type="dxa"/>
            </w:tcMar>
          </w:tcPr>
          <w:p w14:paraId="16B38F0D" w14:textId="77777777"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1.1 (0.35) 0</w:t>
            </w:r>
          </w:p>
        </w:tc>
        <w:tc>
          <w:tcPr>
            <w:tcW w:w="993" w:type="dxa"/>
            <w:tcBorders>
              <w:top w:val="nil"/>
              <w:left w:val="nil"/>
              <w:bottom w:val="nil"/>
              <w:right w:val="nil"/>
            </w:tcBorders>
            <w:shd w:val="clear" w:color="auto" w:fill="FFFFFF"/>
            <w:tcMar>
              <w:left w:w="67" w:type="dxa"/>
              <w:right w:w="67" w:type="dxa"/>
            </w:tcMar>
          </w:tcPr>
          <w:p w14:paraId="0183AF15" w14:textId="77777777"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1.4 (0.59) 4</w:t>
            </w:r>
          </w:p>
        </w:tc>
        <w:tc>
          <w:tcPr>
            <w:tcW w:w="802" w:type="dxa"/>
            <w:tcBorders>
              <w:top w:val="nil"/>
              <w:left w:val="nil"/>
              <w:bottom w:val="nil"/>
              <w:right w:val="nil"/>
            </w:tcBorders>
            <w:shd w:val="clear" w:color="auto" w:fill="FFFFFF"/>
            <w:tcMar>
              <w:left w:w="67" w:type="dxa"/>
              <w:right w:w="67" w:type="dxa"/>
            </w:tcMar>
          </w:tcPr>
          <w:p w14:paraId="33E06570" w14:textId="77777777"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1.3 (0.51) 4</w:t>
            </w:r>
          </w:p>
        </w:tc>
        <w:tc>
          <w:tcPr>
            <w:tcW w:w="802" w:type="dxa"/>
            <w:tcBorders>
              <w:top w:val="nil"/>
              <w:left w:val="nil"/>
              <w:bottom w:val="nil"/>
              <w:right w:val="nil"/>
            </w:tcBorders>
            <w:shd w:val="clear" w:color="auto" w:fill="FFFFFF"/>
            <w:tcMar>
              <w:left w:w="67" w:type="dxa"/>
              <w:right w:w="67" w:type="dxa"/>
            </w:tcMar>
          </w:tcPr>
          <w:p w14:paraId="42A044FE" w14:textId="77777777"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0.8 (1.01) 0</w:t>
            </w:r>
          </w:p>
        </w:tc>
        <w:tc>
          <w:tcPr>
            <w:tcW w:w="993" w:type="dxa"/>
            <w:tcBorders>
              <w:top w:val="nil"/>
              <w:left w:val="nil"/>
              <w:bottom w:val="nil"/>
              <w:right w:val="nil"/>
            </w:tcBorders>
            <w:shd w:val="clear" w:color="auto" w:fill="FFFFFF"/>
            <w:tcMar>
              <w:left w:w="67" w:type="dxa"/>
              <w:right w:w="67" w:type="dxa"/>
            </w:tcMar>
          </w:tcPr>
          <w:p w14:paraId="1983984F" w14:textId="77777777"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1.7 (1.47) 4</w:t>
            </w:r>
          </w:p>
        </w:tc>
        <w:tc>
          <w:tcPr>
            <w:tcW w:w="802" w:type="dxa"/>
            <w:tcBorders>
              <w:top w:val="nil"/>
              <w:left w:val="nil"/>
              <w:bottom w:val="nil"/>
              <w:right w:val="nil"/>
            </w:tcBorders>
            <w:shd w:val="clear" w:color="auto" w:fill="FFFFFF"/>
            <w:tcMar>
              <w:left w:w="67" w:type="dxa"/>
              <w:right w:w="67" w:type="dxa"/>
            </w:tcMar>
          </w:tcPr>
          <w:p w14:paraId="6876CA31" w14:textId="77777777"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1.2 (1.32) 4</w:t>
            </w:r>
          </w:p>
        </w:tc>
        <w:tc>
          <w:tcPr>
            <w:tcW w:w="865" w:type="dxa"/>
            <w:gridSpan w:val="2"/>
            <w:tcBorders>
              <w:top w:val="nil"/>
              <w:left w:val="nil"/>
              <w:bottom w:val="nil"/>
              <w:right w:val="nil"/>
            </w:tcBorders>
            <w:shd w:val="clear" w:color="auto" w:fill="FFFFFF"/>
            <w:tcMar>
              <w:left w:w="67" w:type="dxa"/>
              <w:right w:w="67" w:type="dxa"/>
            </w:tcMar>
          </w:tcPr>
          <w:p w14:paraId="30379C2F" w14:textId="77777777"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3.1 (1.58) 0</w:t>
            </w:r>
          </w:p>
        </w:tc>
        <w:tc>
          <w:tcPr>
            <w:tcW w:w="960" w:type="dxa"/>
            <w:tcBorders>
              <w:top w:val="nil"/>
              <w:left w:val="nil"/>
              <w:bottom w:val="nil"/>
              <w:right w:val="nil"/>
            </w:tcBorders>
            <w:shd w:val="clear" w:color="auto" w:fill="FFFFFF"/>
            <w:tcMar>
              <w:left w:w="67" w:type="dxa"/>
              <w:right w:w="67" w:type="dxa"/>
            </w:tcMar>
          </w:tcPr>
          <w:p w14:paraId="606F7D81" w14:textId="77777777"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4 (2.1) 4</w:t>
            </w:r>
          </w:p>
        </w:tc>
        <w:tc>
          <w:tcPr>
            <w:tcW w:w="802" w:type="dxa"/>
            <w:tcBorders>
              <w:top w:val="nil"/>
              <w:left w:val="nil"/>
              <w:bottom w:val="nil"/>
              <w:right w:val="single" w:sz="4" w:space="0" w:color="auto"/>
            </w:tcBorders>
            <w:shd w:val="clear" w:color="auto" w:fill="FFFFFF"/>
            <w:tcMar>
              <w:left w:w="67" w:type="dxa"/>
              <w:right w:w="67" w:type="dxa"/>
            </w:tcMar>
          </w:tcPr>
          <w:p w14:paraId="302EB42D" w14:textId="77777777" w:rsidR="008F0DD8" w:rsidRPr="00563AD3" w:rsidRDefault="008F0DD8"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3.6 (1.9) 4</w:t>
            </w:r>
          </w:p>
        </w:tc>
      </w:tr>
      <w:tr w:rsidR="008F0DD8" w:rsidRPr="00563AD3" w14:paraId="573BC8A9" w14:textId="77777777" w:rsidTr="00C163F3">
        <w:trPr>
          <w:cantSplit/>
          <w:jc w:val="center"/>
        </w:trPr>
        <w:tc>
          <w:tcPr>
            <w:tcW w:w="1413" w:type="dxa"/>
            <w:tcBorders>
              <w:top w:val="nil"/>
              <w:left w:val="single" w:sz="4" w:space="0" w:color="auto"/>
              <w:bottom w:val="single" w:sz="4" w:space="0" w:color="auto"/>
              <w:right w:val="nil"/>
            </w:tcBorders>
            <w:shd w:val="clear" w:color="auto" w:fill="FFFFFF"/>
            <w:tcMar>
              <w:left w:w="67" w:type="dxa"/>
              <w:right w:w="67" w:type="dxa"/>
            </w:tcMar>
          </w:tcPr>
          <w:p w14:paraId="743ABBA7" w14:textId="1130A4D2" w:rsidR="008F0DD8" w:rsidRPr="00563AD3" w:rsidRDefault="008F0DD8" w:rsidP="004818D9">
            <w:pPr>
              <w:spacing w:before="67" w:after="67" w:line="240" w:lineRule="auto"/>
              <w:rPr>
                <w:rFonts w:eastAsia="Times New Roman"/>
                <w:color w:val="000000"/>
                <w:sz w:val="14"/>
                <w:szCs w:val="14"/>
              </w:rPr>
            </w:pPr>
            <w:r w:rsidRPr="00563AD3">
              <w:rPr>
                <w:rFonts w:eastAsia="Times New Roman"/>
                <w:color w:val="000000"/>
                <w:sz w:val="14"/>
                <w:szCs w:val="14"/>
              </w:rPr>
              <w:t xml:space="preserve">Appetite and </w:t>
            </w:r>
            <w:r>
              <w:rPr>
                <w:rFonts w:eastAsia="Times New Roman"/>
                <w:color w:val="000000"/>
                <w:sz w:val="14"/>
                <w:szCs w:val="14"/>
              </w:rPr>
              <w:t>e</w:t>
            </w:r>
            <w:r w:rsidRPr="00563AD3">
              <w:rPr>
                <w:rFonts w:eastAsia="Times New Roman"/>
                <w:color w:val="000000"/>
                <w:sz w:val="14"/>
                <w:szCs w:val="14"/>
              </w:rPr>
              <w:t>ating</w:t>
            </w:r>
            <w:r w:rsidRPr="00563AD3">
              <w:rPr>
                <w:rFonts w:eastAsia="Times New Roman"/>
                <w:color w:val="000000"/>
                <w:sz w:val="14"/>
                <w:szCs w:val="14"/>
              </w:rPr>
              <w:br/>
            </w:r>
            <w:r>
              <w:rPr>
                <w:rFonts w:eastAsia="Times New Roman"/>
                <w:color w:val="000000"/>
                <w:sz w:val="14"/>
                <w:szCs w:val="14"/>
              </w:rPr>
              <w:t>c</w:t>
            </w:r>
            <w:r w:rsidRPr="00563AD3">
              <w:rPr>
                <w:rFonts w:eastAsia="Times New Roman"/>
                <w:color w:val="000000"/>
                <w:sz w:val="14"/>
                <w:szCs w:val="14"/>
              </w:rPr>
              <w:t>hanges</w:t>
            </w:r>
          </w:p>
        </w:tc>
        <w:tc>
          <w:tcPr>
            <w:tcW w:w="1134" w:type="dxa"/>
            <w:gridSpan w:val="2"/>
            <w:tcBorders>
              <w:top w:val="nil"/>
              <w:left w:val="nil"/>
              <w:bottom w:val="single" w:sz="4" w:space="0" w:color="auto"/>
              <w:right w:val="nil"/>
            </w:tcBorders>
            <w:shd w:val="clear" w:color="auto" w:fill="FFFFFF"/>
            <w:tcMar>
              <w:left w:w="67" w:type="dxa"/>
              <w:right w:w="67" w:type="dxa"/>
            </w:tcMar>
          </w:tcPr>
          <w:p w14:paraId="0C3DDF2C" w14:textId="1DA80603"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30 </w:t>
            </w:r>
            <w:r w:rsidR="00E35291">
              <w:rPr>
                <w:rFonts w:eastAsia="Times New Roman"/>
                <w:color w:val="000000"/>
                <w:sz w:val="14"/>
                <w:szCs w:val="14"/>
              </w:rPr>
              <w:t xml:space="preserve">   </w:t>
            </w:r>
            <w:r w:rsidRPr="00563AD3">
              <w:rPr>
                <w:rFonts w:eastAsia="Times New Roman"/>
                <w:color w:val="000000"/>
                <w:sz w:val="14"/>
                <w:szCs w:val="14"/>
              </w:rPr>
              <w:t>(16.2%)185</w:t>
            </w:r>
          </w:p>
        </w:tc>
        <w:tc>
          <w:tcPr>
            <w:tcW w:w="992" w:type="dxa"/>
            <w:gridSpan w:val="2"/>
            <w:tcBorders>
              <w:top w:val="nil"/>
              <w:left w:val="nil"/>
              <w:bottom w:val="single" w:sz="4" w:space="0" w:color="auto"/>
              <w:right w:val="nil"/>
            </w:tcBorders>
            <w:shd w:val="clear" w:color="auto" w:fill="FFFFFF"/>
            <w:tcMar>
              <w:left w:w="67" w:type="dxa"/>
              <w:right w:w="67" w:type="dxa"/>
            </w:tcMar>
          </w:tcPr>
          <w:p w14:paraId="3CA744DF"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25 (11.3%)222</w:t>
            </w:r>
          </w:p>
        </w:tc>
        <w:tc>
          <w:tcPr>
            <w:tcW w:w="1125" w:type="dxa"/>
            <w:tcBorders>
              <w:top w:val="nil"/>
              <w:left w:val="nil"/>
              <w:bottom w:val="single" w:sz="4" w:space="0" w:color="auto"/>
              <w:right w:val="nil"/>
            </w:tcBorders>
            <w:shd w:val="clear" w:color="auto" w:fill="FFFFFF"/>
            <w:tcMar>
              <w:left w:w="67" w:type="dxa"/>
              <w:right w:w="67" w:type="dxa"/>
            </w:tcMar>
          </w:tcPr>
          <w:p w14:paraId="7809E717" w14:textId="7482BA63"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55 </w:t>
            </w:r>
            <w:r w:rsidR="00E35291">
              <w:rPr>
                <w:rFonts w:eastAsia="Times New Roman"/>
                <w:color w:val="000000"/>
                <w:sz w:val="14"/>
                <w:szCs w:val="14"/>
              </w:rPr>
              <w:t xml:space="preserve">   </w:t>
            </w:r>
            <w:r w:rsidRPr="00563AD3">
              <w:rPr>
                <w:rFonts w:eastAsia="Times New Roman"/>
                <w:color w:val="000000"/>
                <w:sz w:val="14"/>
                <w:szCs w:val="14"/>
              </w:rPr>
              <w:t>(13.5%)407</w:t>
            </w:r>
          </w:p>
        </w:tc>
        <w:tc>
          <w:tcPr>
            <w:tcW w:w="802" w:type="dxa"/>
            <w:tcBorders>
              <w:top w:val="nil"/>
              <w:left w:val="nil"/>
              <w:bottom w:val="single" w:sz="4" w:space="0" w:color="auto"/>
              <w:right w:val="nil"/>
            </w:tcBorders>
            <w:shd w:val="clear" w:color="auto" w:fill="FFFFFF"/>
            <w:tcMar>
              <w:left w:w="67" w:type="dxa"/>
              <w:right w:w="67" w:type="dxa"/>
            </w:tcMar>
          </w:tcPr>
          <w:p w14:paraId="2EF35385"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 (0.96) 4</w:t>
            </w:r>
          </w:p>
        </w:tc>
        <w:tc>
          <w:tcPr>
            <w:tcW w:w="993" w:type="dxa"/>
            <w:tcBorders>
              <w:top w:val="nil"/>
              <w:left w:val="nil"/>
              <w:bottom w:val="single" w:sz="4" w:space="0" w:color="auto"/>
              <w:right w:val="nil"/>
            </w:tcBorders>
            <w:shd w:val="clear" w:color="auto" w:fill="FFFFFF"/>
            <w:tcMar>
              <w:left w:w="67" w:type="dxa"/>
              <w:right w:w="67" w:type="dxa"/>
            </w:tcMar>
          </w:tcPr>
          <w:p w14:paraId="47D7DA07"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3.2 (0.77) 4</w:t>
            </w:r>
          </w:p>
        </w:tc>
        <w:tc>
          <w:tcPr>
            <w:tcW w:w="802" w:type="dxa"/>
            <w:tcBorders>
              <w:top w:val="nil"/>
              <w:left w:val="nil"/>
              <w:bottom w:val="single" w:sz="4" w:space="0" w:color="auto"/>
              <w:right w:val="nil"/>
            </w:tcBorders>
            <w:shd w:val="clear" w:color="auto" w:fill="FFFFFF"/>
            <w:tcMar>
              <w:left w:w="67" w:type="dxa"/>
              <w:right w:w="67" w:type="dxa"/>
            </w:tcMar>
          </w:tcPr>
          <w:p w14:paraId="3ED407AC"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3.1 (0.88) 8</w:t>
            </w:r>
          </w:p>
        </w:tc>
        <w:tc>
          <w:tcPr>
            <w:tcW w:w="802" w:type="dxa"/>
            <w:tcBorders>
              <w:top w:val="nil"/>
              <w:left w:val="nil"/>
              <w:bottom w:val="single" w:sz="4" w:space="0" w:color="auto"/>
              <w:right w:val="nil"/>
            </w:tcBorders>
            <w:shd w:val="clear" w:color="auto" w:fill="FFFFFF"/>
            <w:tcMar>
              <w:left w:w="67" w:type="dxa"/>
              <w:right w:w="67" w:type="dxa"/>
            </w:tcMar>
          </w:tcPr>
          <w:p w14:paraId="6737361C"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1.8 (0.61) 4</w:t>
            </w:r>
          </w:p>
        </w:tc>
        <w:tc>
          <w:tcPr>
            <w:tcW w:w="993" w:type="dxa"/>
            <w:tcBorders>
              <w:top w:val="nil"/>
              <w:left w:val="nil"/>
              <w:bottom w:val="single" w:sz="4" w:space="0" w:color="auto"/>
              <w:right w:val="nil"/>
            </w:tcBorders>
            <w:shd w:val="clear" w:color="auto" w:fill="FFFFFF"/>
            <w:tcMar>
              <w:left w:w="67" w:type="dxa"/>
              <w:right w:w="67" w:type="dxa"/>
            </w:tcMar>
          </w:tcPr>
          <w:p w14:paraId="4C23CE33"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(0.78) 4</w:t>
            </w:r>
          </w:p>
        </w:tc>
        <w:tc>
          <w:tcPr>
            <w:tcW w:w="802" w:type="dxa"/>
            <w:tcBorders>
              <w:top w:val="nil"/>
              <w:left w:val="nil"/>
              <w:bottom w:val="single" w:sz="4" w:space="0" w:color="auto"/>
              <w:right w:val="nil"/>
            </w:tcBorders>
            <w:shd w:val="clear" w:color="auto" w:fill="FFFFFF"/>
            <w:tcMar>
              <w:left w:w="67" w:type="dxa"/>
              <w:right w:w="67" w:type="dxa"/>
            </w:tcMar>
          </w:tcPr>
          <w:p w14:paraId="14AA684D"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1.8 (0.69) 8</w:t>
            </w:r>
          </w:p>
        </w:tc>
        <w:tc>
          <w:tcPr>
            <w:tcW w:w="802" w:type="dxa"/>
            <w:tcBorders>
              <w:top w:val="nil"/>
              <w:left w:val="nil"/>
              <w:bottom w:val="single" w:sz="4" w:space="0" w:color="auto"/>
              <w:right w:val="nil"/>
            </w:tcBorders>
            <w:shd w:val="clear" w:color="auto" w:fill="FFFFFF"/>
            <w:tcMar>
              <w:left w:w="67" w:type="dxa"/>
              <w:right w:w="67" w:type="dxa"/>
            </w:tcMar>
          </w:tcPr>
          <w:p w14:paraId="6870096B"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 (1.23) 4</w:t>
            </w:r>
          </w:p>
        </w:tc>
        <w:tc>
          <w:tcPr>
            <w:tcW w:w="993" w:type="dxa"/>
            <w:tcBorders>
              <w:top w:val="nil"/>
              <w:left w:val="nil"/>
              <w:bottom w:val="single" w:sz="4" w:space="0" w:color="auto"/>
              <w:right w:val="nil"/>
            </w:tcBorders>
            <w:shd w:val="clear" w:color="auto" w:fill="FFFFFF"/>
            <w:tcMar>
              <w:left w:w="67" w:type="dxa"/>
              <w:right w:w="67" w:type="dxa"/>
            </w:tcMar>
          </w:tcPr>
          <w:p w14:paraId="2D263799"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(0.93) 4</w:t>
            </w:r>
          </w:p>
        </w:tc>
        <w:tc>
          <w:tcPr>
            <w:tcW w:w="802" w:type="dxa"/>
            <w:tcBorders>
              <w:top w:val="nil"/>
              <w:left w:val="nil"/>
              <w:bottom w:val="single" w:sz="4" w:space="0" w:color="auto"/>
              <w:right w:val="nil"/>
            </w:tcBorders>
            <w:shd w:val="clear" w:color="auto" w:fill="FFFFFF"/>
            <w:tcMar>
              <w:left w:w="67" w:type="dxa"/>
              <w:right w:w="67" w:type="dxa"/>
            </w:tcMar>
          </w:tcPr>
          <w:p w14:paraId="2E2FA760"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(1.11) 8</w:t>
            </w:r>
          </w:p>
        </w:tc>
        <w:tc>
          <w:tcPr>
            <w:tcW w:w="865" w:type="dxa"/>
            <w:gridSpan w:val="2"/>
            <w:tcBorders>
              <w:top w:val="nil"/>
              <w:left w:val="nil"/>
              <w:bottom w:val="single" w:sz="4" w:space="0" w:color="auto"/>
              <w:right w:val="nil"/>
            </w:tcBorders>
            <w:shd w:val="clear" w:color="auto" w:fill="FFFFFF"/>
            <w:tcMar>
              <w:left w:w="67" w:type="dxa"/>
              <w:right w:w="67" w:type="dxa"/>
            </w:tcMar>
          </w:tcPr>
          <w:p w14:paraId="7534C997"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5.9 (2.96) 4</w:t>
            </w:r>
          </w:p>
        </w:tc>
        <w:tc>
          <w:tcPr>
            <w:tcW w:w="960" w:type="dxa"/>
            <w:tcBorders>
              <w:top w:val="nil"/>
              <w:left w:val="nil"/>
              <w:bottom w:val="single" w:sz="4" w:space="0" w:color="auto"/>
              <w:right w:val="nil"/>
            </w:tcBorders>
            <w:shd w:val="clear" w:color="auto" w:fill="FFFFFF"/>
            <w:tcMar>
              <w:left w:w="67" w:type="dxa"/>
              <w:right w:w="67" w:type="dxa"/>
            </w:tcMar>
          </w:tcPr>
          <w:p w14:paraId="05269D25"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5.8 (3.22) 4</w:t>
            </w:r>
          </w:p>
        </w:tc>
        <w:tc>
          <w:tcPr>
            <w:tcW w:w="802" w:type="dxa"/>
            <w:tcBorders>
              <w:top w:val="nil"/>
              <w:left w:val="nil"/>
              <w:bottom w:val="single" w:sz="4" w:space="0" w:color="auto"/>
              <w:right w:val="single" w:sz="4" w:space="0" w:color="auto"/>
            </w:tcBorders>
            <w:shd w:val="clear" w:color="auto" w:fill="FFFFFF"/>
            <w:tcMar>
              <w:left w:w="67" w:type="dxa"/>
              <w:right w:w="67" w:type="dxa"/>
            </w:tcMar>
          </w:tcPr>
          <w:p w14:paraId="35674E83" w14:textId="77777777" w:rsidR="008F0DD8" w:rsidRPr="00563AD3" w:rsidRDefault="008F0DD8"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5.8 (3.05) 8</w:t>
            </w:r>
          </w:p>
        </w:tc>
      </w:tr>
    </w:tbl>
    <w:p w14:paraId="7E4DCD08" w14:textId="77777777" w:rsidR="00E07CDE" w:rsidRPr="00563AD3" w:rsidRDefault="00E07CDE" w:rsidP="009B13F3">
      <w:pPr>
        <w:autoSpaceDE/>
        <w:autoSpaceDN/>
        <w:adjustRightInd/>
        <w:spacing w:before="120" w:after="0"/>
        <w:rPr>
          <w:rFonts w:eastAsia="Calibri"/>
          <w:sz w:val="24"/>
          <w:szCs w:val="24"/>
          <w:lang w:eastAsia="en-US"/>
        </w:rPr>
      </w:pPr>
    </w:p>
    <w:p w14:paraId="598A7AD7" w14:textId="77777777" w:rsidR="004818D9" w:rsidRDefault="004818D9">
      <w:pPr>
        <w:autoSpaceDE/>
        <w:autoSpaceDN/>
        <w:adjustRightInd/>
        <w:spacing w:line="259" w:lineRule="auto"/>
        <w:rPr>
          <w:rFonts w:eastAsia="Calibri"/>
          <w:b/>
          <w:lang w:eastAsia="en-US"/>
        </w:rPr>
      </w:pPr>
      <w:bookmarkStart w:id="329" w:name="_Toc500935004"/>
      <w:r>
        <w:rPr>
          <w:rFonts w:eastAsia="Calibri"/>
          <w:lang w:eastAsia="en-US"/>
        </w:rPr>
        <w:br w:type="page"/>
      </w:r>
    </w:p>
    <w:p w14:paraId="09BF9B07" w14:textId="13F6DF11" w:rsidR="00E07CDE" w:rsidRPr="00563AD3" w:rsidRDefault="00E07CDE" w:rsidP="004818D9">
      <w:pPr>
        <w:pStyle w:val="Tableheading"/>
        <w:rPr>
          <w:rFonts w:eastAsia="Calibri"/>
          <w:lang w:eastAsia="en-US"/>
        </w:rPr>
      </w:pPr>
      <w:bookmarkStart w:id="330" w:name="_Toc948249"/>
      <w:r w:rsidRPr="00563AD3">
        <w:rPr>
          <w:rFonts w:eastAsia="Calibri"/>
          <w:lang w:eastAsia="en-US"/>
        </w:rPr>
        <w:t xml:space="preserve">Table </w:t>
      </w:r>
      <w:r w:rsidR="005B29F6">
        <w:rPr>
          <w:rFonts w:eastAsia="Calibri"/>
          <w:lang w:eastAsia="en-US"/>
        </w:rPr>
        <w:t xml:space="preserve">52 </w:t>
      </w:r>
      <w:r w:rsidR="00E35291">
        <w:rPr>
          <w:rFonts w:eastAsia="Calibri"/>
          <w:lang w:eastAsia="en-US"/>
        </w:rPr>
        <w:t>NPI-NH at 16-</w:t>
      </w:r>
      <w:r w:rsidRPr="00563AD3">
        <w:rPr>
          <w:rFonts w:eastAsia="Calibri"/>
          <w:lang w:eastAsia="en-US"/>
        </w:rPr>
        <w:t>months cross-sectional cohort</w:t>
      </w:r>
      <w:bookmarkEnd w:id="329"/>
      <w:r w:rsidRPr="00563AD3">
        <w:rPr>
          <w:rFonts w:eastAsia="Calibri"/>
          <w:lang w:eastAsia="en-US"/>
        </w:rPr>
        <w:t xml:space="preserve"> – unadjusted scores</w:t>
      </w:r>
      <w:bookmarkEnd w:id="330"/>
    </w:p>
    <w:tbl>
      <w:tblPr>
        <w:tblW w:w="15588" w:type="dxa"/>
        <w:jc w:val="center"/>
        <w:tblLayout w:type="fixed"/>
        <w:tblCellMar>
          <w:left w:w="0" w:type="dxa"/>
          <w:right w:w="0" w:type="dxa"/>
        </w:tblCellMar>
        <w:tblLook w:val="0000" w:firstRow="0" w:lastRow="0" w:firstColumn="0" w:lastColumn="0" w:noHBand="0" w:noVBand="0"/>
      </w:tblPr>
      <w:tblGrid>
        <w:gridCol w:w="1413"/>
        <w:gridCol w:w="1139"/>
        <w:gridCol w:w="1134"/>
        <w:gridCol w:w="1088"/>
        <w:gridCol w:w="46"/>
        <w:gridCol w:w="749"/>
        <w:gridCol w:w="102"/>
        <w:gridCol w:w="891"/>
        <w:gridCol w:w="821"/>
        <w:gridCol w:w="130"/>
        <w:gridCol w:w="665"/>
        <w:gridCol w:w="186"/>
        <w:gridCol w:w="807"/>
        <w:gridCol w:w="821"/>
        <w:gridCol w:w="73"/>
        <w:gridCol w:w="722"/>
        <w:gridCol w:w="128"/>
        <w:gridCol w:w="865"/>
        <w:gridCol w:w="973"/>
        <w:gridCol w:w="656"/>
        <w:gridCol w:w="194"/>
        <w:gridCol w:w="799"/>
        <w:gridCol w:w="194"/>
        <w:gridCol w:w="992"/>
      </w:tblGrid>
      <w:tr w:rsidR="00E07CDE" w:rsidRPr="00563AD3" w14:paraId="6EC473CE" w14:textId="77777777" w:rsidTr="00C163F3">
        <w:trPr>
          <w:cantSplit/>
          <w:tblHeader/>
          <w:jc w:val="center"/>
        </w:trPr>
        <w:tc>
          <w:tcPr>
            <w:tcW w:w="1413" w:type="dxa"/>
            <w:tcBorders>
              <w:top w:val="single" w:sz="4" w:space="0" w:color="auto"/>
              <w:left w:val="single" w:sz="4" w:space="0" w:color="auto"/>
              <w:bottom w:val="nil"/>
              <w:right w:val="nil"/>
            </w:tcBorders>
            <w:shd w:val="clear" w:color="auto" w:fill="FFFFFF"/>
            <w:tcMar>
              <w:left w:w="67" w:type="dxa"/>
              <w:right w:w="67" w:type="dxa"/>
            </w:tcMar>
            <w:vAlign w:val="bottom"/>
          </w:tcPr>
          <w:p w14:paraId="16AB1D68" w14:textId="77777777" w:rsidR="00E07CDE" w:rsidRPr="00563AD3" w:rsidRDefault="00E07CDE" w:rsidP="004818D9">
            <w:pPr>
              <w:keepNext/>
              <w:spacing w:before="67" w:after="67" w:line="240" w:lineRule="auto"/>
              <w:jc w:val="center"/>
              <w:rPr>
                <w:rFonts w:eastAsia="Times New Roman"/>
                <w:b/>
                <w:bCs/>
                <w:color w:val="000000"/>
                <w:sz w:val="14"/>
                <w:szCs w:val="14"/>
              </w:rPr>
            </w:pPr>
          </w:p>
        </w:tc>
        <w:tc>
          <w:tcPr>
            <w:tcW w:w="14175" w:type="dxa"/>
            <w:gridSpan w:val="23"/>
            <w:tcBorders>
              <w:top w:val="single" w:sz="4" w:space="0" w:color="auto"/>
              <w:left w:val="nil"/>
              <w:bottom w:val="nil"/>
              <w:right w:val="single" w:sz="4" w:space="0" w:color="auto"/>
            </w:tcBorders>
            <w:shd w:val="clear" w:color="auto" w:fill="FFFFFF"/>
            <w:tcMar>
              <w:left w:w="67" w:type="dxa"/>
              <w:right w:w="67" w:type="dxa"/>
            </w:tcMar>
            <w:vAlign w:val="bottom"/>
          </w:tcPr>
          <w:p w14:paraId="3D93EBA8" w14:textId="2C31EB3B" w:rsidR="00E07CDE" w:rsidRPr="00563AD3" w:rsidRDefault="00E35291" w:rsidP="004818D9">
            <w:pPr>
              <w:keepNext/>
              <w:spacing w:before="67" w:after="67" w:line="240" w:lineRule="auto"/>
              <w:jc w:val="center"/>
              <w:rPr>
                <w:rFonts w:eastAsia="Times New Roman"/>
                <w:b/>
                <w:bCs/>
                <w:color w:val="000000"/>
                <w:sz w:val="14"/>
                <w:szCs w:val="14"/>
              </w:rPr>
            </w:pPr>
            <w:r>
              <w:rPr>
                <w:rFonts w:eastAsia="Times New Roman"/>
                <w:b/>
                <w:bCs/>
                <w:color w:val="000000"/>
                <w:sz w:val="14"/>
                <w:szCs w:val="14"/>
              </w:rPr>
              <w:t>16-</w:t>
            </w:r>
            <w:r w:rsidR="00E07CDE" w:rsidRPr="00563AD3">
              <w:rPr>
                <w:rFonts w:eastAsia="Times New Roman"/>
                <w:b/>
                <w:bCs/>
                <w:color w:val="000000"/>
                <w:sz w:val="14"/>
                <w:szCs w:val="14"/>
              </w:rPr>
              <w:t>months cross-sectional cohort</w:t>
            </w:r>
          </w:p>
        </w:tc>
      </w:tr>
      <w:tr w:rsidR="00E07CDE" w:rsidRPr="00563AD3" w14:paraId="33FECC4B" w14:textId="77777777" w:rsidTr="00C163F3">
        <w:trPr>
          <w:cantSplit/>
          <w:tblHeader/>
          <w:jc w:val="center"/>
        </w:trPr>
        <w:tc>
          <w:tcPr>
            <w:tcW w:w="1413" w:type="dxa"/>
            <w:tcBorders>
              <w:top w:val="nil"/>
              <w:left w:val="single" w:sz="4" w:space="0" w:color="auto"/>
              <w:bottom w:val="nil"/>
              <w:right w:val="nil"/>
            </w:tcBorders>
            <w:shd w:val="clear" w:color="auto" w:fill="FFFFFF"/>
            <w:tcMar>
              <w:left w:w="67" w:type="dxa"/>
              <w:right w:w="67" w:type="dxa"/>
            </w:tcMar>
            <w:vAlign w:val="bottom"/>
          </w:tcPr>
          <w:p w14:paraId="019B95A2" w14:textId="77777777" w:rsidR="00E07CDE" w:rsidRPr="00563AD3" w:rsidRDefault="00E07CDE" w:rsidP="004818D9">
            <w:pPr>
              <w:keepNext/>
              <w:spacing w:before="67" w:after="67" w:line="240" w:lineRule="auto"/>
              <w:jc w:val="center"/>
              <w:rPr>
                <w:rFonts w:eastAsia="Times New Roman"/>
                <w:b/>
                <w:bCs/>
                <w:color w:val="000000"/>
                <w:sz w:val="14"/>
                <w:szCs w:val="14"/>
              </w:rPr>
            </w:pPr>
          </w:p>
        </w:tc>
        <w:tc>
          <w:tcPr>
            <w:tcW w:w="3361" w:type="dxa"/>
            <w:gridSpan w:val="3"/>
            <w:tcBorders>
              <w:top w:val="nil"/>
              <w:left w:val="nil"/>
              <w:bottom w:val="nil"/>
              <w:right w:val="nil"/>
            </w:tcBorders>
            <w:shd w:val="clear" w:color="auto" w:fill="FFFFFF"/>
            <w:tcMar>
              <w:left w:w="67" w:type="dxa"/>
              <w:right w:w="67" w:type="dxa"/>
            </w:tcMar>
            <w:vAlign w:val="bottom"/>
          </w:tcPr>
          <w:p w14:paraId="48C81BA0"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Number experiencing</w:t>
            </w:r>
            <w:r w:rsidRPr="00563AD3">
              <w:rPr>
                <w:rFonts w:eastAsia="Times New Roman"/>
                <w:b/>
                <w:bCs/>
                <w:color w:val="000000"/>
                <w:sz w:val="14"/>
                <w:szCs w:val="14"/>
              </w:rPr>
              <w:br/>
              <w:t>the behaviour</w:t>
            </w:r>
            <w:r w:rsidRPr="00563AD3">
              <w:rPr>
                <w:rFonts w:eastAsia="Times New Roman"/>
                <w:b/>
                <w:bCs/>
                <w:color w:val="000000"/>
                <w:sz w:val="14"/>
                <w:szCs w:val="14"/>
              </w:rPr>
              <w:br/>
              <w:t>N (%) completed</w:t>
            </w:r>
          </w:p>
        </w:tc>
        <w:tc>
          <w:tcPr>
            <w:tcW w:w="2609" w:type="dxa"/>
            <w:gridSpan w:val="5"/>
            <w:tcBorders>
              <w:top w:val="nil"/>
              <w:left w:val="nil"/>
              <w:bottom w:val="nil"/>
              <w:right w:val="nil"/>
            </w:tcBorders>
            <w:shd w:val="clear" w:color="auto" w:fill="FFFFFF"/>
            <w:tcMar>
              <w:left w:w="67" w:type="dxa"/>
              <w:right w:w="67" w:type="dxa"/>
            </w:tcMar>
            <w:vAlign w:val="bottom"/>
          </w:tcPr>
          <w:p w14:paraId="3FD8B6AC"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Frequency</w:t>
            </w:r>
            <w:r w:rsidRPr="00563AD3">
              <w:rPr>
                <w:rFonts w:eastAsia="Times New Roman"/>
                <w:b/>
                <w:bCs/>
                <w:color w:val="000000"/>
                <w:sz w:val="14"/>
                <w:szCs w:val="14"/>
              </w:rPr>
              <w:br/>
              <w:t>score</w:t>
            </w:r>
          </w:p>
        </w:tc>
        <w:tc>
          <w:tcPr>
            <w:tcW w:w="2609" w:type="dxa"/>
            <w:gridSpan w:val="5"/>
            <w:tcBorders>
              <w:top w:val="nil"/>
              <w:left w:val="nil"/>
              <w:bottom w:val="nil"/>
              <w:right w:val="nil"/>
            </w:tcBorders>
            <w:shd w:val="clear" w:color="auto" w:fill="FFFFFF"/>
            <w:tcMar>
              <w:left w:w="67" w:type="dxa"/>
              <w:right w:w="67" w:type="dxa"/>
            </w:tcMar>
            <w:vAlign w:val="bottom"/>
          </w:tcPr>
          <w:p w14:paraId="77E4B8DA"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Severity</w:t>
            </w:r>
            <w:r w:rsidRPr="00563AD3">
              <w:rPr>
                <w:rFonts w:eastAsia="Times New Roman"/>
                <w:b/>
                <w:bCs/>
                <w:color w:val="000000"/>
                <w:sz w:val="14"/>
                <w:szCs w:val="14"/>
              </w:rPr>
              <w:br/>
              <w:t>score</w:t>
            </w:r>
          </w:p>
        </w:tc>
        <w:tc>
          <w:tcPr>
            <w:tcW w:w="2761" w:type="dxa"/>
            <w:gridSpan w:val="5"/>
            <w:tcBorders>
              <w:top w:val="nil"/>
              <w:left w:val="nil"/>
              <w:bottom w:val="nil"/>
              <w:right w:val="nil"/>
            </w:tcBorders>
            <w:shd w:val="clear" w:color="auto" w:fill="FFFFFF"/>
            <w:tcMar>
              <w:left w:w="67" w:type="dxa"/>
              <w:right w:w="67" w:type="dxa"/>
            </w:tcMar>
            <w:vAlign w:val="bottom"/>
          </w:tcPr>
          <w:p w14:paraId="1C947144"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Caregiver</w:t>
            </w:r>
            <w:r w:rsidRPr="00563AD3">
              <w:rPr>
                <w:rFonts w:eastAsia="Times New Roman"/>
                <w:b/>
                <w:bCs/>
                <w:color w:val="000000"/>
                <w:sz w:val="14"/>
                <w:szCs w:val="14"/>
              </w:rPr>
              <w:br/>
              <w:t>distress score</w:t>
            </w:r>
          </w:p>
        </w:tc>
        <w:tc>
          <w:tcPr>
            <w:tcW w:w="2835" w:type="dxa"/>
            <w:gridSpan w:val="5"/>
            <w:tcBorders>
              <w:top w:val="nil"/>
              <w:left w:val="nil"/>
              <w:bottom w:val="nil"/>
              <w:right w:val="single" w:sz="4" w:space="0" w:color="auto"/>
            </w:tcBorders>
            <w:shd w:val="clear" w:color="auto" w:fill="FFFFFF"/>
            <w:tcMar>
              <w:left w:w="67" w:type="dxa"/>
              <w:right w:w="67" w:type="dxa"/>
            </w:tcMar>
            <w:vAlign w:val="bottom"/>
          </w:tcPr>
          <w:p w14:paraId="05CA111A"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Total domain</w:t>
            </w:r>
            <w:r w:rsidRPr="00563AD3">
              <w:rPr>
                <w:rFonts w:eastAsia="Times New Roman"/>
                <w:b/>
                <w:bCs/>
                <w:color w:val="000000"/>
                <w:sz w:val="14"/>
                <w:szCs w:val="14"/>
              </w:rPr>
              <w:br/>
              <w:t>score</w:t>
            </w:r>
          </w:p>
        </w:tc>
      </w:tr>
      <w:tr w:rsidR="00E07CDE" w:rsidRPr="00563AD3" w14:paraId="39DEF4C1" w14:textId="77777777" w:rsidTr="00C163F3">
        <w:trPr>
          <w:cantSplit/>
          <w:tblHeader/>
          <w:jc w:val="center"/>
        </w:trPr>
        <w:tc>
          <w:tcPr>
            <w:tcW w:w="1413" w:type="dxa"/>
            <w:tcBorders>
              <w:top w:val="nil"/>
              <w:left w:val="single" w:sz="4" w:space="0" w:color="auto"/>
              <w:bottom w:val="single" w:sz="4" w:space="0" w:color="000000"/>
              <w:right w:val="nil"/>
            </w:tcBorders>
            <w:shd w:val="clear" w:color="auto" w:fill="FFFFFF"/>
            <w:tcMar>
              <w:left w:w="67" w:type="dxa"/>
              <w:right w:w="67" w:type="dxa"/>
            </w:tcMar>
            <w:vAlign w:val="bottom"/>
          </w:tcPr>
          <w:p w14:paraId="50F0156A" w14:textId="77777777" w:rsidR="00E07CDE" w:rsidRPr="00563AD3" w:rsidRDefault="00E07CDE" w:rsidP="004818D9">
            <w:pPr>
              <w:keepNext/>
              <w:spacing w:before="67" w:after="67" w:line="240" w:lineRule="auto"/>
              <w:rPr>
                <w:rFonts w:eastAsia="Times New Roman"/>
                <w:b/>
                <w:bCs/>
                <w:color w:val="000000"/>
                <w:sz w:val="14"/>
                <w:szCs w:val="14"/>
              </w:rPr>
            </w:pPr>
            <w:r w:rsidRPr="00563AD3">
              <w:rPr>
                <w:rFonts w:eastAsia="Times New Roman"/>
                <w:b/>
                <w:bCs/>
                <w:color w:val="000000"/>
                <w:sz w:val="14"/>
                <w:szCs w:val="14"/>
              </w:rPr>
              <w:t>Mean (SD) Missing</w:t>
            </w:r>
          </w:p>
        </w:tc>
        <w:tc>
          <w:tcPr>
            <w:tcW w:w="1139" w:type="dxa"/>
            <w:tcBorders>
              <w:top w:val="nil"/>
              <w:left w:val="nil"/>
              <w:bottom w:val="single" w:sz="4" w:space="0" w:color="000000"/>
              <w:right w:val="nil"/>
            </w:tcBorders>
            <w:shd w:val="clear" w:color="auto" w:fill="FFFFFF"/>
            <w:tcMar>
              <w:left w:w="67" w:type="dxa"/>
              <w:right w:w="67" w:type="dxa"/>
            </w:tcMar>
            <w:vAlign w:val="bottom"/>
          </w:tcPr>
          <w:p w14:paraId="257257E1" w14:textId="2C56D25B"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r w:rsidR="00E35291">
              <w:rPr>
                <w:rFonts w:eastAsia="Times New Roman"/>
                <w:b/>
                <w:bCs/>
                <w:color w:val="000000"/>
                <w:sz w:val="14"/>
                <w:szCs w:val="14"/>
              </w:rPr>
              <w:t xml:space="preserve">         </w:t>
            </w:r>
            <w:r w:rsidRPr="00563AD3">
              <w:rPr>
                <w:rFonts w:eastAsia="Times New Roman"/>
                <w:b/>
                <w:bCs/>
                <w:color w:val="000000"/>
                <w:sz w:val="14"/>
                <w:szCs w:val="14"/>
              </w:rPr>
              <w:t>(n = 287)</w:t>
            </w:r>
          </w:p>
        </w:tc>
        <w:tc>
          <w:tcPr>
            <w:tcW w:w="1134" w:type="dxa"/>
            <w:tcBorders>
              <w:top w:val="nil"/>
              <w:left w:val="nil"/>
              <w:bottom w:val="single" w:sz="4" w:space="0" w:color="000000"/>
              <w:right w:val="nil"/>
            </w:tcBorders>
            <w:shd w:val="clear" w:color="auto" w:fill="FFFFFF"/>
            <w:tcMar>
              <w:left w:w="67" w:type="dxa"/>
              <w:right w:w="67" w:type="dxa"/>
            </w:tcMar>
            <w:vAlign w:val="bottom"/>
          </w:tcPr>
          <w:p w14:paraId="2EA21A72" w14:textId="4AC3BB51"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Intervention </w:t>
            </w:r>
            <w:r w:rsidR="00E35291">
              <w:rPr>
                <w:rFonts w:eastAsia="Times New Roman"/>
                <w:b/>
                <w:bCs/>
                <w:color w:val="000000"/>
                <w:sz w:val="14"/>
                <w:szCs w:val="14"/>
              </w:rPr>
              <w:t xml:space="preserve"> </w:t>
            </w:r>
            <w:r w:rsidRPr="00563AD3">
              <w:rPr>
                <w:rFonts w:eastAsia="Times New Roman"/>
                <w:b/>
                <w:bCs/>
                <w:color w:val="000000"/>
                <w:sz w:val="14"/>
                <w:szCs w:val="14"/>
              </w:rPr>
              <w:t>(n = 388)</w:t>
            </w:r>
          </w:p>
        </w:tc>
        <w:tc>
          <w:tcPr>
            <w:tcW w:w="1088" w:type="dxa"/>
            <w:tcBorders>
              <w:top w:val="nil"/>
              <w:left w:val="nil"/>
              <w:bottom w:val="single" w:sz="4" w:space="0" w:color="000000"/>
              <w:right w:val="nil"/>
            </w:tcBorders>
            <w:shd w:val="clear" w:color="auto" w:fill="FFFFFF"/>
            <w:tcMar>
              <w:left w:w="67" w:type="dxa"/>
              <w:right w:w="67" w:type="dxa"/>
            </w:tcMar>
            <w:vAlign w:val="bottom"/>
          </w:tcPr>
          <w:p w14:paraId="1BDD5ABD"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Total (n = 675)</w:t>
            </w:r>
          </w:p>
        </w:tc>
        <w:tc>
          <w:tcPr>
            <w:tcW w:w="795" w:type="dxa"/>
            <w:gridSpan w:val="2"/>
            <w:tcBorders>
              <w:top w:val="nil"/>
              <w:left w:val="nil"/>
              <w:bottom w:val="single" w:sz="4" w:space="0" w:color="000000"/>
              <w:right w:val="nil"/>
            </w:tcBorders>
            <w:shd w:val="clear" w:color="auto" w:fill="FFFFFF"/>
            <w:tcMar>
              <w:left w:w="67" w:type="dxa"/>
              <w:right w:w="67" w:type="dxa"/>
            </w:tcMar>
            <w:vAlign w:val="bottom"/>
          </w:tcPr>
          <w:p w14:paraId="15EEB78A"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993" w:type="dxa"/>
            <w:gridSpan w:val="2"/>
            <w:tcBorders>
              <w:top w:val="nil"/>
              <w:left w:val="nil"/>
              <w:bottom w:val="single" w:sz="4" w:space="0" w:color="000000"/>
              <w:right w:val="nil"/>
            </w:tcBorders>
            <w:shd w:val="clear" w:color="auto" w:fill="FFFFFF"/>
            <w:tcMar>
              <w:left w:w="67" w:type="dxa"/>
              <w:right w:w="67" w:type="dxa"/>
            </w:tcMar>
            <w:vAlign w:val="bottom"/>
          </w:tcPr>
          <w:p w14:paraId="0203E96D"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Intervention </w:t>
            </w:r>
          </w:p>
        </w:tc>
        <w:tc>
          <w:tcPr>
            <w:tcW w:w="821" w:type="dxa"/>
            <w:tcBorders>
              <w:top w:val="nil"/>
              <w:left w:val="nil"/>
              <w:bottom w:val="single" w:sz="4" w:space="0" w:color="000000"/>
              <w:right w:val="nil"/>
            </w:tcBorders>
            <w:shd w:val="clear" w:color="auto" w:fill="FFFFFF"/>
            <w:tcMar>
              <w:left w:w="67" w:type="dxa"/>
              <w:right w:w="67" w:type="dxa"/>
            </w:tcMar>
            <w:vAlign w:val="bottom"/>
          </w:tcPr>
          <w:p w14:paraId="6B1EA83A"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Total</w:t>
            </w:r>
          </w:p>
        </w:tc>
        <w:tc>
          <w:tcPr>
            <w:tcW w:w="795" w:type="dxa"/>
            <w:gridSpan w:val="2"/>
            <w:tcBorders>
              <w:top w:val="nil"/>
              <w:left w:val="nil"/>
              <w:bottom w:val="single" w:sz="4" w:space="0" w:color="000000"/>
              <w:right w:val="nil"/>
            </w:tcBorders>
            <w:shd w:val="clear" w:color="auto" w:fill="FFFFFF"/>
            <w:tcMar>
              <w:left w:w="67" w:type="dxa"/>
              <w:right w:w="67" w:type="dxa"/>
            </w:tcMar>
            <w:vAlign w:val="bottom"/>
          </w:tcPr>
          <w:p w14:paraId="1228AAAB"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993" w:type="dxa"/>
            <w:gridSpan w:val="2"/>
            <w:tcBorders>
              <w:top w:val="nil"/>
              <w:left w:val="nil"/>
              <w:bottom w:val="single" w:sz="4" w:space="0" w:color="000000"/>
              <w:right w:val="nil"/>
            </w:tcBorders>
            <w:shd w:val="clear" w:color="auto" w:fill="FFFFFF"/>
            <w:tcMar>
              <w:left w:w="67" w:type="dxa"/>
              <w:right w:w="67" w:type="dxa"/>
            </w:tcMar>
            <w:vAlign w:val="bottom"/>
          </w:tcPr>
          <w:p w14:paraId="3D281466"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Intervention </w:t>
            </w:r>
          </w:p>
        </w:tc>
        <w:tc>
          <w:tcPr>
            <w:tcW w:w="821" w:type="dxa"/>
            <w:tcBorders>
              <w:top w:val="nil"/>
              <w:left w:val="nil"/>
              <w:bottom w:val="single" w:sz="4" w:space="0" w:color="000000"/>
              <w:right w:val="nil"/>
            </w:tcBorders>
            <w:shd w:val="clear" w:color="auto" w:fill="FFFFFF"/>
            <w:tcMar>
              <w:left w:w="67" w:type="dxa"/>
              <w:right w:w="67" w:type="dxa"/>
            </w:tcMar>
            <w:vAlign w:val="bottom"/>
          </w:tcPr>
          <w:p w14:paraId="45A36253"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Total </w:t>
            </w:r>
          </w:p>
        </w:tc>
        <w:tc>
          <w:tcPr>
            <w:tcW w:w="795" w:type="dxa"/>
            <w:gridSpan w:val="2"/>
            <w:tcBorders>
              <w:top w:val="nil"/>
              <w:left w:val="nil"/>
              <w:bottom w:val="single" w:sz="4" w:space="0" w:color="000000"/>
              <w:right w:val="nil"/>
            </w:tcBorders>
            <w:shd w:val="clear" w:color="auto" w:fill="FFFFFF"/>
            <w:tcMar>
              <w:left w:w="67" w:type="dxa"/>
              <w:right w:w="67" w:type="dxa"/>
            </w:tcMar>
            <w:vAlign w:val="bottom"/>
          </w:tcPr>
          <w:p w14:paraId="27FFD8C1"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993" w:type="dxa"/>
            <w:gridSpan w:val="2"/>
            <w:tcBorders>
              <w:top w:val="nil"/>
              <w:left w:val="nil"/>
              <w:bottom w:val="single" w:sz="4" w:space="0" w:color="000000"/>
              <w:right w:val="nil"/>
            </w:tcBorders>
            <w:shd w:val="clear" w:color="auto" w:fill="FFFFFF"/>
            <w:tcMar>
              <w:left w:w="67" w:type="dxa"/>
              <w:right w:w="67" w:type="dxa"/>
            </w:tcMar>
            <w:vAlign w:val="bottom"/>
          </w:tcPr>
          <w:p w14:paraId="1D2B2C59"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Intervention </w:t>
            </w:r>
          </w:p>
        </w:tc>
        <w:tc>
          <w:tcPr>
            <w:tcW w:w="973" w:type="dxa"/>
            <w:tcBorders>
              <w:top w:val="nil"/>
              <w:left w:val="nil"/>
              <w:bottom w:val="single" w:sz="4" w:space="0" w:color="000000"/>
              <w:right w:val="nil"/>
            </w:tcBorders>
            <w:shd w:val="clear" w:color="auto" w:fill="FFFFFF"/>
            <w:tcMar>
              <w:left w:w="67" w:type="dxa"/>
              <w:right w:w="67" w:type="dxa"/>
            </w:tcMar>
            <w:vAlign w:val="bottom"/>
          </w:tcPr>
          <w:p w14:paraId="1C5109B5"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Total </w:t>
            </w:r>
          </w:p>
        </w:tc>
        <w:tc>
          <w:tcPr>
            <w:tcW w:w="656" w:type="dxa"/>
            <w:tcBorders>
              <w:top w:val="nil"/>
              <w:left w:val="nil"/>
              <w:bottom w:val="single" w:sz="4" w:space="0" w:color="000000"/>
              <w:right w:val="nil"/>
            </w:tcBorders>
            <w:shd w:val="clear" w:color="auto" w:fill="FFFFFF"/>
            <w:tcMar>
              <w:left w:w="67" w:type="dxa"/>
              <w:right w:w="67" w:type="dxa"/>
            </w:tcMar>
            <w:vAlign w:val="bottom"/>
          </w:tcPr>
          <w:p w14:paraId="6BEE2125"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Control </w:t>
            </w:r>
          </w:p>
        </w:tc>
        <w:tc>
          <w:tcPr>
            <w:tcW w:w="993" w:type="dxa"/>
            <w:gridSpan w:val="2"/>
            <w:tcBorders>
              <w:top w:val="nil"/>
              <w:left w:val="nil"/>
              <w:bottom w:val="single" w:sz="4" w:space="0" w:color="000000"/>
              <w:right w:val="nil"/>
            </w:tcBorders>
            <w:shd w:val="clear" w:color="auto" w:fill="FFFFFF"/>
            <w:tcMar>
              <w:left w:w="67" w:type="dxa"/>
              <w:right w:w="67" w:type="dxa"/>
            </w:tcMar>
            <w:vAlign w:val="bottom"/>
          </w:tcPr>
          <w:p w14:paraId="297A71B8"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Intervention </w:t>
            </w:r>
          </w:p>
        </w:tc>
        <w:tc>
          <w:tcPr>
            <w:tcW w:w="1186" w:type="dxa"/>
            <w:gridSpan w:val="2"/>
            <w:tcBorders>
              <w:top w:val="nil"/>
              <w:left w:val="nil"/>
              <w:bottom w:val="single" w:sz="4" w:space="0" w:color="000000"/>
              <w:right w:val="single" w:sz="4" w:space="0" w:color="auto"/>
            </w:tcBorders>
            <w:shd w:val="clear" w:color="auto" w:fill="FFFFFF"/>
            <w:tcMar>
              <w:left w:w="67" w:type="dxa"/>
              <w:right w:w="67" w:type="dxa"/>
            </w:tcMar>
            <w:vAlign w:val="bottom"/>
          </w:tcPr>
          <w:p w14:paraId="59695B43" w14:textId="77777777" w:rsidR="00E07CDE" w:rsidRPr="00563AD3" w:rsidRDefault="00E07CDE" w:rsidP="004818D9">
            <w:pPr>
              <w:keepNext/>
              <w:spacing w:before="67" w:after="67" w:line="240" w:lineRule="auto"/>
              <w:jc w:val="center"/>
              <w:rPr>
                <w:rFonts w:eastAsia="Times New Roman"/>
                <w:b/>
                <w:bCs/>
                <w:color w:val="000000"/>
                <w:sz w:val="14"/>
                <w:szCs w:val="14"/>
              </w:rPr>
            </w:pPr>
            <w:r w:rsidRPr="00563AD3">
              <w:rPr>
                <w:rFonts w:eastAsia="Times New Roman"/>
                <w:b/>
                <w:bCs/>
                <w:color w:val="000000"/>
                <w:sz w:val="14"/>
                <w:szCs w:val="14"/>
              </w:rPr>
              <w:t xml:space="preserve">Total </w:t>
            </w:r>
          </w:p>
        </w:tc>
      </w:tr>
      <w:tr w:rsidR="00E07CDE" w:rsidRPr="00563AD3" w14:paraId="07168767"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39605AAB" w14:textId="77777777" w:rsidR="00E07CDE" w:rsidRPr="00563AD3" w:rsidRDefault="00E07CDE" w:rsidP="004818D9">
            <w:pPr>
              <w:spacing w:before="67" w:after="67" w:line="240" w:lineRule="auto"/>
              <w:rPr>
                <w:rFonts w:eastAsia="Times New Roman"/>
                <w:b/>
                <w:bCs/>
                <w:color w:val="000000"/>
                <w:sz w:val="14"/>
                <w:szCs w:val="14"/>
              </w:rPr>
            </w:pPr>
            <w:r w:rsidRPr="00563AD3">
              <w:rPr>
                <w:rFonts w:eastAsia="Times New Roman"/>
                <w:b/>
                <w:bCs/>
                <w:color w:val="000000"/>
                <w:sz w:val="14"/>
                <w:szCs w:val="14"/>
              </w:rPr>
              <w:t>Total score:</w:t>
            </w:r>
          </w:p>
        </w:tc>
        <w:tc>
          <w:tcPr>
            <w:tcW w:w="1139" w:type="dxa"/>
            <w:tcBorders>
              <w:top w:val="nil"/>
              <w:left w:val="nil"/>
              <w:bottom w:val="nil"/>
              <w:right w:val="nil"/>
            </w:tcBorders>
            <w:shd w:val="clear" w:color="auto" w:fill="FFFFFF"/>
            <w:tcMar>
              <w:left w:w="67" w:type="dxa"/>
              <w:right w:w="67" w:type="dxa"/>
            </w:tcMar>
          </w:tcPr>
          <w:p w14:paraId="408321B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284 (99%)</w:t>
            </w:r>
          </w:p>
        </w:tc>
        <w:tc>
          <w:tcPr>
            <w:tcW w:w="1134" w:type="dxa"/>
            <w:tcBorders>
              <w:top w:val="nil"/>
              <w:left w:val="nil"/>
              <w:bottom w:val="nil"/>
              <w:right w:val="nil"/>
            </w:tcBorders>
            <w:shd w:val="clear" w:color="auto" w:fill="FFFFFF"/>
            <w:tcMar>
              <w:left w:w="67" w:type="dxa"/>
              <w:right w:w="67" w:type="dxa"/>
            </w:tcMar>
          </w:tcPr>
          <w:p w14:paraId="01B07FC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384 (99%)</w:t>
            </w:r>
          </w:p>
        </w:tc>
        <w:tc>
          <w:tcPr>
            <w:tcW w:w="1134" w:type="dxa"/>
            <w:gridSpan w:val="2"/>
            <w:tcBorders>
              <w:top w:val="nil"/>
              <w:left w:val="nil"/>
              <w:bottom w:val="nil"/>
              <w:right w:val="nil"/>
            </w:tcBorders>
            <w:shd w:val="clear" w:color="auto" w:fill="FFFFFF"/>
            <w:tcMar>
              <w:left w:w="67" w:type="dxa"/>
              <w:right w:w="67" w:type="dxa"/>
            </w:tcMar>
          </w:tcPr>
          <w:p w14:paraId="6B22040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668 (99%)</w:t>
            </w:r>
          </w:p>
        </w:tc>
        <w:tc>
          <w:tcPr>
            <w:tcW w:w="851" w:type="dxa"/>
            <w:gridSpan w:val="2"/>
            <w:tcBorders>
              <w:top w:val="nil"/>
              <w:left w:val="nil"/>
              <w:bottom w:val="nil"/>
              <w:right w:val="nil"/>
            </w:tcBorders>
            <w:shd w:val="clear" w:color="auto" w:fill="FFFFFF"/>
            <w:tcMar>
              <w:left w:w="67" w:type="dxa"/>
              <w:right w:w="67" w:type="dxa"/>
            </w:tcMar>
          </w:tcPr>
          <w:p w14:paraId="13005BA2" w14:textId="77777777" w:rsidR="00E07CDE" w:rsidRPr="00563AD3" w:rsidRDefault="00E07CDE" w:rsidP="004818D9">
            <w:pPr>
              <w:spacing w:before="67" w:after="67" w:line="240" w:lineRule="auto"/>
              <w:jc w:val="right"/>
              <w:rPr>
                <w:rFonts w:eastAsia="Times New Roman"/>
                <w:color w:val="000000"/>
                <w:sz w:val="14"/>
                <w:szCs w:val="14"/>
              </w:rPr>
            </w:pPr>
          </w:p>
        </w:tc>
        <w:tc>
          <w:tcPr>
            <w:tcW w:w="891" w:type="dxa"/>
            <w:tcBorders>
              <w:top w:val="nil"/>
              <w:left w:val="nil"/>
              <w:bottom w:val="nil"/>
              <w:right w:val="nil"/>
            </w:tcBorders>
            <w:shd w:val="clear" w:color="auto" w:fill="FFFFFF"/>
            <w:tcMar>
              <w:left w:w="67" w:type="dxa"/>
              <w:right w:w="67" w:type="dxa"/>
            </w:tcMar>
          </w:tcPr>
          <w:p w14:paraId="0FC801FD" w14:textId="77777777" w:rsidR="00E07CDE" w:rsidRPr="00563AD3" w:rsidRDefault="00E07CDE" w:rsidP="004818D9">
            <w:pPr>
              <w:spacing w:before="67" w:after="67" w:line="240" w:lineRule="auto"/>
              <w:jc w:val="right"/>
              <w:rPr>
                <w:rFonts w:eastAsia="Times New Roman"/>
                <w:color w:val="000000"/>
                <w:sz w:val="14"/>
                <w:szCs w:val="14"/>
              </w:rPr>
            </w:pPr>
          </w:p>
        </w:tc>
        <w:tc>
          <w:tcPr>
            <w:tcW w:w="951" w:type="dxa"/>
            <w:gridSpan w:val="2"/>
            <w:tcBorders>
              <w:top w:val="nil"/>
              <w:left w:val="nil"/>
              <w:bottom w:val="nil"/>
              <w:right w:val="nil"/>
            </w:tcBorders>
            <w:shd w:val="clear" w:color="auto" w:fill="FFFFFF"/>
            <w:tcMar>
              <w:left w:w="67" w:type="dxa"/>
              <w:right w:w="67" w:type="dxa"/>
            </w:tcMar>
          </w:tcPr>
          <w:p w14:paraId="0700F9DD" w14:textId="77777777" w:rsidR="00E07CDE" w:rsidRPr="00563AD3" w:rsidRDefault="00E07CDE" w:rsidP="004818D9">
            <w:pPr>
              <w:spacing w:before="67" w:after="67" w:line="240" w:lineRule="auto"/>
              <w:jc w:val="right"/>
              <w:rPr>
                <w:rFonts w:eastAsia="Times New Roman"/>
                <w:color w:val="000000"/>
                <w:sz w:val="14"/>
                <w:szCs w:val="14"/>
              </w:rPr>
            </w:pPr>
          </w:p>
        </w:tc>
        <w:tc>
          <w:tcPr>
            <w:tcW w:w="851" w:type="dxa"/>
            <w:gridSpan w:val="2"/>
            <w:tcBorders>
              <w:top w:val="nil"/>
              <w:left w:val="nil"/>
              <w:bottom w:val="nil"/>
              <w:right w:val="nil"/>
            </w:tcBorders>
            <w:shd w:val="clear" w:color="auto" w:fill="FFFFFF"/>
            <w:tcMar>
              <w:left w:w="67" w:type="dxa"/>
              <w:right w:w="67" w:type="dxa"/>
            </w:tcMar>
          </w:tcPr>
          <w:p w14:paraId="4B7E5A8B" w14:textId="77777777" w:rsidR="00E07CDE" w:rsidRPr="00563AD3" w:rsidRDefault="00E07CDE" w:rsidP="004818D9">
            <w:pPr>
              <w:spacing w:before="67" w:after="67" w:line="240" w:lineRule="auto"/>
              <w:jc w:val="right"/>
              <w:rPr>
                <w:rFonts w:eastAsia="Times New Roman"/>
                <w:color w:val="000000"/>
                <w:sz w:val="14"/>
                <w:szCs w:val="14"/>
              </w:rPr>
            </w:pPr>
          </w:p>
        </w:tc>
        <w:tc>
          <w:tcPr>
            <w:tcW w:w="807" w:type="dxa"/>
            <w:tcBorders>
              <w:top w:val="nil"/>
              <w:left w:val="nil"/>
              <w:bottom w:val="nil"/>
              <w:right w:val="nil"/>
            </w:tcBorders>
            <w:shd w:val="clear" w:color="auto" w:fill="FFFFFF"/>
            <w:tcMar>
              <w:left w:w="67" w:type="dxa"/>
              <w:right w:w="67" w:type="dxa"/>
            </w:tcMar>
          </w:tcPr>
          <w:p w14:paraId="4964565F" w14:textId="77777777" w:rsidR="00E07CDE" w:rsidRPr="00563AD3" w:rsidRDefault="00E07CDE" w:rsidP="004818D9">
            <w:pPr>
              <w:spacing w:before="67" w:after="67" w:line="240" w:lineRule="auto"/>
              <w:jc w:val="right"/>
              <w:rPr>
                <w:rFonts w:eastAsia="Times New Roman"/>
                <w:color w:val="000000"/>
                <w:sz w:val="14"/>
                <w:szCs w:val="14"/>
              </w:rPr>
            </w:pPr>
          </w:p>
        </w:tc>
        <w:tc>
          <w:tcPr>
            <w:tcW w:w="894" w:type="dxa"/>
            <w:gridSpan w:val="2"/>
            <w:tcBorders>
              <w:top w:val="nil"/>
              <w:left w:val="nil"/>
              <w:bottom w:val="nil"/>
              <w:right w:val="nil"/>
            </w:tcBorders>
            <w:shd w:val="clear" w:color="auto" w:fill="FFFFFF"/>
            <w:tcMar>
              <w:left w:w="67" w:type="dxa"/>
              <w:right w:w="67" w:type="dxa"/>
            </w:tcMar>
          </w:tcPr>
          <w:p w14:paraId="2952461E" w14:textId="77777777" w:rsidR="00E07CDE" w:rsidRPr="00563AD3" w:rsidRDefault="00E07CDE" w:rsidP="004818D9">
            <w:pPr>
              <w:spacing w:before="67" w:after="67" w:line="240" w:lineRule="auto"/>
              <w:jc w:val="right"/>
              <w:rPr>
                <w:rFonts w:eastAsia="Times New Roman"/>
                <w:color w:val="000000"/>
                <w:sz w:val="14"/>
                <w:szCs w:val="14"/>
              </w:rPr>
            </w:pPr>
          </w:p>
        </w:tc>
        <w:tc>
          <w:tcPr>
            <w:tcW w:w="850" w:type="dxa"/>
            <w:gridSpan w:val="2"/>
            <w:tcBorders>
              <w:top w:val="nil"/>
              <w:left w:val="nil"/>
              <w:bottom w:val="nil"/>
              <w:right w:val="nil"/>
            </w:tcBorders>
            <w:shd w:val="clear" w:color="auto" w:fill="FFFFFF"/>
            <w:tcMar>
              <w:left w:w="67" w:type="dxa"/>
              <w:right w:w="67" w:type="dxa"/>
            </w:tcMar>
          </w:tcPr>
          <w:p w14:paraId="5458AAF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(2.86) 0</w:t>
            </w:r>
          </w:p>
        </w:tc>
        <w:tc>
          <w:tcPr>
            <w:tcW w:w="865" w:type="dxa"/>
            <w:tcBorders>
              <w:top w:val="nil"/>
              <w:left w:val="nil"/>
              <w:bottom w:val="nil"/>
              <w:right w:val="nil"/>
            </w:tcBorders>
            <w:shd w:val="clear" w:color="auto" w:fill="FFFFFF"/>
            <w:tcMar>
              <w:left w:w="67" w:type="dxa"/>
              <w:right w:w="67" w:type="dxa"/>
            </w:tcMar>
          </w:tcPr>
          <w:p w14:paraId="68A2A24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 (3.77) 0</w:t>
            </w:r>
          </w:p>
        </w:tc>
        <w:tc>
          <w:tcPr>
            <w:tcW w:w="973" w:type="dxa"/>
            <w:tcBorders>
              <w:top w:val="nil"/>
              <w:left w:val="nil"/>
              <w:bottom w:val="nil"/>
              <w:right w:val="nil"/>
            </w:tcBorders>
            <w:shd w:val="clear" w:color="auto" w:fill="FFFFFF"/>
            <w:tcMar>
              <w:left w:w="67" w:type="dxa"/>
              <w:right w:w="67" w:type="dxa"/>
            </w:tcMar>
          </w:tcPr>
          <w:p w14:paraId="4239AAD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1.9 (3.41) 0</w:t>
            </w:r>
          </w:p>
        </w:tc>
        <w:tc>
          <w:tcPr>
            <w:tcW w:w="850" w:type="dxa"/>
            <w:gridSpan w:val="2"/>
            <w:tcBorders>
              <w:top w:val="nil"/>
              <w:left w:val="nil"/>
              <w:bottom w:val="nil"/>
              <w:right w:val="nil"/>
            </w:tcBorders>
            <w:shd w:val="clear" w:color="auto" w:fill="FFFFFF"/>
            <w:tcMar>
              <w:left w:w="67" w:type="dxa"/>
              <w:right w:w="67" w:type="dxa"/>
            </w:tcMar>
          </w:tcPr>
          <w:p w14:paraId="395B8A1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10 (10.46) 0</w:t>
            </w:r>
          </w:p>
        </w:tc>
        <w:tc>
          <w:tcPr>
            <w:tcW w:w="993" w:type="dxa"/>
            <w:gridSpan w:val="2"/>
            <w:tcBorders>
              <w:top w:val="nil"/>
              <w:left w:val="nil"/>
              <w:bottom w:val="nil"/>
              <w:right w:val="nil"/>
            </w:tcBorders>
            <w:shd w:val="clear" w:color="auto" w:fill="FFFFFF"/>
            <w:tcMar>
              <w:left w:w="67" w:type="dxa"/>
              <w:right w:w="67" w:type="dxa"/>
            </w:tcMar>
          </w:tcPr>
          <w:p w14:paraId="07CC7C1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8.4 (10.25) 0</w:t>
            </w:r>
          </w:p>
        </w:tc>
        <w:tc>
          <w:tcPr>
            <w:tcW w:w="992" w:type="dxa"/>
            <w:tcBorders>
              <w:top w:val="nil"/>
              <w:left w:val="nil"/>
              <w:bottom w:val="nil"/>
              <w:right w:val="single" w:sz="4" w:space="0" w:color="auto"/>
            </w:tcBorders>
            <w:shd w:val="clear" w:color="auto" w:fill="FFFFFF"/>
            <w:tcMar>
              <w:left w:w="67" w:type="dxa"/>
              <w:right w:w="67" w:type="dxa"/>
            </w:tcMar>
          </w:tcPr>
          <w:p w14:paraId="4AC1C7B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9.1 (10.36) 0</w:t>
            </w:r>
          </w:p>
        </w:tc>
      </w:tr>
      <w:tr w:rsidR="00E07CDE" w:rsidRPr="00563AD3" w14:paraId="321F07A2"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06553371" w14:textId="77777777" w:rsidR="00E07CDE" w:rsidRPr="00563AD3" w:rsidRDefault="00E07CDE" w:rsidP="004818D9">
            <w:pPr>
              <w:spacing w:before="67" w:after="67" w:line="240" w:lineRule="auto"/>
              <w:rPr>
                <w:rFonts w:eastAsia="Times New Roman"/>
                <w:b/>
                <w:bCs/>
                <w:color w:val="000000"/>
                <w:sz w:val="14"/>
                <w:szCs w:val="14"/>
              </w:rPr>
            </w:pPr>
            <w:r w:rsidRPr="00563AD3">
              <w:rPr>
                <w:rFonts w:eastAsia="Times New Roman"/>
                <w:b/>
                <w:bCs/>
                <w:color w:val="000000"/>
                <w:sz w:val="14"/>
                <w:szCs w:val="14"/>
              </w:rPr>
              <w:t>Subscales:</w:t>
            </w:r>
          </w:p>
        </w:tc>
        <w:tc>
          <w:tcPr>
            <w:tcW w:w="1139" w:type="dxa"/>
            <w:tcBorders>
              <w:top w:val="nil"/>
              <w:left w:val="nil"/>
              <w:bottom w:val="nil"/>
              <w:right w:val="nil"/>
            </w:tcBorders>
            <w:shd w:val="clear" w:color="auto" w:fill="FFFFFF"/>
            <w:tcMar>
              <w:left w:w="67" w:type="dxa"/>
              <w:right w:w="67" w:type="dxa"/>
            </w:tcMar>
          </w:tcPr>
          <w:p w14:paraId="0DA3324C" w14:textId="77777777" w:rsidR="00E07CDE" w:rsidRPr="00563AD3" w:rsidRDefault="00E07CDE" w:rsidP="004818D9">
            <w:pPr>
              <w:spacing w:before="67" w:after="67" w:line="240" w:lineRule="auto"/>
              <w:jc w:val="right"/>
              <w:rPr>
                <w:rFonts w:eastAsia="Times New Roman"/>
                <w:color w:val="000000"/>
                <w:sz w:val="14"/>
                <w:szCs w:val="14"/>
              </w:rPr>
            </w:pPr>
          </w:p>
        </w:tc>
        <w:tc>
          <w:tcPr>
            <w:tcW w:w="1134" w:type="dxa"/>
            <w:tcBorders>
              <w:top w:val="nil"/>
              <w:left w:val="nil"/>
              <w:bottom w:val="nil"/>
              <w:right w:val="nil"/>
            </w:tcBorders>
            <w:shd w:val="clear" w:color="auto" w:fill="FFFFFF"/>
            <w:tcMar>
              <w:left w:w="67" w:type="dxa"/>
              <w:right w:w="67" w:type="dxa"/>
            </w:tcMar>
          </w:tcPr>
          <w:p w14:paraId="48CD4295" w14:textId="77777777" w:rsidR="00E07CDE" w:rsidRPr="00563AD3" w:rsidRDefault="00E07CDE" w:rsidP="004818D9">
            <w:pPr>
              <w:spacing w:before="67" w:after="67" w:line="240" w:lineRule="auto"/>
              <w:jc w:val="right"/>
              <w:rPr>
                <w:rFonts w:eastAsia="Times New Roman"/>
                <w:color w:val="000000"/>
                <w:sz w:val="14"/>
                <w:szCs w:val="14"/>
              </w:rPr>
            </w:pPr>
          </w:p>
        </w:tc>
        <w:tc>
          <w:tcPr>
            <w:tcW w:w="1134" w:type="dxa"/>
            <w:gridSpan w:val="2"/>
            <w:tcBorders>
              <w:top w:val="nil"/>
              <w:left w:val="nil"/>
              <w:bottom w:val="nil"/>
              <w:right w:val="nil"/>
            </w:tcBorders>
            <w:shd w:val="clear" w:color="auto" w:fill="FFFFFF"/>
            <w:tcMar>
              <w:left w:w="67" w:type="dxa"/>
              <w:right w:w="67" w:type="dxa"/>
            </w:tcMar>
          </w:tcPr>
          <w:p w14:paraId="05803815" w14:textId="77777777" w:rsidR="00E07CDE" w:rsidRPr="00563AD3" w:rsidRDefault="00E07CDE" w:rsidP="004818D9">
            <w:pPr>
              <w:spacing w:before="67" w:after="67" w:line="240" w:lineRule="auto"/>
              <w:jc w:val="right"/>
              <w:rPr>
                <w:rFonts w:eastAsia="Times New Roman"/>
                <w:color w:val="000000"/>
                <w:sz w:val="14"/>
                <w:szCs w:val="14"/>
              </w:rPr>
            </w:pPr>
          </w:p>
        </w:tc>
        <w:tc>
          <w:tcPr>
            <w:tcW w:w="851" w:type="dxa"/>
            <w:gridSpan w:val="2"/>
            <w:tcBorders>
              <w:top w:val="nil"/>
              <w:left w:val="nil"/>
              <w:bottom w:val="nil"/>
              <w:right w:val="nil"/>
            </w:tcBorders>
            <w:shd w:val="clear" w:color="auto" w:fill="FFFFFF"/>
            <w:tcMar>
              <w:left w:w="67" w:type="dxa"/>
              <w:right w:w="67" w:type="dxa"/>
            </w:tcMar>
          </w:tcPr>
          <w:p w14:paraId="22F42AF6" w14:textId="77777777" w:rsidR="00E07CDE" w:rsidRPr="00563AD3" w:rsidRDefault="00E07CDE" w:rsidP="004818D9">
            <w:pPr>
              <w:spacing w:before="67" w:after="67" w:line="240" w:lineRule="auto"/>
              <w:jc w:val="right"/>
              <w:rPr>
                <w:rFonts w:eastAsia="Times New Roman"/>
                <w:color w:val="000000"/>
                <w:sz w:val="14"/>
                <w:szCs w:val="14"/>
              </w:rPr>
            </w:pPr>
          </w:p>
        </w:tc>
        <w:tc>
          <w:tcPr>
            <w:tcW w:w="891" w:type="dxa"/>
            <w:tcBorders>
              <w:top w:val="nil"/>
              <w:left w:val="nil"/>
              <w:bottom w:val="nil"/>
              <w:right w:val="nil"/>
            </w:tcBorders>
            <w:shd w:val="clear" w:color="auto" w:fill="FFFFFF"/>
            <w:tcMar>
              <w:left w:w="67" w:type="dxa"/>
              <w:right w:w="67" w:type="dxa"/>
            </w:tcMar>
          </w:tcPr>
          <w:p w14:paraId="0C20F517" w14:textId="77777777" w:rsidR="00E07CDE" w:rsidRPr="00563AD3" w:rsidRDefault="00E07CDE" w:rsidP="004818D9">
            <w:pPr>
              <w:spacing w:before="67" w:after="67" w:line="240" w:lineRule="auto"/>
              <w:jc w:val="right"/>
              <w:rPr>
                <w:rFonts w:eastAsia="Times New Roman"/>
                <w:color w:val="000000"/>
                <w:sz w:val="14"/>
                <w:szCs w:val="14"/>
              </w:rPr>
            </w:pPr>
          </w:p>
        </w:tc>
        <w:tc>
          <w:tcPr>
            <w:tcW w:w="951" w:type="dxa"/>
            <w:gridSpan w:val="2"/>
            <w:tcBorders>
              <w:top w:val="nil"/>
              <w:left w:val="nil"/>
              <w:bottom w:val="nil"/>
              <w:right w:val="nil"/>
            </w:tcBorders>
            <w:shd w:val="clear" w:color="auto" w:fill="FFFFFF"/>
            <w:tcMar>
              <w:left w:w="67" w:type="dxa"/>
              <w:right w:w="67" w:type="dxa"/>
            </w:tcMar>
          </w:tcPr>
          <w:p w14:paraId="67671F09" w14:textId="77777777" w:rsidR="00E07CDE" w:rsidRPr="00563AD3" w:rsidRDefault="00E07CDE" w:rsidP="004818D9">
            <w:pPr>
              <w:spacing w:before="67" w:after="67" w:line="240" w:lineRule="auto"/>
              <w:jc w:val="right"/>
              <w:rPr>
                <w:rFonts w:eastAsia="Times New Roman"/>
                <w:color w:val="000000"/>
                <w:sz w:val="14"/>
                <w:szCs w:val="14"/>
              </w:rPr>
            </w:pPr>
          </w:p>
        </w:tc>
        <w:tc>
          <w:tcPr>
            <w:tcW w:w="851" w:type="dxa"/>
            <w:gridSpan w:val="2"/>
            <w:tcBorders>
              <w:top w:val="nil"/>
              <w:left w:val="nil"/>
              <w:bottom w:val="nil"/>
              <w:right w:val="nil"/>
            </w:tcBorders>
            <w:shd w:val="clear" w:color="auto" w:fill="FFFFFF"/>
            <w:tcMar>
              <w:left w:w="67" w:type="dxa"/>
              <w:right w:w="67" w:type="dxa"/>
            </w:tcMar>
          </w:tcPr>
          <w:p w14:paraId="7A1E987F" w14:textId="77777777" w:rsidR="00E07CDE" w:rsidRPr="00563AD3" w:rsidRDefault="00E07CDE" w:rsidP="004818D9">
            <w:pPr>
              <w:spacing w:before="67" w:after="67" w:line="240" w:lineRule="auto"/>
              <w:jc w:val="right"/>
              <w:rPr>
                <w:rFonts w:eastAsia="Times New Roman"/>
                <w:color w:val="000000"/>
                <w:sz w:val="14"/>
                <w:szCs w:val="14"/>
              </w:rPr>
            </w:pPr>
          </w:p>
        </w:tc>
        <w:tc>
          <w:tcPr>
            <w:tcW w:w="807" w:type="dxa"/>
            <w:tcBorders>
              <w:top w:val="nil"/>
              <w:left w:val="nil"/>
              <w:bottom w:val="nil"/>
              <w:right w:val="nil"/>
            </w:tcBorders>
            <w:shd w:val="clear" w:color="auto" w:fill="FFFFFF"/>
            <w:tcMar>
              <w:left w:w="67" w:type="dxa"/>
              <w:right w:w="67" w:type="dxa"/>
            </w:tcMar>
          </w:tcPr>
          <w:p w14:paraId="02CD467D" w14:textId="77777777" w:rsidR="00E07CDE" w:rsidRPr="00563AD3" w:rsidRDefault="00E07CDE" w:rsidP="004818D9">
            <w:pPr>
              <w:spacing w:before="67" w:after="67" w:line="240" w:lineRule="auto"/>
              <w:jc w:val="right"/>
              <w:rPr>
                <w:rFonts w:eastAsia="Times New Roman"/>
                <w:color w:val="000000"/>
                <w:sz w:val="14"/>
                <w:szCs w:val="14"/>
              </w:rPr>
            </w:pPr>
          </w:p>
        </w:tc>
        <w:tc>
          <w:tcPr>
            <w:tcW w:w="894" w:type="dxa"/>
            <w:gridSpan w:val="2"/>
            <w:tcBorders>
              <w:top w:val="nil"/>
              <w:left w:val="nil"/>
              <w:bottom w:val="nil"/>
              <w:right w:val="nil"/>
            </w:tcBorders>
            <w:shd w:val="clear" w:color="auto" w:fill="FFFFFF"/>
            <w:tcMar>
              <w:left w:w="67" w:type="dxa"/>
              <w:right w:w="67" w:type="dxa"/>
            </w:tcMar>
          </w:tcPr>
          <w:p w14:paraId="1815D0C0" w14:textId="77777777" w:rsidR="00E07CDE" w:rsidRPr="00563AD3" w:rsidRDefault="00E07CDE" w:rsidP="004818D9">
            <w:pPr>
              <w:spacing w:before="67" w:after="67" w:line="240" w:lineRule="auto"/>
              <w:jc w:val="right"/>
              <w:rPr>
                <w:rFonts w:eastAsia="Times New Roman"/>
                <w:color w:val="000000"/>
                <w:sz w:val="14"/>
                <w:szCs w:val="14"/>
              </w:rPr>
            </w:pPr>
          </w:p>
        </w:tc>
        <w:tc>
          <w:tcPr>
            <w:tcW w:w="850" w:type="dxa"/>
            <w:gridSpan w:val="2"/>
            <w:tcBorders>
              <w:top w:val="nil"/>
              <w:left w:val="nil"/>
              <w:bottom w:val="nil"/>
              <w:right w:val="nil"/>
            </w:tcBorders>
            <w:shd w:val="clear" w:color="auto" w:fill="FFFFFF"/>
            <w:tcMar>
              <w:left w:w="67" w:type="dxa"/>
              <w:right w:w="67" w:type="dxa"/>
            </w:tcMar>
          </w:tcPr>
          <w:p w14:paraId="17F61718" w14:textId="77777777" w:rsidR="00E07CDE" w:rsidRPr="00563AD3" w:rsidRDefault="00E07CDE" w:rsidP="004818D9">
            <w:pPr>
              <w:spacing w:before="67" w:after="67" w:line="240" w:lineRule="auto"/>
              <w:jc w:val="right"/>
              <w:rPr>
                <w:rFonts w:eastAsia="Times New Roman"/>
                <w:color w:val="000000"/>
                <w:sz w:val="14"/>
                <w:szCs w:val="14"/>
              </w:rPr>
            </w:pPr>
          </w:p>
        </w:tc>
        <w:tc>
          <w:tcPr>
            <w:tcW w:w="865" w:type="dxa"/>
            <w:tcBorders>
              <w:top w:val="nil"/>
              <w:left w:val="nil"/>
              <w:bottom w:val="nil"/>
              <w:right w:val="nil"/>
            </w:tcBorders>
            <w:shd w:val="clear" w:color="auto" w:fill="FFFFFF"/>
            <w:tcMar>
              <w:left w:w="67" w:type="dxa"/>
              <w:right w:w="67" w:type="dxa"/>
            </w:tcMar>
          </w:tcPr>
          <w:p w14:paraId="56E0A6D2" w14:textId="77777777" w:rsidR="00E07CDE" w:rsidRPr="00563AD3" w:rsidRDefault="00E07CDE" w:rsidP="004818D9">
            <w:pPr>
              <w:spacing w:before="67" w:after="67" w:line="240" w:lineRule="auto"/>
              <w:jc w:val="right"/>
              <w:rPr>
                <w:rFonts w:eastAsia="Times New Roman"/>
                <w:color w:val="000000"/>
                <w:sz w:val="14"/>
                <w:szCs w:val="14"/>
              </w:rPr>
            </w:pPr>
          </w:p>
        </w:tc>
        <w:tc>
          <w:tcPr>
            <w:tcW w:w="973" w:type="dxa"/>
            <w:tcBorders>
              <w:top w:val="nil"/>
              <w:left w:val="nil"/>
              <w:bottom w:val="nil"/>
              <w:right w:val="nil"/>
            </w:tcBorders>
            <w:shd w:val="clear" w:color="auto" w:fill="FFFFFF"/>
            <w:tcMar>
              <w:left w:w="67" w:type="dxa"/>
              <w:right w:w="67" w:type="dxa"/>
            </w:tcMar>
          </w:tcPr>
          <w:p w14:paraId="036C9B7D" w14:textId="77777777" w:rsidR="00E07CDE" w:rsidRPr="00563AD3" w:rsidRDefault="00E07CDE" w:rsidP="004818D9">
            <w:pPr>
              <w:spacing w:before="67" w:after="67" w:line="240" w:lineRule="auto"/>
              <w:jc w:val="right"/>
              <w:rPr>
                <w:rFonts w:eastAsia="Times New Roman"/>
                <w:color w:val="000000"/>
                <w:sz w:val="14"/>
                <w:szCs w:val="14"/>
              </w:rPr>
            </w:pPr>
          </w:p>
        </w:tc>
        <w:tc>
          <w:tcPr>
            <w:tcW w:w="850" w:type="dxa"/>
            <w:gridSpan w:val="2"/>
            <w:tcBorders>
              <w:top w:val="nil"/>
              <w:left w:val="nil"/>
              <w:bottom w:val="nil"/>
              <w:right w:val="nil"/>
            </w:tcBorders>
            <w:shd w:val="clear" w:color="auto" w:fill="FFFFFF"/>
            <w:tcMar>
              <w:left w:w="67" w:type="dxa"/>
              <w:right w:w="67" w:type="dxa"/>
            </w:tcMar>
          </w:tcPr>
          <w:p w14:paraId="7895ABAD" w14:textId="77777777" w:rsidR="00E07CDE" w:rsidRPr="00563AD3" w:rsidRDefault="00E07CDE" w:rsidP="004818D9">
            <w:pPr>
              <w:spacing w:before="67" w:after="67" w:line="240" w:lineRule="auto"/>
              <w:jc w:val="right"/>
              <w:rPr>
                <w:rFonts w:eastAsia="Times New Roman"/>
                <w:color w:val="000000"/>
                <w:sz w:val="14"/>
                <w:szCs w:val="14"/>
              </w:rPr>
            </w:pPr>
          </w:p>
        </w:tc>
        <w:tc>
          <w:tcPr>
            <w:tcW w:w="993" w:type="dxa"/>
            <w:gridSpan w:val="2"/>
            <w:tcBorders>
              <w:top w:val="nil"/>
              <w:left w:val="nil"/>
              <w:bottom w:val="nil"/>
              <w:right w:val="nil"/>
            </w:tcBorders>
            <w:shd w:val="clear" w:color="auto" w:fill="FFFFFF"/>
            <w:tcMar>
              <w:left w:w="67" w:type="dxa"/>
              <w:right w:w="67" w:type="dxa"/>
            </w:tcMar>
          </w:tcPr>
          <w:p w14:paraId="20E7FE91" w14:textId="77777777" w:rsidR="00E07CDE" w:rsidRPr="00563AD3" w:rsidRDefault="00E07CDE" w:rsidP="004818D9">
            <w:pPr>
              <w:spacing w:before="67" w:after="67" w:line="240" w:lineRule="auto"/>
              <w:jc w:val="right"/>
              <w:rPr>
                <w:rFonts w:eastAsia="Times New Roman"/>
                <w:color w:val="000000"/>
                <w:sz w:val="14"/>
                <w:szCs w:val="14"/>
              </w:rPr>
            </w:pPr>
          </w:p>
        </w:tc>
        <w:tc>
          <w:tcPr>
            <w:tcW w:w="992" w:type="dxa"/>
            <w:tcBorders>
              <w:top w:val="nil"/>
              <w:left w:val="nil"/>
              <w:bottom w:val="nil"/>
              <w:right w:val="single" w:sz="4" w:space="0" w:color="auto"/>
            </w:tcBorders>
            <w:shd w:val="clear" w:color="auto" w:fill="FFFFFF"/>
            <w:tcMar>
              <w:left w:w="67" w:type="dxa"/>
              <w:right w:w="67" w:type="dxa"/>
            </w:tcMar>
          </w:tcPr>
          <w:p w14:paraId="7F1DB7BF" w14:textId="77777777" w:rsidR="00E07CDE" w:rsidRPr="00563AD3" w:rsidRDefault="00E07CDE" w:rsidP="004818D9">
            <w:pPr>
              <w:spacing w:before="67" w:after="67" w:line="240" w:lineRule="auto"/>
              <w:jc w:val="right"/>
              <w:rPr>
                <w:rFonts w:eastAsia="Times New Roman"/>
                <w:color w:val="000000"/>
                <w:sz w:val="14"/>
                <w:szCs w:val="14"/>
              </w:rPr>
            </w:pPr>
          </w:p>
        </w:tc>
      </w:tr>
      <w:tr w:rsidR="00E07CDE" w:rsidRPr="00563AD3" w14:paraId="582E007D"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6B74A565"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Delusions</w:t>
            </w:r>
          </w:p>
        </w:tc>
        <w:tc>
          <w:tcPr>
            <w:tcW w:w="1139" w:type="dxa"/>
            <w:tcBorders>
              <w:top w:val="nil"/>
              <w:left w:val="nil"/>
              <w:bottom w:val="nil"/>
              <w:right w:val="nil"/>
            </w:tcBorders>
            <w:shd w:val="clear" w:color="auto" w:fill="FFFFFF"/>
            <w:tcMar>
              <w:left w:w="67" w:type="dxa"/>
              <w:right w:w="67" w:type="dxa"/>
            </w:tcMar>
          </w:tcPr>
          <w:p w14:paraId="74FA01D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24 (8.5%)284</w:t>
            </w:r>
          </w:p>
        </w:tc>
        <w:tc>
          <w:tcPr>
            <w:tcW w:w="1134" w:type="dxa"/>
            <w:tcBorders>
              <w:top w:val="nil"/>
              <w:left w:val="nil"/>
              <w:bottom w:val="nil"/>
              <w:right w:val="nil"/>
            </w:tcBorders>
            <w:shd w:val="clear" w:color="auto" w:fill="FFFFFF"/>
            <w:tcMar>
              <w:left w:w="67" w:type="dxa"/>
              <w:right w:w="67" w:type="dxa"/>
            </w:tcMar>
          </w:tcPr>
          <w:p w14:paraId="3625492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50 (13%)384</w:t>
            </w:r>
          </w:p>
        </w:tc>
        <w:tc>
          <w:tcPr>
            <w:tcW w:w="1134" w:type="dxa"/>
            <w:gridSpan w:val="2"/>
            <w:tcBorders>
              <w:top w:val="nil"/>
              <w:left w:val="nil"/>
              <w:bottom w:val="nil"/>
              <w:right w:val="nil"/>
            </w:tcBorders>
            <w:shd w:val="clear" w:color="auto" w:fill="FFFFFF"/>
            <w:tcMar>
              <w:left w:w="67" w:type="dxa"/>
              <w:right w:w="67" w:type="dxa"/>
            </w:tcMar>
          </w:tcPr>
          <w:p w14:paraId="4F754CD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74 (11.1%)668</w:t>
            </w:r>
          </w:p>
        </w:tc>
        <w:tc>
          <w:tcPr>
            <w:tcW w:w="851" w:type="dxa"/>
            <w:gridSpan w:val="2"/>
            <w:tcBorders>
              <w:top w:val="nil"/>
              <w:left w:val="nil"/>
              <w:bottom w:val="nil"/>
              <w:right w:val="nil"/>
            </w:tcBorders>
            <w:shd w:val="clear" w:color="auto" w:fill="FFFFFF"/>
            <w:tcMar>
              <w:left w:w="67" w:type="dxa"/>
              <w:right w:w="67" w:type="dxa"/>
            </w:tcMar>
          </w:tcPr>
          <w:p w14:paraId="6211B9D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2.9 (1.26) 0</w:t>
            </w:r>
          </w:p>
        </w:tc>
        <w:tc>
          <w:tcPr>
            <w:tcW w:w="891" w:type="dxa"/>
            <w:tcBorders>
              <w:top w:val="nil"/>
              <w:left w:val="nil"/>
              <w:bottom w:val="nil"/>
              <w:right w:val="nil"/>
            </w:tcBorders>
            <w:shd w:val="clear" w:color="auto" w:fill="FFFFFF"/>
            <w:tcMar>
              <w:left w:w="67" w:type="dxa"/>
              <w:right w:w="67" w:type="dxa"/>
            </w:tcMar>
          </w:tcPr>
          <w:p w14:paraId="5D13FA0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(1.13) 1</w:t>
            </w:r>
          </w:p>
        </w:tc>
        <w:tc>
          <w:tcPr>
            <w:tcW w:w="951" w:type="dxa"/>
            <w:gridSpan w:val="2"/>
            <w:tcBorders>
              <w:top w:val="nil"/>
              <w:left w:val="nil"/>
              <w:bottom w:val="nil"/>
              <w:right w:val="nil"/>
            </w:tcBorders>
            <w:shd w:val="clear" w:color="auto" w:fill="FFFFFF"/>
            <w:tcMar>
              <w:left w:w="67" w:type="dxa"/>
              <w:right w:w="67" w:type="dxa"/>
            </w:tcMar>
          </w:tcPr>
          <w:p w14:paraId="626B8E7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2.7 (1.17) 1</w:t>
            </w:r>
          </w:p>
        </w:tc>
        <w:tc>
          <w:tcPr>
            <w:tcW w:w="851" w:type="dxa"/>
            <w:gridSpan w:val="2"/>
            <w:tcBorders>
              <w:top w:val="nil"/>
              <w:left w:val="nil"/>
              <w:bottom w:val="nil"/>
              <w:right w:val="nil"/>
            </w:tcBorders>
            <w:shd w:val="clear" w:color="auto" w:fill="FFFFFF"/>
            <w:tcMar>
              <w:left w:w="67" w:type="dxa"/>
              <w:right w:w="67" w:type="dxa"/>
            </w:tcMar>
          </w:tcPr>
          <w:p w14:paraId="5346819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(0.62) 0</w:t>
            </w:r>
          </w:p>
        </w:tc>
        <w:tc>
          <w:tcPr>
            <w:tcW w:w="807" w:type="dxa"/>
            <w:tcBorders>
              <w:top w:val="nil"/>
              <w:left w:val="nil"/>
              <w:bottom w:val="nil"/>
              <w:right w:val="nil"/>
            </w:tcBorders>
            <w:shd w:val="clear" w:color="auto" w:fill="FFFFFF"/>
            <w:tcMar>
              <w:left w:w="67" w:type="dxa"/>
              <w:right w:w="67" w:type="dxa"/>
            </w:tcMar>
          </w:tcPr>
          <w:p w14:paraId="52E572F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(0.62) 1</w:t>
            </w:r>
          </w:p>
        </w:tc>
        <w:tc>
          <w:tcPr>
            <w:tcW w:w="894" w:type="dxa"/>
            <w:gridSpan w:val="2"/>
            <w:tcBorders>
              <w:top w:val="nil"/>
              <w:left w:val="nil"/>
              <w:bottom w:val="nil"/>
              <w:right w:val="nil"/>
            </w:tcBorders>
            <w:shd w:val="clear" w:color="auto" w:fill="FFFFFF"/>
            <w:tcMar>
              <w:left w:w="67" w:type="dxa"/>
              <w:right w:w="67" w:type="dxa"/>
            </w:tcMar>
          </w:tcPr>
          <w:p w14:paraId="4777442B" w14:textId="05059669"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1.6 (0.62) </w:t>
            </w:r>
            <w:r w:rsidR="00E35291">
              <w:rPr>
                <w:rFonts w:eastAsia="Times New Roman"/>
                <w:color w:val="000000"/>
                <w:sz w:val="14"/>
                <w:szCs w:val="14"/>
              </w:rPr>
              <w:t xml:space="preserve">  </w:t>
            </w:r>
            <w:r w:rsidRPr="00563AD3">
              <w:rPr>
                <w:rFonts w:eastAsia="Times New Roman"/>
                <w:color w:val="000000"/>
                <w:sz w:val="14"/>
                <w:szCs w:val="14"/>
              </w:rPr>
              <w:t>1</w:t>
            </w:r>
          </w:p>
        </w:tc>
        <w:tc>
          <w:tcPr>
            <w:tcW w:w="850" w:type="dxa"/>
            <w:gridSpan w:val="2"/>
            <w:tcBorders>
              <w:top w:val="nil"/>
              <w:left w:val="nil"/>
              <w:bottom w:val="nil"/>
              <w:right w:val="nil"/>
            </w:tcBorders>
            <w:shd w:val="clear" w:color="auto" w:fill="FFFFFF"/>
            <w:tcMar>
              <w:left w:w="67" w:type="dxa"/>
              <w:right w:w="67" w:type="dxa"/>
            </w:tcMar>
          </w:tcPr>
          <w:p w14:paraId="457EFD7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0.8 (1.1) 0</w:t>
            </w:r>
          </w:p>
        </w:tc>
        <w:tc>
          <w:tcPr>
            <w:tcW w:w="865" w:type="dxa"/>
            <w:tcBorders>
              <w:top w:val="nil"/>
              <w:left w:val="nil"/>
              <w:bottom w:val="nil"/>
              <w:right w:val="nil"/>
            </w:tcBorders>
            <w:shd w:val="clear" w:color="auto" w:fill="FFFFFF"/>
            <w:tcMar>
              <w:left w:w="67" w:type="dxa"/>
              <w:right w:w="67" w:type="dxa"/>
            </w:tcMar>
          </w:tcPr>
          <w:p w14:paraId="33CD870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(1.15) 2</w:t>
            </w:r>
          </w:p>
        </w:tc>
        <w:tc>
          <w:tcPr>
            <w:tcW w:w="973" w:type="dxa"/>
            <w:tcBorders>
              <w:top w:val="nil"/>
              <w:left w:val="nil"/>
              <w:bottom w:val="nil"/>
              <w:right w:val="nil"/>
            </w:tcBorders>
            <w:shd w:val="clear" w:color="auto" w:fill="FFFFFF"/>
            <w:tcMar>
              <w:left w:w="67" w:type="dxa"/>
              <w:right w:w="67" w:type="dxa"/>
            </w:tcMar>
          </w:tcPr>
          <w:p w14:paraId="6EC2137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(1.17) 2</w:t>
            </w:r>
          </w:p>
        </w:tc>
        <w:tc>
          <w:tcPr>
            <w:tcW w:w="850" w:type="dxa"/>
            <w:gridSpan w:val="2"/>
            <w:tcBorders>
              <w:top w:val="nil"/>
              <w:left w:val="nil"/>
              <w:bottom w:val="nil"/>
              <w:right w:val="nil"/>
            </w:tcBorders>
            <w:shd w:val="clear" w:color="auto" w:fill="FFFFFF"/>
            <w:tcMar>
              <w:left w:w="67" w:type="dxa"/>
              <w:right w:w="67" w:type="dxa"/>
            </w:tcMar>
          </w:tcPr>
          <w:p w14:paraId="2671F36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5.3 (3.28) 0</w:t>
            </w:r>
          </w:p>
        </w:tc>
        <w:tc>
          <w:tcPr>
            <w:tcW w:w="993" w:type="dxa"/>
            <w:gridSpan w:val="2"/>
            <w:tcBorders>
              <w:top w:val="nil"/>
              <w:left w:val="nil"/>
              <w:bottom w:val="nil"/>
              <w:right w:val="nil"/>
            </w:tcBorders>
            <w:shd w:val="clear" w:color="auto" w:fill="FFFFFF"/>
            <w:tcMar>
              <w:left w:w="67" w:type="dxa"/>
              <w:right w:w="67" w:type="dxa"/>
            </w:tcMar>
          </w:tcPr>
          <w:p w14:paraId="7C94A12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 (2.66) 1</w:t>
            </w:r>
          </w:p>
        </w:tc>
        <w:tc>
          <w:tcPr>
            <w:tcW w:w="992" w:type="dxa"/>
            <w:tcBorders>
              <w:top w:val="nil"/>
              <w:left w:val="nil"/>
              <w:bottom w:val="nil"/>
              <w:right w:val="single" w:sz="4" w:space="0" w:color="auto"/>
            </w:tcBorders>
            <w:shd w:val="clear" w:color="auto" w:fill="FFFFFF"/>
            <w:tcMar>
              <w:left w:w="67" w:type="dxa"/>
              <w:right w:w="67" w:type="dxa"/>
            </w:tcMar>
          </w:tcPr>
          <w:p w14:paraId="6CF6EEA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4.5 (2.92) 1</w:t>
            </w:r>
          </w:p>
        </w:tc>
      </w:tr>
      <w:tr w:rsidR="00E07CDE" w:rsidRPr="00563AD3" w14:paraId="6F9A8E72"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77D59F70"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Hallucinations</w:t>
            </w:r>
          </w:p>
        </w:tc>
        <w:tc>
          <w:tcPr>
            <w:tcW w:w="1139" w:type="dxa"/>
            <w:tcBorders>
              <w:top w:val="nil"/>
              <w:left w:val="nil"/>
              <w:bottom w:val="nil"/>
              <w:right w:val="nil"/>
            </w:tcBorders>
            <w:shd w:val="clear" w:color="auto" w:fill="FFFFFF"/>
            <w:tcMar>
              <w:left w:w="67" w:type="dxa"/>
              <w:right w:w="67" w:type="dxa"/>
            </w:tcMar>
          </w:tcPr>
          <w:p w14:paraId="5952785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29 (10.2%)284</w:t>
            </w:r>
          </w:p>
        </w:tc>
        <w:tc>
          <w:tcPr>
            <w:tcW w:w="1134" w:type="dxa"/>
            <w:tcBorders>
              <w:top w:val="nil"/>
              <w:left w:val="nil"/>
              <w:bottom w:val="nil"/>
              <w:right w:val="nil"/>
            </w:tcBorders>
            <w:shd w:val="clear" w:color="auto" w:fill="FFFFFF"/>
            <w:tcMar>
              <w:left w:w="67" w:type="dxa"/>
              <w:right w:w="67" w:type="dxa"/>
            </w:tcMar>
          </w:tcPr>
          <w:p w14:paraId="4BDF3D6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37 (9.6%)384</w:t>
            </w:r>
          </w:p>
        </w:tc>
        <w:tc>
          <w:tcPr>
            <w:tcW w:w="1134" w:type="dxa"/>
            <w:gridSpan w:val="2"/>
            <w:tcBorders>
              <w:top w:val="nil"/>
              <w:left w:val="nil"/>
              <w:bottom w:val="nil"/>
              <w:right w:val="nil"/>
            </w:tcBorders>
            <w:shd w:val="clear" w:color="auto" w:fill="FFFFFF"/>
            <w:tcMar>
              <w:left w:w="67" w:type="dxa"/>
              <w:right w:w="67" w:type="dxa"/>
            </w:tcMar>
          </w:tcPr>
          <w:p w14:paraId="4E43812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66 (9.9%)668</w:t>
            </w:r>
          </w:p>
        </w:tc>
        <w:tc>
          <w:tcPr>
            <w:tcW w:w="851" w:type="dxa"/>
            <w:gridSpan w:val="2"/>
            <w:tcBorders>
              <w:top w:val="nil"/>
              <w:left w:val="nil"/>
              <w:bottom w:val="nil"/>
              <w:right w:val="nil"/>
            </w:tcBorders>
            <w:shd w:val="clear" w:color="auto" w:fill="FFFFFF"/>
            <w:tcMar>
              <w:left w:w="67" w:type="dxa"/>
              <w:right w:w="67" w:type="dxa"/>
            </w:tcMar>
          </w:tcPr>
          <w:p w14:paraId="0EBF25E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2.5 (1.09) 0</w:t>
            </w:r>
          </w:p>
        </w:tc>
        <w:tc>
          <w:tcPr>
            <w:tcW w:w="891" w:type="dxa"/>
            <w:tcBorders>
              <w:top w:val="nil"/>
              <w:left w:val="nil"/>
              <w:bottom w:val="nil"/>
              <w:right w:val="nil"/>
            </w:tcBorders>
            <w:shd w:val="clear" w:color="auto" w:fill="FFFFFF"/>
            <w:tcMar>
              <w:left w:w="67" w:type="dxa"/>
              <w:right w:w="67" w:type="dxa"/>
            </w:tcMar>
          </w:tcPr>
          <w:p w14:paraId="561E4CE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 (1.12) 0</w:t>
            </w:r>
          </w:p>
        </w:tc>
        <w:tc>
          <w:tcPr>
            <w:tcW w:w="951" w:type="dxa"/>
            <w:gridSpan w:val="2"/>
            <w:tcBorders>
              <w:top w:val="nil"/>
              <w:left w:val="nil"/>
              <w:bottom w:val="nil"/>
              <w:right w:val="nil"/>
            </w:tcBorders>
            <w:shd w:val="clear" w:color="auto" w:fill="FFFFFF"/>
            <w:tcMar>
              <w:left w:w="67" w:type="dxa"/>
              <w:right w:w="67" w:type="dxa"/>
            </w:tcMar>
          </w:tcPr>
          <w:p w14:paraId="637A5F3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2.7 (1.11) 0</w:t>
            </w:r>
          </w:p>
        </w:tc>
        <w:tc>
          <w:tcPr>
            <w:tcW w:w="851" w:type="dxa"/>
            <w:gridSpan w:val="2"/>
            <w:tcBorders>
              <w:top w:val="nil"/>
              <w:left w:val="nil"/>
              <w:bottom w:val="nil"/>
              <w:right w:val="nil"/>
            </w:tcBorders>
            <w:shd w:val="clear" w:color="auto" w:fill="FFFFFF"/>
            <w:tcMar>
              <w:left w:w="67" w:type="dxa"/>
              <w:right w:w="67" w:type="dxa"/>
            </w:tcMar>
          </w:tcPr>
          <w:p w14:paraId="68A48F0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(0.69) 0</w:t>
            </w:r>
          </w:p>
        </w:tc>
        <w:tc>
          <w:tcPr>
            <w:tcW w:w="807" w:type="dxa"/>
            <w:tcBorders>
              <w:top w:val="nil"/>
              <w:left w:val="nil"/>
              <w:bottom w:val="nil"/>
              <w:right w:val="nil"/>
            </w:tcBorders>
            <w:shd w:val="clear" w:color="auto" w:fill="FFFFFF"/>
            <w:tcMar>
              <w:left w:w="67" w:type="dxa"/>
              <w:right w:w="67" w:type="dxa"/>
            </w:tcMar>
          </w:tcPr>
          <w:p w14:paraId="0C0F367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(0.53) 0</w:t>
            </w:r>
          </w:p>
        </w:tc>
        <w:tc>
          <w:tcPr>
            <w:tcW w:w="894" w:type="dxa"/>
            <w:gridSpan w:val="2"/>
            <w:tcBorders>
              <w:top w:val="nil"/>
              <w:left w:val="nil"/>
              <w:bottom w:val="nil"/>
              <w:right w:val="nil"/>
            </w:tcBorders>
            <w:shd w:val="clear" w:color="auto" w:fill="FFFFFF"/>
            <w:tcMar>
              <w:left w:w="67" w:type="dxa"/>
              <w:right w:w="67" w:type="dxa"/>
            </w:tcMar>
          </w:tcPr>
          <w:p w14:paraId="3EAA2F6E" w14:textId="20D9A6C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1.4 (0.6) </w:t>
            </w:r>
            <w:r w:rsidR="00E35291">
              <w:rPr>
                <w:rFonts w:eastAsia="Times New Roman"/>
                <w:color w:val="000000"/>
                <w:sz w:val="14"/>
                <w:szCs w:val="14"/>
              </w:rPr>
              <w:t xml:space="preserve">    </w:t>
            </w:r>
            <w:r w:rsidRPr="00563AD3">
              <w:rPr>
                <w:rFonts w:eastAsia="Times New Roman"/>
                <w:color w:val="000000"/>
                <w:sz w:val="14"/>
                <w:szCs w:val="14"/>
              </w:rPr>
              <w:t>0</w:t>
            </w:r>
          </w:p>
        </w:tc>
        <w:tc>
          <w:tcPr>
            <w:tcW w:w="850" w:type="dxa"/>
            <w:gridSpan w:val="2"/>
            <w:tcBorders>
              <w:top w:val="nil"/>
              <w:left w:val="nil"/>
              <w:bottom w:val="nil"/>
              <w:right w:val="nil"/>
            </w:tcBorders>
            <w:shd w:val="clear" w:color="auto" w:fill="FFFFFF"/>
            <w:tcMar>
              <w:left w:w="67" w:type="dxa"/>
              <w:right w:w="67" w:type="dxa"/>
            </w:tcMar>
          </w:tcPr>
          <w:p w14:paraId="21EA568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0.4 (0.78) 0</w:t>
            </w:r>
          </w:p>
        </w:tc>
        <w:tc>
          <w:tcPr>
            <w:tcW w:w="865" w:type="dxa"/>
            <w:tcBorders>
              <w:top w:val="nil"/>
              <w:left w:val="nil"/>
              <w:bottom w:val="nil"/>
              <w:right w:val="nil"/>
            </w:tcBorders>
            <w:shd w:val="clear" w:color="auto" w:fill="FFFFFF"/>
            <w:tcMar>
              <w:left w:w="67" w:type="dxa"/>
              <w:right w:w="67" w:type="dxa"/>
            </w:tcMar>
          </w:tcPr>
          <w:p w14:paraId="3605F1B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0.8 (0.95) 0</w:t>
            </w:r>
          </w:p>
        </w:tc>
        <w:tc>
          <w:tcPr>
            <w:tcW w:w="973" w:type="dxa"/>
            <w:tcBorders>
              <w:top w:val="nil"/>
              <w:left w:val="nil"/>
              <w:bottom w:val="nil"/>
              <w:right w:val="nil"/>
            </w:tcBorders>
            <w:shd w:val="clear" w:color="auto" w:fill="FFFFFF"/>
            <w:tcMar>
              <w:left w:w="67" w:type="dxa"/>
              <w:right w:w="67" w:type="dxa"/>
            </w:tcMar>
          </w:tcPr>
          <w:p w14:paraId="1D16418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0.6 (0.89) 0</w:t>
            </w:r>
          </w:p>
        </w:tc>
        <w:tc>
          <w:tcPr>
            <w:tcW w:w="850" w:type="dxa"/>
            <w:gridSpan w:val="2"/>
            <w:tcBorders>
              <w:top w:val="nil"/>
              <w:left w:val="nil"/>
              <w:bottom w:val="nil"/>
              <w:right w:val="nil"/>
            </w:tcBorders>
            <w:shd w:val="clear" w:color="auto" w:fill="FFFFFF"/>
            <w:tcMar>
              <w:left w:w="67" w:type="dxa"/>
              <w:right w:w="67" w:type="dxa"/>
            </w:tcMar>
          </w:tcPr>
          <w:p w14:paraId="79DBFE2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3.9 (3) 0</w:t>
            </w:r>
          </w:p>
        </w:tc>
        <w:tc>
          <w:tcPr>
            <w:tcW w:w="993" w:type="dxa"/>
            <w:gridSpan w:val="2"/>
            <w:tcBorders>
              <w:top w:val="nil"/>
              <w:left w:val="nil"/>
              <w:bottom w:val="nil"/>
              <w:right w:val="nil"/>
            </w:tcBorders>
            <w:shd w:val="clear" w:color="auto" w:fill="FFFFFF"/>
            <w:tcMar>
              <w:left w:w="67" w:type="dxa"/>
              <w:right w:w="67" w:type="dxa"/>
            </w:tcMar>
          </w:tcPr>
          <w:p w14:paraId="07B11308"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3.8 (2.38) 0</w:t>
            </w:r>
          </w:p>
        </w:tc>
        <w:tc>
          <w:tcPr>
            <w:tcW w:w="992" w:type="dxa"/>
            <w:tcBorders>
              <w:top w:val="nil"/>
              <w:left w:val="nil"/>
              <w:bottom w:val="nil"/>
              <w:right w:val="single" w:sz="4" w:space="0" w:color="auto"/>
            </w:tcBorders>
            <w:shd w:val="clear" w:color="auto" w:fill="FFFFFF"/>
            <w:tcMar>
              <w:left w:w="67" w:type="dxa"/>
              <w:right w:w="67" w:type="dxa"/>
            </w:tcMar>
          </w:tcPr>
          <w:p w14:paraId="2F33C1B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3.8 (2.65) 0</w:t>
            </w:r>
          </w:p>
        </w:tc>
      </w:tr>
      <w:tr w:rsidR="00E07CDE" w:rsidRPr="00563AD3" w14:paraId="38F893E2"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1757A1E1" w14:textId="15B989D0"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Agitation/</w:t>
            </w:r>
            <w:r w:rsidR="00E35291">
              <w:rPr>
                <w:rFonts w:eastAsia="Times New Roman"/>
                <w:color w:val="000000"/>
                <w:sz w:val="14"/>
                <w:szCs w:val="14"/>
              </w:rPr>
              <w:t xml:space="preserve"> </w:t>
            </w:r>
            <w:r w:rsidRPr="00563AD3">
              <w:rPr>
                <w:rFonts w:eastAsia="Times New Roman"/>
                <w:color w:val="000000"/>
                <w:sz w:val="14"/>
                <w:szCs w:val="14"/>
              </w:rPr>
              <w:t>Aggression</w:t>
            </w:r>
          </w:p>
        </w:tc>
        <w:tc>
          <w:tcPr>
            <w:tcW w:w="1139" w:type="dxa"/>
            <w:tcBorders>
              <w:top w:val="nil"/>
              <w:left w:val="nil"/>
              <w:bottom w:val="nil"/>
              <w:right w:val="nil"/>
            </w:tcBorders>
            <w:shd w:val="clear" w:color="auto" w:fill="FFFFFF"/>
            <w:tcMar>
              <w:left w:w="67" w:type="dxa"/>
              <w:right w:w="67" w:type="dxa"/>
            </w:tcMar>
          </w:tcPr>
          <w:p w14:paraId="17E9EEF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116 (40.8%)284</w:t>
            </w:r>
          </w:p>
        </w:tc>
        <w:tc>
          <w:tcPr>
            <w:tcW w:w="1134" w:type="dxa"/>
            <w:tcBorders>
              <w:top w:val="nil"/>
              <w:left w:val="nil"/>
              <w:bottom w:val="nil"/>
              <w:right w:val="nil"/>
            </w:tcBorders>
            <w:shd w:val="clear" w:color="auto" w:fill="FFFFFF"/>
            <w:tcMar>
              <w:left w:w="67" w:type="dxa"/>
              <w:right w:w="67" w:type="dxa"/>
            </w:tcMar>
          </w:tcPr>
          <w:p w14:paraId="04810C0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141 (36.7%)384</w:t>
            </w:r>
          </w:p>
        </w:tc>
        <w:tc>
          <w:tcPr>
            <w:tcW w:w="1134" w:type="dxa"/>
            <w:gridSpan w:val="2"/>
            <w:tcBorders>
              <w:top w:val="nil"/>
              <w:left w:val="nil"/>
              <w:bottom w:val="nil"/>
              <w:right w:val="nil"/>
            </w:tcBorders>
            <w:shd w:val="clear" w:color="auto" w:fill="FFFFFF"/>
            <w:tcMar>
              <w:left w:w="67" w:type="dxa"/>
              <w:right w:w="67" w:type="dxa"/>
            </w:tcMar>
          </w:tcPr>
          <w:p w14:paraId="65B6B53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257 (38.5%)668</w:t>
            </w:r>
          </w:p>
        </w:tc>
        <w:tc>
          <w:tcPr>
            <w:tcW w:w="851" w:type="dxa"/>
            <w:gridSpan w:val="2"/>
            <w:tcBorders>
              <w:top w:val="nil"/>
              <w:left w:val="nil"/>
              <w:bottom w:val="nil"/>
              <w:right w:val="nil"/>
            </w:tcBorders>
            <w:shd w:val="clear" w:color="auto" w:fill="FFFFFF"/>
            <w:tcMar>
              <w:left w:w="67" w:type="dxa"/>
              <w:right w:w="67" w:type="dxa"/>
            </w:tcMar>
          </w:tcPr>
          <w:p w14:paraId="2D52EEE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 (0.92) 0</w:t>
            </w:r>
          </w:p>
        </w:tc>
        <w:tc>
          <w:tcPr>
            <w:tcW w:w="891" w:type="dxa"/>
            <w:tcBorders>
              <w:top w:val="nil"/>
              <w:left w:val="nil"/>
              <w:bottom w:val="nil"/>
              <w:right w:val="nil"/>
            </w:tcBorders>
            <w:shd w:val="clear" w:color="auto" w:fill="FFFFFF"/>
            <w:tcMar>
              <w:left w:w="67" w:type="dxa"/>
              <w:right w:w="67" w:type="dxa"/>
            </w:tcMar>
          </w:tcPr>
          <w:p w14:paraId="61A4BBC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2.9 (0.95) 2</w:t>
            </w:r>
          </w:p>
        </w:tc>
        <w:tc>
          <w:tcPr>
            <w:tcW w:w="951" w:type="dxa"/>
            <w:gridSpan w:val="2"/>
            <w:tcBorders>
              <w:top w:val="nil"/>
              <w:left w:val="nil"/>
              <w:bottom w:val="nil"/>
              <w:right w:val="nil"/>
            </w:tcBorders>
            <w:shd w:val="clear" w:color="auto" w:fill="FFFFFF"/>
            <w:tcMar>
              <w:left w:w="67" w:type="dxa"/>
              <w:right w:w="67" w:type="dxa"/>
            </w:tcMar>
          </w:tcPr>
          <w:p w14:paraId="07C5D98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2.9 (0.94) 2</w:t>
            </w:r>
          </w:p>
        </w:tc>
        <w:tc>
          <w:tcPr>
            <w:tcW w:w="851" w:type="dxa"/>
            <w:gridSpan w:val="2"/>
            <w:tcBorders>
              <w:top w:val="nil"/>
              <w:left w:val="nil"/>
              <w:bottom w:val="nil"/>
              <w:right w:val="nil"/>
            </w:tcBorders>
            <w:shd w:val="clear" w:color="auto" w:fill="FFFFFF"/>
            <w:tcMar>
              <w:left w:w="67" w:type="dxa"/>
              <w:right w:w="67" w:type="dxa"/>
            </w:tcMar>
          </w:tcPr>
          <w:p w14:paraId="4C35F38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(0.57) 0</w:t>
            </w:r>
          </w:p>
        </w:tc>
        <w:tc>
          <w:tcPr>
            <w:tcW w:w="807" w:type="dxa"/>
            <w:tcBorders>
              <w:top w:val="nil"/>
              <w:left w:val="nil"/>
              <w:bottom w:val="nil"/>
              <w:right w:val="nil"/>
            </w:tcBorders>
            <w:shd w:val="clear" w:color="auto" w:fill="FFFFFF"/>
            <w:tcMar>
              <w:left w:w="67" w:type="dxa"/>
              <w:right w:w="67" w:type="dxa"/>
            </w:tcMar>
          </w:tcPr>
          <w:p w14:paraId="4CCBFDF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(0.58) 1</w:t>
            </w:r>
          </w:p>
        </w:tc>
        <w:tc>
          <w:tcPr>
            <w:tcW w:w="894" w:type="dxa"/>
            <w:gridSpan w:val="2"/>
            <w:tcBorders>
              <w:top w:val="nil"/>
              <w:left w:val="nil"/>
              <w:bottom w:val="nil"/>
              <w:right w:val="nil"/>
            </w:tcBorders>
            <w:shd w:val="clear" w:color="auto" w:fill="FFFFFF"/>
            <w:tcMar>
              <w:left w:w="67" w:type="dxa"/>
              <w:right w:w="67" w:type="dxa"/>
            </w:tcMar>
          </w:tcPr>
          <w:p w14:paraId="48DC00D2" w14:textId="3B4AD588"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1.5 (0.57) </w:t>
            </w:r>
            <w:r w:rsidR="00E35291">
              <w:rPr>
                <w:rFonts w:eastAsia="Times New Roman"/>
                <w:color w:val="000000"/>
                <w:sz w:val="14"/>
                <w:szCs w:val="14"/>
              </w:rPr>
              <w:t xml:space="preserve">   </w:t>
            </w:r>
            <w:r w:rsidRPr="00563AD3">
              <w:rPr>
                <w:rFonts w:eastAsia="Times New Roman"/>
                <w:color w:val="000000"/>
                <w:sz w:val="14"/>
                <w:szCs w:val="14"/>
              </w:rPr>
              <w:t>1</w:t>
            </w:r>
          </w:p>
        </w:tc>
        <w:tc>
          <w:tcPr>
            <w:tcW w:w="850" w:type="dxa"/>
            <w:gridSpan w:val="2"/>
            <w:tcBorders>
              <w:top w:val="nil"/>
              <w:left w:val="nil"/>
              <w:bottom w:val="nil"/>
              <w:right w:val="nil"/>
            </w:tcBorders>
            <w:shd w:val="clear" w:color="auto" w:fill="FFFFFF"/>
            <w:tcMar>
              <w:left w:w="67" w:type="dxa"/>
              <w:right w:w="67" w:type="dxa"/>
            </w:tcMar>
          </w:tcPr>
          <w:p w14:paraId="3B18425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(1.14) 0</w:t>
            </w:r>
          </w:p>
        </w:tc>
        <w:tc>
          <w:tcPr>
            <w:tcW w:w="865" w:type="dxa"/>
            <w:tcBorders>
              <w:top w:val="nil"/>
              <w:left w:val="nil"/>
              <w:bottom w:val="nil"/>
              <w:right w:val="nil"/>
            </w:tcBorders>
            <w:shd w:val="clear" w:color="auto" w:fill="FFFFFF"/>
            <w:tcMar>
              <w:left w:w="67" w:type="dxa"/>
              <w:right w:w="67" w:type="dxa"/>
            </w:tcMar>
          </w:tcPr>
          <w:p w14:paraId="2CB508F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(1.22) 2</w:t>
            </w:r>
          </w:p>
        </w:tc>
        <w:tc>
          <w:tcPr>
            <w:tcW w:w="973" w:type="dxa"/>
            <w:tcBorders>
              <w:top w:val="nil"/>
              <w:left w:val="nil"/>
              <w:bottom w:val="nil"/>
              <w:right w:val="nil"/>
            </w:tcBorders>
            <w:shd w:val="clear" w:color="auto" w:fill="FFFFFF"/>
            <w:tcMar>
              <w:left w:w="67" w:type="dxa"/>
              <w:right w:w="67" w:type="dxa"/>
            </w:tcMar>
          </w:tcPr>
          <w:p w14:paraId="38251ED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(1.19) 2</w:t>
            </w:r>
          </w:p>
        </w:tc>
        <w:tc>
          <w:tcPr>
            <w:tcW w:w="850" w:type="dxa"/>
            <w:gridSpan w:val="2"/>
            <w:tcBorders>
              <w:top w:val="nil"/>
              <w:left w:val="nil"/>
              <w:bottom w:val="nil"/>
              <w:right w:val="nil"/>
            </w:tcBorders>
            <w:shd w:val="clear" w:color="auto" w:fill="FFFFFF"/>
            <w:tcMar>
              <w:left w:w="67" w:type="dxa"/>
              <w:right w:w="67" w:type="dxa"/>
            </w:tcMar>
          </w:tcPr>
          <w:p w14:paraId="031D837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4.7 (2.48) 0</w:t>
            </w:r>
          </w:p>
        </w:tc>
        <w:tc>
          <w:tcPr>
            <w:tcW w:w="993" w:type="dxa"/>
            <w:gridSpan w:val="2"/>
            <w:tcBorders>
              <w:top w:val="nil"/>
              <w:left w:val="nil"/>
              <w:bottom w:val="nil"/>
              <w:right w:val="nil"/>
            </w:tcBorders>
            <w:shd w:val="clear" w:color="auto" w:fill="FFFFFF"/>
            <w:tcMar>
              <w:left w:w="67" w:type="dxa"/>
              <w:right w:w="67" w:type="dxa"/>
            </w:tcMar>
          </w:tcPr>
          <w:p w14:paraId="1E491FC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4.7 (2.67) 2</w:t>
            </w:r>
          </w:p>
        </w:tc>
        <w:tc>
          <w:tcPr>
            <w:tcW w:w="992" w:type="dxa"/>
            <w:tcBorders>
              <w:top w:val="nil"/>
              <w:left w:val="nil"/>
              <w:bottom w:val="nil"/>
              <w:right w:val="single" w:sz="4" w:space="0" w:color="auto"/>
            </w:tcBorders>
            <w:shd w:val="clear" w:color="auto" w:fill="FFFFFF"/>
            <w:tcMar>
              <w:left w:w="67" w:type="dxa"/>
              <w:right w:w="67" w:type="dxa"/>
            </w:tcMar>
          </w:tcPr>
          <w:p w14:paraId="7655144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4.7 (2.58) 2</w:t>
            </w:r>
          </w:p>
        </w:tc>
      </w:tr>
      <w:tr w:rsidR="00E07CDE" w:rsidRPr="00563AD3" w14:paraId="2321B18B"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334E0AB6" w14:textId="2DB4E741"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Depression/</w:t>
            </w:r>
            <w:r w:rsidR="00E35291">
              <w:rPr>
                <w:rFonts w:eastAsia="Times New Roman"/>
                <w:color w:val="000000"/>
                <w:sz w:val="14"/>
                <w:szCs w:val="14"/>
              </w:rPr>
              <w:t xml:space="preserve"> </w:t>
            </w:r>
            <w:r w:rsidRPr="00563AD3">
              <w:rPr>
                <w:rFonts w:eastAsia="Times New Roman"/>
                <w:color w:val="000000"/>
                <w:sz w:val="14"/>
                <w:szCs w:val="14"/>
              </w:rPr>
              <w:t>Dysphoria</w:t>
            </w:r>
          </w:p>
        </w:tc>
        <w:tc>
          <w:tcPr>
            <w:tcW w:w="1139" w:type="dxa"/>
            <w:tcBorders>
              <w:top w:val="nil"/>
              <w:left w:val="nil"/>
              <w:bottom w:val="nil"/>
              <w:right w:val="nil"/>
            </w:tcBorders>
            <w:shd w:val="clear" w:color="auto" w:fill="FFFFFF"/>
            <w:tcMar>
              <w:left w:w="67" w:type="dxa"/>
              <w:right w:w="67" w:type="dxa"/>
            </w:tcMar>
          </w:tcPr>
          <w:p w14:paraId="53FDB82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95 (33.5%)284</w:t>
            </w:r>
          </w:p>
        </w:tc>
        <w:tc>
          <w:tcPr>
            <w:tcW w:w="1134" w:type="dxa"/>
            <w:tcBorders>
              <w:top w:val="nil"/>
              <w:left w:val="nil"/>
              <w:bottom w:val="nil"/>
              <w:right w:val="nil"/>
            </w:tcBorders>
            <w:shd w:val="clear" w:color="auto" w:fill="FFFFFF"/>
            <w:tcMar>
              <w:left w:w="67" w:type="dxa"/>
              <w:right w:w="67" w:type="dxa"/>
            </w:tcMar>
          </w:tcPr>
          <w:p w14:paraId="478E169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105 (27.3%)384</w:t>
            </w:r>
          </w:p>
        </w:tc>
        <w:tc>
          <w:tcPr>
            <w:tcW w:w="1134" w:type="dxa"/>
            <w:gridSpan w:val="2"/>
            <w:tcBorders>
              <w:top w:val="nil"/>
              <w:left w:val="nil"/>
              <w:bottom w:val="nil"/>
              <w:right w:val="nil"/>
            </w:tcBorders>
            <w:shd w:val="clear" w:color="auto" w:fill="FFFFFF"/>
            <w:tcMar>
              <w:left w:w="67" w:type="dxa"/>
              <w:right w:w="67" w:type="dxa"/>
            </w:tcMar>
          </w:tcPr>
          <w:p w14:paraId="3106879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200 (29.9%)668</w:t>
            </w:r>
          </w:p>
        </w:tc>
        <w:tc>
          <w:tcPr>
            <w:tcW w:w="851" w:type="dxa"/>
            <w:gridSpan w:val="2"/>
            <w:tcBorders>
              <w:top w:val="nil"/>
              <w:left w:val="nil"/>
              <w:bottom w:val="nil"/>
              <w:right w:val="nil"/>
            </w:tcBorders>
            <w:shd w:val="clear" w:color="auto" w:fill="FFFFFF"/>
            <w:tcMar>
              <w:left w:w="67" w:type="dxa"/>
              <w:right w:w="67" w:type="dxa"/>
            </w:tcMar>
          </w:tcPr>
          <w:p w14:paraId="628B62D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2.5 (0.94) 2</w:t>
            </w:r>
          </w:p>
        </w:tc>
        <w:tc>
          <w:tcPr>
            <w:tcW w:w="891" w:type="dxa"/>
            <w:tcBorders>
              <w:top w:val="nil"/>
              <w:left w:val="nil"/>
              <w:bottom w:val="nil"/>
              <w:right w:val="nil"/>
            </w:tcBorders>
            <w:shd w:val="clear" w:color="auto" w:fill="FFFFFF"/>
            <w:tcMar>
              <w:left w:w="67" w:type="dxa"/>
              <w:right w:w="67" w:type="dxa"/>
            </w:tcMar>
          </w:tcPr>
          <w:p w14:paraId="185B056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2.4 (0.96) 1</w:t>
            </w:r>
          </w:p>
        </w:tc>
        <w:tc>
          <w:tcPr>
            <w:tcW w:w="951" w:type="dxa"/>
            <w:gridSpan w:val="2"/>
            <w:tcBorders>
              <w:top w:val="nil"/>
              <w:left w:val="nil"/>
              <w:bottom w:val="nil"/>
              <w:right w:val="nil"/>
            </w:tcBorders>
            <w:shd w:val="clear" w:color="auto" w:fill="FFFFFF"/>
            <w:tcMar>
              <w:left w:w="67" w:type="dxa"/>
              <w:right w:w="67" w:type="dxa"/>
            </w:tcMar>
          </w:tcPr>
          <w:p w14:paraId="76EA341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2.5 (0.95) 3</w:t>
            </w:r>
          </w:p>
        </w:tc>
        <w:tc>
          <w:tcPr>
            <w:tcW w:w="851" w:type="dxa"/>
            <w:gridSpan w:val="2"/>
            <w:tcBorders>
              <w:top w:val="nil"/>
              <w:left w:val="nil"/>
              <w:bottom w:val="nil"/>
              <w:right w:val="nil"/>
            </w:tcBorders>
            <w:shd w:val="clear" w:color="auto" w:fill="FFFFFF"/>
            <w:tcMar>
              <w:left w:w="67" w:type="dxa"/>
              <w:right w:w="67" w:type="dxa"/>
            </w:tcMar>
          </w:tcPr>
          <w:p w14:paraId="11DCB4F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(0.53) 2</w:t>
            </w:r>
          </w:p>
        </w:tc>
        <w:tc>
          <w:tcPr>
            <w:tcW w:w="807" w:type="dxa"/>
            <w:tcBorders>
              <w:top w:val="nil"/>
              <w:left w:val="nil"/>
              <w:bottom w:val="nil"/>
              <w:right w:val="nil"/>
            </w:tcBorders>
            <w:shd w:val="clear" w:color="auto" w:fill="FFFFFF"/>
            <w:tcMar>
              <w:left w:w="67" w:type="dxa"/>
              <w:right w:w="67" w:type="dxa"/>
            </w:tcMar>
          </w:tcPr>
          <w:p w14:paraId="5B1634B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(0.52) 1</w:t>
            </w:r>
          </w:p>
        </w:tc>
        <w:tc>
          <w:tcPr>
            <w:tcW w:w="894" w:type="dxa"/>
            <w:gridSpan w:val="2"/>
            <w:tcBorders>
              <w:top w:val="nil"/>
              <w:left w:val="nil"/>
              <w:bottom w:val="nil"/>
              <w:right w:val="nil"/>
            </w:tcBorders>
            <w:shd w:val="clear" w:color="auto" w:fill="FFFFFF"/>
            <w:tcMar>
              <w:left w:w="67" w:type="dxa"/>
              <w:right w:w="67" w:type="dxa"/>
            </w:tcMar>
          </w:tcPr>
          <w:p w14:paraId="7DF19FBB" w14:textId="3D4CD344"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1.3 (0.52) </w:t>
            </w:r>
            <w:r w:rsidR="00E35291">
              <w:rPr>
                <w:rFonts w:eastAsia="Times New Roman"/>
                <w:color w:val="000000"/>
                <w:sz w:val="14"/>
                <w:szCs w:val="14"/>
              </w:rPr>
              <w:t xml:space="preserve">  </w:t>
            </w:r>
            <w:r w:rsidRPr="00563AD3">
              <w:rPr>
                <w:rFonts w:eastAsia="Times New Roman"/>
                <w:color w:val="000000"/>
                <w:sz w:val="14"/>
                <w:szCs w:val="14"/>
              </w:rPr>
              <w:t>3</w:t>
            </w:r>
          </w:p>
        </w:tc>
        <w:tc>
          <w:tcPr>
            <w:tcW w:w="850" w:type="dxa"/>
            <w:gridSpan w:val="2"/>
            <w:tcBorders>
              <w:top w:val="nil"/>
              <w:left w:val="nil"/>
              <w:bottom w:val="nil"/>
              <w:right w:val="nil"/>
            </w:tcBorders>
            <w:shd w:val="clear" w:color="auto" w:fill="FFFFFF"/>
            <w:tcMar>
              <w:left w:w="67" w:type="dxa"/>
              <w:right w:w="67" w:type="dxa"/>
            </w:tcMar>
          </w:tcPr>
          <w:p w14:paraId="3989B2C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0.6 (0.92) 2</w:t>
            </w:r>
          </w:p>
        </w:tc>
        <w:tc>
          <w:tcPr>
            <w:tcW w:w="865" w:type="dxa"/>
            <w:tcBorders>
              <w:top w:val="nil"/>
              <w:left w:val="nil"/>
              <w:bottom w:val="nil"/>
              <w:right w:val="nil"/>
            </w:tcBorders>
            <w:shd w:val="clear" w:color="auto" w:fill="FFFFFF"/>
            <w:tcMar>
              <w:left w:w="67" w:type="dxa"/>
              <w:right w:w="67" w:type="dxa"/>
            </w:tcMar>
          </w:tcPr>
          <w:p w14:paraId="729D7BF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0.8 (1) 1</w:t>
            </w:r>
          </w:p>
        </w:tc>
        <w:tc>
          <w:tcPr>
            <w:tcW w:w="973" w:type="dxa"/>
            <w:tcBorders>
              <w:top w:val="nil"/>
              <w:left w:val="nil"/>
              <w:bottom w:val="nil"/>
              <w:right w:val="nil"/>
            </w:tcBorders>
            <w:shd w:val="clear" w:color="auto" w:fill="FFFFFF"/>
            <w:tcMar>
              <w:left w:w="67" w:type="dxa"/>
              <w:right w:w="67" w:type="dxa"/>
            </w:tcMar>
          </w:tcPr>
          <w:p w14:paraId="1EAAECC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0.7 (0.96) 3</w:t>
            </w:r>
          </w:p>
        </w:tc>
        <w:tc>
          <w:tcPr>
            <w:tcW w:w="850" w:type="dxa"/>
            <w:gridSpan w:val="2"/>
            <w:tcBorders>
              <w:top w:val="nil"/>
              <w:left w:val="nil"/>
              <w:bottom w:val="nil"/>
              <w:right w:val="nil"/>
            </w:tcBorders>
            <w:shd w:val="clear" w:color="auto" w:fill="FFFFFF"/>
            <w:tcMar>
              <w:left w:w="67" w:type="dxa"/>
              <w:right w:w="67" w:type="dxa"/>
            </w:tcMar>
          </w:tcPr>
          <w:p w14:paraId="1E4B8EC1"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3.5 (2.35) 2</w:t>
            </w:r>
          </w:p>
        </w:tc>
        <w:tc>
          <w:tcPr>
            <w:tcW w:w="993" w:type="dxa"/>
            <w:gridSpan w:val="2"/>
            <w:tcBorders>
              <w:top w:val="nil"/>
              <w:left w:val="nil"/>
              <w:bottom w:val="nil"/>
              <w:right w:val="nil"/>
            </w:tcBorders>
            <w:shd w:val="clear" w:color="auto" w:fill="FFFFFF"/>
            <w:tcMar>
              <w:left w:w="67" w:type="dxa"/>
              <w:right w:w="67" w:type="dxa"/>
            </w:tcMar>
          </w:tcPr>
          <w:p w14:paraId="53B0358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3.2 (2.03) 1</w:t>
            </w:r>
          </w:p>
        </w:tc>
        <w:tc>
          <w:tcPr>
            <w:tcW w:w="992" w:type="dxa"/>
            <w:tcBorders>
              <w:top w:val="nil"/>
              <w:left w:val="nil"/>
              <w:bottom w:val="nil"/>
              <w:right w:val="single" w:sz="4" w:space="0" w:color="auto"/>
            </w:tcBorders>
            <w:shd w:val="clear" w:color="auto" w:fill="FFFFFF"/>
            <w:tcMar>
              <w:left w:w="67" w:type="dxa"/>
              <w:right w:w="67" w:type="dxa"/>
            </w:tcMar>
          </w:tcPr>
          <w:p w14:paraId="2A01D3A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3.3 (2.19) 3</w:t>
            </w:r>
          </w:p>
        </w:tc>
      </w:tr>
      <w:tr w:rsidR="00E07CDE" w:rsidRPr="00563AD3" w14:paraId="10F811A2"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5EA4EF58"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Anxiety</w:t>
            </w:r>
          </w:p>
        </w:tc>
        <w:tc>
          <w:tcPr>
            <w:tcW w:w="1139" w:type="dxa"/>
            <w:tcBorders>
              <w:top w:val="nil"/>
              <w:left w:val="nil"/>
              <w:bottom w:val="nil"/>
              <w:right w:val="nil"/>
            </w:tcBorders>
            <w:shd w:val="clear" w:color="auto" w:fill="FFFFFF"/>
            <w:tcMar>
              <w:left w:w="67" w:type="dxa"/>
              <w:right w:w="67" w:type="dxa"/>
            </w:tcMar>
          </w:tcPr>
          <w:p w14:paraId="787EF89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48 (17%)283</w:t>
            </w:r>
          </w:p>
        </w:tc>
        <w:tc>
          <w:tcPr>
            <w:tcW w:w="1134" w:type="dxa"/>
            <w:tcBorders>
              <w:top w:val="nil"/>
              <w:left w:val="nil"/>
              <w:bottom w:val="nil"/>
              <w:right w:val="nil"/>
            </w:tcBorders>
            <w:shd w:val="clear" w:color="auto" w:fill="FFFFFF"/>
            <w:tcMar>
              <w:left w:w="67" w:type="dxa"/>
              <w:right w:w="67" w:type="dxa"/>
            </w:tcMar>
          </w:tcPr>
          <w:p w14:paraId="3A1432E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72 (18.8%)384</w:t>
            </w:r>
          </w:p>
        </w:tc>
        <w:tc>
          <w:tcPr>
            <w:tcW w:w="1134" w:type="dxa"/>
            <w:gridSpan w:val="2"/>
            <w:tcBorders>
              <w:top w:val="nil"/>
              <w:left w:val="nil"/>
              <w:bottom w:val="nil"/>
              <w:right w:val="nil"/>
            </w:tcBorders>
            <w:shd w:val="clear" w:color="auto" w:fill="FFFFFF"/>
            <w:tcMar>
              <w:left w:w="67" w:type="dxa"/>
              <w:right w:w="67" w:type="dxa"/>
            </w:tcMar>
          </w:tcPr>
          <w:p w14:paraId="33F133E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120 (18%)667</w:t>
            </w:r>
          </w:p>
        </w:tc>
        <w:tc>
          <w:tcPr>
            <w:tcW w:w="851" w:type="dxa"/>
            <w:gridSpan w:val="2"/>
            <w:tcBorders>
              <w:top w:val="nil"/>
              <w:left w:val="nil"/>
              <w:bottom w:val="nil"/>
              <w:right w:val="nil"/>
            </w:tcBorders>
            <w:shd w:val="clear" w:color="auto" w:fill="FFFFFF"/>
            <w:tcMar>
              <w:left w:w="67" w:type="dxa"/>
              <w:right w:w="67" w:type="dxa"/>
            </w:tcMar>
          </w:tcPr>
          <w:p w14:paraId="47615EB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(0.98) 0</w:t>
            </w:r>
          </w:p>
        </w:tc>
        <w:tc>
          <w:tcPr>
            <w:tcW w:w="891" w:type="dxa"/>
            <w:tcBorders>
              <w:top w:val="nil"/>
              <w:left w:val="nil"/>
              <w:bottom w:val="nil"/>
              <w:right w:val="nil"/>
            </w:tcBorders>
            <w:shd w:val="clear" w:color="auto" w:fill="FFFFFF"/>
            <w:tcMar>
              <w:left w:w="67" w:type="dxa"/>
              <w:right w:w="67" w:type="dxa"/>
            </w:tcMar>
          </w:tcPr>
          <w:p w14:paraId="7D7C647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(0.95) 2</w:t>
            </w:r>
          </w:p>
        </w:tc>
        <w:tc>
          <w:tcPr>
            <w:tcW w:w="951" w:type="dxa"/>
            <w:gridSpan w:val="2"/>
            <w:tcBorders>
              <w:top w:val="nil"/>
              <w:left w:val="nil"/>
              <w:bottom w:val="nil"/>
              <w:right w:val="nil"/>
            </w:tcBorders>
            <w:shd w:val="clear" w:color="auto" w:fill="FFFFFF"/>
            <w:tcMar>
              <w:left w:w="67" w:type="dxa"/>
              <w:right w:w="67" w:type="dxa"/>
            </w:tcMar>
          </w:tcPr>
          <w:p w14:paraId="2827AB2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(0.96) 2</w:t>
            </w:r>
          </w:p>
        </w:tc>
        <w:tc>
          <w:tcPr>
            <w:tcW w:w="851" w:type="dxa"/>
            <w:gridSpan w:val="2"/>
            <w:tcBorders>
              <w:top w:val="nil"/>
              <w:left w:val="nil"/>
              <w:bottom w:val="nil"/>
              <w:right w:val="nil"/>
            </w:tcBorders>
            <w:shd w:val="clear" w:color="auto" w:fill="FFFFFF"/>
            <w:tcMar>
              <w:left w:w="67" w:type="dxa"/>
              <w:right w:w="67" w:type="dxa"/>
            </w:tcMar>
          </w:tcPr>
          <w:p w14:paraId="14DD194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(0.62) 0</w:t>
            </w:r>
          </w:p>
        </w:tc>
        <w:tc>
          <w:tcPr>
            <w:tcW w:w="807" w:type="dxa"/>
            <w:tcBorders>
              <w:top w:val="nil"/>
              <w:left w:val="nil"/>
              <w:bottom w:val="nil"/>
              <w:right w:val="nil"/>
            </w:tcBorders>
            <w:shd w:val="clear" w:color="auto" w:fill="FFFFFF"/>
            <w:tcMar>
              <w:left w:w="67" w:type="dxa"/>
              <w:right w:w="67" w:type="dxa"/>
            </w:tcMar>
          </w:tcPr>
          <w:p w14:paraId="011FC88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(0.61) 2</w:t>
            </w:r>
          </w:p>
        </w:tc>
        <w:tc>
          <w:tcPr>
            <w:tcW w:w="894" w:type="dxa"/>
            <w:gridSpan w:val="2"/>
            <w:tcBorders>
              <w:top w:val="nil"/>
              <w:left w:val="nil"/>
              <w:bottom w:val="nil"/>
              <w:right w:val="nil"/>
            </w:tcBorders>
            <w:shd w:val="clear" w:color="auto" w:fill="FFFFFF"/>
            <w:tcMar>
              <w:left w:w="67" w:type="dxa"/>
              <w:right w:w="67" w:type="dxa"/>
            </w:tcMar>
          </w:tcPr>
          <w:p w14:paraId="3B5BE58A" w14:textId="4CBE465F"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1.5 (0.61) </w:t>
            </w:r>
            <w:r w:rsidR="00E35291">
              <w:rPr>
                <w:rFonts w:eastAsia="Times New Roman"/>
                <w:color w:val="000000"/>
                <w:sz w:val="14"/>
                <w:szCs w:val="14"/>
              </w:rPr>
              <w:t xml:space="preserve">  </w:t>
            </w:r>
            <w:r w:rsidRPr="00563AD3">
              <w:rPr>
                <w:rFonts w:eastAsia="Times New Roman"/>
                <w:color w:val="000000"/>
                <w:sz w:val="14"/>
                <w:szCs w:val="14"/>
              </w:rPr>
              <w:t>2</w:t>
            </w:r>
          </w:p>
        </w:tc>
        <w:tc>
          <w:tcPr>
            <w:tcW w:w="850" w:type="dxa"/>
            <w:gridSpan w:val="2"/>
            <w:tcBorders>
              <w:top w:val="nil"/>
              <w:left w:val="nil"/>
              <w:bottom w:val="nil"/>
              <w:right w:val="nil"/>
            </w:tcBorders>
            <w:shd w:val="clear" w:color="auto" w:fill="FFFFFF"/>
            <w:tcMar>
              <w:left w:w="67" w:type="dxa"/>
              <w:right w:w="67" w:type="dxa"/>
            </w:tcMar>
          </w:tcPr>
          <w:p w14:paraId="4F81AF7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0.7 (0.96) 0</w:t>
            </w:r>
          </w:p>
        </w:tc>
        <w:tc>
          <w:tcPr>
            <w:tcW w:w="865" w:type="dxa"/>
            <w:tcBorders>
              <w:top w:val="nil"/>
              <w:left w:val="nil"/>
              <w:bottom w:val="nil"/>
              <w:right w:val="nil"/>
            </w:tcBorders>
            <w:shd w:val="clear" w:color="auto" w:fill="FFFFFF"/>
            <w:tcMar>
              <w:left w:w="67" w:type="dxa"/>
              <w:right w:w="67" w:type="dxa"/>
            </w:tcMar>
          </w:tcPr>
          <w:p w14:paraId="3D34F60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1.1 (1.22) 2</w:t>
            </w:r>
          </w:p>
        </w:tc>
        <w:tc>
          <w:tcPr>
            <w:tcW w:w="973" w:type="dxa"/>
            <w:tcBorders>
              <w:top w:val="nil"/>
              <w:left w:val="nil"/>
              <w:bottom w:val="nil"/>
              <w:right w:val="nil"/>
            </w:tcBorders>
            <w:shd w:val="clear" w:color="auto" w:fill="FFFFFF"/>
            <w:tcMar>
              <w:left w:w="67" w:type="dxa"/>
              <w:right w:w="67" w:type="dxa"/>
            </w:tcMar>
          </w:tcPr>
          <w:p w14:paraId="33CEE17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 (1.14) 2</w:t>
            </w:r>
          </w:p>
        </w:tc>
        <w:tc>
          <w:tcPr>
            <w:tcW w:w="850" w:type="dxa"/>
            <w:gridSpan w:val="2"/>
            <w:tcBorders>
              <w:top w:val="nil"/>
              <w:left w:val="nil"/>
              <w:bottom w:val="nil"/>
              <w:right w:val="nil"/>
            </w:tcBorders>
            <w:shd w:val="clear" w:color="auto" w:fill="FFFFFF"/>
            <w:tcMar>
              <w:left w:w="67" w:type="dxa"/>
              <w:right w:w="67" w:type="dxa"/>
            </w:tcMar>
          </w:tcPr>
          <w:p w14:paraId="22ACDFF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 (2.45) 0</w:t>
            </w:r>
          </w:p>
        </w:tc>
        <w:tc>
          <w:tcPr>
            <w:tcW w:w="993" w:type="dxa"/>
            <w:gridSpan w:val="2"/>
            <w:tcBorders>
              <w:top w:val="nil"/>
              <w:left w:val="nil"/>
              <w:bottom w:val="nil"/>
              <w:right w:val="nil"/>
            </w:tcBorders>
            <w:shd w:val="clear" w:color="auto" w:fill="FFFFFF"/>
            <w:tcMar>
              <w:left w:w="67" w:type="dxa"/>
              <w:right w:w="67" w:type="dxa"/>
            </w:tcMar>
          </w:tcPr>
          <w:p w14:paraId="5D19982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 (2.57) 2</w:t>
            </w:r>
          </w:p>
        </w:tc>
        <w:tc>
          <w:tcPr>
            <w:tcW w:w="992" w:type="dxa"/>
            <w:tcBorders>
              <w:top w:val="nil"/>
              <w:left w:val="nil"/>
              <w:bottom w:val="nil"/>
              <w:right w:val="single" w:sz="4" w:space="0" w:color="auto"/>
            </w:tcBorders>
            <w:shd w:val="clear" w:color="auto" w:fill="FFFFFF"/>
            <w:tcMar>
              <w:left w:w="67" w:type="dxa"/>
              <w:right w:w="67" w:type="dxa"/>
            </w:tcMar>
          </w:tcPr>
          <w:p w14:paraId="39EE95D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 (2.51) 2</w:t>
            </w:r>
          </w:p>
        </w:tc>
      </w:tr>
      <w:tr w:rsidR="00E07CDE" w:rsidRPr="00563AD3" w14:paraId="127EF2CC"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17C93F3B"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Elation/Euphoria</w:t>
            </w:r>
          </w:p>
        </w:tc>
        <w:tc>
          <w:tcPr>
            <w:tcW w:w="1139" w:type="dxa"/>
            <w:tcBorders>
              <w:top w:val="nil"/>
              <w:left w:val="nil"/>
              <w:bottom w:val="nil"/>
              <w:right w:val="nil"/>
            </w:tcBorders>
            <w:shd w:val="clear" w:color="auto" w:fill="FFFFFF"/>
            <w:tcMar>
              <w:left w:w="67" w:type="dxa"/>
              <w:right w:w="67" w:type="dxa"/>
            </w:tcMar>
          </w:tcPr>
          <w:p w14:paraId="1E8B89E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(4.6%)283</w:t>
            </w:r>
          </w:p>
        </w:tc>
        <w:tc>
          <w:tcPr>
            <w:tcW w:w="1134" w:type="dxa"/>
            <w:tcBorders>
              <w:top w:val="nil"/>
              <w:left w:val="nil"/>
              <w:bottom w:val="nil"/>
              <w:right w:val="nil"/>
            </w:tcBorders>
            <w:shd w:val="clear" w:color="auto" w:fill="FFFFFF"/>
            <w:tcMar>
              <w:left w:w="67" w:type="dxa"/>
              <w:right w:w="67" w:type="dxa"/>
            </w:tcMar>
          </w:tcPr>
          <w:p w14:paraId="6A3764F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22 (5.7%)384</w:t>
            </w:r>
          </w:p>
        </w:tc>
        <w:tc>
          <w:tcPr>
            <w:tcW w:w="1134" w:type="dxa"/>
            <w:gridSpan w:val="2"/>
            <w:tcBorders>
              <w:top w:val="nil"/>
              <w:left w:val="nil"/>
              <w:bottom w:val="nil"/>
              <w:right w:val="nil"/>
            </w:tcBorders>
            <w:shd w:val="clear" w:color="auto" w:fill="FFFFFF"/>
            <w:tcMar>
              <w:left w:w="67" w:type="dxa"/>
              <w:right w:w="67" w:type="dxa"/>
            </w:tcMar>
          </w:tcPr>
          <w:p w14:paraId="6A2890E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35 (5.2%)667</w:t>
            </w:r>
          </w:p>
        </w:tc>
        <w:tc>
          <w:tcPr>
            <w:tcW w:w="851" w:type="dxa"/>
            <w:gridSpan w:val="2"/>
            <w:tcBorders>
              <w:top w:val="nil"/>
              <w:left w:val="nil"/>
              <w:bottom w:val="nil"/>
              <w:right w:val="nil"/>
            </w:tcBorders>
            <w:shd w:val="clear" w:color="auto" w:fill="FFFFFF"/>
            <w:tcMar>
              <w:left w:w="67" w:type="dxa"/>
              <w:right w:w="67" w:type="dxa"/>
            </w:tcMar>
          </w:tcPr>
          <w:p w14:paraId="314C94F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 (0.93) 0</w:t>
            </w:r>
          </w:p>
        </w:tc>
        <w:tc>
          <w:tcPr>
            <w:tcW w:w="891" w:type="dxa"/>
            <w:tcBorders>
              <w:top w:val="nil"/>
              <w:left w:val="nil"/>
              <w:bottom w:val="nil"/>
              <w:right w:val="nil"/>
            </w:tcBorders>
            <w:shd w:val="clear" w:color="auto" w:fill="FFFFFF"/>
            <w:tcMar>
              <w:left w:w="67" w:type="dxa"/>
              <w:right w:w="67" w:type="dxa"/>
            </w:tcMar>
          </w:tcPr>
          <w:p w14:paraId="61FC6CE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(0.9) 0</w:t>
            </w:r>
          </w:p>
        </w:tc>
        <w:tc>
          <w:tcPr>
            <w:tcW w:w="951" w:type="dxa"/>
            <w:gridSpan w:val="2"/>
            <w:tcBorders>
              <w:top w:val="nil"/>
              <w:left w:val="nil"/>
              <w:bottom w:val="nil"/>
              <w:right w:val="nil"/>
            </w:tcBorders>
            <w:shd w:val="clear" w:color="auto" w:fill="FFFFFF"/>
            <w:tcMar>
              <w:left w:w="67" w:type="dxa"/>
              <w:right w:w="67" w:type="dxa"/>
            </w:tcMar>
          </w:tcPr>
          <w:p w14:paraId="2BEB90B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2.7 (0.9) 0</w:t>
            </w:r>
          </w:p>
        </w:tc>
        <w:tc>
          <w:tcPr>
            <w:tcW w:w="851" w:type="dxa"/>
            <w:gridSpan w:val="2"/>
            <w:tcBorders>
              <w:top w:val="nil"/>
              <w:left w:val="nil"/>
              <w:bottom w:val="nil"/>
              <w:right w:val="nil"/>
            </w:tcBorders>
            <w:shd w:val="clear" w:color="auto" w:fill="FFFFFF"/>
            <w:tcMar>
              <w:left w:w="67" w:type="dxa"/>
              <w:right w:w="67" w:type="dxa"/>
            </w:tcMar>
          </w:tcPr>
          <w:p w14:paraId="071BCDC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(0.51) 0</w:t>
            </w:r>
          </w:p>
        </w:tc>
        <w:tc>
          <w:tcPr>
            <w:tcW w:w="807" w:type="dxa"/>
            <w:tcBorders>
              <w:top w:val="nil"/>
              <w:left w:val="nil"/>
              <w:bottom w:val="nil"/>
              <w:right w:val="nil"/>
            </w:tcBorders>
            <w:shd w:val="clear" w:color="auto" w:fill="FFFFFF"/>
            <w:tcMar>
              <w:left w:w="67" w:type="dxa"/>
              <w:right w:w="67" w:type="dxa"/>
            </w:tcMar>
          </w:tcPr>
          <w:p w14:paraId="50B1B9C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(0.55) 0</w:t>
            </w:r>
          </w:p>
        </w:tc>
        <w:tc>
          <w:tcPr>
            <w:tcW w:w="894" w:type="dxa"/>
            <w:gridSpan w:val="2"/>
            <w:tcBorders>
              <w:top w:val="nil"/>
              <w:left w:val="nil"/>
              <w:bottom w:val="nil"/>
              <w:right w:val="nil"/>
            </w:tcBorders>
            <w:shd w:val="clear" w:color="auto" w:fill="FFFFFF"/>
            <w:tcMar>
              <w:left w:w="67" w:type="dxa"/>
              <w:right w:w="67" w:type="dxa"/>
            </w:tcMar>
          </w:tcPr>
          <w:p w14:paraId="4D303459" w14:textId="3C1BED06"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(0.53)</w:t>
            </w:r>
            <w:r w:rsidR="00E35291">
              <w:rPr>
                <w:rFonts w:eastAsia="Times New Roman"/>
                <w:color w:val="000000"/>
                <w:sz w:val="14"/>
                <w:szCs w:val="14"/>
              </w:rPr>
              <w:t xml:space="preserve">  </w:t>
            </w:r>
            <w:r w:rsidRPr="00563AD3">
              <w:rPr>
                <w:rFonts w:eastAsia="Times New Roman"/>
                <w:color w:val="000000"/>
                <w:sz w:val="14"/>
                <w:szCs w:val="14"/>
              </w:rPr>
              <w:t xml:space="preserve"> 0</w:t>
            </w:r>
          </w:p>
        </w:tc>
        <w:tc>
          <w:tcPr>
            <w:tcW w:w="850" w:type="dxa"/>
            <w:gridSpan w:val="2"/>
            <w:tcBorders>
              <w:top w:val="nil"/>
              <w:left w:val="nil"/>
              <w:bottom w:val="nil"/>
              <w:right w:val="nil"/>
            </w:tcBorders>
            <w:shd w:val="clear" w:color="auto" w:fill="FFFFFF"/>
            <w:tcMar>
              <w:left w:w="67" w:type="dxa"/>
              <w:right w:w="67" w:type="dxa"/>
            </w:tcMar>
          </w:tcPr>
          <w:p w14:paraId="4D55114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 (0) 0</w:t>
            </w:r>
          </w:p>
        </w:tc>
        <w:tc>
          <w:tcPr>
            <w:tcW w:w="865" w:type="dxa"/>
            <w:tcBorders>
              <w:top w:val="nil"/>
              <w:left w:val="nil"/>
              <w:bottom w:val="nil"/>
              <w:right w:val="nil"/>
            </w:tcBorders>
            <w:shd w:val="clear" w:color="auto" w:fill="FFFFFF"/>
            <w:tcMar>
              <w:left w:w="67" w:type="dxa"/>
              <w:right w:w="67" w:type="dxa"/>
            </w:tcMar>
          </w:tcPr>
          <w:p w14:paraId="538392B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0.2 (0.5) 0</w:t>
            </w:r>
          </w:p>
        </w:tc>
        <w:tc>
          <w:tcPr>
            <w:tcW w:w="973" w:type="dxa"/>
            <w:tcBorders>
              <w:top w:val="nil"/>
              <w:left w:val="nil"/>
              <w:bottom w:val="nil"/>
              <w:right w:val="nil"/>
            </w:tcBorders>
            <w:shd w:val="clear" w:color="auto" w:fill="FFFFFF"/>
            <w:tcMar>
              <w:left w:w="67" w:type="dxa"/>
              <w:right w:w="67" w:type="dxa"/>
            </w:tcMar>
          </w:tcPr>
          <w:p w14:paraId="799FBDA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0.1 (0.4) 0</w:t>
            </w:r>
          </w:p>
        </w:tc>
        <w:tc>
          <w:tcPr>
            <w:tcW w:w="850" w:type="dxa"/>
            <w:gridSpan w:val="2"/>
            <w:tcBorders>
              <w:top w:val="nil"/>
              <w:left w:val="nil"/>
              <w:bottom w:val="nil"/>
              <w:right w:val="nil"/>
            </w:tcBorders>
            <w:shd w:val="clear" w:color="auto" w:fill="FFFFFF"/>
            <w:tcMar>
              <w:left w:w="67" w:type="dxa"/>
              <w:right w:w="67" w:type="dxa"/>
            </w:tcMar>
          </w:tcPr>
          <w:p w14:paraId="003CC88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3.8 (1.88) 0</w:t>
            </w:r>
          </w:p>
        </w:tc>
        <w:tc>
          <w:tcPr>
            <w:tcW w:w="993" w:type="dxa"/>
            <w:gridSpan w:val="2"/>
            <w:tcBorders>
              <w:top w:val="nil"/>
              <w:left w:val="nil"/>
              <w:bottom w:val="nil"/>
              <w:right w:val="nil"/>
            </w:tcBorders>
            <w:shd w:val="clear" w:color="auto" w:fill="FFFFFF"/>
            <w:tcMar>
              <w:left w:w="67" w:type="dxa"/>
              <w:right w:w="67" w:type="dxa"/>
            </w:tcMar>
          </w:tcPr>
          <w:p w14:paraId="36E6AB4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3.6 (2.61) 0</w:t>
            </w:r>
          </w:p>
        </w:tc>
        <w:tc>
          <w:tcPr>
            <w:tcW w:w="992" w:type="dxa"/>
            <w:tcBorders>
              <w:top w:val="nil"/>
              <w:left w:val="nil"/>
              <w:bottom w:val="nil"/>
              <w:right w:val="single" w:sz="4" w:space="0" w:color="auto"/>
            </w:tcBorders>
            <w:shd w:val="clear" w:color="auto" w:fill="FFFFFF"/>
            <w:tcMar>
              <w:left w:w="67" w:type="dxa"/>
              <w:right w:w="67" w:type="dxa"/>
            </w:tcMar>
          </w:tcPr>
          <w:p w14:paraId="4A46A04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3.7 (2.34) 0</w:t>
            </w:r>
          </w:p>
        </w:tc>
      </w:tr>
      <w:tr w:rsidR="00E07CDE" w:rsidRPr="00563AD3" w14:paraId="7565DB4A"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2B354863"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Apathy/Indifference</w:t>
            </w:r>
          </w:p>
        </w:tc>
        <w:tc>
          <w:tcPr>
            <w:tcW w:w="1139" w:type="dxa"/>
            <w:tcBorders>
              <w:top w:val="nil"/>
              <w:left w:val="nil"/>
              <w:bottom w:val="nil"/>
              <w:right w:val="nil"/>
            </w:tcBorders>
            <w:shd w:val="clear" w:color="auto" w:fill="FFFFFF"/>
            <w:tcMar>
              <w:left w:w="67" w:type="dxa"/>
              <w:right w:w="67" w:type="dxa"/>
            </w:tcMar>
          </w:tcPr>
          <w:p w14:paraId="3626D45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95 (33.5%)284</w:t>
            </w:r>
          </w:p>
        </w:tc>
        <w:tc>
          <w:tcPr>
            <w:tcW w:w="1134" w:type="dxa"/>
            <w:tcBorders>
              <w:top w:val="nil"/>
              <w:left w:val="nil"/>
              <w:bottom w:val="nil"/>
              <w:right w:val="nil"/>
            </w:tcBorders>
            <w:shd w:val="clear" w:color="auto" w:fill="FFFFFF"/>
            <w:tcMar>
              <w:left w:w="67" w:type="dxa"/>
              <w:right w:w="67" w:type="dxa"/>
            </w:tcMar>
          </w:tcPr>
          <w:p w14:paraId="0AAD917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108 (28.1%)384</w:t>
            </w:r>
          </w:p>
        </w:tc>
        <w:tc>
          <w:tcPr>
            <w:tcW w:w="1134" w:type="dxa"/>
            <w:gridSpan w:val="2"/>
            <w:tcBorders>
              <w:top w:val="nil"/>
              <w:left w:val="nil"/>
              <w:bottom w:val="nil"/>
              <w:right w:val="nil"/>
            </w:tcBorders>
            <w:shd w:val="clear" w:color="auto" w:fill="FFFFFF"/>
            <w:tcMar>
              <w:left w:w="67" w:type="dxa"/>
              <w:right w:w="67" w:type="dxa"/>
            </w:tcMar>
          </w:tcPr>
          <w:p w14:paraId="3FB20CA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203 (30.4%)668</w:t>
            </w:r>
          </w:p>
        </w:tc>
        <w:tc>
          <w:tcPr>
            <w:tcW w:w="851" w:type="dxa"/>
            <w:gridSpan w:val="2"/>
            <w:tcBorders>
              <w:top w:val="nil"/>
              <w:left w:val="nil"/>
              <w:bottom w:val="nil"/>
              <w:right w:val="nil"/>
            </w:tcBorders>
            <w:shd w:val="clear" w:color="auto" w:fill="FFFFFF"/>
            <w:tcMar>
              <w:left w:w="67" w:type="dxa"/>
              <w:right w:w="67" w:type="dxa"/>
            </w:tcMar>
          </w:tcPr>
          <w:p w14:paraId="2C9BF94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3.3 (1) 0</w:t>
            </w:r>
          </w:p>
        </w:tc>
        <w:tc>
          <w:tcPr>
            <w:tcW w:w="891" w:type="dxa"/>
            <w:tcBorders>
              <w:top w:val="nil"/>
              <w:left w:val="nil"/>
              <w:bottom w:val="nil"/>
              <w:right w:val="nil"/>
            </w:tcBorders>
            <w:shd w:val="clear" w:color="auto" w:fill="FFFFFF"/>
            <w:tcMar>
              <w:left w:w="67" w:type="dxa"/>
              <w:right w:w="67" w:type="dxa"/>
            </w:tcMar>
          </w:tcPr>
          <w:p w14:paraId="76B7ACE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2.9 (1) 0</w:t>
            </w:r>
          </w:p>
        </w:tc>
        <w:tc>
          <w:tcPr>
            <w:tcW w:w="951" w:type="dxa"/>
            <w:gridSpan w:val="2"/>
            <w:tcBorders>
              <w:top w:val="nil"/>
              <w:left w:val="nil"/>
              <w:bottom w:val="nil"/>
              <w:right w:val="nil"/>
            </w:tcBorders>
            <w:shd w:val="clear" w:color="auto" w:fill="FFFFFF"/>
            <w:tcMar>
              <w:left w:w="67" w:type="dxa"/>
              <w:right w:w="67" w:type="dxa"/>
            </w:tcMar>
          </w:tcPr>
          <w:p w14:paraId="7F710104"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3.1 (1.01) 0</w:t>
            </w:r>
          </w:p>
        </w:tc>
        <w:tc>
          <w:tcPr>
            <w:tcW w:w="851" w:type="dxa"/>
            <w:gridSpan w:val="2"/>
            <w:tcBorders>
              <w:top w:val="nil"/>
              <w:left w:val="nil"/>
              <w:bottom w:val="nil"/>
              <w:right w:val="nil"/>
            </w:tcBorders>
            <w:shd w:val="clear" w:color="auto" w:fill="FFFFFF"/>
            <w:tcMar>
              <w:left w:w="67" w:type="dxa"/>
              <w:right w:w="67" w:type="dxa"/>
            </w:tcMar>
          </w:tcPr>
          <w:p w14:paraId="2D40F44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(0.71) 0</w:t>
            </w:r>
          </w:p>
        </w:tc>
        <w:tc>
          <w:tcPr>
            <w:tcW w:w="807" w:type="dxa"/>
            <w:tcBorders>
              <w:top w:val="nil"/>
              <w:left w:val="nil"/>
              <w:bottom w:val="nil"/>
              <w:right w:val="nil"/>
            </w:tcBorders>
            <w:shd w:val="clear" w:color="auto" w:fill="FFFFFF"/>
            <w:tcMar>
              <w:left w:w="67" w:type="dxa"/>
              <w:right w:w="67" w:type="dxa"/>
            </w:tcMar>
          </w:tcPr>
          <w:p w14:paraId="2FE760E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(0.65) 0</w:t>
            </w:r>
          </w:p>
        </w:tc>
        <w:tc>
          <w:tcPr>
            <w:tcW w:w="894" w:type="dxa"/>
            <w:gridSpan w:val="2"/>
            <w:tcBorders>
              <w:top w:val="nil"/>
              <w:left w:val="nil"/>
              <w:bottom w:val="nil"/>
              <w:right w:val="nil"/>
            </w:tcBorders>
            <w:shd w:val="clear" w:color="auto" w:fill="FFFFFF"/>
            <w:tcMar>
              <w:left w:w="67" w:type="dxa"/>
              <w:right w:w="67" w:type="dxa"/>
            </w:tcMar>
          </w:tcPr>
          <w:p w14:paraId="5A7DE226" w14:textId="7AB5E83F"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1.5 (0.68) </w:t>
            </w:r>
            <w:r w:rsidR="00E35291">
              <w:rPr>
                <w:rFonts w:eastAsia="Times New Roman"/>
                <w:color w:val="000000"/>
                <w:sz w:val="14"/>
                <w:szCs w:val="14"/>
              </w:rPr>
              <w:t xml:space="preserve">  </w:t>
            </w:r>
            <w:r w:rsidRPr="00563AD3">
              <w:rPr>
                <w:rFonts w:eastAsia="Times New Roman"/>
                <w:color w:val="000000"/>
                <w:sz w:val="14"/>
                <w:szCs w:val="14"/>
              </w:rPr>
              <w:t>0</w:t>
            </w:r>
          </w:p>
        </w:tc>
        <w:tc>
          <w:tcPr>
            <w:tcW w:w="850" w:type="dxa"/>
            <w:gridSpan w:val="2"/>
            <w:tcBorders>
              <w:top w:val="nil"/>
              <w:left w:val="nil"/>
              <w:bottom w:val="nil"/>
              <w:right w:val="nil"/>
            </w:tcBorders>
            <w:shd w:val="clear" w:color="auto" w:fill="FFFFFF"/>
            <w:tcMar>
              <w:left w:w="67" w:type="dxa"/>
              <w:right w:w="67" w:type="dxa"/>
            </w:tcMar>
          </w:tcPr>
          <w:p w14:paraId="2A59B04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0.3 (0.63) 0</w:t>
            </w:r>
          </w:p>
        </w:tc>
        <w:tc>
          <w:tcPr>
            <w:tcW w:w="865" w:type="dxa"/>
            <w:tcBorders>
              <w:top w:val="nil"/>
              <w:left w:val="nil"/>
              <w:bottom w:val="nil"/>
              <w:right w:val="nil"/>
            </w:tcBorders>
            <w:shd w:val="clear" w:color="auto" w:fill="FFFFFF"/>
            <w:tcMar>
              <w:left w:w="67" w:type="dxa"/>
              <w:right w:w="67" w:type="dxa"/>
            </w:tcMar>
          </w:tcPr>
          <w:p w14:paraId="4DCCAA4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0.5 (0.85) 0</w:t>
            </w:r>
          </w:p>
        </w:tc>
        <w:tc>
          <w:tcPr>
            <w:tcW w:w="973" w:type="dxa"/>
            <w:tcBorders>
              <w:top w:val="nil"/>
              <w:left w:val="nil"/>
              <w:bottom w:val="nil"/>
              <w:right w:val="nil"/>
            </w:tcBorders>
            <w:shd w:val="clear" w:color="auto" w:fill="FFFFFF"/>
            <w:tcMar>
              <w:left w:w="67" w:type="dxa"/>
              <w:right w:w="67" w:type="dxa"/>
            </w:tcMar>
          </w:tcPr>
          <w:p w14:paraId="3FAC28E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0.4 (0.76) 0</w:t>
            </w:r>
          </w:p>
        </w:tc>
        <w:tc>
          <w:tcPr>
            <w:tcW w:w="850" w:type="dxa"/>
            <w:gridSpan w:val="2"/>
            <w:tcBorders>
              <w:top w:val="nil"/>
              <w:left w:val="nil"/>
              <w:bottom w:val="nil"/>
              <w:right w:val="nil"/>
            </w:tcBorders>
            <w:shd w:val="clear" w:color="auto" w:fill="FFFFFF"/>
            <w:tcMar>
              <w:left w:w="67" w:type="dxa"/>
              <w:right w:w="67" w:type="dxa"/>
            </w:tcMar>
          </w:tcPr>
          <w:p w14:paraId="4AA9DC9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5.5 (3.41) 0</w:t>
            </w:r>
          </w:p>
        </w:tc>
        <w:tc>
          <w:tcPr>
            <w:tcW w:w="993" w:type="dxa"/>
            <w:gridSpan w:val="2"/>
            <w:tcBorders>
              <w:top w:val="nil"/>
              <w:left w:val="nil"/>
              <w:bottom w:val="nil"/>
              <w:right w:val="nil"/>
            </w:tcBorders>
            <w:shd w:val="clear" w:color="auto" w:fill="FFFFFF"/>
            <w:tcMar>
              <w:left w:w="67" w:type="dxa"/>
              <w:right w:w="67" w:type="dxa"/>
            </w:tcMar>
          </w:tcPr>
          <w:p w14:paraId="718163C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4.6 (3.06) 0</w:t>
            </w:r>
          </w:p>
        </w:tc>
        <w:tc>
          <w:tcPr>
            <w:tcW w:w="992" w:type="dxa"/>
            <w:tcBorders>
              <w:top w:val="nil"/>
              <w:left w:val="nil"/>
              <w:bottom w:val="nil"/>
              <w:right w:val="single" w:sz="4" w:space="0" w:color="auto"/>
            </w:tcBorders>
            <w:shd w:val="clear" w:color="auto" w:fill="FFFFFF"/>
            <w:tcMar>
              <w:left w:w="67" w:type="dxa"/>
              <w:right w:w="67" w:type="dxa"/>
            </w:tcMar>
          </w:tcPr>
          <w:p w14:paraId="0BDE977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 (3.25) 0</w:t>
            </w:r>
          </w:p>
        </w:tc>
      </w:tr>
      <w:tr w:rsidR="00E07CDE" w:rsidRPr="00563AD3" w14:paraId="1D801001"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5F9A9A05"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Disinhibition</w:t>
            </w:r>
          </w:p>
        </w:tc>
        <w:tc>
          <w:tcPr>
            <w:tcW w:w="1139" w:type="dxa"/>
            <w:tcBorders>
              <w:top w:val="nil"/>
              <w:left w:val="nil"/>
              <w:bottom w:val="nil"/>
              <w:right w:val="nil"/>
            </w:tcBorders>
            <w:shd w:val="clear" w:color="auto" w:fill="FFFFFF"/>
            <w:tcMar>
              <w:left w:w="67" w:type="dxa"/>
              <w:right w:w="67" w:type="dxa"/>
            </w:tcMar>
          </w:tcPr>
          <w:p w14:paraId="4913A0A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35 (12.3%)284</w:t>
            </w:r>
          </w:p>
        </w:tc>
        <w:tc>
          <w:tcPr>
            <w:tcW w:w="1134" w:type="dxa"/>
            <w:tcBorders>
              <w:top w:val="nil"/>
              <w:left w:val="nil"/>
              <w:bottom w:val="nil"/>
              <w:right w:val="nil"/>
            </w:tcBorders>
            <w:shd w:val="clear" w:color="auto" w:fill="FFFFFF"/>
            <w:tcMar>
              <w:left w:w="67" w:type="dxa"/>
              <w:right w:w="67" w:type="dxa"/>
            </w:tcMar>
          </w:tcPr>
          <w:p w14:paraId="1106597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42 (10.9%)384</w:t>
            </w:r>
          </w:p>
        </w:tc>
        <w:tc>
          <w:tcPr>
            <w:tcW w:w="1134" w:type="dxa"/>
            <w:gridSpan w:val="2"/>
            <w:tcBorders>
              <w:top w:val="nil"/>
              <w:left w:val="nil"/>
              <w:bottom w:val="nil"/>
              <w:right w:val="nil"/>
            </w:tcBorders>
            <w:shd w:val="clear" w:color="auto" w:fill="FFFFFF"/>
            <w:tcMar>
              <w:left w:w="67" w:type="dxa"/>
              <w:right w:w="67" w:type="dxa"/>
            </w:tcMar>
          </w:tcPr>
          <w:p w14:paraId="3BA40D2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77 (11.5%)668</w:t>
            </w:r>
          </w:p>
        </w:tc>
        <w:tc>
          <w:tcPr>
            <w:tcW w:w="851" w:type="dxa"/>
            <w:gridSpan w:val="2"/>
            <w:tcBorders>
              <w:top w:val="nil"/>
              <w:left w:val="nil"/>
              <w:bottom w:val="nil"/>
              <w:right w:val="nil"/>
            </w:tcBorders>
            <w:shd w:val="clear" w:color="auto" w:fill="FFFFFF"/>
            <w:tcMar>
              <w:left w:w="67" w:type="dxa"/>
              <w:right w:w="67" w:type="dxa"/>
            </w:tcMar>
          </w:tcPr>
          <w:p w14:paraId="1F99EEA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2.7 (1.09) 1</w:t>
            </w:r>
          </w:p>
        </w:tc>
        <w:tc>
          <w:tcPr>
            <w:tcW w:w="891" w:type="dxa"/>
            <w:tcBorders>
              <w:top w:val="nil"/>
              <w:left w:val="nil"/>
              <w:bottom w:val="nil"/>
              <w:right w:val="nil"/>
            </w:tcBorders>
            <w:shd w:val="clear" w:color="auto" w:fill="FFFFFF"/>
            <w:tcMar>
              <w:left w:w="67" w:type="dxa"/>
              <w:right w:w="67" w:type="dxa"/>
            </w:tcMar>
          </w:tcPr>
          <w:p w14:paraId="6F657A2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(1.03) 0</w:t>
            </w:r>
          </w:p>
        </w:tc>
        <w:tc>
          <w:tcPr>
            <w:tcW w:w="951" w:type="dxa"/>
            <w:gridSpan w:val="2"/>
            <w:tcBorders>
              <w:top w:val="nil"/>
              <w:left w:val="nil"/>
              <w:bottom w:val="nil"/>
              <w:right w:val="nil"/>
            </w:tcBorders>
            <w:shd w:val="clear" w:color="auto" w:fill="FFFFFF"/>
            <w:tcMar>
              <w:left w:w="67" w:type="dxa"/>
              <w:right w:w="67" w:type="dxa"/>
            </w:tcMar>
          </w:tcPr>
          <w:p w14:paraId="230CCD5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(1.05) 1</w:t>
            </w:r>
          </w:p>
        </w:tc>
        <w:tc>
          <w:tcPr>
            <w:tcW w:w="851" w:type="dxa"/>
            <w:gridSpan w:val="2"/>
            <w:tcBorders>
              <w:top w:val="nil"/>
              <w:left w:val="nil"/>
              <w:bottom w:val="nil"/>
              <w:right w:val="nil"/>
            </w:tcBorders>
            <w:shd w:val="clear" w:color="auto" w:fill="FFFFFF"/>
            <w:tcMar>
              <w:left w:w="67" w:type="dxa"/>
              <w:right w:w="67" w:type="dxa"/>
            </w:tcMar>
          </w:tcPr>
          <w:p w14:paraId="3D2E570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(0.53) 1</w:t>
            </w:r>
          </w:p>
        </w:tc>
        <w:tc>
          <w:tcPr>
            <w:tcW w:w="807" w:type="dxa"/>
            <w:tcBorders>
              <w:top w:val="nil"/>
              <w:left w:val="nil"/>
              <w:bottom w:val="nil"/>
              <w:right w:val="nil"/>
            </w:tcBorders>
            <w:shd w:val="clear" w:color="auto" w:fill="FFFFFF"/>
            <w:tcMar>
              <w:left w:w="67" w:type="dxa"/>
              <w:right w:w="67" w:type="dxa"/>
            </w:tcMar>
          </w:tcPr>
          <w:p w14:paraId="35CE5C66"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(0.71) 0</w:t>
            </w:r>
          </w:p>
        </w:tc>
        <w:tc>
          <w:tcPr>
            <w:tcW w:w="894" w:type="dxa"/>
            <w:gridSpan w:val="2"/>
            <w:tcBorders>
              <w:top w:val="nil"/>
              <w:left w:val="nil"/>
              <w:bottom w:val="nil"/>
              <w:right w:val="nil"/>
            </w:tcBorders>
            <w:shd w:val="clear" w:color="auto" w:fill="FFFFFF"/>
            <w:tcMar>
              <w:left w:w="67" w:type="dxa"/>
              <w:right w:w="67" w:type="dxa"/>
            </w:tcMar>
          </w:tcPr>
          <w:p w14:paraId="48BB8441" w14:textId="2CFBF540"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1.4 (0.64) </w:t>
            </w:r>
            <w:r w:rsidR="00E35291">
              <w:rPr>
                <w:rFonts w:eastAsia="Times New Roman"/>
                <w:color w:val="000000"/>
                <w:sz w:val="14"/>
                <w:szCs w:val="14"/>
              </w:rPr>
              <w:t xml:space="preserve">  </w:t>
            </w:r>
            <w:r w:rsidRPr="00563AD3">
              <w:rPr>
                <w:rFonts w:eastAsia="Times New Roman"/>
                <w:color w:val="000000"/>
                <w:sz w:val="14"/>
                <w:szCs w:val="14"/>
              </w:rPr>
              <w:t>1</w:t>
            </w:r>
          </w:p>
        </w:tc>
        <w:tc>
          <w:tcPr>
            <w:tcW w:w="850" w:type="dxa"/>
            <w:gridSpan w:val="2"/>
            <w:tcBorders>
              <w:top w:val="nil"/>
              <w:left w:val="nil"/>
              <w:bottom w:val="nil"/>
              <w:right w:val="nil"/>
            </w:tcBorders>
            <w:shd w:val="clear" w:color="auto" w:fill="FFFFFF"/>
            <w:tcMar>
              <w:left w:w="67" w:type="dxa"/>
              <w:right w:w="67" w:type="dxa"/>
            </w:tcMar>
          </w:tcPr>
          <w:p w14:paraId="5CCD8B3A"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0.7 (0.93) 1</w:t>
            </w:r>
          </w:p>
        </w:tc>
        <w:tc>
          <w:tcPr>
            <w:tcW w:w="865" w:type="dxa"/>
            <w:tcBorders>
              <w:top w:val="nil"/>
              <w:left w:val="nil"/>
              <w:bottom w:val="nil"/>
              <w:right w:val="nil"/>
            </w:tcBorders>
            <w:shd w:val="clear" w:color="auto" w:fill="FFFFFF"/>
            <w:tcMar>
              <w:left w:w="67" w:type="dxa"/>
              <w:right w:w="67" w:type="dxa"/>
            </w:tcMar>
          </w:tcPr>
          <w:p w14:paraId="5463133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(1.38) 0</w:t>
            </w:r>
          </w:p>
        </w:tc>
        <w:tc>
          <w:tcPr>
            <w:tcW w:w="973" w:type="dxa"/>
            <w:tcBorders>
              <w:top w:val="nil"/>
              <w:left w:val="nil"/>
              <w:bottom w:val="nil"/>
              <w:right w:val="nil"/>
            </w:tcBorders>
            <w:shd w:val="clear" w:color="auto" w:fill="FFFFFF"/>
            <w:tcMar>
              <w:left w:w="67" w:type="dxa"/>
              <w:right w:w="67" w:type="dxa"/>
            </w:tcMar>
          </w:tcPr>
          <w:p w14:paraId="77E4714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 (1.26) 1</w:t>
            </w:r>
          </w:p>
        </w:tc>
        <w:tc>
          <w:tcPr>
            <w:tcW w:w="850" w:type="dxa"/>
            <w:gridSpan w:val="2"/>
            <w:tcBorders>
              <w:top w:val="nil"/>
              <w:left w:val="nil"/>
              <w:bottom w:val="nil"/>
              <w:right w:val="nil"/>
            </w:tcBorders>
            <w:shd w:val="clear" w:color="auto" w:fill="FFFFFF"/>
            <w:tcMar>
              <w:left w:w="67" w:type="dxa"/>
              <w:right w:w="67" w:type="dxa"/>
            </w:tcMar>
          </w:tcPr>
          <w:p w14:paraId="11DAA443"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3.8 (2.7) 1</w:t>
            </w:r>
          </w:p>
        </w:tc>
        <w:tc>
          <w:tcPr>
            <w:tcW w:w="993" w:type="dxa"/>
            <w:gridSpan w:val="2"/>
            <w:tcBorders>
              <w:top w:val="nil"/>
              <w:left w:val="nil"/>
              <w:bottom w:val="nil"/>
              <w:right w:val="nil"/>
            </w:tcBorders>
            <w:shd w:val="clear" w:color="auto" w:fill="FFFFFF"/>
            <w:tcMar>
              <w:left w:w="67" w:type="dxa"/>
              <w:right w:w="67" w:type="dxa"/>
            </w:tcMar>
          </w:tcPr>
          <w:p w14:paraId="0BDC4E5F"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4.4 (3.22) 0</w:t>
            </w:r>
          </w:p>
        </w:tc>
        <w:tc>
          <w:tcPr>
            <w:tcW w:w="992" w:type="dxa"/>
            <w:tcBorders>
              <w:top w:val="nil"/>
              <w:left w:val="nil"/>
              <w:bottom w:val="nil"/>
              <w:right w:val="single" w:sz="4" w:space="0" w:color="auto"/>
            </w:tcBorders>
            <w:shd w:val="clear" w:color="auto" w:fill="FFFFFF"/>
            <w:tcMar>
              <w:left w:w="67" w:type="dxa"/>
              <w:right w:w="67" w:type="dxa"/>
            </w:tcMar>
          </w:tcPr>
          <w:p w14:paraId="1DB7568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4.1 (2.99) 1</w:t>
            </w:r>
          </w:p>
        </w:tc>
      </w:tr>
      <w:tr w:rsidR="00E07CDE" w:rsidRPr="00563AD3" w14:paraId="13C679B5"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54F2B35B" w14:textId="77777777" w:rsidR="00E07CDE" w:rsidRPr="00563AD3" w:rsidRDefault="00E07CDE" w:rsidP="004818D9">
            <w:pPr>
              <w:spacing w:before="67" w:after="67" w:line="240" w:lineRule="auto"/>
              <w:rPr>
                <w:rFonts w:eastAsia="Times New Roman"/>
                <w:color w:val="000000"/>
                <w:sz w:val="14"/>
                <w:szCs w:val="14"/>
              </w:rPr>
            </w:pPr>
            <w:r w:rsidRPr="00563AD3">
              <w:rPr>
                <w:rFonts w:eastAsia="Times New Roman"/>
                <w:color w:val="000000"/>
                <w:sz w:val="14"/>
                <w:szCs w:val="14"/>
              </w:rPr>
              <w:t>Irritability/Lability</w:t>
            </w:r>
          </w:p>
        </w:tc>
        <w:tc>
          <w:tcPr>
            <w:tcW w:w="1139" w:type="dxa"/>
            <w:tcBorders>
              <w:top w:val="nil"/>
              <w:left w:val="nil"/>
              <w:bottom w:val="nil"/>
              <w:right w:val="nil"/>
            </w:tcBorders>
            <w:shd w:val="clear" w:color="auto" w:fill="FFFFFF"/>
            <w:tcMar>
              <w:left w:w="67" w:type="dxa"/>
              <w:right w:w="67" w:type="dxa"/>
            </w:tcMar>
          </w:tcPr>
          <w:p w14:paraId="7DD77E59"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94 (33.1%)284</w:t>
            </w:r>
          </w:p>
        </w:tc>
        <w:tc>
          <w:tcPr>
            <w:tcW w:w="1134" w:type="dxa"/>
            <w:tcBorders>
              <w:top w:val="nil"/>
              <w:left w:val="nil"/>
              <w:bottom w:val="nil"/>
              <w:right w:val="nil"/>
            </w:tcBorders>
            <w:shd w:val="clear" w:color="auto" w:fill="FFFFFF"/>
            <w:tcMar>
              <w:left w:w="67" w:type="dxa"/>
              <w:right w:w="67" w:type="dxa"/>
            </w:tcMar>
          </w:tcPr>
          <w:p w14:paraId="4F1729C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127 (33.1%)384</w:t>
            </w:r>
          </w:p>
        </w:tc>
        <w:tc>
          <w:tcPr>
            <w:tcW w:w="1134" w:type="dxa"/>
            <w:gridSpan w:val="2"/>
            <w:tcBorders>
              <w:top w:val="nil"/>
              <w:left w:val="nil"/>
              <w:bottom w:val="nil"/>
              <w:right w:val="nil"/>
            </w:tcBorders>
            <w:shd w:val="clear" w:color="auto" w:fill="FFFFFF"/>
            <w:tcMar>
              <w:left w:w="67" w:type="dxa"/>
              <w:right w:w="67" w:type="dxa"/>
            </w:tcMar>
          </w:tcPr>
          <w:p w14:paraId="46AB4E8D"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221 (33.1%)668</w:t>
            </w:r>
          </w:p>
        </w:tc>
        <w:tc>
          <w:tcPr>
            <w:tcW w:w="851" w:type="dxa"/>
            <w:gridSpan w:val="2"/>
            <w:tcBorders>
              <w:top w:val="nil"/>
              <w:left w:val="nil"/>
              <w:bottom w:val="nil"/>
              <w:right w:val="nil"/>
            </w:tcBorders>
            <w:shd w:val="clear" w:color="auto" w:fill="FFFFFF"/>
            <w:tcMar>
              <w:left w:w="67" w:type="dxa"/>
              <w:right w:w="67" w:type="dxa"/>
            </w:tcMar>
          </w:tcPr>
          <w:p w14:paraId="34F1501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 (0.84) 0</w:t>
            </w:r>
          </w:p>
        </w:tc>
        <w:tc>
          <w:tcPr>
            <w:tcW w:w="891" w:type="dxa"/>
            <w:tcBorders>
              <w:top w:val="nil"/>
              <w:left w:val="nil"/>
              <w:bottom w:val="nil"/>
              <w:right w:val="nil"/>
            </w:tcBorders>
            <w:shd w:val="clear" w:color="auto" w:fill="FFFFFF"/>
            <w:tcMar>
              <w:left w:w="67" w:type="dxa"/>
              <w:right w:w="67" w:type="dxa"/>
            </w:tcMar>
          </w:tcPr>
          <w:p w14:paraId="289A462B"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2.6 (0.96) 1</w:t>
            </w:r>
          </w:p>
        </w:tc>
        <w:tc>
          <w:tcPr>
            <w:tcW w:w="951" w:type="dxa"/>
            <w:gridSpan w:val="2"/>
            <w:tcBorders>
              <w:top w:val="nil"/>
              <w:left w:val="nil"/>
              <w:bottom w:val="nil"/>
              <w:right w:val="nil"/>
            </w:tcBorders>
            <w:shd w:val="clear" w:color="auto" w:fill="FFFFFF"/>
            <w:tcMar>
              <w:left w:w="67" w:type="dxa"/>
              <w:right w:w="67" w:type="dxa"/>
            </w:tcMar>
          </w:tcPr>
          <w:p w14:paraId="4182A1DC"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2.8 (0.93) 1</w:t>
            </w:r>
          </w:p>
        </w:tc>
        <w:tc>
          <w:tcPr>
            <w:tcW w:w="851" w:type="dxa"/>
            <w:gridSpan w:val="2"/>
            <w:tcBorders>
              <w:top w:val="nil"/>
              <w:left w:val="nil"/>
              <w:bottom w:val="nil"/>
              <w:right w:val="nil"/>
            </w:tcBorders>
            <w:shd w:val="clear" w:color="auto" w:fill="FFFFFF"/>
            <w:tcMar>
              <w:left w:w="67" w:type="dxa"/>
              <w:right w:w="67" w:type="dxa"/>
            </w:tcMar>
          </w:tcPr>
          <w:p w14:paraId="4B883E4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(0.58) 0</w:t>
            </w:r>
          </w:p>
        </w:tc>
        <w:tc>
          <w:tcPr>
            <w:tcW w:w="807" w:type="dxa"/>
            <w:tcBorders>
              <w:top w:val="nil"/>
              <w:left w:val="nil"/>
              <w:bottom w:val="nil"/>
              <w:right w:val="nil"/>
            </w:tcBorders>
            <w:shd w:val="clear" w:color="auto" w:fill="FFFFFF"/>
            <w:tcMar>
              <w:left w:w="67" w:type="dxa"/>
              <w:right w:w="67" w:type="dxa"/>
            </w:tcMar>
          </w:tcPr>
          <w:p w14:paraId="44C9FCF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(0.57) 1</w:t>
            </w:r>
          </w:p>
        </w:tc>
        <w:tc>
          <w:tcPr>
            <w:tcW w:w="894" w:type="dxa"/>
            <w:gridSpan w:val="2"/>
            <w:tcBorders>
              <w:top w:val="nil"/>
              <w:left w:val="nil"/>
              <w:bottom w:val="nil"/>
              <w:right w:val="nil"/>
            </w:tcBorders>
            <w:shd w:val="clear" w:color="auto" w:fill="FFFFFF"/>
            <w:tcMar>
              <w:left w:w="67" w:type="dxa"/>
              <w:right w:w="67" w:type="dxa"/>
            </w:tcMar>
          </w:tcPr>
          <w:p w14:paraId="13FA5B09" w14:textId="7A1FC0FC"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1.5 (0.58) </w:t>
            </w:r>
            <w:r w:rsidR="00E35291">
              <w:rPr>
                <w:rFonts w:eastAsia="Times New Roman"/>
                <w:color w:val="000000"/>
                <w:sz w:val="14"/>
                <w:szCs w:val="14"/>
              </w:rPr>
              <w:t xml:space="preserve">  </w:t>
            </w:r>
            <w:r w:rsidRPr="00563AD3">
              <w:rPr>
                <w:rFonts w:eastAsia="Times New Roman"/>
                <w:color w:val="000000"/>
                <w:sz w:val="14"/>
                <w:szCs w:val="14"/>
              </w:rPr>
              <w:t>1</w:t>
            </w:r>
          </w:p>
        </w:tc>
        <w:tc>
          <w:tcPr>
            <w:tcW w:w="850" w:type="dxa"/>
            <w:gridSpan w:val="2"/>
            <w:tcBorders>
              <w:top w:val="nil"/>
              <w:left w:val="nil"/>
              <w:bottom w:val="nil"/>
              <w:right w:val="nil"/>
            </w:tcBorders>
            <w:shd w:val="clear" w:color="auto" w:fill="FFFFFF"/>
            <w:tcMar>
              <w:left w:w="67" w:type="dxa"/>
              <w:right w:w="67" w:type="dxa"/>
            </w:tcMar>
          </w:tcPr>
          <w:p w14:paraId="068330C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1.1 (1.05) 0</w:t>
            </w:r>
          </w:p>
        </w:tc>
        <w:tc>
          <w:tcPr>
            <w:tcW w:w="865" w:type="dxa"/>
            <w:tcBorders>
              <w:top w:val="nil"/>
              <w:left w:val="nil"/>
              <w:bottom w:val="nil"/>
              <w:right w:val="nil"/>
            </w:tcBorders>
            <w:shd w:val="clear" w:color="auto" w:fill="FFFFFF"/>
            <w:tcMar>
              <w:left w:w="67" w:type="dxa"/>
              <w:right w:w="67" w:type="dxa"/>
            </w:tcMar>
          </w:tcPr>
          <w:p w14:paraId="71F3FBB7"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1.1 (1.13) 1</w:t>
            </w:r>
          </w:p>
        </w:tc>
        <w:tc>
          <w:tcPr>
            <w:tcW w:w="973" w:type="dxa"/>
            <w:tcBorders>
              <w:top w:val="nil"/>
              <w:left w:val="nil"/>
              <w:bottom w:val="nil"/>
              <w:right w:val="nil"/>
            </w:tcBorders>
            <w:shd w:val="clear" w:color="auto" w:fill="FFFFFF"/>
            <w:tcMar>
              <w:left w:w="67" w:type="dxa"/>
              <w:right w:w="67" w:type="dxa"/>
            </w:tcMar>
          </w:tcPr>
          <w:p w14:paraId="380C941E"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1.1 (1.09) 1</w:t>
            </w:r>
          </w:p>
        </w:tc>
        <w:tc>
          <w:tcPr>
            <w:tcW w:w="850" w:type="dxa"/>
            <w:gridSpan w:val="2"/>
            <w:tcBorders>
              <w:top w:val="nil"/>
              <w:left w:val="nil"/>
              <w:bottom w:val="nil"/>
              <w:right w:val="nil"/>
            </w:tcBorders>
            <w:shd w:val="clear" w:color="auto" w:fill="FFFFFF"/>
            <w:tcMar>
              <w:left w:w="67" w:type="dxa"/>
              <w:right w:w="67" w:type="dxa"/>
            </w:tcMar>
          </w:tcPr>
          <w:p w14:paraId="559B0775"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4.5 (2.44) 0</w:t>
            </w:r>
          </w:p>
        </w:tc>
        <w:tc>
          <w:tcPr>
            <w:tcW w:w="993" w:type="dxa"/>
            <w:gridSpan w:val="2"/>
            <w:tcBorders>
              <w:top w:val="nil"/>
              <w:left w:val="nil"/>
              <w:bottom w:val="nil"/>
              <w:right w:val="nil"/>
            </w:tcBorders>
            <w:shd w:val="clear" w:color="auto" w:fill="FFFFFF"/>
            <w:tcMar>
              <w:left w:w="67" w:type="dxa"/>
              <w:right w:w="67" w:type="dxa"/>
            </w:tcMar>
          </w:tcPr>
          <w:p w14:paraId="3779F510"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 (2.66) 1</w:t>
            </w:r>
          </w:p>
        </w:tc>
        <w:tc>
          <w:tcPr>
            <w:tcW w:w="992" w:type="dxa"/>
            <w:tcBorders>
              <w:top w:val="nil"/>
              <w:left w:val="nil"/>
              <w:bottom w:val="nil"/>
              <w:right w:val="single" w:sz="4" w:space="0" w:color="auto"/>
            </w:tcBorders>
            <w:shd w:val="clear" w:color="auto" w:fill="FFFFFF"/>
            <w:tcMar>
              <w:left w:w="67" w:type="dxa"/>
              <w:right w:w="67" w:type="dxa"/>
            </w:tcMar>
          </w:tcPr>
          <w:p w14:paraId="5CBB2D52" w14:textId="77777777" w:rsidR="00E07CDE" w:rsidRPr="00563AD3" w:rsidRDefault="00E07CDE"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4.2 (2.58) 1</w:t>
            </w:r>
          </w:p>
        </w:tc>
      </w:tr>
      <w:tr w:rsidR="00E35291" w:rsidRPr="00563AD3" w14:paraId="2A0DF72F"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4037E334" w14:textId="10887A21" w:rsidR="00E35291" w:rsidRPr="00563AD3" w:rsidRDefault="00E35291" w:rsidP="004818D9">
            <w:pPr>
              <w:spacing w:before="67" w:after="67" w:line="240" w:lineRule="auto"/>
              <w:rPr>
                <w:rFonts w:eastAsia="Times New Roman"/>
                <w:color w:val="000000"/>
                <w:sz w:val="14"/>
                <w:szCs w:val="14"/>
              </w:rPr>
            </w:pPr>
            <w:r w:rsidRPr="00563AD3">
              <w:rPr>
                <w:rFonts w:eastAsia="Times New Roman"/>
                <w:color w:val="000000"/>
                <w:sz w:val="14"/>
                <w:szCs w:val="14"/>
              </w:rPr>
              <w:t xml:space="preserve">Aberrant </w:t>
            </w:r>
            <w:r>
              <w:rPr>
                <w:rFonts w:eastAsia="Times New Roman"/>
                <w:color w:val="000000"/>
                <w:sz w:val="14"/>
                <w:szCs w:val="14"/>
              </w:rPr>
              <w:t>m</w:t>
            </w:r>
            <w:r w:rsidRPr="00563AD3">
              <w:rPr>
                <w:rFonts w:eastAsia="Times New Roman"/>
                <w:color w:val="000000"/>
                <w:sz w:val="14"/>
                <w:szCs w:val="14"/>
              </w:rPr>
              <w:t>otor</w:t>
            </w:r>
            <w:r w:rsidRPr="00563AD3">
              <w:rPr>
                <w:rFonts w:eastAsia="Times New Roman"/>
                <w:color w:val="000000"/>
                <w:sz w:val="14"/>
                <w:szCs w:val="14"/>
              </w:rPr>
              <w:br/>
            </w:r>
            <w:r>
              <w:rPr>
                <w:rFonts w:eastAsia="Times New Roman"/>
                <w:color w:val="000000"/>
                <w:sz w:val="14"/>
                <w:szCs w:val="14"/>
              </w:rPr>
              <w:t>b</w:t>
            </w:r>
            <w:r w:rsidRPr="00563AD3">
              <w:rPr>
                <w:rFonts w:eastAsia="Times New Roman"/>
                <w:color w:val="000000"/>
                <w:sz w:val="14"/>
                <w:szCs w:val="14"/>
              </w:rPr>
              <w:t>ehaviour</w:t>
            </w:r>
          </w:p>
        </w:tc>
        <w:tc>
          <w:tcPr>
            <w:tcW w:w="1139" w:type="dxa"/>
            <w:tcBorders>
              <w:top w:val="nil"/>
              <w:left w:val="nil"/>
              <w:bottom w:val="nil"/>
              <w:right w:val="nil"/>
            </w:tcBorders>
            <w:shd w:val="clear" w:color="auto" w:fill="FFFFFF"/>
            <w:tcMar>
              <w:left w:w="67" w:type="dxa"/>
              <w:right w:w="67" w:type="dxa"/>
            </w:tcMar>
          </w:tcPr>
          <w:p w14:paraId="3B14228C"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83 (29.2%)284</w:t>
            </w:r>
          </w:p>
        </w:tc>
        <w:tc>
          <w:tcPr>
            <w:tcW w:w="1134" w:type="dxa"/>
            <w:tcBorders>
              <w:top w:val="nil"/>
              <w:left w:val="nil"/>
              <w:bottom w:val="nil"/>
              <w:right w:val="nil"/>
            </w:tcBorders>
            <w:shd w:val="clear" w:color="auto" w:fill="FFFFFF"/>
            <w:tcMar>
              <w:left w:w="67" w:type="dxa"/>
              <w:right w:w="67" w:type="dxa"/>
            </w:tcMar>
          </w:tcPr>
          <w:p w14:paraId="0E7E3AD7"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74 (19.3%)384</w:t>
            </w:r>
          </w:p>
        </w:tc>
        <w:tc>
          <w:tcPr>
            <w:tcW w:w="1134" w:type="dxa"/>
            <w:gridSpan w:val="2"/>
            <w:tcBorders>
              <w:top w:val="nil"/>
              <w:left w:val="nil"/>
              <w:bottom w:val="nil"/>
              <w:right w:val="nil"/>
            </w:tcBorders>
            <w:shd w:val="clear" w:color="auto" w:fill="FFFFFF"/>
            <w:tcMar>
              <w:left w:w="67" w:type="dxa"/>
              <w:right w:w="67" w:type="dxa"/>
            </w:tcMar>
          </w:tcPr>
          <w:p w14:paraId="1BA405C0"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157 (23.5%)668</w:t>
            </w:r>
          </w:p>
        </w:tc>
        <w:tc>
          <w:tcPr>
            <w:tcW w:w="851" w:type="dxa"/>
            <w:gridSpan w:val="2"/>
            <w:tcBorders>
              <w:top w:val="nil"/>
              <w:left w:val="nil"/>
              <w:bottom w:val="nil"/>
              <w:right w:val="nil"/>
            </w:tcBorders>
            <w:shd w:val="clear" w:color="auto" w:fill="FFFFFF"/>
            <w:tcMar>
              <w:left w:w="67" w:type="dxa"/>
              <w:right w:w="67" w:type="dxa"/>
            </w:tcMar>
          </w:tcPr>
          <w:p w14:paraId="7E7D60B3"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3.4 (0.8) 0</w:t>
            </w:r>
          </w:p>
        </w:tc>
        <w:tc>
          <w:tcPr>
            <w:tcW w:w="891" w:type="dxa"/>
            <w:tcBorders>
              <w:top w:val="nil"/>
              <w:left w:val="nil"/>
              <w:bottom w:val="nil"/>
              <w:right w:val="nil"/>
            </w:tcBorders>
            <w:shd w:val="clear" w:color="auto" w:fill="FFFFFF"/>
            <w:tcMar>
              <w:left w:w="67" w:type="dxa"/>
              <w:right w:w="67" w:type="dxa"/>
            </w:tcMar>
          </w:tcPr>
          <w:p w14:paraId="2AF3BDF2"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3.4 (0.72) 1</w:t>
            </w:r>
          </w:p>
        </w:tc>
        <w:tc>
          <w:tcPr>
            <w:tcW w:w="951" w:type="dxa"/>
            <w:gridSpan w:val="2"/>
            <w:tcBorders>
              <w:top w:val="nil"/>
              <w:left w:val="nil"/>
              <w:bottom w:val="nil"/>
              <w:right w:val="nil"/>
            </w:tcBorders>
            <w:shd w:val="clear" w:color="auto" w:fill="FFFFFF"/>
            <w:tcMar>
              <w:left w:w="67" w:type="dxa"/>
              <w:right w:w="67" w:type="dxa"/>
            </w:tcMar>
          </w:tcPr>
          <w:p w14:paraId="63CABDC3"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3.4 (0.76) 1</w:t>
            </w:r>
          </w:p>
        </w:tc>
        <w:tc>
          <w:tcPr>
            <w:tcW w:w="851" w:type="dxa"/>
            <w:gridSpan w:val="2"/>
            <w:tcBorders>
              <w:top w:val="nil"/>
              <w:left w:val="nil"/>
              <w:bottom w:val="nil"/>
              <w:right w:val="nil"/>
            </w:tcBorders>
            <w:shd w:val="clear" w:color="auto" w:fill="FFFFFF"/>
            <w:tcMar>
              <w:left w:w="67" w:type="dxa"/>
              <w:right w:w="67" w:type="dxa"/>
            </w:tcMar>
          </w:tcPr>
          <w:p w14:paraId="73DEBB4D"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(0.59) 0</w:t>
            </w:r>
          </w:p>
        </w:tc>
        <w:tc>
          <w:tcPr>
            <w:tcW w:w="807" w:type="dxa"/>
            <w:tcBorders>
              <w:top w:val="nil"/>
              <w:left w:val="nil"/>
              <w:bottom w:val="nil"/>
              <w:right w:val="nil"/>
            </w:tcBorders>
            <w:shd w:val="clear" w:color="auto" w:fill="FFFFFF"/>
            <w:tcMar>
              <w:left w:w="67" w:type="dxa"/>
              <w:right w:w="67" w:type="dxa"/>
            </w:tcMar>
          </w:tcPr>
          <w:p w14:paraId="42C47488"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1.5 (0.58) 2</w:t>
            </w:r>
          </w:p>
        </w:tc>
        <w:tc>
          <w:tcPr>
            <w:tcW w:w="894" w:type="dxa"/>
            <w:gridSpan w:val="2"/>
            <w:tcBorders>
              <w:top w:val="nil"/>
              <w:left w:val="nil"/>
              <w:bottom w:val="nil"/>
              <w:right w:val="nil"/>
            </w:tcBorders>
            <w:shd w:val="clear" w:color="auto" w:fill="FFFFFF"/>
            <w:tcMar>
              <w:left w:w="67" w:type="dxa"/>
              <w:right w:w="67" w:type="dxa"/>
            </w:tcMar>
          </w:tcPr>
          <w:p w14:paraId="05B74D1E" w14:textId="72155359"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1.5 (0.58) </w:t>
            </w:r>
            <w:r>
              <w:rPr>
                <w:rFonts w:eastAsia="Times New Roman"/>
                <w:color w:val="000000"/>
                <w:sz w:val="14"/>
                <w:szCs w:val="14"/>
              </w:rPr>
              <w:t xml:space="preserve">  </w:t>
            </w:r>
            <w:r w:rsidRPr="00563AD3">
              <w:rPr>
                <w:rFonts w:eastAsia="Times New Roman"/>
                <w:color w:val="000000"/>
                <w:sz w:val="14"/>
                <w:szCs w:val="14"/>
              </w:rPr>
              <w:t>2</w:t>
            </w:r>
          </w:p>
        </w:tc>
        <w:tc>
          <w:tcPr>
            <w:tcW w:w="850" w:type="dxa"/>
            <w:gridSpan w:val="2"/>
            <w:tcBorders>
              <w:top w:val="nil"/>
              <w:left w:val="nil"/>
              <w:bottom w:val="nil"/>
              <w:right w:val="nil"/>
            </w:tcBorders>
            <w:shd w:val="clear" w:color="auto" w:fill="FFFFFF"/>
            <w:tcMar>
              <w:left w:w="67" w:type="dxa"/>
              <w:right w:w="67" w:type="dxa"/>
            </w:tcMar>
          </w:tcPr>
          <w:p w14:paraId="641624DB"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0.5 (0.85) 0</w:t>
            </w:r>
          </w:p>
        </w:tc>
        <w:tc>
          <w:tcPr>
            <w:tcW w:w="865" w:type="dxa"/>
            <w:tcBorders>
              <w:top w:val="nil"/>
              <w:left w:val="nil"/>
              <w:bottom w:val="nil"/>
              <w:right w:val="nil"/>
            </w:tcBorders>
            <w:shd w:val="clear" w:color="auto" w:fill="FFFFFF"/>
            <w:tcMar>
              <w:left w:w="67" w:type="dxa"/>
              <w:right w:w="67" w:type="dxa"/>
            </w:tcMar>
          </w:tcPr>
          <w:p w14:paraId="4090BECC"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0.9 (1.15) 2</w:t>
            </w:r>
          </w:p>
        </w:tc>
        <w:tc>
          <w:tcPr>
            <w:tcW w:w="973" w:type="dxa"/>
            <w:tcBorders>
              <w:top w:val="nil"/>
              <w:left w:val="nil"/>
              <w:bottom w:val="nil"/>
              <w:right w:val="nil"/>
            </w:tcBorders>
            <w:shd w:val="clear" w:color="auto" w:fill="FFFFFF"/>
            <w:tcMar>
              <w:left w:w="67" w:type="dxa"/>
              <w:right w:w="67" w:type="dxa"/>
            </w:tcMar>
          </w:tcPr>
          <w:p w14:paraId="0BF47EC4"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0.7 (1.01) 2</w:t>
            </w:r>
          </w:p>
        </w:tc>
        <w:tc>
          <w:tcPr>
            <w:tcW w:w="850" w:type="dxa"/>
            <w:gridSpan w:val="2"/>
            <w:tcBorders>
              <w:top w:val="nil"/>
              <w:left w:val="nil"/>
              <w:bottom w:val="nil"/>
              <w:right w:val="nil"/>
            </w:tcBorders>
            <w:shd w:val="clear" w:color="auto" w:fill="FFFFFF"/>
            <w:tcMar>
              <w:left w:w="67" w:type="dxa"/>
              <w:right w:w="67" w:type="dxa"/>
            </w:tcMar>
          </w:tcPr>
          <w:p w14:paraId="3DAFD2D6"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4.9 (2.53) 0</w:t>
            </w:r>
          </w:p>
        </w:tc>
        <w:tc>
          <w:tcPr>
            <w:tcW w:w="993" w:type="dxa"/>
            <w:gridSpan w:val="2"/>
            <w:tcBorders>
              <w:top w:val="nil"/>
              <w:left w:val="nil"/>
              <w:bottom w:val="nil"/>
              <w:right w:val="nil"/>
            </w:tcBorders>
            <w:shd w:val="clear" w:color="auto" w:fill="FFFFFF"/>
            <w:tcMar>
              <w:left w:w="67" w:type="dxa"/>
              <w:right w:w="67" w:type="dxa"/>
            </w:tcMar>
          </w:tcPr>
          <w:p w14:paraId="1D3826F9"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5.2 (2.54) 2</w:t>
            </w:r>
          </w:p>
        </w:tc>
        <w:tc>
          <w:tcPr>
            <w:tcW w:w="992" w:type="dxa"/>
            <w:tcBorders>
              <w:top w:val="nil"/>
              <w:left w:val="nil"/>
              <w:bottom w:val="nil"/>
              <w:right w:val="single" w:sz="4" w:space="0" w:color="auto"/>
            </w:tcBorders>
            <w:shd w:val="clear" w:color="auto" w:fill="FFFFFF"/>
            <w:tcMar>
              <w:left w:w="67" w:type="dxa"/>
              <w:right w:w="67" w:type="dxa"/>
            </w:tcMar>
          </w:tcPr>
          <w:p w14:paraId="0E3BE006"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5.1 (2.53) 2</w:t>
            </w:r>
          </w:p>
        </w:tc>
      </w:tr>
      <w:tr w:rsidR="00E35291" w:rsidRPr="00563AD3" w14:paraId="3180B026" w14:textId="77777777" w:rsidTr="00C163F3">
        <w:trPr>
          <w:cantSplit/>
          <w:jc w:val="center"/>
        </w:trPr>
        <w:tc>
          <w:tcPr>
            <w:tcW w:w="1413" w:type="dxa"/>
            <w:tcBorders>
              <w:top w:val="nil"/>
              <w:left w:val="single" w:sz="4" w:space="0" w:color="auto"/>
              <w:bottom w:val="nil"/>
              <w:right w:val="nil"/>
            </w:tcBorders>
            <w:shd w:val="clear" w:color="auto" w:fill="FFFFFF"/>
            <w:tcMar>
              <w:left w:w="67" w:type="dxa"/>
              <w:right w:w="67" w:type="dxa"/>
            </w:tcMar>
          </w:tcPr>
          <w:p w14:paraId="74D097F8" w14:textId="55BD59AE" w:rsidR="00E35291" w:rsidRPr="00563AD3" w:rsidRDefault="00E35291" w:rsidP="004818D9">
            <w:pPr>
              <w:keepNext/>
              <w:spacing w:before="67" w:after="67" w:line="240" w:lineRule="auto"/>
              <w:rPr>
                <w:rFonts w:eastAsia="Times New Roman"/>
                <w:color w:val="000000"/>
                <w:sz w:val="14"/>
                <w:szCs w:val="14"/>
              </w:rPr>
            </w:pPr>
            <w:r w:rsidRPr="00563AD3">
              <w:rPr>
                <w:rFonts w:eastAsia="Times New Roman"/>
                <w:color w:val="000000"/>
                <w:sz w:val="14"/>
                <w:szCs w:val="14"/>
              </w:rPr>
              <w:t>Sle</w:t>
            </w:r>
            <w:r>
              <w:rPr>
                <w:rFonts w:eastAsia="Times New Roman"/>
                <w:color w:val="000000"/>
                <w:sz w:val="14"/>
                <w:szCs w:val="14"/>
              </w:rPr>
              <w:t>ep and night time b</w:t>
            </w:r>
            <w:r w:rsidRPr="00563AD3">
              <w:rPr>
                <w:rFonts w:eastAsia="Times New Roman"/>
                <w:color w:val="000000"/>
                <w:sz w:val="14"/>
                <w:szCs w:val="14"/>
              </w:rPr>
              <w:t xml:space="preserve">ehaviour </w:t>
            </w:r>
            <w:r>
              <w:rPr>
                <w:rFonts w:eastAsia="Times New Roman"/>
                <w:color w:val="000000"/>
                <w:sz w:val="14"/>
                <w:szCs w:val="14"/>
              </w:rPr>
              <w:t>d</w:t>
            </w:r>
            <w:r w:rsidRPr="00563AD3">
              <w:rPr>
                <w:rFonts w:eastAsia="Times New Roman"/>
                <w:color w:val="000000"/>
                <w:sz w:val="14"/>
                <w:szCs w:val="14"/>
              </w:rPr>
              <w:t>isorders</w:t>
            </w:r>
          </w:p>
        </w:tc>
        <w:tc>
          <w:tcPr>
            <w:tcW w:w="1139" w:type="dxa"/>
            <w:tcBorders>
              <w:top w:val="nil"/>
              <w:left w:val="nil"/>
              <w:bottom w:val="nil"/>
              <w:right w:val="nil"/>
            </w:tcBorders>
            <w:shd w:val="clear" w:color="auto" w:fill="FFFFFF"/>
            <w:tcMar>
              <w:left w:w="67" w:type="dxa"/>
              <w:right w:w="67" w:type="dxa"/>
            </w:tcMar>
          </w:tcPr>
          <w:p w14:paraId="0162F364"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28 (9.9%)284</w:t>
            </w:r>
          </w:p>
        </w:tc>
        <w:tc>
          <w:tcPr>
            <w:tcW w:w="1134" w:type="dxa"/>
            <w:tcBorders>
              <w:top w:val="nil"/>
              <w:left w:val="nil"/>
              <w:bottom w:val="nil"/>
              <w:right w:val="nil"/>
            </w:tcBorders>
            <w:shd w:val="clear" w:color="auto" w:fill="FFFFFF"/>
            <w:tcMar>
              <w:left w:w="67" w:type="dxa"/>
              <w:right w:w="67" w:type="dxa"/>
            </w:tcMar>
          </w:tcPr>
          <w:p w14:paraId="4C200531"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49 (12.8%)384</w:t>
            </w:r>
          </w:p>
        </w:tc>
        <w:tc>
          <w:tcPr>
            <w:tcW w:w="1134" w:type="dxa"/>
            <w:gridSpan w:val="2"/>
            <w:tcBorders>
              <w:top w:val="nil"/>
              <w:left w:val="nil"/>
              <w:bottom w:val="nil"/>
              <w:right w:val="nil"/>
            </w:tcBorders>
            <w:shd w:val="clear" w:color="auto" w:fill="FFFFFF"/>
            <w:tcMar>
              <w:left w:w="67" w:type="dxa"/>
              <w:right w:w="67" w:type="dxa"/>
            </w:tcMar>
          </w:tcPr>
          <w:p w14:paraId="0373F5AF"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77 (11.5%)668</w:t>
            </w:r>
          </w:p>
        </w:tc>
        <w:tc>
          <w:tcPr>
            <w:tcW w:w="851" w:type="dxa"/>
            <w:gridSpan w:val="2"/>
            <w:tcBorders>
              <w:top w:val="nil"/>
              <w:left w:val="nil"/>
              <w:bottom w:val="nil"/>
              <w:right w:val="nil"/>
            </w:tcBorders>
            <w:shd w:val="clear" w:color="auto" w:fill="FFFFFF"/>
            <w:tcMar>
              <w:left w:w="67" w:type="dxa"/>
              <w:right w:w="67" w:type="dxa"/>
            </w:tcMar>
          </w:tcPr>
          <w:p w14:paraId="12A4E117"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2.9 (1.07) 1</w:t>
            </w:r>
          </w:p>
        </w:tc>
        <w:tc>
          <w:tcPr>
            <w:tcW w:w="891" w:type="dxa"/>
            <w:tcBorders>
              <w:top w:val="nil"/>
              <w:left w:val="nil"/>
              <w:bottom w:val="nil"/>
              <w:right w:val="nil"/>
            </w:tcBorders>
            <w:shd w:val="clear" w:color="auto" w:fill="FFFFFF"/>
            <w:tcMar>
              <w:left w:w="67" w:type="dxa"/>
              <w:right w:w="67" w:type="dxa"/>
            </w:tcMar>
          </w:tcPr>
          <w:p w14:paraId="5A5BF0C4"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2.8 (0.94) 5</w:t>
            </w:r>
          </w:p>
        </w:tc>
        <w:tc>
          <w:tcPr>
            <w:tcW w:w="951" w:type="dxa"/>
            <w:gridSpan w:val="2"/>
            <w:tcBorders>
              <w:top w:val="nil"/>
              <w:left w:val="nil"/>
              <w:bottom w:val="nil"/>
              <w:right w:val="nil"/>
            </w:tcBorders>
            <w:shd w:val="clear" w:color="auto" w:fill="FFFFFF"/>
            <w:tcMar>
              <w:left w:w="67" w:type="dxa"/>
              <w:right w:w="67" w:type="dxa"/>
            </w:tcMar>
          </w:tcPr>
          <w:p w14:paraId="14307F00"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2.9 (0.98) 6</w:t>
            </w:r>
          </w:p>
        </w:tc>
        <w:tc>
          <w:tcPr>
            <w:tcW w:w="851" w:type="dxa"/>
            <w:gridSpan w:val="2"/>
            <w:tcBorders>
              <w:top w:val="nil"/>
              <w:left w:val="nil"/>
              <w:bottom w:val="nil"/>
              <w:right w:val="nil"/>
            </w:tcBorders>
            <w:shd w:val="clear" w:color="auto" w:fill="FFFFFF"/>
            <w:tcMar>
              <w:left w:w="67" w:type="dxa"/>
              <w:right w:w="67" w:type="dxa"/>
            </w:tcMar>
          </w:tcPr>
          <w:p w14:paraId="2384D6C7"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1.2 (0.42) 1</w:t>
            </w:r>
          </w:p>
        </w:tc>
        <w:tc>
          <w:tcPr>
            <w:tcW w:w="807" w:type="dxa"/>
            <w:tcBorders>
              <w:top w:val="nil"/>
              <w:left w:val="nil"/>
              <w:bottom w:val="nil"/>
              <w:right w:val="nil"/>
            </w:tcBorders>
            <w:shd w:val="clear" w:color="auto" w:fill="FFFFFF"/>
            <w:tcMar>
              <w:left w:w="67" w:type="dxa"/>
              <w:right w:w="67" w:type="dxa"/>
            </w:tcMar>
          </w:tcPr>
          <w:p w14:paraId="3A30577A"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1.5 (0.59) 5</w:t>
            </w:r>
          </w:p>
        </w:tc>
        <w:tc>
          <w:tcPr>
            <w:tcW w:w="894" w:type="dxa"/>
            <w:gridSpan w:val="2"/>
            <w:tcBorders>
              <w:top w:val="nil"/>
              <w:left w:val="nil"/>
              <w:bottom w:val="nil"/>
              <w:right w:val="nil"/>
            </w:tcBorders>
            <w:shd w:val="clear" w:color="auto" w:fill="FFFFFF"/>
            <w:tcMar>
              <w:left w:w="67" w:type="dxa"/>
              <w:right w:w="67" w:type="dxa"/>
            </w:tcMar>
          </w:tcPr>
          <w:p w14:paraId="6B98AC39" w14:textId="501C82B2"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 xml:space="preserve">1.4 (0.55) </w:t>
            </w:r>
            <w:r>
              <w:rPr>
                <w:rFonts w:eastAsia="Times New Roman"/>
                <w:color w:val="000000"/>
                <w:sz w:val="14"/>
                <w:szCs w:val="14"/>
              </w:rPr>
              <w:t xml:space="preserve">  </w:t>
            </w:r>
            <w:r w:rsidRPr="00563AD3">
              <w:rPr>
                <w:rFonts w:eastAsia="Times New Roman"/>
                <w:color w:val="000000"/>
                <w:sz w:val="14"/>
                <w:szCs w:val="14"/>
              </w:rPr>
              <w:t>6</w:t>
            </w:r>
          </w:p>
        </w:tc>
        <w:tc>
          <w:tcPr>
            <w:tcW w:w="850" w:type="dxa"/>
            <w:gridSpan w:val="2"/>
            <w:tcBorders>
              <w:top w:val="nil"/>
              <w:left w:val="nil"/>
              <w:bottom w:val="nil"/>
              <w:right w:val="nil"/>
            </w:tcBorders>
            <w:shd w:val="clear" w:color="auto" w:fill="FFFFFF"/>
            <w:tcMar>
              <w:left w:w="67" w:type="dxa"/>
              <w:right w:w="67" w:type="dxa"/>
            </w:tcMar>
          </w:tcPr>
          <w:p w14:paraId="5B13FCCB"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0.8 (0.97) 1</w:t>
            </w:r>
          </w:p>
        </w:tc>
        <w:tc>
          <w:tcPr>
            <w:tcW w:w="865" w:type="dxa"/>
            <w:tcBorders>
              <w:top w:val="nil"/>
              <w:left w:val="nil"/>
              <w:bottom w:val="nil"/>
              <w:right w:val="nil"/>
            </w:tcBorders>
            <w:shd w:val="clear" w:color="auto" w:fill="FFFFFF"/>
            <w:tcMar>
              <w:left w:w="67" w:type="dxa"/>
              <w:right w:w="67" w:type="dxa"/>
            </w:tcMar>
          </w:tcPr>
          <w:p w14:paraId="28D5DBC7"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1.7 (1.49) 5</w:t>
            </w:r>
          </w:p>
        </w:tc>
        <w:tc>
          <w:tcPr>
            <w:tcW w:w="973" w:type="dxa"/>
            <w:tcBorders>
              <w:top w:val="nil"/>
              <w:left w:val="nil"/>
              <w:bottom w:val="nil"/>
              <w:right w:val="nil"/>
            </w:tcBorders>
            <w:shd w:val="clear" w:color="auto" w:fill="FFFFFF"/>
            <w:tcMar>
              <w:left w:w="67" w:type="dxa"/>
              <w:right w:w="67" w:type="dxa"/>
            </w:tcMar>
          </w:tcPr>
          <w:p w14:paraId="2F5D2794"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1.4 (1.38) 6</w:t>
            </w:r>
          </w:p>
        </w:tc>
        <w:tc>
          <w:tcPr>
            <w:tcW w:w="850" w:type="dxa"/>
            <w:gridSpan w:val="2"/>
            <w:tcBorders>
              <w:top w:val="nil"/>
              <w:left w:val="nil"/>
              <w:bottom w:val="nil"/>
              <w:right w:val="nil"/>
            </w:tcBorders>
            <w:shd w:val="clear" w:color="auto" w:fill="FFFFFF"/>
            <w:tcMar>
              <w:left w:w="67" w:type="dxa"/>
              <w:right w:w="67" w:type="dxa"/>
            </w:tcMar>
          </w:tcPr>
          <w:p w14:paraId="23C41AC8"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3.7 (2.11) 1</w:t>
            </w:r>
          </w:p>
        </w:tc>
        <w:tc>
          <w:tcPr>
            <w:tcW w:w="993" w:type="dxa"/>
            <w:gridSpan w:val="2"/>
            <w:tcBorders>
              <w:top w:val="nil"/>
              <w:left w:val="nil"/>
              <w:bottom w:val="nil"/>
              <w:right w:val="nil"/>
            </w:tcBorders>
            <w:shd w:val="clear" w:color="auto" w:fill="FFFFFF"/>
            <w:tcMar>
              <w:left w:w="67" w:type="dxa"/>
              <w:right w:w="67" w:type="dxa"/>
            </w:tcMar>
          </w:tcPr>
          <w:p w14:paraId="35441F1B"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4.3 (2.14) 5</w:t>
            </w:r>
          </w:p>
        </w:tc>
        <w:tc>
          <w:tcPr>
            <w:tcW w:w="992" w:type="dxa"/>
            <w:tcBorders>
              <w:top w:val="nil"/>
              <w:left w:val="nil"/>
              <w:bottom w:val="nil"/>
              <w:right w:val="single" w:sz="4" w:space="0" w:color="auto"/>
            </w:tcBorders>
            <w:shd w:val="clear" w:color="auto" w:fill="FFFFFF"/>
            <w:tcMar>
              <w:left w:w="67" w:type="dxa"/>
              <w:right w:w="67" w:type="dxa"/>
            </w:tcMar>
          </w:tcPr>
          <w:p w14:paraId="116A2E58" w14:textId="77777777" w:rsidR="00E35291" w:rsidRPr="00563AD3" w:rsidRDefault="00E35291" w:rsidP="004818D9">
            <w:pPr>
              <w:keepNext/>
              <w:spacing w:before="67" w:after="67" w:line="240" w:lineRule="auto"/>
              <w:jc w:val="right"/>
              <w:rPr>
                <w:rFonts w:eastAsia="Times New Roman"/>
                <w:color w:val="000000"/>
                <w:sz w:val="14"/>
                <w:szCs w:val="14"/>
              </w:rPr>
            </w:pPr>
            <w:r w:rsidRPr="00563AD3">
              <w:rPr>
                <w:rFonts w:eastAsia="Times New Roman"/>
                <w:color w:val="000000"/>
                <w:sz w:val="14"/>
                <w:szCs w:val="14"/>
              </w:rPr>
              <w:t>4 (2.13) 6</w:t>
            </w:r>
          </w:p>
        </w:tc>
      </w:tr>
      <w:tr w:rsidR="00E35291" w:rsidRPr="00563AD3" w14:paraId="3F3E2DCA" w14:textId="77777777" w:rsidTr="00C163F3">
        <w:trPr>
          <w:cantSplit/>
          <w:jc w:val="center"/>
        </w:trPr>
        <w:tc>
          <w:tcPr>
            <w:tcW w:w="1413" w:type="dxa"/>
            <w:tcBorders>
              <w:top w:val="nil"/>
              <w:left w:val="single" w:sz="4" w:space="0" w:color="auto"/>
              <w:bottom w:val="single" w:sz="4" w:space="0" w:color="auto"/>
              <w:right w:val="nil"/>
            </w:tcBorders>
            <w:shd w:val="clear" w:color="auto" w:fill="FFFFFF"/>
            <w:tcMar>
              <w:left w:w="67" w:type="dxa"/>
              <w:right w:w="67" w:type="dxa"/>
            </w:tcMar>
          </w:tcPr>
          <w:p w14:paraId="30F274E7" w14:textId="461677FC" w:rsidR="00E35291" w:rsidRPr="00563AD3" w:rsidRDefault="00E35291" w:rsidP="004818D9">
            <w:pPr>
              <w:spacing w:before="67" w:after="67" w:line="240" w:lineRule="auto"/>
              <w:rPr>
                <w:rFonts w:eastAsia="Times New Roman"/>
                <w:color w:val="000000"/>
                <w:sz w:val="14"/>
                <w:szCs w:val="14"/>
              </w:rPr>
            </w:pPr>
            <w:r w:rsidRPr="00563AD3">
              <w:rPr>
                <w:rFonts w:eastAsia="Times New Roman"/>
                <w:color w:val="000000"/>
                <w:sz w:val="14"/>
                <w:szCs w:val="14"/>
              </w:rPr>
              <w:t xml:space="preserve">Appetite and </w:t>
            </w:r>
            <w:r>
              <w:rPr>
                <w:rFonts w:eastAsia="Times New Roman"/>
                <w:color w:val="000000"/>
                <w:sz w:val="14"/>
                <w:szCs w:val="14"/>
              </w:rPr>
              <w:t>e</w:t>
            </w:r>
            <w:r w:rsidRPr="00563AD3">
              <w:rPr>
                <w:rFonts w:eastAsia="Times New Roman"/>
                <w:color w:val="000000"/>
                <w:sz w:val="14"/>
                <w:szCs w:val="14"/>
              </w:rPr>
              <w:t>ating</w:t>
            </w:r>
            <w:r w:rsidRPr="00563AD3">
              <w:rPr>
                <w:rFonts w:eastAsia="Times New Roman"/>
                <w:color w:val="000000"/>
                <w:sz w:val="14"/>
                <w:szCs w:val="14"/>
              </w:rPr>
              <w:br/>
            </w:r>
            <w:r>
              <w:rPr>
                <w:rFonts w:eastAsia="Times New Roman"/>
                <w:color w:val="000000"/>
                <w:sz w:val="14"/>
                <w:szCs w:val="14"/>
              </w:rPr>
              <w:t>c</w:t>
            </w:r>
            <w:r w:rsidRPr="00563AD3">
              <w:rPr>
                <w:rFonts w:eastAsia="Times New Roman"/>
                <w:color w:val="000000"/>
                <w:sz w:val="14"/>
                <w:szCs w:val="14"/>
              </w:rPr>
              <w:t>hanges</w:t>
            </w:r>
          </w:p>
        </w:tc>
        <w:tc>
          <w:tcPr>
            <w:tcW w:w="1139" w:type="dxa"/>
            <w:tcBorders>
              <w:top w:val="nil"/>
              <w:left w:val="nil"/>
              <w:bottom w:val="single" w:sz="4" w:space="0" w:color="auto"/>
              <w:right w:val="nil"/>
            </w:tcBorders>
            <w:shd w:val="clear" w:color="auto" w:fill="FFFFFF"/>
            <w:tcMar>
              <w:left w:w="67" w:type="dxa"/>
              <w:right w:w="67" w:type="dxa"/>
            </w:tcMar>
          </w:tcPr>
          <w:p w14:paraId="607B8640"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41 (14.4%)284</w:t>
            </w:r>
          </w:p>
        </w:tc>
        <w:tc>
          <w:tcPr>
            <w:tcW w:w="1134" w:type="dxa"/>
            <w:tcBorders>
              <w:top w:val="nil"/>
              <w:left w:val="nil"/>
              <w:bottom w:val="single" w:sz="4" w:space="0" w:color="auto"/>
              <w:right w:val="nil"/>
            </w:tcBorders>
            <w:shd w:val="clear" w:color="auto" w:fill="FFFFFF"/>
            <w:tcMar>
              <w:left w:w="67" w:type="dxa"/>
              <w:right w:w="67" w:type="dxa"/>
            </w:tcMar>
          </w:tcPr>
          <w:p w14:paraId="7DDA3843"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44 (11.5%)384</w:t>
            </w:r>
          </w:p>
        </w:tc>
        <w:tc>
          <w:tcPr>
            <w:tcW w:w="1134" w:type="dxa"/>
            <w:gridSpan w:val="2"/>
            <w:tcBorders>
              <w:top w:val="nil"/>
              <w:left w:val="nil"/>
              <w:bottom w:val="single" w:sz="4" w:space="0" w:color="auto"/>
              <w:right w:val="nil"/>
            </w:tcBorders>
            <w:shd w:val="clear" w:color="auto" w:fill="FFFFFF"/>
            <w:tcMar>
              <w:left w:w="67" w:type="dxa"/>
              <w:right w:w="67" w:type="dxa"/>
            </w:tcMar>
          </w:tcPr>
          <w:p w14:paraId="37AD5B93"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85 (12.7%)668</w:t>
            </w:r>
          </w:p>
        </w:tc>
        <w:tc>
          <w:tcPr>
            <w:tcW w:w="851" w:type="dxa"/>
            <w:gridSpan w:val="2"/>
            <w:tcBorders>
              <w:top w:val="nil"/>
              <w:left w:val="nil"/>
              <w:bottom w:val="single" w:sz="4" w:space="0" w:color="auto"/>
              <w:right w:val="nil"/>
            </w:tcBorders>
            <w:shd w:val="clear" w:color="auto" w:fill="FFFFFF"/>
            <w:tcMar>
              <w:left w:w="67" w:type="dxa"/>
              <w:right w:w="67" w:type="dxa"/>
            </w:tcMar>
          </w:tcPr>
          <w:p w14:paraId="109EEC59"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3.1 (1.01) 7</w:t>
            </w:r>
          </w:p>
        </w:tc>
        <w:tc>
          <w:tcPr>
            <w:tcW w:w="891" w:type="dxa"/>
            <w:tcBorders>
              <w:top w:val="nil"/>
              <w:left w:val="nil"/>
              <w:bottom w:val="single" w:sz="4" w:space="0" w:color="auto"/>
              <w:right w:val="nil"/>
            </w:tcBorders>
            <w:shd w:val="clear" w:color="auto" w:fill="FFFFFF"/>
            <w:tcMar>
              <w:left w:w="67" w:type="dxa"/>
              <w:right w:w="67" w:type="dxa"/>
            </w:tcMar>
          </w:tcPr>
          <w:p w14:paraId="3BDDD2EC"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3.3 (0.74) 4</w:t>
            </w:r>
          </w:p>
        </w:tc>
        <w:tc>
          <w:tcPr>
            <w:tcW w:w="951" w:type="dxa"/>
            <w:gridSpan w:val="2"/>
            <w:tcBorders>
              <w:top w:val="nil"/>
              <w:left w:val="nil"/>
              <w:bottom w:val="single" w:sz="4" w:space="0" w:color="auto"/>
              <w:right w:val="nil"/>
            </w:tcBorders>
            <w:shd w:val="clear" w:color="auto" w:fill="FFFFFF"/>
            <w:tcMar>
              <w:left w:w="67" w:type="dxa"/>
              <w:right w:w="67" w:type="dxa"/>
            </w:tcMar>
          </w:tcPr>
          <w:p w14:paraId="47F1713D"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3.2 (0.88) 11</w:t>
            </w:r>
          </w:p>
        </w:tc>
        <w:tc>
          <w:tcPr>
            <w:tcW w:w="851" w:type="dxa"/>
            <w:gridSpan w:val="2"/>
            <w:tcBorders>
              <w:top w:val="nil"/>
              <w:left w:val="nil"/>
              <w:bottom w:val="single" w:sz="4" w:space="0" w:color="auto"/>
              <w:right w:val="nil"/>
            </w:tcBorders>
            <w:shd w:val="clear" w:color="auto" w:fill="FFFFFF"/>
            <w:tcMar>
              <w:left w:w="67" w:type="dxa"/>
              <w:right w:w="67" w:type="dxa"/>
            </w:tcMar>
          </w:tcPr>
          <w:p w14:paraId="14921245"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1.9 (0.69) 7</w:t>
            </w:r>
          </w:p>
        </w:tc>
        <w:tc>
          <w:tcPr>
            <w:tcW w:w="807" w:type="dxa"/>
            <w:tcBorders>
              <w:top w:val="nil"/>
              <w:left w:val="nil"/>
              <w:bottom w:val="single" w:sz="4" w:space="0" w:color="auto"/>
              <w:right w:val="nil"/>
            </w:tcBorders>
            <w:shd w:val="clear" w:color="auto" w:fill="FFFFFF"/>
            <w:tcMar>
              <w:left w:w="67" w:type="dxa"/>
              <w:right w:w="67" w:type="dxa"/>
            </w:tcMar>
          </w:tcPr>
          <w:p w14:paraId="42D3A421"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1.6 (0.67) 4</w:t>
            </w:r>
          </w:p>
        </w:tc>
        <w:tc>
          <w:tcPr>
            <w:tcW w:w="894" w:type="dxa"/>
            <w:gridSpan w:val="2"/>
            <w:tcBorders>
              <w:top w:val="nil"/>
              <w:left w:val="nil"/>
              <w:bottom w:val="single" w:sz="4" w:space="0" w:color="auto"/>
              <w:right w:val="nil"/>
            </w:tcBorders>
            <w:shd w:val="clear" w:color="auto" w:fill="FFFFFF"/>
            <w:tcMar>
              <w:left w:w="67" w:type="dxa"/>
              <w:right w:w="67" w:type="dxa"/>
            </w:tcMar>
          </w:tcPr>
          <w:p w14:paraId="4C4C4F45"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1.7 (0.69) 11</w:t>
            </w:r>
          </w:p>
        </w:tc>
        <w:tc>
          <w:tcPr>
            <w:tcW w:w="850" w:type="dxa"/>
            <w:gridSpan w:val="2"/>
            <w:tcBorders>
              <w:top w:val="nil"/>
              <w:left w:val="nil"/>
              <w:bottom w:val="single" w:sz="4" w:space="0" w:color="auto"/>
              <w:right w:val="nil"/>
            </w:tcBorders>
            <w:shd w:val="clear" w:color="auto" w:fill="FFFFFF"/>
            <w:tcMar>
              <w:left w:w="67" w:type="dxa"/>
              <w:right w:w="67" w:type="dxa"/>
            </w:tcMar>
          </w:tcPr>
          <w:p w14:paraId="2689D645"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1.1 (1.23) 7</w:t>
            </w:r>
          </w:p>
        </w:tc>
        <w:tc>
          <w:tcPr>
            <w:tcW w:w="865" w:type="dxa"/>
            <w:tcBorders>
              <w:top w:val="nil"/>
              <w:left w:val="nil"/>
              <w:bottom w:val="single" w:sz="4" w:space="0" w:color="auto"/>
              <w:right w:val="nil"/>
            </w:tcBorders>
            <w:shd w:val="clear" w:color="auto" w:fill="FFFFFF"/>
            <w:tcMar>
              <w:left w:w="67" w:type="dxa"/>
              <w:right w:w="67" w:type="dxa"/>
            </w:tcMar>
          </w:tcPr>
          <w:p w14:paraId="10EDE47E"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1.4 (1.03) 4</w:t>
            </w:r>
          </w:p>
        </w:tc>
        <w:tc>
          <w:tcPr>
            <w:tcW w:w="973" w:type="dxa"/>
            <w:tcBorders>
              <w:top w:val="nil"/>
              <w:left w:val="nil"/>
              <w:bottom w:val="single" w:sz="4" w:space="0" w:color="auto"/>
              <w:right w:val="nil"/>
            </w:tcBorders>
            <w:shd w:val="clear" w:color="auto" w:fill="FFFFFF"/>
            <w:tcMar>
              <w:left w:w="67" w:type="dxa"/>
              <w:right w:w="67" w:type="dxa"/>
            </w:tcMar>
          </w:tcPr>
          <w:p w14:paraId="11637DEF"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1.3 (1.12) 11</w:t>
            </w:r>
          </w:p>
        </w:tc>
        <w:tc>
          <w:tcPr>
            <w:tcW w:w="850" w:type="dxa"/>
            <w:gridSpan w:val="2"/>
            <w:tcBorders>
              <w:top w:val="nil"/>
              <w:left w:val="nil"/>
              <w:bottom w:val="single" w:sz="4" w:space="0" w:color="auto"/>
              <w:right w:val="nil"/>
            </w:tcBorders>
            <w:shd w:val="clear" w:color="auto" w:fill="FFFFFF"/>
            <w:tcMar>
              <w:left w:w="67" w:type="dxa"/>
              <w:right w:w="67" w:type="dxa"/>
            </w:tcMar>
          </w:tcPr>
          <w:p w14:paraId="30E2EA3B"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6.1 (3.39) 7</w:t>
            </w:r>
          </w:p>
        </w:tc>
        <w:tc>
          <w:tcPr>
            <w:tcW w:w="993" w:type="dxa"/>
            <w:gridSpan w:val="2"/>
            <w:tcBorders>
              <w:top w:val="nil"/>
              <w:left w:val="nil"/>
              <w:bottom w:val="single" w:sz="4" w:space="0" w:color="auto"/>
              <w:right w:val="nil"/>
            </w:tcBorders>
            <w:shd w:val="clear" w:color="auto" w:fill="FFFFFF"/>
            <w:tcMar>
              <w:left w:w="67" w:type="dxa"/>
              <w:right w:w="67" w:type="dxa"/>
            </w:tcMar>
          </w:tcPr>
          <w:p w14:paraId="0C4099F3"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5.3 (2.75) 4</w:t>
            </w:r>
          </w:p>
        </w:tc>
        <w:tc>
          <w:tcPr>
            <w:tcW w:w="992" w:type="dxa"/>
            <w:tcBorders>
              <w:top w:val="nil"/>
              <w:left w:val="nil"/>
              <w:bottom w:val="single" w:sz="4" w:space="0" w:color="auto"/>
              <w:right w:val="single" w:sz="4" w:space="0" w:color="auto"/>
            </w:tcBorders>
            <w:shd w:val="clear" w:color="auto" w:fill="FFFFFF"/>
            <w:tcMar>
              <w:left w:w="67" w:type="dxa"/>
              <w:right w:w="67" w:type="dxa"/>
            </w:tcMar>
          </w:tcPr>
          <w:p w14:paraId="255EC1D1" w14:textId="77777777" w:rsidR="00E35291" w:rsidRPr="00563AD3" w:rsidRDefault="00E35291" w:rsidP="004818D9">
            <w:pPr>
              <w:spacing w:before="67" w:after="67" w:line="240" w:lineRule="auto"/>
              <w:jc w:val="right"/>
              <w:rPr>
                <w:rFonts w:eastAsia="Times New Roman"/>
                <w:color w:val="000000"/>
                <w:sz w:val="14"/>
                <w:szCs w:val="14"/>
              </w:rPr>
            </w:pPr>
            <w:r w:rsidRPr="00563AD3">
              <w:rPr>
                <w:rFonts w:eastAsia="Times New Roman"/>
                <w:color w:val="000000"/>
                <w:sz w:val="14"/>
                <w:szCs w:val="14"/>
              </w:rPr>
              <w:t>5.7 (3.07) 11</w:t>
            </w:r>
          </w:p>
        </w:tc>
      </w:tr>
    </w:tbl>
    <w:p w14:paraId="4F6F876F" w14:textId="77777777" w:rsidR="00E07CDE" w:rsidRPr="00563AD3" w:rsidRDefault="00E07CDE" w:rsidP="009B13F3">
      <w:pPr>
        <w:keepNext/>
        <w:autoSpaceDE/>
        <w:autoSpaceDN/>
        <w:adjustRightInd/>
        <w:spacing w:before="120" w:after="0"/>
        <w:rPr>
          <w:rFonts w:eastAsia="Calibri"/>
          <w:b/>
          <w:bCs/>
          <w:sz w:val="24"/>
          <w:szCs w:val="18"/>
          <w:lang w:eastAsia="en-US"/>
        </w:rPr>
      </w:pPr>
      <w:bookmarkStart w:id="331" w:name="_Ref500505988"/>
      <w:bookmarkStart w:id="332" w:name="_Toc500935024"/>
    </w:p>
    <w:p w14:paraId="04AB7A21" w14:textId="77777777" w:rsidR="00E07CDE" w:rsidRPr="00563AD3" w:rsidRDefault="00E07CDE" w:rsidP="009B13F3">
      <w:pPr>
        <w:autoSpaceDE/>
        <w:autoSpaceDN/>
        <w:adjustRightInd/>
        <w:spacing w:before="120" w:after="0"/>
        <w:rPr>
          <w:rFonts w:eastAsia="Calibri"/>
          <w:sz w:val="24"/>
          <w:szCs w:val="24"/>
          <w:lang w:eastAsia="en-US"/>
        </w:rPr>
      </w:pPr>
    </w:p>
    <w:p w14:paraId="4178FE6F" w14:textId="77777777" w:rsidR="00E07CDE" w:rsidRPr="00563AD3" w:rsidRDefault="00E07CDE" w:rsidP="009B13F3">
      <w:pPr>
        <w:autoSpaceDE/>
        <w:autoSpaceDN/>
        <w:adjustRightInd/>
        <w:spacing w:before="120" w:after="0"/>
        <w:rPr>
          <w:rFonts w:eastAsia="Calibri"/>
          <w:sz w:val="24"/>
          <w:szCs w:val="24"/>
          <w:lang w:eastAsia="en-US"/>
        </w:rPr>
      </w:pPr>
    </w:p>
    <w:p w14:paraId="5CAD2BC8" w14:textId="6C36A0D3" w:rsidR="00E07CDE" w:rsidRPr="00563AD3" w:rsidRDefault="00E07CDE" w:rsidP="006C0B32">
      <w:pPr>
        <w:pStyle w:val="Tableheading"/>
        <w:rPr>
          <w:rFonts w:eastAsia="Calibri"/>
          <w:lang w:eastAsia="en-US"/>
        </w:rPr>
      </w:pPr>
      <w:bookmarkStart w:id="333" w:name="_Toc500935027"/>
      <w:bookmarkStart w:id="334" w:name="_Toc948250"/>
      <w:r w:rsidRPr="00563AD3">
        <w:rPr>
          <w:rFonts w:eastAsia="Calibri"/>
          <w:lang w:eastAsia="en-US"/>
        </w:rPr>
        <w:t xml:space="preserve">Table </w:t>
      </w:r>
      <w:r w:rsidR="005B29F6">
        <w:rPr>
          <w:rFonts w:eastAsia="Calibri"/>
          <w:lang w:eastAsia="en-US"/>
        </w:rPr>
        <w:t>53</w:t>
      </w:r>
      <w:r w:rsidR="005B29F6" w:rsidRPr="00563AD3">
        <w:rPr>
          <w:rFonts w:eastAsia="Calibri"/>
          <w:lang w:eastAsia="en-US"/>
        </w:rPr>
        <w:t xml:space="preserve"> </w:t>
      </w:r>
      <w:r w:rsidRPr="00563AD3">
        <w:rPr>
          <w:rFonts w:eastAsia="Calibri"/>
          <w:lang w:eastAsia="en-US"/>
        </w:rPr>
        <w:t>Behaviours staff find challenging, medications and m</w:t>
      </w:r>
      <w:r w:rsidR="00E35291">
        <w:rPr>
          <w:rFonts w:eastAsia="Calibri"/>
          <w:lang w:eastAsia="en-US"/>
        </w:rPr>
        <w:t>ood (based on NPI domains) at 6-</w:t>
      </w:r>
      <w:r w:rsidRPr="00563AD3">
        <w:rPr>
          <w:rFonts w:eastAsia="Calibri"/>
          <w:lang w:eastAsia="en-US"/>
        </w:rPr>
        <w:t>months</w:t>
      </w:r>
      <w:bookmarkEnd w:id="333"/>
      <w:bookmarkEnd w:id="334"/>
    </w:p>
    <w:tbl>
      <w:tblPr>
        <w:tblW w:w="0" w:type="auto"/>
        <w:jc w:val="center"/>
        <w:tblLayout w:type="fixed"/>
        <w:tblCellMar>
          <w:left w:w="0" w:type="dxa"/>
          <w:right w:w="0" w:type="dxa"/>
        </w:tblCellMar>
        <w:tblLook w:val="0000" w:firstRow="0" w:lastRow="0" w:firstColumn="0" w:lastColumn="0" w:noHBand="0" w:noVBand="0"/>
      </w:tblPr>
      <w:tblGrid>
        <w:gridCol w:w="3119"/>
        <w:gridCol w:w="4541"/>
        <w:gridCol w:w="822"/>
        <w:gridCol w:w="822"/>
        <w:gridCol w:w="822"/>
        <w:gridCol w:w="822"/>
        <w:gridCol w:w="823"/>
      </w:tblGrid>
      <w:tr w:rsidR="00E07CDE" w:rsidRPr="00563AD3" w14:paraId="071CC07A" w14:textId="77777777" w:rsidTr="00C163F3">
        <w:trPr>
          <w:cantSplit/>
          <w:tblHeader/>
          <w:jc w:val="center"/>
        </w:trPr>
        <w:tc>
          <w:tcPr>
            <w:tcW w:w="11771" w:type="dxa"/>
            <w:gridSpan w:val="7"/>
            <w:tcBorders>
              <w:top w:val="single" w:sz="4" w:space="0" w:color="auto"/>
              <w:left w:val="single" w:sz="4" w:space="0" w:color="auto"/>
              <w:right w:val="single" w:sz="4" w:space="0" w:color="auto"/>
            </w:tcBorders>
            <w:shd w:val="clear" w:color="auto" w:fill="FFFFFF"/>
          </w:tcPr>
          <w:p w14:paraId="7A75752A" w14:textId="346CE012" w:rsidR="00E07CDE" w:rsidRPr="000D3E11" w:rsidRDefault="00E07CDE" w:rsidP="006C0B32">
            <w:pPr>
              <w:keepNext/>
              <w:spacing w:before="67" w:after="67" w:line="240" w:lineRule="auto"/>
              <w:jc w:val="center"/>
              <w:rPr>
                <w:rFonts w:eastAsia="Times New Roman"/>
                <w:b/>
                <w:bCs/>
                <w:color w:val="000000"/>
                <w:sz w:val="18"/>
                <w:szCs w:val="18"/>
              </w:rPr>
            </w:pPr>
            <w:r w:rsidRPr="000D3E11">
              <w:rPr>
                <w:rFonts w:eastAsia="Times New Roman"/>
                <w:b/>
                <w:bCs/>
                <w:color w:val="000000"/>
                <w:sz w:val="18"/>
                <w:szCs w:val="18"/>
              </w:rPr>
              <w:t>Closed-cohort – behaviours staff find challenging, medicatio</w:t>
            </w:r>
            <w:r w:rsidR="00E35291" w:rsidRPr="000D3E11">
              <w:rPr>
                <w:rFonts w:eastAsia="Times New Roman"/>
                <w:b/>
                <w:bCs/>
                <w:color w:val="000000"/>
                <w:sz w:val="18"/>
                <w:szCs w:val="18"/>
              </w:rPr>
              <w:t>ns, mood at 6-</w:t>
            </w:r>
            <w:r w:rsidRPr="000D3E11">
              <w:rPr>
                <w:rFonts w:eastAsia="Times New Roman"/>
                <w:b/>
                <w:bCs/>
                <w:color w:val="000000"/>
                <w:sz w:val="18"/>
                <w:szCs w:val="18"/>
              </w:rPr>
              <w:t>months</w:t>
            </w:r>
          </w:p>
        </w:tc>
      </w:tr>
      <w:tr w:rsidR="00E07CDE" w:rsidRPr="00563AD3" w14:paraId="177AAE94" w14:textId="77777777" w:rsidTr="00C163F3">
        <w:trPr>
          <w:cantSplit/>
          <w:tblHeader/>
          <w:jc w:val="center"/>
        </w:trPr>
        <w:tc>
          <w:tcPr>
            <w:tcW w:w="3119" w:type="dxa"/>
            <w:tcBorders>
              <w:left w:val="single" w:sz="4" w:space="0" w:color="auto"/>
              <w:bottom w:val="single" w:sz="4" w:space="0" w:color="000000"/>
              <w:right w:val="nil"/>
            </w:tcBorders>
            <w:shd w:val="clear" w:color="auto" w:fill="FFFFFF"/>
            <w:tcMar>
              <w:left w:w="67" w:type="dxa"/>
              <w:right w:w="67" w:type="dxa"/>
            </w:tcMar>
            <w:vAlign w:val="bottom"/>
          </w:tcPr>
          <w:p w14:paraId="7510B14E" w14:textId="77777777" w:rsidR="00E07CDE" w:rsidRPr="000D3E11" w:rsidRDefault="00E07CDE" w:rsidP="006C0B32">
            <w:pPr>
              <w:keepNext/>
              <w:spacing w:before="67" w:after="67" w:line="240" w:lineRule="auto"/>
              <w:rPr>
                <w:rFonts w:eastAsia="Times New Roman"/>
                <w:b/>
                <w:bCs/>
                <w:color w:val="000000"/>
                <w:sz w:val="18"/>
                <w:szCs w:val="18"/>
              </w:rPr>
            </w:pPr>
          </w:p>
        </w:tc>
        <w:tc>
          <w:tcPr>
            <w:tcW w:w="4541" w:type="dxa"/>
            <w:tcBorders>
              <w:left w:val="nil"/>
              <w:bottom w:val="single" w:sz="4" w:space="0" w:color="000000"/>
              <w:right w:val="nil"/>
            </w:tcBorders>
            <w:shd w:val="clear" w:color="auto" w:fill="FFFFFF"/>
          </w:tcPr>
          <w:p w14:paraId="1C6EE4E4" w14:textId="77777777" w:rsidR="00E07CDE" w:rsidRPr="000D3E11" w:rsidRDefault="00E07CDE" w:rsidP="006C0B32">
            <w:pPr>
              <w:keepNext/>
              <w:spacing w:before="67" w:after="67" w:line="240" w:lineRule="auto"/>
              <w:rPr>
                <w:rFonts w:eastAsia="Times New Roman"/>
                <w:b/>
                <w:bCs/>
                <w:color w:val="000000"/>
                <w:sz w:val="18"/>
                <w:szCs w:val="18"/>
              </w:rPr>
            </w:pPr>
          </w:p>
          <w:p w14:paraId="654FB380" w14:textId="77777777" w:rsidR="00E07CDE" w:rsidRPr="000D3E11" w:rsidRDefault="00E07CDE" w:rsidP="006C0B32">
            <w:pPr>
              <w:keepNext/>
              <w:spacing w:before="67" w:after="67" w:line="240" w:lineRule="auto"/>
              <w:rPr>
                <w:rFonts w:eastAsia="Times New Roman"/>
                <w:b/>
                <w:bCs/>
                <w:color w:val="000000"/>
                <w:sz w:val="18"/>
                <w:szCs w:val="18"/>
              </w:rPr>
            </w:pPr>
          </w:p>
          <w:p w14:paraId="3DA629F0" w14:textId="77777777" w:rsidR="00E07CDE" w:rsidRPr="000D3E11" w:rsidRDefault="00E07CDE" w:rsidP="006C0B32">
            <w:pPr>
              <w:keepNext/>
              <w:spacing w:before="67" w:after="67" w:line="240" w:lineRule="auto"/>
              <w:rPr>
                <w:rFonts w:eastAsia="Times New Roman"/>
                <w:b/>
                <w:bCs/>
                <w:color w:val="000000"/>
                <w:sz w:val="18"/>
                <w:szCs w:val="18"/>
              </w:rPr>
            </w:pPr>
            <w:r w:rsidRPr="000D3E11">
              <w:rPr>
                <w:rFonts w:eastAsia="Times New Roman"/>
                <w:b/>
                <w:bCs/>
                <w:color w:val="000000"/>
                <w:sz w:val="18"/>
                <w:szCs w:val="18"/>
              </w:rPr>
              <w:t>Logistic regression models</w:t>
            </w:r>
          </w:p>
        </w:tc>
        <w:tc>
          <w:tcPr>
            <w:tcW w:w="822" w:type="dxa"/>
            <w:tcBorders>
              <w:left w:val="nil"/>
              <w:bottom w:val="single" w:sz="4" w:space="0" w:color="000000"/>
              <w:right w:val="nil"/>
            </w:tcBorders>
            <w:shd w:val="clear" w:color="auto" w:fill="FFFFFF"/>
            <w:tcMar>
              <w:left w:w="67" w:type="dxa"/>
              <w:right w:w="67" w:type="dxa"/>
            </w:tcMar>
            <w:vAlign w:val="bottom"/>
          </w:tcPr>
          <w:p w14:paraId="2AA3C05E" w14:textId="77777777" w:rsidR="00E07CDE" w:rsidRPr="000D3E11" w:rsidRDefault="00E07CDE" w:rsidP="006C0B32">
            <w:pPr>
              <w:keepNext/>
              <w:spacing w:before="67" w:after="67" w:line="240" w:lineRule="auto"/>
              <w:jc w:val="center"/>
              <w:rPr>
                <w:rFonts w:eastAsia="Times New Roman"/>
                <w:b/>
                <w:bCs/>
                <w:color w:val="000000"/>
                <w:sz w:val="18"/>
                <w:szCs w:val="18"/>
              </w:rPr>
            </w:pPr>
            <w:r w:rsidRPr="000D3E11">
              <w:rPr>
                <w:rFonts w:eastAsia="Times New Roman"/>
                <w:b/>
                <w:bCs/>
                <w:color w:val="000000"/>
                <w:sz w:val="18"/>
                <w:szCs w:val="18"/>
              </w:rPr>
              <w:t>Treatment odds ratio (treated</w:t>
            </w:r>
            <w:r w:rsidRPr="000D3E11">
              <w:rPr>
                <w:rFonts w:eastAsia="Times New Roman"/>
                <w:b/>
                <w:bCs/>
                <w:color w:val="000000"/>
                <w:sz w:val="18"/>
                <w:szCs w:val="18"/>
              </w:rPr>
              <w:br/>
              <w:t>control)</w:t>
            </w:r>
          </w:p>
        </w:tc>
        <w:tc>
          <w:tcPr>
            <w:tcW w:w="822" w:type="dxa"/>
            <w:tcBorders>
              <w:left w:val="nil"/>
              <w:bottom w:val="single" w:sz="4" w:space="0" w:color="000000"/>
              <w:right w:val="nil"/>
            </w:tcBorders>
            <w:shd w:val="clear" w:color="auto" w:fill="FFFFFF"/>
            <w:tcMar>
              <w:left w:w="67" w:type="dxa"/>
              <w:right w:w="67" w:type="dxa"/>
            </w:tcMar>
            <w:vAlign w:val="bottom"/>
          </w:tcPr>
          <w:p w14:paraId="6717AA5E" w14:textId="77777777" w:rsidR="00E07CDE" w:rsidRPr="000D3E11" w:rsidRDefault="00E07CDE" w:rsidP="006C0B32">
            <w:pPr>
              <w:keepNext/>
              <w:spacing w:before="67" w:after="67" w:line="240" w:lineRule="auto"/>
              <w:jc w:val="center"/>
              <w:rPr>
                <w:rFonts w:eastAsia="Times New Roman"/>
                <w:b/>
                <w:bCs/>
                <w:color w:val="000000"/>
                <w:sz w:val="18"/>
                <w:szCs w:val="18"/>
              </w:rPr>
            </w:pPr>
            <w:r w:rsidRPr="000D3E11">
              <w:rPr>
                <w:rFonts w:eastAsia="Times New Roman"/>
                <w:b/>
                <w:bCs/>
                <w:color w:val="000000"/>
                <w:sz w:val="18"/>
                <w:szCs w:val="18"/>
              </w:rPr>
              <w:t>Lower 95% confidence limit</w:t>
            </w:r>
          </w:p>
        </w:tc>
        <w:tc>
          <w:tcPr>
            <w:tcW w:w="822" w:type="dxa"/>
            <w:tcBorders>
              <w:left w:val="nil"/>
              <w:bottom w:val="single" w:sz="4" w:space="0" w:color="000000"/>
              <w:right w:val="nil"/>
            </w:tcBorders>
            <w:shd w:val="clear" w:color="auto" w:fill="FFFFFF"/>
            <w:tcMar>
              <w:left w:w="67" w:type="dxa"/>
              <w:right w:w="67" w:type="dxa"/>
            </w:tcMar>
            <w:vAlign w:val="bottom"/>
          </w:tcPr>
          <w:p w14:paraId="11EFB849" w14:textId="77777777" w:rsidR="00E07CDE" w:rsidRPr="000D3E11" w:rsidRDefault="00E07CDE" w:rsidP="006C0B32">
            <w:pPr>
              <w:keepNext/>
              <w:spacing w:before="67" w:after="67" w:line="240" w:lineRule="auto"/>
              <w:jc w:val="center"/>
              <w:rPr>
                <w:rFonts w:eastAsia="Times New Roman"/>
                <w:b/>
                <w:bCs/>
                <w:color w:val="000000"/>
                <w:sz w:val="18"/>
                <w:szCs w:val="18"/>
              </w:rPr>
            </w:pPr>
            <w:r w:rsidRPr="000D3E11">
              <w:rPr>
                <w:rFonts w:eastAsia="Times New Roman"/>
                <w:b/>
                <w:bCs/>
                <w:color w:val="000000"/>
                <w:sz w:val="18"/>
                <w:szCs w:val="18"/>
              </w:rPr>
              <w:t>Upper 95% confidence limit</w:t>
            </w:r>
          </w:p>
        </w:tc>
        <w:tc>
          <w:tcPr>
            <w:tcW w:w="822" w:type="dxa"/>
            <w:tcBorders>
              <w:left w:val="nil"/>
              <w:bottom w:val="single" w:sz="4" w:space="0" w:color="000000"/>
              <w:right w:val="nil"/>
            </w:tcBorders>
            <w:shd w:val="clear" w:color="auto" w:fill="FFFFFF"/>
            <w:tcMar>
              <w:left w:w="67" w:type="dxa"/>
              <w:right w:w="67" w:type="dxa"/>
            </w:tcMar>
            <w:vAlign w:val="bottom"/>
          </w:tcPr>
          <w:p w14:paraId="347D7DB8" w14:textId="77777777" w:rsidR="00E07CDE" w:rsidRPr="000D3E11" w:rsidRDefault="00E07CDE" w:rsidP="006C0B32">
            <w:pPr>
              <w:keepNext/>
              <w:spacing w:before="67" w:after="67" w:line="240" w:lineRule="auto"/>
              <w:jc w:val="center"/>
              <w:rPr>
                <w:rFonts w:eastAsia="Times New Roman"/>
                <w:b/>
                <w:bCs/>
                <w:color w:val="000000"/>
                <w:sz w:val="18"/>
                <w:szCs w:val="18"/>
              </w:rPr>
            </w:pPr>
            <w:r w:rsidRPr="000D3E11">
              <w:rPr>
                <w:rFonts w:eastAsia="Times New Roman"/>
                <w:b/>
                <w:bCs/>
                <w:color w:val="000000"/>
                <w:sz w:val="18"/>
                <w:szCs w:val="18"/>
              </w:rPr>
              <w:t>p-value</w:t>
            </w:r>
          </w:p>
        </w:tc>
        <w:tc>
          <w:tcPr>
            <w:tcW w:w="823" w:type="dxa"/>
            <w:tcBorders>
              <w:left w:val="nil"/>
              <w:bottom w:val="single" w:sz="4" w:space="0" w:color="000000"/>
              <w:right w:val="single" w:sz="4" w:space="0" w:color="auto"/>
            </w:tcBorders>
            <w:shd w:val="clear" w:color="auto" w:fill="FFFFFF"/>
            <w:tcMar>
              <w:left w:w="67" w:type="dxa"/>
              <w:right w:w="67" w:type="dxa"/>
            </w:tcMar>
            <w:vAlign w:val="bottom"/>
          </w:tcPr>
          <w:p w14:paraId="4D4CD455" w14:textId="77777777" w:rsidR="00E07CDE" w:rsidRPr="000D3E11" w:rsidRDefault="00E07CDE" w:rsidP="006C0B32">
            <w:pPr>
              <w:keepNext/>
              <w:spacing w:before="67" w:after="67" w:line="240" w:lineRule="auto"/>
              <w:jc w:val="center"/>
              <w:rPr>
                <w:rFonts w:eastAsia="Times New Roman"/>
                <w:b/>
                <w:bCs/>
                <w:color w:val="000000"/>
                <w:sz w:val="18"/>
                <w:szCs w:val="18"/>
              </w:rPr>
            </w:pPr>
            <w:r w:rsidRPr="000D3E11">
              <w:rPr>
                <w:rFonts w:eastAsia="Times New Roman"/>
                <w:b/>
                <w:bCs/>
                <w:color w:val="000000"/>
                <w:sz w:val="18"/>
                <w:szCs w:val="18"/>
              </w:rPr>
              <w:t>N</w:t>
            </w:r>
          </w:p>
        </w:tc>
      </w:tr>
      <w:tr w:rsidR="00E07CDE" w:rsidRPr="00563AD3" w14:paraId="6DF7572B" w14:textId="77777777" w:rsidTr="00C163F3">
        <w:trPr>
          <w:cantSplit/>
          <w:jc w:val="center"/>
        </w:trPr>
        <w:tc>
          <w:tcPr>
            <w:tcW w:w="3119" w:type="dxa"/>
            <w:vMerge w:val="restart"/>
            <w:tcBorders>
              <w:top w:val="nil"/>
              <w:left w:val="single" w:sz="4" w:space="0" w:color="auto"/>
              <w:right w:val="nil"/>
            </w:tcBorders>
            <w:shd w:val="clear" w:color="auto" w:fill="FFFFFF"/>
            <w:tcMar>
              <w:left w:w="67" w:type="dxa"/>
              <w:right w:w="67" w:type="dxa"/>
            </w:tcMar>
          </w:tcPr>
          <w:p w14:paraId="5888143E"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 xml:space="preserve">Behaviours staff find challenging </w:t>
            </w:r>
          </w:p>
          <w:p w14:paraId="777D7C5E" w14:textId="77777777" w:rsidR="00E07CDE" w:rsidRPr="00563AD3" w:rsidRDefault="00E07CDE" w:rsidP="006C0B32">
            <w:pPr>
              <w:spacing w:before="67" w:after="67" w:line="240" w:lineRule="auto"/>
              <w:rPr>
                <w:rFonts w:eastAsia="Times New Roman"/>
                <w:color w:val="000000"/>
                <w:sz w:val="20"/>
                <w:szCs w:val="20"/>
              </w:rPr>
            </w:pPr>
          </w:p>
        </w:tc>
        <w:tc>
          <w:tcPr>
            <w:tcW w:w="4541" w:type="dxa"/>
            <w:tcBorders>
              <w:top w:val="nil"/>
              <w:left w:val="nil"/>
              <w:bottom w:val="nil"/>
              <w:right w:val="nil"/>
            </w:tcBorders>
            <w:shd w:val="clear" w:color="auto" w:fill="FFFFFF"/>
          </w:tcPr>
          <w:p w14:paraId="241906EE"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Complete cases only</w:t>
            </w:r>
          </w:p>
        </w:tc>
        <w:tc>
          <w:tcPr>
            <w:tcW w:w="822" w:type="dxa"/>
            <w:tcBorders>
              <w:top w:val="nil"/>
              <w:left w:val="nil"/>
              <w:bottom w:val="nil"/>
              <w:right w:val="nil"/>
            </w:tcBorders>
            <w:shd w:val="clear" w:color="auto" w:fill="FFFFFF"/>
            <w:tcMar>
              <w:left w:w="67" w:type="dxa"/>
              <w:right w:w="67" w:type="dxa"/>
            </w:tcMar>
          </w:tcPr>
          <w:p w14:paraId="6F2B97C6"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0.941</w:t>
            </w:r>
          </w:p>
        </w:tc>
        <w:tc>
          <w:tcPr>
            <w:tcW w:w="822" w:type="dxa"/>
            <w:tcBorders>
              <w:top w:val="nil"/>
              <w:left w:val="nil"/>
              <w:bottom w:val="nil"/>
              <w:right w:val="nil"/>
            </w:tcBorders>
            <w:shd w:val="clear" w:color="auto" w:fill="FFFFFF"/>
            <w:tcMar>
              <w:left w:w="67" w:type="dxa"/>
              <w:right w:w="67" w:type="dxa"/>
            </w:tcMar>
          </w:tcPr>
          <w:p w14:paraId="766A736C"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0.598</w:t>
            </w:r>
          </w:p>
        </w:tc>
        <w:tc>
          <w:tcPr>
            <w:tcW w:w="822" w:type="dxa"/>
            <w:tcBorders>
              <w:top w:val="nil"/>
              <w:left w:val="nil"/>
              <w:bottom w:val="nil"/>
              <w:right w:val="nil"/>
            </w:tcBorders>
            <w:shd w:val="clear" w:color="auto" w:fill="FFFFFF"/>
            <w:tcMar>
              <w:left w:w="67" w:type="dxa"/>
              <w:right w:w="67" w:type="dxa"/>
            </w:tcMar>
          </w:tcPr>
          <w:p w14:paraId="6CDAF709"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1.479</w:t>
            </w:r>
          </w:p>
        </w:tc>
        <w:tc>
          <w:tcPr>
            <w:tcW w:w="822" w:type="dxa"/>
            <w:tcBorders>
              <w:top w:val="nil"/>
              <w:left w:val="nil"/>
              <w:bottom w:val="nil"/>
              <w:right w:val="nil"/>
            </w:tcBorders>
            <w:shd w:val="clear" w:color="auto" w:fill="FFFFFF"/>
            <w:tcMar>
              <w:left w:w="67" w:type="dxa"/>
              <w:right w:w="67" w:type="dxa"/>
            </w:tcMar>
          </w:tcPr>
          <w:p w14:paraId="2743F767"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0.7921</w:t>
            </w:r>
          </w:p>
        </w:tc>
        <w:tc>
          <w:tcPr>
            <w:tcW w:w="823" w:type="dxa"/>
            <w:tcBorders>
              <w:top w:val="nil"/>
              <w:left w:val="nil"/>
              <w:bottom w:val="nil"/>
              <w:right w:val="single" w:sz="4" w:space="0" w:color="auto"/>
            </w:tcBorders>
            <w:shd w:val="clear" w:color="auto" w:fill="FFFFFF"/>
            <w:tcMar>
              <w:left w:w="67" w:type="dxa"/>
              <w:right w:w="67" w:type="dxa"/>
            </w:tcMar>
          </w:tcPr>
          <w:p w14:paraId="7576E9E1"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558</w:t>
            </w:r>
          </w:p>
        </w:tc>
      </w:tr>
      <w:tr w:rsidR="00E07CDE" w:rsidRPr="00563AD3" w14:paraId="478A47BC" w14:textId="77777777" w:rsidTr="00C163F3">
        <w:trPr>
          <w:cantSplit/>
          <w:jc w:val="center"/>
        </w:trPr>
        <w:tc>
          <w:tcPr>
            <w:tcW w:w="3119" w:type="dxa"/>
            <w:vMerge/>
            <w:tcBorders>
              <w:left w:val="single" w:sz="4" w:space="0" w:color="auto"/>
              <w:right w:val="nil"/>
            </w:tcBorders>
            <w:shd w:val="clear" w:color="auto" w:fill="FFFFFF"/>
            <w:tcMar>
              <w:left w:w="67" w:type="dxa"/>
              <w:right w:w="67" w:type="dxa"/>
            </w:tcMar>
          </w:tcPr>
          <w:p w14:paraId="44D80555" w14:textId="77777777" w:rsidR="00E07CDE" w:rsidRPr="00563AD3" w:rsidRDefault="00E07CDE" w:rsidP="006C0B32">
            <w:pPr>
              <w:spacing w:before="67" w:after="67" w:line="240" w:lineRule="auto"/>
              <w:rPr>
                <w:rFonts w:eastAsia="Times New Roman"/>
                <w:color w:val="000000"/>
                <w:sz w:val="20"/>
                <w:szCs w:val="20"/>
              </w:rPr>
            </w:pPr>
          </w:p>
        </w:tc>
        <w:tc>
          <w:tcPr>
            <w:tcW w:w="4541" w:type="dxa"/>
            <w:tcBorders>
              <w:top w:val="nil"/>
              <w:left w:val="nil"/>
              <w:bottom w:val="nil"/>
              <w:right w:val="nil"/>
            </w:tcBorders>
            <w:shd w:val="clear" w:color="auto" w:fill="FFFFFF"/>
          </w:tcPr>
          <w:p w14:paraId="2E515955"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Missing data imputed assuming MAR</w:t>
            </w:r>
          </w:p>
        </w:tc>
        <w:tc>
          <w:tcPr>
            <w:tcW w:w="822" w:type="dxa"/>
            <w:tcBorders>
              <w:top w:val="nil"/>
              <w:left w:val="nil"/>
              <w:bottom w:val="nil"/>
              <w:right w:val="nil"/>
            </w:tcBorders>
            <w:shd w:val="clear" w:color="auto" w:fill="FFFFFF"/>
            <w:tcMar>
              <w:left w:w="67" w:type="dxa"/>
              <w:right w:w="67" w:type="dxa"/>
            </w:tcMar>
          </w:tcPr>
          <w:p w14:paraId="01DCE85A"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0.95</w:t>
            </w:r>
          </w:p>
        </w:tc>
        <w:tc>
          <w:tcPr>
            <w:tcW w:w="822" w:type="dxa"/>
            <w:tcBorders>
              <w:top w:val="nil"/>
              <w:left w:val="nil"/>
              <w:bottom w:val="nil"/>
              <w:right w:val="nil"/>
            </w:tcBorders>
            <w:shd w:val="clear" w:color="auto" w:fill="FFFFFF"/>
            <w:tcMar>
              <w:left w:w="67" w:type="dxa"/>
              <w:right w:w="67" w:type="dxa"/>
            </w:tcMar>
          </w:tcPr>
          <w:p w14:paraId="12CA6957"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0.612</w:t>
            </w:r>
          </w:p>
        </w:tc>
        <w:tc>
          <w:tcPr>
            <w:tcW w:w="822" w:type="dxa"/>
            <w:tcBorders>
              <w:top w:val="nil"/>
              <w:left w:val="nil"/>
              <w:bottom w:val="nil"/>
              <w:right w:val="nil"/>
            </w:tcBorders>
            <w:shd w:val="clear" w:color="auto" w:fill="FFFFFF"/>
            <w:tcMar>
              <w:left w:w="67" w:type="dxa"/>
              <w:right w:w="67" w:type="dxa"/>
            </w:tcMar>
          </w:tcPr>
          <w:p w14:paraId="7A37DB43"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1.476</w:t>
            </w:r>
          </w:p>
        </w:tc>
        <w:tc>
          <w:tcPr>
            <w:tcW w:w="822" w:type="dxa"/>
            <w:tcBorders>
              <w:top w:val="nil"/>
              <w:left w:val="nil"/>
              <w:bottom w:val="nil"/>
              <w:right w:val="nil"/>
            </w:tcBorders>
            <w:shd w:val="clear" w:color="auto" w:fill="FFFFFF"/>
            <w:tcMar>
              <w:left w:w="67" w:type="dxa"/>
              <w:right w:w="67" w:type="dxa"/>
            </w:tcMar>
          </w:tcPr>
          <w:p w14:paraId="4BE39412"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0.8196</w:t>
            </w:r>
          </w:p>
        </w:tc>
        <w:tc>
          <w:tcPr>
            <w:tcW w:w="823" w:type="dxa"/>
            <w:tcBorders>
              <w:top w:val="nil"/>
              <w:left w:val="nil"/>
              <w:bottom w:val="nil"/>
              <w:right w:val="single" w:sz="4" w:space="0" w:color="auto"/>
            </w:tcBorders>
            <w:shd w:val="clear" w:color="auto" w:fill="FFFFFF"/>
            <w:tcMar>
              <w:left w:w="67" w:type="dxa"/>
              <w:right w:w="67" w:type="dxa"/>
            </w:tcMar>
          </w:tcPr>
          <w:p w14:paraId="74B464C1"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726</w:t>
            </w:r>
          </w:p>
        </w:tc>
      </w:tr>
      <w:tr w:rsidR="00E07CDE" w:rsidRPr="00563AD3" w14:paraId="3F7C86F0" w14:textId="77777777" w:rsidTr="00C163F3">
        <w:trPr>
          <w:cantSplit/>
          <w:jc w:val="center"/>
        </w:trPr>
        <w:tc>
          <w:tcPr>
            <w:tcW w:w="3119" w:type="dxa"/>
            <w:vMerge/>
            <w:tcBorders>
              <w:left w:val="single" w:sz="4" w:space="0" w:color="auto"/>
              <w:right w:val="nil"/>
            </w:tcBorders>
            <w:shd w:val="clear" w:color="auto" w:fill="FFFFFF"/>
            <w:tcMar>
              <w:left w:w="67" w:type="dxa"/>
              <w:right w:w="67" w:type="dxa"/>
            </w:tcMar>
          </w:tcPr>
          <w:p w14:paraId="1EEEC872" w14:textId="77777777" w:rsidR="00E07CDE" w:rsidRPr="00563AD3" w:rsidRDefault="00E07CDE" w:rsidP="006C0B32">
            <w:pPr>
              <w:spacing w:before="67" w:after="67" w:line="240" w:lineRule="auto"/>
              <w:rPr>
                <w:rFonts w:eastAsia="Times New Roman"/>
                <w:color w:val="000000"/>
                <w:sz w:val="20"/>
                <w:szCs w:val="20"/>
              </w:rPr>
            </w:pPr>
          </w:p>
        </w:tc>
        <w:tc>
          <w:tcPr>
            <w:tcW w:w="4541" w:type="dxa"/>
            <w:tcBorders>
              <w:top w:val="nil"/>
              <w:left w:val="nil"/>
              <w:bottom w:val="nil"/>
              <w:right w:val="nil"/>
            </w:tcBorders>
            <w:shd w:val="clear" w:color="auto" w:fill="FFFFFF"/>
          </w:tcPr>
          <w:p w14:paraId="498C8C63"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Cluster specific - complete cases only</w:t>
            </w:r>
          </w:p>
        </w:tc>
        <w:tc>
          <w:tcPr>
            <w:tcW w:w="822" w:type="dxa"/>
            <w:tcBorders>
              <w:top w:val="nil"/>
              <w:left w:val="nil"/>
              <w:bottom w:val="nil"/>
              <w:right w:val="nil"/>
            </w:tcBorders>
            <w:shd w:val="clear" w:color="auto" w:fill="FFFFFF"/>
            <w:tcMar>
              <w:left w:w="67" w:type="dxa"/>
              <w:right w:w="67" w:type="dxa"/>
            </w:tcMar>
          </w:tcPr>
          <w:p w14:paraId="2FF29D0A"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0.939</w:t>
            </w:r>
          </w:p>
        </w:tc>
        <w:tc>
          <w:tcPr>
            <w:tcW w:w="822" w:type="dxa"/>
            <w:tcBorders>
              <w:top w:val="nil"/>
              <w:left w:val="nil"/>
              <w:bottom w:val="nil"/>
              <w:right w:val="nil"/>
            </w:tcBorders>
            <w:shd w:val="clear" w:color="auto" w:fill="FFFFFF"/>
            <w:tcMar>
              <w:left w:w="67" w:type="dxa"/>
              <w:right w:w="67" w:type="dxa"/>
            </w:tcMar>
          </w:tcPr>
          <w:p w14:paraId="097F51C4"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0.561</w:t>
            </w:r>
          </w:p>
        </w:tc>
        <w:tc>
          <w:tcPr>
            <w:tcW w:w="822" w:type="dxa"/>
            <w:tcBorders>
              <w:top w:val="nil"/>
              <w:left w:val="nil"/>
              <w:bottom w:val="nil"/>
              <w:right w:val="nil"/>
            </w:tcBorders>
            <w:shd w:val="clear" w:color="auto" w:fill="FFFFFF"/>
            <w:tcMar>
              <w:left w:w="67" w:type="dxa"/>
              <w:right w:w="67" w:type="dxa"/>
            </w:tcMar>
          </w:tcPr>
          <w:p w14:paraId="74708A77"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1.57</w:t>
            </w:r>
          </w:p>
        </w:tc>
        <w:tc>
          <w:tcPr>
            <w:tcW w:w="822" w:type="dxa"/>
            <w:tcBorders>
              <w:top w:val="nil"/>
              <w:left w:val="nil"/>
              <w:bottom w:val="nil"/>
              <w:right w:val="nil"/>
            </w:tcBorders>
            <w:shd w:val="clear" w:color="auto" w:fill="FFFFFF"/>
            <w:tcMar>
              <w:left w:w="67" w:type="dxa"/>
              <w:right w:w="67" w:type="dxa"/>
            </w:tcMar>
          </w:tcPr>
          <w:p w14:paraId="1C7CF543"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0.8088</w:t>
            </w:r>
          </w:p>
        </w:tc>
        <w:tc>
          <w:tcPr>
            <w:tcW w:w="823" w:type="dxa"/>
            <w:tcBorders>
              <w:top w:val="nil"/>
              <w:left w:val="nil"/>
              <w:bottom w:val="nil"/>
              <w:right w:val="single" w:sz="4" w:space="0" w:color="auto"/>
            </w:tcBorders>
            <w:shd w:val="clear" w:color="auto" w:fill="FFFFFF"/>
            <w:tcMar>
              <w:left w:w="67" w:type="dxa"/>
              <w:right w:w="67" w:type="dxa"/>
            </w:tcMar>
          </w:tcPr>
          <w:p w14:paraId="00D9D2E7"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558</w:t>
            </w:r>
          </w:p>
        </w:tc>
      </w:tr>
      <w:tr w:rsidR="00E07CDE" w:rsidRPr="00563AD3" w14:paraId="53F87FC5" w14:textId="77777777" w:rsidTr="00C163F3">
        <w:trPr>
          <w:cantSplit/>
          <w:jc w:val="center"/>
        </w:trPr>
        <w:tc>
          <w:tcPr>
            <w:tcW w:w="3119" w:type="dxa"/>
            <w:vMerge/>
            <w:tcBorders>
              <w:left w:val="single" w:sz="4" w:space="0" w:color="auto"/>
              <w:bottom w:val="nil"/>
              <w:right w:val="nil"/>
            </w:tcBorders>
            <w:shd w:val="clear" w:color="auto" w:fill="FFFFFF"/>
            <w:tcMar>
              <w:left w:w="67" w:type="dxa"/>
              <w:right w:w="67" w:type="dxa"/>
            </w:tcMar>
          </w:tcPr>
          <w:p w14:paraId="275186AC" w14:textId="77777777" w:rsidR="00E07CDE" w:rsidRPr="00563AD3" w:rsidRDefault="00E07CDE" w:rsidP="006C0B32">
            <w:pPr>
              <w:spacing w:before="67" w:after="67" w:line="240" w:lineRule="auto"/>
              <w:rPr>
                <w:rFonts w:eastAsia="Times New Roman"/>
                <w:color w:val="000000"/>
                <w:sz w:val="20"/>
                <w:szCs w:val="20"/>
              </w:rPr>
            </w:pPr>
          </w:p>
        </w:tc>
        <w:tc>
          <w:tcPr>
            <w:tcW w:w="4541" w:type="dxa"/>
            <w:tcBorders>
              <w:top w:val="nil"/>
              <w:left w:val="nil"/>
              <w:bottom w:val="nil"/>
              <w:right w:val="nil"/>
            </w:tcBorders>
            <w:shd w:val="clear" w:color="auto" w:fill="FFFFFF"/>
          </w:tcPr>
          <w:p w14:paraId="7DA83F7C" w14:textId="77777777" w:rsidR="00E07CDE" w:rsidRPr="00563AD3" w:rsidRDefault="00E07CDE" w:rsidP="006C0B32">
            <w:pPr>
              <w:tabs>
                <w:tab w:val="left" w:pos="2093"/>
              </w:tabs>
              <w:spacing w:before="67" w:after="67" w:line="240" w:lineRule="auto"/>
              <w:rPr>
                <w:rFonts w:eastAsia="Times New Roman"/>
                <w:color w:val="000000"/>
                <w:sz w:val="20"/>
                <w:szCs w:val="20"/>
              </w:rPr>
            </w:pPr>
            <w:r w:rsidRPr="00563AD3">
              <w:rPr>
                <w:rFonts w:eastAsia="Times New Roman"/>
                <w:color w:val="000000"/>
                <w:sz w:val="20"/>
                <w:szCs w:val="20"/>
              </w:rPr>
              <w:t>Cluster specific - missing data imputed assuming MAR</w:t>
            </w:r>
          </w:p>
        </w:tc>
        <w:tc>
          <w:tcPr>
            <w:tcW w:w="822" w:type="dxa"/>
            <w:tcBorders>
              <w:top w:val="nil"/>
              <w:left w:val="nil"/>
              <w:bottom w:val="nil"/>
              <w:right w:val="nil"/>
            </w:tcBorders>
            <w:shd w:val="clear" w:color="auto" w:fill="FFFFFF"/>
            <w:tcMar>
              <w:left w:w="67" w:type="dxa"/>
              <w:right w:w="67" w:type="dxa"/>
            </w:tcMar>
          </w:tcPr>
          <w:p w14:paraId="3A98716E"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0.951</w:t>
            </w:r>
          </w:p>
        </w:tc>
        <w:tc>
          <w:tcPr>
            <w:tcW w:w="822" w:type="dxa"/>
            <w:tcBorders>
              <w:top w:val="nil"/>
              <w:left w:val="nil"/>
              <w:bottom w:val="nil"/>
              <w:right w:val="nil"/>
            </w:tcBorders>
            <w:shd w:val="clear" w:color="auto" w:fill="FFFFFF"/>
            <w:tcMar>
              <w:left w:w="67" w:type="dxa"/>
              <w:right w:w="67" w:type="dxa"/>
            </w:tcMar>
          </w:tcPr>
          <w:p w14:paraId="05446CB2"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0.584</w:t>
            </w:r>
          </w:p>
        </w:tc>
        <w:tc>
          <w:tcPr>
            <w:tcW w:w="822" w:type="dxa"/>
            <w:tcBorders>
              <w:top w:val="nil"/>
              <w:left w:val="nil"/>
              <w:bottom w:val="nil"/>
              <w:right w:val="nil"/>
            </w:tcBorders>
            <w:shd w:val="clear" w:color="auto" w:fill="FFFFFF"/>
            <w:tcMar>
              <w:left w:w="67" w:type="dxa"/>
              <w:right w:w="67" w:type="dxa"/>
            </w:tcMar>
          </w:tcPr>
          <w:p w14:paraId="2D0A9313"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1.547</w:t>
            </w:r>
          </w:p>
        </w:tc>
        <w:tc>
          <w:tcPr>
            <w:tcW w:w="822" w:type="dxa"/>
            <w:tcBorders>
              <w:top w:val="nil"/>
              <w:left w:val="nil"/>
              <w:bottom w:val="nil"/>
              <w:right w:val="nil"/>
            </w:tcBorders>
            <w:shd w:val="clear" w:color="auto" w:fill="FFFFFF"/>
            <w:tcMar>
              <w:left w:w="67" w:type="dxa"/>
              <w:right w:w="67" w:type="dxa"/>
            </w:tcMar>
          </w:tcPr>
          <w:p w14:paraId="09B91267"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0.8381</w:t>
            </w:r>
          </w:p>
        </w:tc>
        <w:tc>
          <w:tcPr>
            <w:tcW w:w="823" w:type="dxa"/>
            <w:tcBorders>
              <w:top w:val="nil"/>
              <w:left w:val="nil"/>
              <w:bottom w:val="nil"/>
              <w:right w:val="single" w:sz="4" w:space="0" w:color="auto"/>
            </w:tcBorders>
            <w:shd w:val="clear" w:color="auto" w:fill="FFFFFF"/>
            <w:tcMar>
              <w:left w:w="67" w:type="dxa"/>
              <w:right w:w="67" w:type="dxa"/>
            </w:tcMar>
          </w:tcPr>
          <w:p w14:paraId="1C03AC5F"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726</w:t>
            </w:r>
          </w:p>
        </w:tc>
      </w:tr>
      <w:tr w:rsidR="00E07CDE" w:rsidRPr="00563AD3" w14:paraId="1AE7E4E0" w14:textId="77777777" w:rsidTr="00C163F3">
        <w:trPr>
          <w:cantSplit/>
          <w:jc w:val="center"/>
        </w:trPr>
        <w:tc>
          <w:tcPr>
            <w:tcW w:w="3119" w:type="dxa"/>
            <w:vMerge w:val="restart"/>
            <w:tcBorders>
              <w:top w:val="nil"/>
              <w:left w:val="single" w:sz="4" w:space="0" w:color="auto"/>
              <w:right w:val="nil"/>
            </w:tcBorders>
            <w:shd w:val="clear" w:color="auto" w:fill="FFFFFF"/>
            <w:tcMar>
              <w:left w:w="67" w:type="dxa"/>
              <w:right w:w="67" w:type="dxa"/>
            </w:tcMar>
          </w:tcPr>
          <w:p w14:paraId="7F4A7870" w14:textId="77777777" w:rsidR="00E07CDE" w:rsidRPr="00382BD6" w:rsidRDefault="00E07CDE" w:rsidP="006C0B32">
            <w:pPr>
              <w:spacing w:before="67" w:after="67" w:line="240" w:lineRule="auto"/>
              <w:rPr>
                <w:rFonts w:eastAsia="Times New Roman"/>
                <w:color w:val="000000"/>
                <w:sz w:val="20"/>
                <w:szCs w:val="20"/>
              </w:rPr>
            </w:pPr>
            <w:r w:rsidRPr="00382BD6">
              <w:rPr>
                <w:rFonts w:eastAsia="Times New Roman"/>
                <w:color w:val="000000"/>
                <w:sz w:val="20"/>
                <w:szCs w:val="20"/>
              </w:rPr>
              <w:t xml:space="preserve">PRN antipsychotic medication </w:t>
            </w:r>
          </w:p>
          <w:p w14:paraId="66FB52A7" w14:textId="77777777" w:rsidR="00E07CDE" w:rsidRPr="00451434" w:rsidRDefault="00E07CDE" w:rsidP="006C0B32">
            <w:pPr>
              <w:spacing w:before="67" w:after="67" w:line="240" w:lineRule="auto"/>
              <w:rPr>
                <w:rFonts w:eastAsia="Times New Roman"/>
                <w:color w:val="000000"/>
                <w:sz w:val="20"/>
                <w:szCs w:val="20"/>
              </w:rPr>
            </w:pPr>
          </w:p>
        </w:tc>
        <w:tc>
          <w:tcPr>
            <w:tcW w:w="4541" w:type="dxa"/>
            <w:tcBorders>
              <w:top w:val="nil"/>
              <w:left w:val="nil"/>
              <w:bottom w:val="nil"/>
              <w:right w:val="nil"/>
            </w:tcBorders>
            <w:shd w:val="clear" w:color="auto" w:fill="FFFFFF"/>
          </w:tcPr>
          <w:p w14:paraId="529EB525" w14:textId="77777777" w:rsidR="00E07CDE" w:rsidRPr="00451434" w:rsidRDefault="00E07CDE" w:rsidP="006C0B32">
            <w:pPr>
              <w:spacing w:before="67" w:after="67" w:line="240" w:lineRule="auto"/>
              <w:rPr>
                <w:rFonts w:eastAsia="Times New Roman"/>
                <w:color w:val="000000"/>
                <w:sz w:val="20"/>
                <w:szCs w:val="20"/>
              </w:rPr>
            </w:pPr>
            <w:r w:rsidRPr="00451434">
              <w:rPr>
                <w:rFonts w:eastAsia="Times New Roman"/>
                <w:color w:val="000000"/>
                <w:sz w:val="20"/>
                <w:szCs w:val="20"/>
              </w:rPr>
              <w:t>Complete cases only</w:t>
            </w:r>
          </w:p>
        </w:tc>
        <w:tc>
          <w:tcPr>
            <w:tcW w:w="822" w:type="dxa"/>
            <w:tcBorders>
              <w:top w:val="nil"/>
              <w:left w:val="nil"/>
              <w:bottom w:val="nil"/>
              <w:right w:val="nil"/>
            </w:tcBorders>
            <w:shd w:val="clear" w:color="auto" w:fill="FFFFFF"/>
            <w:tcMar>
              <w:left w:w="67" w:type="dxa"/>
              <w:right w:w="67" w:type="dxa"/>
            </w:tcMar>
          </w:tcPr>
          <w:p w14:paraId="2D983C89" w14:textId="77777777" w:rsidR="00E07CDE" w:rsidRPr="00451434" w:rsidRDefault="00E07CDE" w:rsidP="006C0B32">
            <w:pPr>
              <w:spacing w:before="67" w:after="67" w:line="240" w:lineRule="auto"/>
              <w:jc w:val="right"/>
              <w:rPr>
                <w:rFonts w:eastAsia="Times New Roman"/>
                <w:color w:val="000000"/>
                <w:sz w:val="20"/>
                <w:szCs w:val="20"/>
              </w:rPr>
            </w:pPr>
            <w:r w:rsidRPr="00451434">
              <w:rPr>
                <w:rFonts w:eastAsia="Calibri"/>
                <w:color w:val="000000"/>
                <w:sz w:val="20"/>
                <w:szCs w:val="20"/>
                <w:lang w:eastAsia="en-US"/>
              </w:rPr>
              <w:t>0.454</w:t>
            </w:r>
          </w:p>
        </w:tc>
        <w:tc>
          <w:tcPr>
            <w:tcW w:w="822" w:type="dxa"/>
            <w:tcBorders>
              <w:top w:val="nil"/>
              <w:left w:val="nil"/>
              <w:bottom w:val="nil"/>
              <w:right w:val="nil"/>
            </w:tcBorders>
            <w:shd w:val="clear" w:color="auto" w:fill="FFFFFF"/>
            <w:tcMar>
              <w:left w:w="67" w:type="dxa"/>
              <w:right w:w="67" w:type="dxa"/>
            </w:tcMar>
          </w:tcPr>
          <w:p w14:paraId="4457236B" w14:textId="77777777" w:rsidR="00E07CDE" w:rsidRPr="00817F2A" w:rsidRDefault="00E07CDE" w:rsidP="006C0B32">
            <w:pPr>
              <w:spacing w:before="67" w:after="67" w:line="240" w:lineRule="auto"/>
              <w:jc w:val="right"/>
              <w:rPr>
                <w:rFonts w:eastAsia="Times New Roman"/>
                <w:color w:val="000000"/>
                <w:sz w:val="20"/>
                <w:szCs w:val="20"/>
              </w:rPr>
            </w:pPr>
            <w:r w:rsidRPr="00817F2A">
              <w:rPr>
                <w:rFonts w:eastAsia="Calibri"/>
                <w:color w:val="000000"/>
                <w:sz w:val="20"/>
                <w:szCs w:val="20"/>
                <w:lang w:eastAsia="en-US"/>
              </w:rPr>
              <w:t>0.114</w:t>
            </w:r>
          </w:p>
        </w:tc>
        <w:tc>
          <w:tcPr>
            <w:tcW w:w="822" w:type="dxa"/>
            <w:tcBorders>
              <w:top w:val="nil"/>
              <w:left w:val="nil"/>
              <w:bottom w:val="nil"/>
              <w:right w:val="nil"/>
            </w:tcBorders>
            <w:shd w:val="clear" w:color="auto" w:fill="FFFFFF"/>
            <w:tcMar>
              <w:left w:w="67" w:type="dxa"/>
              <w:right w:w="67" w:type="dxa"/>
            </w:tcMar>
          </w:tcPr>
          <w:p w14:paraId="5DF69CEE" w14:textId="77777777" w:rsidR="00E07CDE" w:rsidRPr="00382BD6" w:rsidRDefault="00E07CDE" w:rsidP="006C0B32">
            <w:pPr>
              <w:spacing w:before="67" w:after="67" w:line="240" w:lineRule="auto"/>
              <w:jc w:val="right"/>
              <w:rPr>
                <w:rFonts w:eastAsia="Times New Roman"/>
                <w:color w:val="000000"/>
                <w:sz w:val="20"/>
                <w:szCs w:val="20"/>
              </w:rPr>
            </w:pPr>
            <w:r w:rsidRPr="00382BD6">
              <w:rPr>
                <w:rFonts w:eastAsia="Calibri"/>
                <w:color w:val="000000"/>
                <w:sz w:val="20"/>
                <w:szCs w:val="20"/>
                <w:lang w:eastAsia="en-US"/>
              </w:rPr>
              <w:t>1.815</w:t>
            </w:r>
          </w:p>
        </w:tc>
        <w:tc>
          <w:tcPr>
            <w:tcW w:w="822" w:type="dxa"/>
            <w:tcBorders>
              <w:top w:val="nil"/>
              <w:left w:val="nil"/>
              <w:bottom w:val="nil"/>
              <w:right w:val="nil"/>
            </w:tcBorders>
            <w:shd w:val="clear" w:color="auto" w:fill="FFFFFF"/>
            <w:tcMar>
              <w:left w:w="67" w:type="dxa"/>
              <w:right w:w="67" w:type="dxa"/>
            </w:tcMar>
          </w:tcPr>
          <w:p w14:paraId="58EF473A" w14:textId="77777777" w:rsidR="00E07CDE" w:rsidRPr="00382BD6" w:rsidRDefault="00E07CDE" w:rsidP="006C0B32">
            <w:pPr>
              <w:spacing w:before="67" w:after="67" w:line="240" w:lineRule="auto"/>
              <w:jc w:val="right"/>
              <w:rPr>
                <w:rFonts w:eastAsia="Times New Roman"/>
                <w:color w:val="000000"/>
                <w:sz w:val="20"/>
                <w:szCs w:val="20"/>
              </w:rPr>
            </w:pPr>
            <w:r w:rsidRPr="00382BD6">
              <w:rPr>
                <w:rFonts w:eastAsia="Calibri"/>
                <w:color w:val="000000"/>
                <w:sz w:val="20"/>
                <w:szCs w:val="20"/>
                <w:lang w:eastAsia="en-US"/>
              </w:rPr>
              <w:t>0.2640</w:t>
            </w:r>
          </w:p>
        </w:tc>
        <w:tc>
          <w:tcPr>
            <w:tcW w:w="823" w:type="dxa"/>
            <w:tcBorders>
              <w:top w:val="nil"/>
              <w:left w:val="nil"/>
              <w:bottom w:val="nil"/>
              <w:right w:val="single" w:sz="4" w:space="0" w:color="auto"/>
            </w:tcBorders>
            <w:shd w:val="clear" w:color="auto" w:fill="FFFFFF"/>
            <w:tcMar>
              <w:left w:w="67" w:type="dxa"/>
              <w:right w:w="67" w:type="dxa"/>
            </w:tcMar>
          </w:tcPr>
          <w:p w14:paraId="6E8C6411" w14:textId="77777777" w:rsidR="00E07CDE" w:rsidRPr="00382BD6" w:rsidRDefault="00E07CDE" w:rsidP="006C0B32">
            <w:pPr>
              <w:spacing w:before="67" w:after="67" w:line="240" w:lineRule="auto"/>
              <w:jc w:val="right"/>
              <w:rPr>
                <w:rFonts w:eastAsia="Times New Roman"/>
                <w:color w:val="000000"/>
                <w:sz w:val="20"/>
                <w:szCs w:val="20"/>
              </w:rPr>
            </w:pPr>
            <w:r w:rsidRPr="00382BD6">
              <w:rPr>
                <w:rFonts w:eastAsia="Calibri"/>
                <w:color w:val="000000"/>
                <w:sz w:val="20"/>
                <w:szCs w:val="20"/>
                <w:lang w:eastAsia="en-US"/>
              </w:rPr>
              <w:t>581</w:t>
            </w:r>
          </w:p>
        </w:tc>
      </w:tr>
      <w:tr w:rsidR="00E07CDE" w:rsidRPr="00563AD3" w14:paraId="40BF4239" w14:textId="77777777" w:rsidTr="00C163F3">
        <w:trPr>
          <w:cantSplit/>
          <w:jc w:val="center"/>
        </w:trPr>
        <w:tc>
          <w:tcPr>
            <w:tcW w:w="3119" w:type="dxa"/>
            <w:vMerge/>
            <w:tcBorders>
              <w:left w:val="single" w:sz="4" w:space="0" w:color="auto"/>
              <w:bottom w:val="nil"/>
              <w:right w:val="nil"/>
            </w:tcBorders>
            <w:shd w:val="clear" w:color="auto" w:fill="FFFFFF"/>
            <w:tcMar>
              <w:left w:w="67" w:type="dxa"/>
              <w:right w:w="67" w:type="dxa"/>
            </w:tcMar>
          </w:tcPr>
          <w:p w14:paraId="4D44333A" w14:textId="77777777" w:rsidR="00E07CDE" w:rsidRPr="00E20D19" w:rsidRDefault="00E07CDE" w:rsidP="006C0B32">
            <w:pPr>
              <w:spacing w:before="67" w:after="67" w:line="240" w:lineRule="auto"/>
              <w:rPr>
                <w:rFonts w:eastAsia="Times New Roman"/>
                <w:color w:val="000000"/>
                <w:sz w:val="20"/>
                <w:szCs w:val="20"/>
                <w:highlight w:val="yellow"/>
              </w:rPr>
            </w:pPr>
          </w:p>
        </w:tc>
        <w:tc>
          <w:tcPr>
            <w:tcW w:w="4541" w:type="dxa"/>
            <w:tcBorders>
              <w:top w:val="nil"/>
              <w:left w:val="nil"/>
              <w:bottom w:val="nil"/>
              <w:right w:val="nil"/>
            </w:tcBorders>
            <w:shd w:val="clear" w:color="auto" w:fill="FFFFFF"/>
          </w:tcPr>
          <w:p w14:paraId="4C6E0758" w14:textId="77777777" w:rsidR="00E07CDE" w:rsidRPr="00382BD6" w:rsidRDefault="00E07CDE" w:rsidP="006C0B32">
            <w:pPr>
              <w:spacing w:before="67" w:after="67" w:line="240" w:lineRule="auto"/>
              <w:rPr>
                <w:rFonts w:eastAsia="Times New Roman"/>
                <w:color w:val="000000"/>
                <w:sz w:val="20"/>
                <w:szCs w:val="20"/>
              </w:rPr>
            </w:pPr>
            <w:r w:rsidRPr="00382BD6">
              <w:rPr>
                <w:rFonts w:eastAsia="Times New Roman"/>
                <w:color w:val="000000"/>
                <w:sz w:val="20"/>
                <w:szCs w:val="20"/>
              </w:rPr>
              <w:t>Missing data imputed assuming MAR</w:t>
            </w:r>
          </w:p>
        </w:tc>
        <w:tc>
          <w:tcPr>
            <w:tcW w:w="822" w:type="dxa"/>
            <w:tcBorders>
              <w:top w:val="nil"/>
              <w:left w:val="nil"/>
              <w:bottom w:val="nil"/>
              <w:right w:val="nil"/>
            </w:tcBorders>
            <w:shd w:val="clear" w:color="auto" w:fill="FFFFFF"/>
            <w:tcMar>
              <w:left w:w="67" w:type="dxa"/>
              <w:right w:w="67" w:type="dxa"/>
            </w:tcMar>
          </w:tcPr>
          <w:p w14:paraId="341C9B8D" w14:textId="77777777" w:rsidR="00E07CDE" w:rsidRPr="00451434" w:rsidRDefault="00E07CDE" w:rsidP="006C0B32">
            <w:pPr>
              <w:spacing w:before="67" w:after="67" w:line="240" w:lineRule="auto"/>
              <w:jc w:val="right"/>
              <w:rPr>
                <w:rFonts w:eastAsia="Times New Roman"/>
                <w:color w:val="000000"/>
                <w:sz w:val="20"/>
                <w:szCs w:val="20"/>
              </w:rPr>
            </w:pPr>
            <w:r w:rsidRPr="00451434">
              <w:rPr>
                <w:rFonts w:eastAsia="Calibri"/>
                <w:color w:val="000000"/>
                <w:sz w:val="20"/>
                <w:szCs w:val="20"/>
                <w:lang w:eastAsia="en-US"/>
              </w:rPr>
              <w:t>0.455</w:t>
            </w:r>
          </w:p>
        </w:tc>
        <w:tc>
          <w:tcPr>
            <w:tcW w:w="822" w:type="dxa"/>
            <w:tcBorders>
              <w:top w:val="nil"/>
              <w:left w:val="nil"/>
              <w:bottom w:val="nil"/>
              <w:right w:val="nil"/>
            </w:tcBorders>
            <w:shd w:val="clear" w:color="auto" w:fill="FFFFFF"/>
            <w:tcMar>
              <w:left w:w="67" w:type="dxa"/>
              <w:right w:w="67" w:type="dxa"/>
            </w:tcMar>
          </w:tcPr>
          <w:p w14:paraId="48884F3B" w14:textId="77777777" w:rsidR="00E07CDE" w:rsidRPr="00451434" w:rsidRDefault="00E07CDE" w:rsidP="006C0B32">
            <w:pPr>
              <w:spacing w:before="67" w:after="67" w:line="240" w:lineRule="auto"/>
              <w:jc w:val="right"/>
              <w:rPr>
                <w:rFonts w:eastAsia="Times New Roman"/>
                <w:color w:val="000000"/>
                <w:sz w:val="20"/>
                <w:szCs w:val="20"/>
              </w:rPr>
            </w:pPr>
            <w:r w:rsidRPr="00451434">
              <w:rPr>
                <w:rFonts w:eastAsia="Calibri"/>
                <w:color w:val="000000"/>
                <w:sz w:val="20"/>
                <w:szCs w:val="20"/>
                <w:lang w:eastAsia="en-US"/>
              </w:rPr>
              <w:t>0.093</w:t>
            </w:r>
          </w:p>
        </w:tc>
        <w:tc>
          <w:tcPr>
            <w:tcW w:w="822" w:type="dxa"/>
            <w:tcBorders>
              <w:top w:val="nil"/>
              <w:left w:val="nil"/>
              <w:bottom w:val="nil"/>
              <w:right w:val="nil"/>
            </w:tcBorders>
            <w:shd w:val="clear" w:color="auto" w:fill="FFFFFF"/>
            <w:tcMar>
              <w:left w:w="67" w:type="dxa"/>
              <w:right w:w="67" w:type="dxa"/>
            </w:tcMar>
          </w:tcPr>
          <w:p w14:paraId="30547090" w14:textId="77777777" w:rsidR="00E07CDE" w:rsidRPr="00817F2A" w:rsidRDefault="00E07CDE" w:rsidP="006C0B32">
            <w:pPr>
              <w:spacing w:before="67" w:after="67" w:line="240" w:lineRule="auto"/>
              <w:jc w:val="right"/>
              <w:rPr>
                <w:rFonts w:eastAsia="Times New Roman"/>
                <w:color w:val="000000"/>
                <w:sz w:val="20"/>
                <w:szCs w:val="20"/>
              </w:rPr>
            </w:pPr>
            <w:r w:rsidRPr="00817F2A">
              <w:rPr>
                <w:rFonts w:eastAsia="Calibri"/>
                <w:color w:val="000000"/>
                <w:sz w:val="20"/>
                <w:szCs w:val="20"/>
                <w:lang w:eastAsia="en-US"/>
              </w:rPr>
              <w:t>2.236</w:t>
            </w:r>
          </w:p>
        </w:tc>
        <w:tc>
          <w:tcPr>
            <w:tcW w:w="822" w:type="dxa"/>
            <w:tcBorders>
              <w:top w:val="nil"/>
              <w:left w:val="nil"/>
              <w:bottom w:val="nil"/>
              <w:right w:val="nil"/>
            </w:tcBorders>
            <w:shd w:val="clear" w:color="auto" w:fill="FFFFFF"/>
            <w:tcMar>
              <w:left w:w="67" w:type="dxa"/>
              <w:right w:w="67" w:type="dxa"/>
            </w:tcMar>
          </w:tcPr>
          <w:p w14:paraId="326F0DE5" w14:textId="77777777" w:rsidR="00E07CDE" w:rsidRPr="00382BD6" w:rsidRDefault="00E07CDE" w:rsidP="006C0B32">
            <w:pPr>
              <w:spacing w:before="67" w:after="67" w:line="240" w:lineRule="auto"/>
              <w:jc w:val="right"/>
              <w:rPr>
                <w:rFonts w:eastAsia="Times New Roman"/>
                <w:color w:val="000000"/>
                <w:sz w:val="20"/>
                <w:szCs w:val="20"/>
              </w:rPr>
            </w:pPr>
            <w:r w:rsidRPr="00382BD6">
              <w:rPr>
                <w:rFonts w:eastAsia="Calibri"/>
                <w:color w:val="000000"/>
                <w:sz w:val="20"/>
                <w:szCs w:val="20"/>
                <w:lang w:eastAsia="en-US"/>
              </w:rPr>
              <w:t>0.3314</w:t>
            </w:r>
          </w:p>
        </w:tc>
        <w:tc>
          <w:tcPr>
            <w:tcW w:w="823" w:type="dxa"/>
            <w:tcBorders>
              <w:top w:val="nil"/>
              <w:left w:val="nil"/>
              <w:bottom w:val="nil"/>
              <w:right w:val="single" w:sz="4" w:space="0" w:color="auto"/>
            </w:tcBorders>
            <w:shd w:val="clear" w:color="auto" w:fill="FFFFFF"/>
            <w:tcMar>
              <w:left w:w="67" w:type="dxa"/>
              <w:right w:w="67" w:type="dxa"/>
            </w:tcMar>
          </w:tcPr>
          <w:p w14:paraId="6974CBE7" w14:textId="77777777" w:rsidR="00E07CDE" w:rsidRPr="00382BD6" w:rsidRDefault="00E07CDE" w:rsidP="006C0B32">
            <w:pPr>
              <w:spacing w:before="67" w:after="67" w:line="240" w:lineRule="auto"/>
              <w:jc w:val="right"/>
              <w:rPr>
                <w:rFonts w:eastAsia="Times New Roman"/>
                <w:color w:val="000000"/>
                <w:sz w:val="20"/>
                <w:szCs w:val="20"/>
              </w:rPr>
            </w:pPr>
            <w:r w:rsidRPr="00382BD6">
              <w:rPr>
                <w:rFonts w:eastAsia="Calibri"/>
                <w:color w:val="000000"/>
                <w:sz w:val="20"/>
                <w:szCs w:val="20"/>
                <w:lang w:eastAsia="en-US"/>
              </w:rPr>
              <w:t>726</w:t>
            </w:r>
          </w:p>
        </w:tc>
      </w:tr>
      <w:tr w:rsidR="00E07CDE" w:rsidRPr="00563AD3" w14:paraId="137CFB52" w14:textId="77777777" w:rsidTr="00C163F3">
        <w:trPr>
          <w:cantSplit/>
          <w:jc w:val="center"/>
        </w:trPr>
        <w:tc>
          <w:tcPr>
            <w:tcW w:w="3119" w:type="dxa"/>
            <w:tcBorders>
              <w:left w:val="single" w:sz="4" w:space="0" w:color="auto"/>
              <w:bottom w:val="nil"/>
              <w:right w:val="nil"/>
            </w:tcBorders>
            <w:shd w:val="clear" w:color="auto" w:fill="FFFFFF"/>
            <w:tcMar>
              <w:left w:w="67" w:type="dxa"/>
              <w:right w:w="67" w:type="dxa"/>
            </w:tcMar>
          </w:tcPr>
          <w:p w14:paraId="045C4E5E" w14:textId="77777777" w:rsidR="00E07CDE" w:rsidRPr="00382BD6" w:rsidRDefault="00E07CDE" w:rsidP="006C0B32">
            <w:pPr>
              <w:spacing w:before="67" w:after="67" w:line="240" w:lineRule="auto"/>
              <w:rPr>
                <w:rFonts w:eastAsia="Times New Roman"/>
                <w:color w:val="000000"/>
                <w:sz w:val="20"/>
                <w:szCs w:val="20"/>
                <w:highlight w:val="yellow"/>
              </w:rPr>
            </w:pPr>
          </w:p>
        </w:tc>
        <w:tc>
          <w:tcPr>
            <w:tcW w:w="4541" w:type="dxa"/>
            <w:tcBorders>
              <w:top w:val="nil"/>
              <w:left w:val="nil"/>
              <w:bottom w:val="nil"/>
              <w:right w:val="nil"/>
            </w:tcBorders>
            <w:shd w:val="clear" w:color="auto" w:fill="FFFFFF"/>
          </w:tcPr>
          <w:p w14:paraId="64370E77" w14:textId="77777777" w:rsidR="00E07CDE" w:rsidRPr="00382BD6" w:rsidRDefault="00E07CDE" w:rsidP="006C0B32">
            <w:pPr>
              <w:spacing w:before="67" w:after="67" w:line="240" w:lineRule="auto"/>
              <w:rPr>
                <w:rFonts w:eastAsia="Times New Roman"/>
                <w:color w:val="000000"/>
                <w:sz w:val="20"/>
                <w:szCs w:val="20"/>
              </w:rPr>
            </w:pPr>
            <w:r w:rsidRPr="00382BD6">
              <w:rPr>
                <w:rFonts w:eastAsia="Times New Roman"/>
                <w:color w:val="000000"/>
                <w:sz w:val="20"/>
                <w:szCs w:val="20"/>
              </w:rPr>
              <w:t>Complete cases only</w:t>
            </w:r>
            <w:r w:rsidRPr="00382BD6">
              <w:rPr>
                <w:rFonts w:eastAsia="Calibri"/>
                <w:color w:val="000000"/>
                <w:sz w:val="20"/>
                <w:szCs w:val="20"/>
                <w:lang w:eastAsia="en-US"/>
              </w:rPr>
              <w:t xml:space="preserve"> without hub </w:t>
            </w:r>
          </w:p>
        </w:tc>
        <w:tc>
          <w:tcPr>
            <w:tcW w:w="822" w:type="dxa"/>
            <w:tcBorders>
              <w:top w:val="nil"/>
              <w:left w:val="nil"/>
              <w:bottom w:val="nil"/>
              <w:right w:val="nil"/>
            </w:tcBorders>
            <w:shd w:val="clear" w:color="auto" w:fill="FFFFFF"/>
            <w:tcMar>
              <w:left w:w="67" w:type="dxa"/>
              <w:right w:w="67" w:type="dxa"/>
            </w:tcMar>
          </w:tcPr>
          <w:p w14:paraId="2F32CC6A" w14:textId="77777777" w:rsidR="00E07CDE" w:rsidRPr="00382BD6" w:rsidRDefault="00E07CDE" w:rsidP="006C0B32">
            <w:pPr>
              <w:spacing w:before="67" w:after="67" w:line="240" w:lineRule="auto"/>
              <w:jc w:val="right"/>
              <w:rPr>
                <w:rFonts w:eastAsia="Calibri"/>
                <w:color w:val="000000"/>
                <w:sz w:val="20"/>
                <w:szCs w:val="20"/>
                <w:lang w:eastAsia="en-US"/>
              </w:rPr>
            </w:pPr>
            <w:r w:rsidRPr="00382BD6">
              <w:rPr>
                <w:rFonts w:eastAsia="Calibri"/>
                <w:color w:val="000000"/>
                <w:sz w:val="20"/>
                <w:szCs w:val="20"/>
                <w:lang w:eastAsia="en-US"/>
              </w:rPr>
              <w:t>0.494</w:t>
            </w:r>
          </w:p>
        </w:tc>
        <w:tc>
          <w:tcPr>
            <w:tcW w:w="822" w:type="dxa"/>
            <w:tcBorders>
              <w:top w:val="nil"/>
              <w:left w:val="nil"/>
              <w:bottom w:val="nil"/>
              <w:right w:val="nil"/>
            </w:tcBorders>
            <w:shd w:val="clear" w:color="auto" w:fill="FFFFFF"/>
            <w:tcMar>
              <w:left w:w="67" w:type="dxa"/>
              <w:right w:w="67" w:type="dxa"/>
            </w:tcMar>
          </w:tcPr>
          <w:p w14:paraId="4AD8C889" w14:textId="77777777" w:rsidR="00E07CDE" w:rsidRPr="00382BD6" w:rsidRDefault="00E07CDE" w:rsidP="006C0B32">
            <w:pPr>
              <w:spacing w:before="67" w:after="67" w:line="240" w:lineRule="auto"/>
              <w:jc w:val="right"/>
              <w:rPr>
                <w:rFonts w:eastAsia="Calibri"/>
                <w:color w:val="000000"/>
                <w:sz w:val="20"/>
                <w:szCs w:val="20"/>
                <w:lang w:eastAsia="en-US"/>
              </w:rPr>
            </w:pPr>
            <w:r w:rsidRPr="00382BD6">
              <w:rPr>
                <w:rFonts w:eastAsia="Calibri"/>
                <w:color w:val="000000"/>
                <w:sz w:val="20"/>
                <w:szCs w:val="20"/>
                <w:lang w:eastAsia="en-US"/>
              </w:rPr>
              <w:t>0.093</w:t>
            </w:r>
          </w:p>
        </w:tc>
        <w:tc>
          <w:tcPr>
            <w:tcW w:w="822" w:type="dxa"/>
            <w:tcBorders>
              <w:top w:val="nil"/>
              <w:left w:val="nil"/>
              <w:bottom w:val="nil"/>
              <w:right w:val="nil"/>
            </w:tcBorders>
            <w:shd w:val="clear" w:color="auto" w:fill="FFFFFF"/>
            <w:tcMar>
              <w:left w:w="67" w:type="dxa"/>
              <w:right w:w="67" w:type="dxa"/>
            </w:tcMar>
          </w:tcPr>
          <w:p w14:paraId="79921B4A" w14:textId="77777777" w:rsidR="00E07CDE" w:rsidRPr="00382BD6" w:rsidRDefault="00E07CDE" w:rsidP="006C0B32">
            <w:pPr>
              <w:spacing w:before="67" w:after="67" w:line="240" w:lineRule="auto"/>
              <w:jc w:val="right"/>
              <w:rPr>
                <w:rFonts w:eastAsia="Calibri"/>
                <w:color w:val="000000"/>
                <w:sz w:val="20"/>
                <w:szCs w:val="20"/>
                <w:lang w:eastAsia="en-US"/>
              </w:rPr>
            </w:pPr>
            <w:r w:rsidRPr="00382BD6">
              <w:rPr>
                <w:rFonts w:eastAsia="Calibri"/>
                <w:color w:val="000000"/>
                <w:sz w:val="20"/>
                <w:szCs w:val="20"/>
                <w:lang w:eastAsia="en-US"/>
              </w:rPr>
              <w:t>2.629</w:t>
            </w:r>
          </w:p>
        </w:tc>
        <w:tc>
          <w:tcPr>
            <w:tcW w:w="822" w:type="dxa"/>
            <w:tcBorders>
              <w:top w:val="nil"/>
              <w:left w:val="nil"/>
              <w:bottom w:val="nil"/>
              <w:right w:val="nil"/>
            </w:tcBorders>
            <w:shd w:val="clear" w:color="auto" w:fill="FFFFFF"/>
            <w:tcMar>
              <w:left w:w="67" w:type="dxa"/>
              <w:right w:w="67" w:type="dxa"/>
            </w:tcMar>
          </w:tcPr>
          <w:p w14:paraId="752DD8D2" w14:textId="77777777" w:rsidR="00E07CDE" w:rsidRPr="00382BD6" w:rsidRDefault="00E07CDE" w:rsidP="006C0B32">
            <w:pPr>
              <w:spacing w:before="67" w:after="67" w:line="240" w:lineRule="auto"/>
              <w:jc w:val="right"/>
              <w:rPr>
                <w:rFonts w:eastAsia="Calibri"/>
                <w:color w:val="000000"/>
                <w:sz w:val="20"/>
                <w:szCs w:val="20"/>
                <w:lang w:eastAsia="en-US"/>
              </w:rPr>
            </w:pPr>
            <w:r w:rsidRPr="00382BD6">
              <w:rPr>
                <w:rFonts w:eastAsia="Calibri"/>
                <w:color w:val="000000"/>
                <w:sz w:val="20"/>
                <w:szCs w:val="20"/>
                <w:lang w:eastAsia="en-US"/>
              </w:rPr>
              <w:t>0.4084</w:t>
            </w:r>
          </w:p>
        </w:tc>
        <w:tc>
          <w:tcPr>
            <w:tcW w:w="823" w:type="dxa"/>
            <w:tcBorders>
              <w:top w:val="nil"/>
              <w:left w:val="nil"/>
              <w:bottom w:val="nil"/>
              <w:right w:val="single" w:sz="4" w:space="0" w:color="auto"/>
            </w:tcBorders>
            <w:shd w:val="clear" w:color="auto" w:fill="FFFFFF"/>
            <w:tcMar>
              <w:left w:w="67" w:type="dxa"/>
              <w:right w:w="67" w:type="dxa"/>
            </w:tcMar>
          </w:tcPr>
          <w:p w14:paraId="7AE3E2B4" w14:textId="77777777" w:rsidR="00E07CDE" w:rsidRPr="00382BD6" w:rsidRDefault="00E07CDE" w:rsidP="006C0B32">
            <w:pPr>
              <w:spacing w:before="67" w:after="67" w:line="240" w:lineRule="auto"/>
              <w:jc w:val="right"/>
              <w:rPr>
                <w:rFonts w:eastAsia="Calibri"/>
                <w:color w:val="000000"/>
                <w:sz w:val="20"/>
                <w:szCs w:val="20"/>
                <w:lang w:eastAsia="en-US"/>
              </w:rPr>
            </w:pPr>
            <w:r w:rsidRPr="00382BD6">
              <w:rPr>
                <w:rFonts w:eastAsia="Calibri"/>
                <w:color w:val="000000"/>
                <w:sz w:val="20"/>
                <w:szCs w:val="20"/>
                <w:lang w:eastAsia="en-US"/>
              </w:rPr>
              <w:t>581</w:t>
            </w:r>
          </w:p>
        </w:tc>
      </w:tr>
      <w:tr w:rsidR="00E07CDE" w:rsidRPr="00563AD3" w14:paraId="5DC4BEE8" w14:textId="77777777" w:rsidTr="00C163F3">
        <w:trPr>
          <w:cantSplit/>
          <w:jc w:val="center"/>
        </w:trPr>
        <w:tc>
          <w:tcPr>
            <w:tcW w:w="3119" w:type="dxa"/>
            <w:tcBorders>
              <w:left w:val="single" w:sz="4" w:space="0" w:color="auto"/>
              <w:bottom w:val="nil"/>
              <w:right w:val="nil"/>
            </w:tcBorders>
            <w:shd w:val="clear" w:color="auto" w:fill="FFFFFF"/>
            <w:tcMar>
              <w:left w:w="67" w:type="dxa"/>
              <w:right w:w="67" w:type="dxa"/>
            </w:tcMar>
          </w:tcPr>
          <w:p w14:paraId="3CC229DE" w14:textId="77777777" w:rsidR="00E07CDE" w:rsidRPr="00382BD6" w:rsidRDefault="00E07CDE" w:rsidP="006C0B32">
            <w:pPr>
              <w:spacing w:before="67" w:after="67" w:line="240" w:lineRule="auto"/>
              <w:rPr>
                <w:rFonts w:eastAsia="Times New Roman"/>
                <w:color w:val="000000"/>
                <w:sz w:val="20"/>
                <w:szCs w:val="20"/>
              </w:rPr>
            </w:pPr>
          </w:p>
        </w:tc>
        <w:tc>
          <w:tcPr>
            <w:tcW w:w="4541" w:type="dxa"/>
            <w:tcBorders>
              <w:top w:val="nil"/>
              <w:left w:val="nil"/>
              <w:bottom w:val="nil"/>
              <w:right w:val="nil"/>
            </w:tcBorders>
            <w:shd w:val="clear" w:color="auto" w:fill="FFFFFF"/>
          </w:tcPr>
          <w:p w14:paraId="7FCD0283" w14:textId="77777777" w:rsidR="00E07CDE" w:rsidRPr="00382BD6" w:rsidRDefault="00E07CDE" w:rsidP="006C0B32">
            <w:pPr>
              <w:spacing w:before="67" w:after="67" w:line="240" w:lineRule="auto"/>
              <w:rPr>
                <w:rFonts w:eastAsia="Times New Roman"/>
                <w:color w:val="000000"/>
                <w:sz w:val="20"/>
                <w:szCs w:val="20"/>
              </w:rPr>
            </w:pPr>
            <w:r w:rsidRPr="00382BD6">
              <w:rPr>
                <w:rFonts w:eastAsia="Times New Roman"/>
                <w:color w:val="000000"/>
                <w:sz w:val="20"/>
                <w:szCs w:val="20"/>
              </w:rPr>
              <w:t>Missing data imputed assuming MAR</w:t>
            </w:r>
            <w:r w:rsidRPr="00382BD6">
              <w:rPr>
                <w:rFonts w:eastAsia="Calibri"/>
                <w:color w:val="000000"/>
                <w:sz w:val="20"/>
                <w:szCs w:val="20"/>
                <w:lang w:eastAsia="en-US"/>
              </w:rPr>
              <w:t xml:space="preserve"> without hub </w:t>
            </w:r>
          </w:p>
        </w:tc>
        <w:tc>
          <w:tcPr>
            <w:tcW w:w="822" w:type="dxa"/>
            <w:tcBorders>
              <w:top w:val="nil"/>
              <w:left w:val="nil"/>
              <w:bottom w:val="nil"/>
              <w:right w:val="nil"/>
            </w:tcBorders>
            <w:shd w:val="clear" w:color="auto" w:fill="FFFFFF"/>
            <w:tcMar>
              <w:left w:w="67" w:type="dxa"/>
              <w:right w:w="67" w:type="dxa"/>
            </w:tcMar>
          </w:tcPr>
          <w:p w14:paraId="76E645C3" w14:textId="77777777" w:rsidR="00E07CDE" w:rsidRPr="00382BD6" w:rsidRDefault="00E07CDE" w:rsidP="006C0B32">
            <w:pPr>
              <w:spacing w:before="67" w:after="67" w:line="240" w:lineRule="auto"/>
              <w:jc w:val="right"/>
              <w:rPr>
                <w:rFonts w:eastAsia="Calibri"/>
                <w:color w:val="000000"/>
                <w:sz w:val="20"/>
                <w:szCs w:val="20"/>
                <w:lang w:eastAsia="en-US"/>
              </w:rPr>
            </w:pPr>
            <w:r w:rsidRPr="00382BD6">
              <w:rPr>
                <w:rFonts w:eastAsia="Calibri"/>
                <w:color w:val="000000"/>
                <w:sz w:val="20"/>
                <w:szCs w:val="20"/>
                <w:lang w:eastAsia="en-US"/>
              </w:rPr>
              <w:t>0.533</w:t>
            </w:r>
          </w:p>
        </w:tc>
        <w:tc>
          <w:tcPr>
            <w:tcW w:w="822" w:type="dxa"/>
            <w:tcBorders>
              <w:top w:val="nil"/>
              <w:left w:val="nil"/>
              <w:bottom w:val="nil"/>
              <w:right w:val="nil"/>
            </w:tcBorders>
            <w:shd w:val="clear" w:color="auto" w:fill="FFFFFF"/>
            <w:tcMar>
              <w:left w:w="67" w:type="dxa"/>
              <w:right w:w="67" w:type="dxa"/>
            </w:tcMar>
          </w:tcPr>
          <w:p w14:paraId="7B0F3283" w14:textId="77777777" w:rsidR="00E07CDE" w:rsidRPr="00382BD6" w:rsidRDefault="00E07CDE" w:rsidP="006C0B32">
            <w:pPr>
              <w:spacing w:before="67" w:after="67" w:line="240" w:lineRule="auto"/>
              <w:jc w:val="right"/>
              <w:rPr>
                <w:rFonts w:eastAsia="Calibri"/>
                <w:color w:val="000000"/>
                <w:sz w:val="20"/>
                <w:szCs w:val="20"/>
                <w:lang w:eastAsia="en-US"/>
              </w:rPr>
            </w:pPr>
            <w:r w:rsidRPr="00382BD6">
              <w:rPr>
                <w:rFonts w:eastAsia="Calibri"/>
                <w:color w:val="000000"/>
                <w:sz w:val="20"/>
                <w:szCs w:val="20"/>
                <w:lang w:eastAsia="en-US"/>
              </w:rPr>
              <w:t>0.095</w:t>
            </w:r>
          </w:p>
        </w:tc>
        <w:tc>
          <w:tcPr>
            <w:tcW w:w="822" w:type="dxa"/>
            <w:tcBorders>
              <w:top w:val="nil"/>
              <w:left w:val="nil"/>
              <w:bottom w:val="nil"/>
              <w:right w:val="nil"/>
            </w:tcBorders>
            <w:shd w:val="clear" w:color="auto" w:fill="FFFFFF"/>
            <w:tcMar>
              <w:left w:w="67" w:type="dxa"/>
              <w:right w:w="67" w:type="dxa"/>
            </w:tcMar>
          </w:tcPr>
          <w:p w14:paraId="1111C25B" w14:textId="77777777" w:rsidR="00E07CDE" w:rsidRPr="00382BD6" w:rsidRDefault="00E07CDE" w:rsidP="006C0B32">
            <w:pPr>
              <w:spacing w:before="67" w:after="67" w:line="240" w:lineRule="auto"/>
              <w:jc w:val="right"/>
              <w:rPr>
                <w:rFonts w:eastAsia="Calibri"/>
                <w:color w:val="000000"/>
                <w:sz w:val="20"/>
                <w:szCs w:val="20"/>
                <w:lang w:eastAsia="en-US"/>
              </w:rPr>
            </w:pPr>
            <w:r w:rsidRPr="00382BD6">
              <w:rPr>
                <w:rFonts w:eastAsia="Calibri"/>
                <w:color w:val="000000"/>
                <w:sz w:val="20"/>
                <w:szCs w:val="20"/>
                <w:lang w:eastAsia="en-US"/>
              </w:rPr>
              <w:t>2.997</w:t>
            </w:r>
          </w:p>
        </w:tc>
        <w:tc>
          <w:tcPr>
            <w:tcW w:w="822" w:type="dxa"/>
            <w:tcBorders>
              <w:top w:val="nil"/>
              <w:left w:val="nil"/>
              <w:bottom w:val="nil"/>
              <w:right w:val="nil"/>
            </w:tcBorders>
            <w:shd w:val="clear" w:color="auto" w:fill="FFFFFF"/>
            <w:tcMar>
              <w:left w:w="67" w:type="dxa"/>
              <w:right w:w="67" w:type="dxa"/>
            </w:tcMar>
          </w:tcPr>
          <w:p w14:paraId="7159CCC9" w14:textId="77777777" w:rsidR="00E07CDE" w:rsidRPr="00382BD6" w:rsidRDefault="00E07CDE" w:rsidP="006C0B32">
            <w:pPr>
              <w:spacing w:before="67" w:after="67" w:line="240" w:lineRule="auto"/>
              <w:jc w:val="right"/>
              <w:rPr>
                <w:rFonts w:eastAsia="Calibri"/>
                <w:color w:val="000000"/>
                <w:sz w:val="20"/>
                <w:szCs w:val="20"/>
                <w:lang w:eastAsia="en-US"/>
              </w:rPr>
            </w:pPr>
            <w:r w:rsidRPr="00382BD6">
              <w:rPr>
                <w:rFonts w:eastAsia="Calibri"/>
                <w:color w:val="000000"/>
                <w:sz w:val="20"/>
                <w:szCs w:val="20"/>
                <w:lang w:eastAsia="en-US"/>
              </w:rPr>
              <w:t>0.4743</w:t>
            </w:r>
          </w:p>
        </w:tc>
        <w:tc>
          <w:tcPr>
            <w:tcW w:w="823" w:type="dxa"/>
            <w:tcBorders>
              <w:top w:val="nil"/>
              <w:left w:val="nil"/>
              <w:bottom w:val="nil"/>
              <w:right w:val="single" w:sz="4" w:space="0" w:color="auto"/>
            </w:tcBorders>
            <w:shd w:val="clear" w:color="auto" w:fill="FFFFFF"/>
            <w:tcMar>
              <w:left w:w="67" w:type="dxa"/>
              <w:right w:w="67" w:type="dxa"/>
            </w:tcMar>
          </w:tcPr>
          <w:p w14:paraId="1D122FE9" w14:textId="77777777" w:rsidR="00E07CDE" w:rsidRPr="00382BD6" w:rsidRDefault="00E07CDE" w:rsidP="006C0B32">
            <w:pPr>
              <w:spacing w:before="67" w:after="67" w:line="240" w:lineRule="auto"/>
              <w:jc w:val="right"/>
              <w:rPr>
                <w:rFonts w:eastAsia="Calibri"/>
                <w:color w:val="000000"/>
                <w:sz w:val="20"/>
                <w:szCs w:val="20"/>
                <w:lang w:eastAsia="en-US"/>
              </w:rPr>
            </w:pPr>
            <w:r w:rsidRPr="00382BD6">
              <w:rPr>
                <w:rFonts w:eastAsia="Calibri"/>
                <w:color w:val="000000"/>
                <w:sz w:val="20"/>
                <w:szCs w:val="20"/>
                <w:lang w:eastAsia="en-US"/>
              </w:rPr>
              <w:t>726</w:t>
            </w:r>
          </w:p>
        </w:tc>
      </w:tr>
      <w:tr w:rsidR="00E07CDE" w:rsidRPr="00563AD3" w14:paraId="33BC7BB9" w14:textId="77777777" w:rsidTr="00C163F3">
        <w:trPr>
          <w:cantSplit/>
          <w:jc w:val="center"/>
        </w:trPr>
        <w:tc>
          <w:tcPr>
            <w:tcW w:w="3119" w:type="dxa"/>
            <w:tcBorders>
              <w:top w:val="nil"/>
              <w:left w:val="single" w:sz="4" w:space="0" w:color="auto"/>
              <w:right w:val="nil"/>
            </w:tcBorders>
            <w:shd w:val="clear" w:color="auto" w:fill="FFFFFF"/>
            <w:tcMar>
              <w:left w:w="67" w:type="dxa"/>
              <w:right w:w="67" w:type="dxa"/>
            </w:tcMar>
          </w:tcPr>
          <w:p w14:paraId="5FDCAC23" w14:textId="77777777" w:rsidR="00E07CDE" w:rsidRPr="00563AD3" w:rsidRDefault="00E07CDE" w:rsidP="006C0B32">
            <w:pPr>
              <w:spacing w:before="67" w:after="67" w:line="240" w:lineRule="auto"/>
              <w:rPr>
                <w:rFonts w:eastAsia="Times New Roman"/>
                <w:b/>
                <w:color w:val="000000"/>
                <w:sz w:val="20"/>
                <w:szCs w:val="20"/>
              </w:rPr>
            </w:pPr>
            <w:r w:rsidRPr="00563AD3">
              <w:rPr>
                <w:rFonts w:eastAsia="Times New Roman"/>
                <w:b/>
                <w:color w:val="000000"/>
                <w:sz w:val="20"/>
                <w:szCs w:val="20"/>
              </w:rPr>
              <w:t>Mood</w:t>
            </w:r>
          </w:p>
        </w:tc>
        <w:tc>
          <w:tcPr>
            <w:tcW w:w="4541" w:type="dxa"/>
            <w:tcBorders>
              <w:top w:val="nil"/>
              <w:left w:val="nil"/>
              <w:bottom w:val="nil"/>
              <w:right w:val="nil"/>
            </w:tcBorders>
            <w:shd w:val="clear" w:color="auto" w:fill="FFFFFF"/>
          </w:tcPr>
          <w:p w14:paraId="2FC49D19" w14:textId="77777777" w:rsidR="00E07CDE" w:rsidRPr="00563AD3" w:rsidRDefault="00E07CDE" w:rsidP="006C0B32">
            <w:pPr>
              <w:spacing w:before="67" w:after="67" w:line="240" w:lineRule="auto"/>
              <w:rPr>
                <w:rFonts w:eastAsia="Times New Roman"/>
                <w:color w:val="000000"/>
                <w:sz w:val="20"/>
                <w:szCs w:val="20"/>
              </w:rPr>
            </w:pPr>
          </w:p>
        </w:tc>
        <w:tc>
          <w:tcPr>
            <w:tcW w:w="822" w:type="dxa"/>
            <w:tcBorders>
              <w:top w:val="nil"/>
              <w:left w:val="nil"/>
              <w:bottom w:val="nil"/>
              <w:right w:val="nil"/>
            </w:tcBorders>
            <w:shd w:val="clear" w:color="auto" w:fill="FFFFFF"/>
            <w:tcMar>
              <w:left w:w="67" w:type="dxa"/>
              <w:right w:w="67" w:type="dxa"/>
            </w:tcMar>
          </w:tcPr>
          <w:p w14:paraId="24CB8E84" w14:textId="77777777" w:rsidR="00E07CDE" w:rsidRPr="00563AD3" w:rsidRDefault="00E07CDE" w:rsidP="006C0B32">
            <w:pPr>
              <w:spacing w:before="67" w:after="67" w:line="240" w:lineRule="auto"/>
              <w:jc w:val="right"/>
              <w:rPr>
                <w:rFonts w:eastAsia="Times New Roman"/>
                <w:color w:val="000000"/>
                <w:sz w:val="20"/>
                <w:szCs w:val="20"/>
              </w:rPr>
            </w:pPr>
          </w:p>
        </w:tc>
        <w:tc>
          <w:tcPr>
            <w:tcW w:w="822" w:type="dxa"/>
            <w:tcBorders>
              <w:top w:val="nil"/>
              <w:left w:val="nil"/>
              <w:bottom w:val="nil"/>
              <w:right w:val="nil"/>
            </w:tcBorders>
            <w:shd w:val="clear" w:color="auto" w:fill="FFFFFF"/>
            <w:tcMar>
              <w:left w:w="67" w:type="dxa"/>
              <w:right w:w="67" w:type="dxa"/>
            </w:tcMar>
          </w:tcPr>
          <w:p w14:paraId="30272DE7" w14:textId="77777777" w:rsidR="00E07CDE" w:rsidRPr="00563AD3" w:rsidRDefault="00E07CDE" w:rsidP="006C0B32">
            <w:pPr>
              <w:spacing w:before="67" w:after="67" w:line="240" w:lineRule="auto"/>
              <w:jc w:val="right"/>
              <w:rPr>
                <w:rFonts w:eastAsia="Times New Roman"/>
                <w:color w:val="000000"/>
                <w:sz w:val="20"/>
                <w:szCs w:val="20"/>
              </w:rPr>
            </w:pPr>
          </w:p>
        </w:tc>
        <w:tc>
          <w:tcPr>
            <w:tcW w:w="822" w:type="dxa"/>
            <w:tcBorders>
              <w:top w:val="nil"/>
              <w:left w:val="nil"/>
              <w:bottom w:val="nil"/>
              <w:right w:val="nil"/>
            </w:tcBorders>
            <w:shd w:val="clear" w:color="auto" w:fill="FFFFFF"/>
            <w:tcMar>
              <w:left w:w="67" w:type="dxa"/>
              <w:right w:w="67" w:type="dxa"/>
            </w:tcMar>
          </w:tcPr>
          <w:p w14:paraId="6A18C97D" w14:textId="77777777" w:rsidR="00E07CDE" w:rsidRPr="00563AD3" w:rsidRDefault="00E07CDE" w:rsidP="006C0B32">
            <w:pPr>
              <w:spacing w:before="67" w:after="67" w:line="240" w:lineRule="auto"/>
              <w:jc w:val="right"/>
              <w:rPr>
                <w:rFonts w:eastAsia="Times New Roman"/>
                <w:color w:val="000000"/>
                <w:sz w:val="20"/>
                <w:szCs w:val="20"/>
              </w:rPr>
            </w:pPr>
          </w:p>
        </w:tc>
        <w:tc>
          <w:tcPr>
            <w:tcW w:w="822" w:type="dxa"/>
            <w:tcBorders>
              <w:top w:val="nil"/>
              <w:left w:val="nil"/>
              <w:bottom w:val="nil"/>
              <w:right w:val="nil"/>
            </w:tcBorders>
            <w:shd w:val="clear" w:color="auto" w:fill="FFFFFF"/>
            <w:tcMar>
              <w:left w:w="67" w:type="dxa"/>
              <w:right w:w="67" w:type="dxa"/>
            </w:tcMar>
          </w:tcPr>
          <w:p w14:paraId="53F6A0B1" w14:textId="77777777" w:rsidR="00E07CDE" w:rsidRPr="00563AD3" w:rsidRDefault="00E07CDE" w:rsidP="006C0B32">
            <w:pPr>
              <w:spacing w:before="67" w:after="67" w:line="240" w:lineRule="auto"/>
              <w:jc w:val="right"/>
              <w:rPr>
                <w:rFonts w:eastAsia="Times New Roman"/>
                <w:color w:val="000000"/>
                <w:sz w:val="20"/>
                <w:szCs w:val="20"/>
              </w:rPr>
            </w:pPr>
          </w:p>
        </w:tc>
        <w:tc>
          <w:tcPr>
            <w:tcW w:w="823" w:type="dxa"/>
            <w:tcBorders>
              <w:top w:val="nil"/>
              <w:left w:val="nil"/>
              <w:bottom w:val="nil"/>
              <w:right w:val="single" w:sz="4" w:space="0" w:color="auto"/>
            </w:tcBorders>
            <w:shd w:val="clear" w:color="auto" w:fill="FFFFFF"/>
            <w:tcMar>
              <w:left w:w="67" w:type="dxa"/>
              <w:right w:w="67" w:type="dxa"/>
            </w:tcMar>
          </w:tcPr>
          <w:p w14:paraId="377F8FCD" w14:textId="77777777" w:rsidR="00E07CDE" w:rsidRPr="00563AD3" w:rsidRDefault="00E07CDE" w:rsidP="006C0B32">
            <w:pPr>
              <w:spacing w:before="67" w:after="67" w:line="240" w:lineRule="auto"/>
              <w:jc w:val="right"/>
              <w:rPr>
                <w:rFonts w:eastAsia="Times New Roman"/>
                <w:color w:val="000000"/>
                <w:sz w:val="20"/>
                <w:szCs w:val="20"/>
              </w:rPr>
            </w:pPr>
          </w:p>
        </w:tc>
      </w:tr>
      <w:tr w:rsidR="00E07CDE" w:rsidRPr="00563AD3" w14:paraId="672319C6" w14:textId="77777777" w:rsidTr="00C163F3">
        <w:trPr>
          <w:cantSplit/>
          <w:jc w:val="center"/>
        </w:trPr>
        <w:tc>
          <w:tcPr>
            <w:tcW w:w="3119" w:type="dxa"/>
            <w:vMerge w:val="restart"/>
            <w:tcBorders>
              <w:top w:val="nil"/>
              <w:left w:val="single" w:sz="4" w:space="0" w:color="auto"/>
              <w:right w:val="nil"/>
            </w:tcBorders>
            <w:shd w:val="clear" w:color="auto" w:fill="FFFFFF"/>
            <w:tcMar>
              <w:left w:w="67" w:type="dxa"/>
              <w:right w:w="67" w:type="dxa"/>
            </w:tcMar>
          </w:tcPr>
          <w:p w14:paraId="60E33049"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Depression/dysphoria</w:t>
            </w:r>
          </w:p>
          <w:p w14:paraId="06C056AF" w14:textId="77777777" w:rsidR="00E07CDE" w:rsidRPr="00563AD3" w:rsidRDefault="00E07CDE" w:rsidP="006C0B32">
            <w:pPr>
              <w:spacing w:before="67" w:after="67" w:line="240" w:lineRule="auto"/>
              <w:rPr>
                <w:rFonts w:eastAsia="Times New Roman"/>
                <w:color w:val="000000"/>
                <w:sz w:val="20"/>
                <w:szCs w:val="20"/>
              </w:rPr>
            </w:pPr>
          </w:p>
        </w:tc>
        <w:tc>
          <w:tcPr>
            <w:tcW w:w="4541" w:type="dxa"/>
            <w:tcBorders>
              <w:top w:val="nil"/>
              <w:left w:val="nil"/>
              <w:bottom w:val="nil"/>
              <w:right w:val="nil"/>
            </w:tcBorders>
            <w:shd w:val="clear" w:color="auto" w:fill="FFFFFF"/>
          </w:tcPr>
          <w:p w14:paraId="1BCA3C36"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Complete cases only</w:t>
            </w:r>
          </w:p>
        </w:tc>
        <w:tc>
          <w:tcPr>
            <w:tcW w:w="822" w:type="dxa"/>
            <w:tcBorders>
              <w:top w:val="nil"/>
              <w:left w:val="nil"/>
              <w:bottom w:val="nil"/>
              <w:right w:val="nil"/>
            </w:tcBorders>
            <w:shd w:val="clear" w:color="auto" w:fill="FFFFFF"/>
            <w:tcMar>
              <w:left w:w="67" w:type="dxa"/>
              <w:right w:w="67" w:type="dxa"/>
            </w:tcMar>
          </w:tcPr>
          <w:p w14:paraId="3874A5C8"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1.34</w:t>
            </w:r>
          </w:p>
        </w:tc>
        <w:tc>
          <w:tcPr>
            <w:tcW w:w="822" w:type="dxa"/>
            <w:tcBorders>
              <w:top w:val="nil"/>
              <w:left w:val="nil"/>
              <w:bottom w:val="nil"/>
              <w:right w:val="nil"/>
            </w:tcBorders>
            <w:shd w:val="clear" w:color="auto" w:fill="FFFFFF"/>
            <w:tcMar>
              <w:left w:w="67" w:type="dxa"/>
              <w:right w:w="67" w:type="dxa"/>
            </w:tcMar>
          </w:tcPr>
          <w:p w14:paraId="6E08AC0A"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0.862</w:t>
            </w:r>
          </w:p>
        </w:tc>
        <w:tc>
          <w:tcPr>
            <w:tcW w:w="822" w:type="dxa"/>
            <w:tcBorders>
              <w:top w:val="nil"/>
              <w:left w:val="nil"/>
              <w:bottom w:val="nil"/>
              <w:right w:val="nil"/>
            </w:tcBorders>
            <w:shd w:val="clear" w:color="auto" w:fill="FFFFFF"/>
            <w:tcMar>
              <w:left w:w="67" w:type="dxa"/>
              <w:right w:w="67" w:type="dxa"/>
            </w:tcMar>
          </w:tcPr>
          <w:p w14:paraId="5DBCF949"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2.082</w:t>
            </w:r>
          </w:p>
        </w:tc>
        <w:tc>
          <w:tcPr>
            <w:tcW w:w="822" w:type="dxa"/>
            <w:tcBorders>
              <w:top w:val="nil"/>
              <w:left w:val="nil"/>
              <w:bottom w:val="nil"/>
              <w:right w:val="nil"/>
            </w:tcBorders>
            <w:shd w:val="clear" w:color="auto" w:fill="FFFFFF"/>
            <w:tcMar>
              <w:left w:w="67" w:type="dxa"/>
              <w:right w:w="67" w:type="dxa"/>
            </w:tcMar>
          </w:tcPr>
          <w:p w14:paraId="35B456E3"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0.1932</w:t>
            </w:r>
          </w:p>
        </w:tc>
        <w:tc>
          <w:tcPr>
            <w:tcW w:w="823" w:type="dxa"/>
            <w:tcBorders>
              <w:top w:val="nil"/>
              <w:left w:val="nil"/>
              <w:bottom w:val="nil"/>
              <w:right w:val="single" w:sz="4" w:space="0" w:color="auto"/>
            </w:tcBorders>
            <w:shd w:val="clear" w:color="auto" w:fill="FFFFFF"/>
            <w:tcMar>
              <w:left w:w="67" w:type="dxa"/>
              <w:right w:w="67" w:type="dxa"/>
            </w:tcMar>
          </w:tcPr>
          <w:p w14:paraId="6276157C"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558</w:t>
            </w:r>
          </w:p>
        </w:tc>
      </w:tr>
      <w:tr w:rsidR="00E07CDE" w:rsidRPr="00563AD3" w14:paraId="7350C77F" w14:textId="77777777" w:rsidTr="00C163F3">
        <w:trPr>
          <w:cantSplit/>
          <w:jc w:val="center"/>
        </w:trPr>
        <w:tc>
          <w:tcPr>
            <w:tcW w:w="3119" w:type="dxa"/>
            <w:vMerge/>
            <w:tcBorders>
              <w:left w:val="single" w:sz="4" w:space="0" w:color="auto"/>
              <w:bottom w:val="nil"/>
              <w:right w:val="nil"/>
            </w:tcBorders>
            <w:shd w:val="clear" w:color="auto" w:fill="FFFFFF"/>
            <w:tcMar>
              <w:left w:w="67" w:type="dxa"/>
              <w:right w:w="67" w:type="dxa"/>
            </w:tcMar>
          </w:tcPr>
          <w:p w14:paraId="48A0B811" w14:textId="77777777" w:rsidR="00E07CDE" w:rsidRPr="00563AD3" w:rsidRDefault="00E07CDE" w:rsidP="006C0B32">
            <w:pPr>
              <w:spacing w:before="67" w:after="67" w:line="240" w:lineRule="auto"/>
              <w:rPr>
                <w:rFonts w:eastAsia="Times New Roman"/>
                <w:color w:val="000000"/>
                <w:sz w:val="20"/>
                <w:szCs w:val="20"/>
              </w:rPr>
            </w:pPr>
          </w:p>
        </w:tc>
        <w:tc>
          <w:tcPr>
            <w:tcW w:w="4541" w:type="dxa"/>
            <w:tcBorders>
              <w:top w:val="nil"/>
              <w:left w:val="nil"/>
              <w:bottom w:val="nil"/>
              <w:right w:val="nil"/>
            </w:tcBorders>
            <w:shd w:val="clear" w:color="auto" w:fill="FFFFFF"/>
          </w:tcPr>
          <w:p w14:paraId="58C236AC"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Missing data imputed assuming MAR</w:t>
            </w:r>
          </w:p>
        </w:tc>
        <w:tc>
          <w:tcPr>
            <w:tcW w:w="822" w:type="dxa"/>
            <w:tcBorders>
              <w:top w:val="nil"/>
              <w:left w:val="nil"/>
              <w:bottom w:val="nil"/>
              <w:right w:val="nil"/>
            </w:tcBorders>
            <w:shd w:val="clear" w:color="auto" w:fill="FFFFFF"/>
            <w:tcMar>
              <w:left w:w="67" w:type="dxa"/>
              <w:right w:w="67" w:type="dxa"/>
            </w:tcMar>
          </w:tcPr>
          <w:p w14:paraId="2DB83DCD"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1.32</w:t>
            </w:r>
          </w:p>
        </w:tc>
        <w:tc>
          <w:tcPr>
            <w:tcW w:w="822" w:type="dxa"/>
            <w:tcBorders>
              <w:top w:val="nil"/>
              <w:left w:val="nil"/>
              <w:bottom w:val="nil"/>
              <w:right w:val="nil"/>
            </w:tcBorders>
            <w:shd w:val="clear" w:color="auto" w:fill="FFFFFF"/>
            <w:tcMar>
              <w:left w:w="67" w:type="dxa"/>
              <w:right w:w="67" w:type="dxa"/>
            </w:tcMar>
          </w:tcPr>
          <w:p w14:paraId="1027A8BC"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0.872</w:t>
            </w:r>
          </w:p>
        </w:tc>
        <w:tc>
          <w:tcPr>
            <w:tcW w:w="822" w:type="dxa"/>
            <w:tcBorders>
              <w:top w:val="nil"/>
              <w:left w:val="nil"/>
              <w:bottom w:val="nil"/>
              <w:right w:val="nil"/>
            </w:tcBorders>
            <w:shd w:val="clear" w:color="auto" w:fill="FFFFFF"/>
            <w:tcMar>
              <w:left w:w="67" w:type="dxa"/>
              <w:right w:w="67" w:type="dxa"/>
            </w:tcMar>
          </w:tcPr>
          <w:p w14:paraId="5C80DDCE"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1.999</w:t>
            </w:r>
          </w:p>
        </w:tc>
        <w:tc>
          <w:tcPr>
            <w:tcW w:w="822" w:type="dxa"/>
            <w:tcBorders>
              <w:top w:val="nil"/>
              <w:left w:val="nil"/>
              <w:bottom w:val="nil"/>
              <w:right w:val="nil"/>
            </w:tcBorders>
            <w:shd w:val="clear" w:color="auto" w:fill="FFFFFF"/>
            <w:tcMar>
              <w:left w:w="67" w:type="dxa"/>
              <w:right w:w="67" w:type="dxa"/>
            </w:tcMar>
          </w:tcPr>
          <w:p w14:paraId="56CA19CD"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0.1895</w:t>
            </w:r>
          </w:p>
        </w:tc>
        <w:tc>
          <w:tcPr>
            <w:tcW w:w="823" w:type="dxa"/>
            <w:tcBorders>
              <w:top w:val="nil"/>
              <w:left w:val="nil"/>
              <w:bottom w:val="nil"/>
              <w:right w:val="single" w:sz="4" w:space="0" w:color="auto"/>
            </w:tcBorders>
            <w:shd w:val="clear" w:color="auto" w:fill="FFFFFF"/>
            <w:tcMar>
              <w:left w:w="67" w:type="dxa"/>
              <w:right w:w="67" w:type="dxa"/>
            </w:tcMar>
          </w:tcPr>
          <w:p w14:paraId="224CB1E1"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726</w:t>
            </w:r>
          </w:p>
        </w:tc>
      </w:tr>
      <w:tr w:rsidR="00E07CDE" w:rsidRPr="00563AD3" w14:paraId="60E0FA84" w14:textId="77777777" w:rsidTr="00C163F3">
        <w:trPr>
          <w:cantSplit/>
          <w:jc w:val="center"/>
        </w:trPr>
        <w:tc>
          <w:tcPr>
            <w:tcW w:w="3119" w:type="dxa"/>
            <w:vMerge w:val="restart"/>
            <w:tcBorders>
              <w:top w:val="nil"/>
              <w:left w:val="single" w:sz="4" w:space="0" w:color="auto"/>
              <w:right w:val="nil"/>
            </w:tcBorders>
            <w:shd w:val="clear" w:color="auto" w:fill="FFFFFF"/>
            <w:tcMar>
              <w:left w:w="67" w:type="dxa"/>
              <w:right w:w="67" w:type="dxa"/>
            </w:tcMar>
          </w:tcPr>
          <w:p w14:paraId="7D024D44"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 xml:space="preserve">Anxiety </w:t>
            </w:r>
          </w:p>
          <w:p w14:paraId="5C5B2CE7" w14:textId="77777777" w:rsidR="00E07CDE" w:rsidRPr="00563AD3" w:rsidRDefault="00E07CDE" w:rsidP="006C0B32">
            <w:pPr>
              <w:spacing w:before="67" w:after="67" w:line="240" w:lineRule="auto"/>
              <w:rPr>
                <w:rFonts w:eastAsia="Times New Roman"/>
                <w:color w:val="000000"/>
                <w:sz w:val="20"/>
                <w:szCs w:val="20"/>
              </w:rPr>
            </w:pPr>
          </w:p>
        </w:tc>
        <w:tc>
          <w:tcPr>
            <w:tcW w:w="4541" w:type="dxa"/>
            <w:tcBorders>
              <w:top w:val="nil"/>
              <w:left w:val="nil"/>
              <w:bottom w:val="nil"/>
              <w:right w:val="nil"/>
            </w:tcBorders>
            <w:shd w:val="clear" w:color="auto" w:fill="FFFFFF"/>
          </w:tcPr>
          <w:p w14:paraId="30D675DB"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Complete cases only</w:t>
            </w:r>
          </w:p>
        </w:tc>
        <w:tc>
          <w:tcPr>
            <w:tcW w:w="822" w:type="dxa"/>
            <w:tcBorders>
              <w:top w:val="nil"/>
              <w:left w:val="nil"/>
              <w:bottom w:val="nil"/>
              <w:right w:val="nil"/>
            </w:tcBorders>
            <w:shd w:val="clear" w:color="auto" w:fill="FFFFFF"/>
            <w:tcMar>
              <w:left w:w="67" w:type="dxa"/>
              <w:right w:w="67" w:type="dxa"/>
            </w:tcMar>
          </w:tcPr>
          <w:p w14:paraId="2E742787"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1.023</w:t>
            </w:r>
          </w:p>
        </w:tc>
        <w:tc>
          <w:tcPr>
            <w:tcW w:w="822" w:type="dxa"/>
            <w:tcBorders>
              <w:top w:val="nil"/>
              <w:left w:val="nil"/>
              <w:bottom w:val="nil"/>
              <w:right w:val="nil"/>
            </w:tcBorders>
            <w:shd w:val="clear" w:color="auto" w:fill="FFFFFF"/>
            <w:tcMar>
              <w:left w:w="67" w:type="dxa"/>
              <w:right w:w="67" w:type="dxa"/>
            </w:tcMar>
          </w:tcPr>
          <w:p w14:paraId="391D3F22"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0.59</w:t>
            </w:r>
          </w:p>
        </w:tc>
        <w:tc>
          <w:tcPr>
            <w:tcW w:w="822" w:type="dxa"/>
            <w:tcBorders>
              <w:top w:val="nil"/>
              <w:left w:val="nil"/>
              <w:bottom w:val="nil"/>
              <w:right w:val="nil"/>
            </w:tcBorders>
            <w:shd w:val="clear" w:color="auto" w:fill="FFFFFF"/>
            <w:tcMar>
              <w:left w:w="67" w:type="dxa"/>
              <w:right w:w="67" w:type="dxa"/>
            </w:tcMar>
          </w:tcPr>
          <w:p w14:paraId="320BD411"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1.774</w:t>
            </w:r>
          </w:p>
        </w:tc>
        <w:tc>
          <w:tcPr>
            <w:tcW w:w="822" w:type="dxa"/>
            <w:tcBorders>
              <w:top w:val="nil"/>
              <w:left w:val="nil"/>
              <w:bottom w:val="nil"/>
              <w:right w:val="nil"/>
            </w:tcBorders>
            <w:shd w:val="clear" w:color="auto" w:fill="FFFFFF"/>
            <w:tcMar>
              <w:left w:w="67" w:type="dxa"/>
              <w:right w:w="67" w:type="dxa"/>
            </w:tcMar>
          </w:tcPr>
          <w:p w14:paraId="0AD36C6B"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0.9343</w:t>
            </w:r>
          </w:p>
        </w:tc>
        <w:tc>
          <w:tcPr>
            <w:tcW w:w="823" w:type="dxa"/>
            <w:tcBorders>
              <w:top w:val="nil"/>
              <w:left w:val="nil"/>
              <w:bottom w:val="nil"/>
              <w:right w:val="single" w:sz="4" w:space="0" w:color="auto"/>
            </w:tcBorders>
            <w:shd w:val="clear" w:color="auto" w:fill="FFFFFF"/>
            <w:tcMar>
              <w:left w:w="67" w:type="dxa"/>
              <w:right w:w="67" w:type="dxa"/>
            </w:tcMar>
          </w:tcPr>
          <w:p w14:paraId="6BF2E8FC"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558</w:t>
            </w:r>
          </w:p>
        </w:tc>
      </w:tr>
      <w:tr w:rsidR="00E07CDE" w:rsidRPr="00563AD3" w14:paraId="017736F8" w14:textId="77777777" w:rsidTr="00C163F3">
        <w:trPr>
          <w:cantSplit/>
          <w:jc w:val="center"/>
        </w:trPr>
        <w:tc>
          <w:tcPr>
            <w:tcW w:w="3119" w:type="dxa"/>
            <w:vMerge/>
            <w:tcBorders>
              <w:left w:val="single" w:sz="4" w:space="0" w:color="auto"/>
              <w:bottom w:val="nil"/>
              <w:right w:val="nil"/>
            </w:tcBorders>
            <w:shd w:val="clear" w:color="auto" w:fill="FFFFFF"/>
            <w:tcMar>
              <w:left w:w="67" w:type="dxa"/>
              <w:right w:w="67" w:type="dxa"/>
            </w:tcMar>
          </w:tcPr>
          <w:p w14:paraId="31F7743E" w14:textId="77777777" w:rsidR="00E07CDE" w:rsidRPr="00563AD3" w:rsidRDefault="00E07CDE" w:rsidP="006C0B32">
            <w:pPr>
              <w:spacing w:before="67" w:after="67" w:line="240" w:lineRule="auto"/>
              <w:rPr>
                <w:rFonts w:eastAsia="Times New Roman"/>
                <w:color w:val="000000"/>
                <w:sz w:val="20"/>
                <w:szCs w:val="20"/>
              </w:rPr>
            </w:pPr>
          </w:p>
        </w:tc>
        <w:tc>
          <w:tcPr>
            <w:tcW w:w="4541" w:type="dxa"/>
            <w:tcBorders>
              <w:top w:val="nil"/>
              <w:left w:val="nil"/>
              <w:bottom w:val="nil"/>
              <w:right w:val="nil"/>
            </w:tcBorders>
            <w:shd w:val="clear" w:color="auto" w:fill="FFFFFF"/>
          </w:tcPr>
          <w:p w14:paraId="7D3343A3"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Missing data imputed assuming MAR</w:t>
            </w:r>
          </w:p>
        </w:tc>
        <w:tc>
          <w:tcPr>
            <w:tcW w:w="822" w:type="dxa"/>
            <w:tcBorders>
              <w:top w:val="nil"/>
              <w:left w:val="nil"/>
              <w:bottom w:val="nil"/>
              <w:right w:val="nil"/>
            </w:tcBorders>
            <w:shd w:val="clear" w:color="auto" w:fill="FFFFFF"/>
            <w:tcMar>
              <w:left w:w="67" w:type="dxa"/>
              <w:right w:w="67" w:type="dxa"/>
            </w:tcMar>
          </w:tcPr>
          <w:p w14:paraId="32B6D19B"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1.011</w:t>
            </w:r>
          </w:p>
        </w:tc>
        <w:tc>
          <w:tcPr>
            <w:tcW w:w="822" w:type="dxa"/>
            <w:tcBorders>
              <w:top w:val="nil"/>
              <w:left w:val="nil"/>
              <w:bottom w:val="nil"/>
              <w:right w:val="nil"/>
            </w:tcBorders>
            <w:shd w:val="clear" w:color="auto" w:fill="FFFFFF"/>
            <w:tcMar>
              <w:left w:w="67" w:type="dxa"/>
              <w:right w:w="67" w:type="dxa"/>
            </w:tcMar>
          </w:tcPr>
          <w:p w14:paraId="2A93F7DC"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0.617</w:t>
            </w:r>
          </w:p>
        </w:tc>
        <w:tc>
          <w:tcPr>
            <w:tcW w:w="822" w:type="dxa"/>
            <w:tcBorders>
              <w:top w:val="nil"/>
              <w:left w:val="nil"/>
              <w:bottom w:val="nil"/>
              <w:right w:val="nil"/>
            </w:tcBorders>
            <w:shd w:val="clear" w:color="auto" w:fill="FFFFFF"/>
            <w:tcMar>
              <w:left w:w="67" w:type="dxa"/>
              <w:right w:w="67" w:type="dxa"/>
            </w:tcMar>
          </w:tcPr>
          <w:p w14:paraId="09987084"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1.656</w:t>
            </w:r>
          </w:p>
        </w:tc>
        <w:tc>
          <w:tcPr>
            <w:tcW w:w="822" w:type="dxa"/>
            <w:tcBorders>
              <w:top w:val="nil"/>
              <w:left w:val="nil"/>
              <w:bottom w:val="nil"/>
              <w:right w:val="nil"/>
            </w:tcBorders>
            <w:shd w:val="clear" w:color="auto" w:fill="FFFFFF"/>
            <w:tcMar>
              <w:left w:w="67" w:type="dxa"/>
              <w:right w:w="67" w:type="dxa"/>
            </w:tcMar>
          </w:tcPr>
          <w:p w14:paraId="38213745"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0.9668</w:t>
            </w:r>
          </w:p>
        </w:tc>
        <w:tc>
          <w:tcPr>
            <w:tcW w:w="823" w:type="dxa"/>
            <w:tcBorders>
              <w:top w:val="nil"/>
              <w:left w:val="nil"/>
              <w:bottom w:val="nil"/>
              <w:right w:val="single" w:sz="4" w:space="0" w:color="auto"/>
            </w:tcBorders>
            <w:shd w:val="clear" w:color="auto" w:fill="FFFFFF"/>
            <w:tcMar>
              <w:left w:w="67" w:type="dxa"/>
              <w:right w:w="67" w:type="dxa"/>
            </w:tcMar>
          </w:tcPr>
          <w:p w14:paraId="6D521832"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726</w:t>
            </w:r>
          </w:p>
        </w:tc>
      </w:tr>
      <w:tr w:rsidR="00E07CDE" w:rsidRPr="00563AD3" w14:paraId="7ECD918C" w14:textId="77777777" w:rsidTr="00C163F3">
        <w:trPr>
          <w:cantSplit/>
          <w:jc w:val="center"/>
        </w:trPr>
        <w:tc>
          <w:tcPr>
            <w:tcW w:w="3119" w:type="dxa"/>
            <w:vMerge w:val="restart"/>
            <w:tcBorders>
              <w:top w:val="nil"/>
              <w:left w:val="single" w:sz="4" w:space="0" w:color="auto"/>
              <w:right w:val="nil"/>
            </w:tcBorders>
            <w:shd w:val="clear" w:color="auto" w:fill="FFFFFF"/>
            <w:tcMar>
              <w:left w:w="67" w:type="dxa"/>
              <w:right w:w="67" w:type="dxa"/>
            </w:tcMar>
          </w:tcPr>
          <w:p w14:paraId="558484DC" w14:textId="77777777" w:rsidR="00E07CDE" w:rsidRPr="00563AD3" w:rsidRDefault="00E07CDE" w:rsidP="006C0B32">
            <w:pPr>
              <w:keepNext/>
              <w:spacing w:before="67" w:after="67" w:line="240" w:lineRule="auto"/>
              <w:rPr>
                <w:rFonts w:eastAsia="Times New Roman"/>
                <w:color w:val="000000"/>
                <w:sz w:val="20"/>
                <w:szCs w:val="20"/>
              </w:rPr>
            </w:pPr>
            <w:r w:rsidRPr="00563AD3">
              <w:rPr>
                <w:rFonts w:eastAsia="Times New Roman"/>
                <w:color w:val="000000"/>
                <w:sz w:val="20"/>
                <w:szCs w:val="20"/>
              </w:rPr>
              <w:t>Apathy/indifference</w:t>
            </w:r>
          </w:p>
          <w:p w14:paraId="57E9D1AD" w14:textId="77777777" w:rsidR="00E07CDE" w:rsidRPr="00563AD3" w:rsidRDefault="00E07CDE" w:rsidP="006C0B32">
            <w:pPr>
              <w:spacing w:before="67" w:after="67" w:line="240" w:lineRule="auto"/>
              <w:rPr>
                <w:rFonts w:eastAsia="Times New Roman"/>
                <w:color w:val="000000"/>
                <w:sz w:val="20"/>
                <w:szCs w:val="20"/>
              </w:rPr>
            </w:pPr>
          </w:p>
        </w:tc>
        <w:tc>
          <w:tcPr>
            <w:tcW w:w="4541" w:type="dxa"/>
            <w:tcBorders>
              <w:top w:val="nil"/>
              <w:left w:val="nil"/>
              <w:bottom w:val="nil"/>
              <w:right w:val="nil"/>
            </w:tcBorders>
            <w:shd w:val="clear" w:color="auto" w:fill="FFFFFF"/>
          </w:tcPr>
          <w:p w14:paraId="401DB26A" w14:textId="77777777" w:rsidR="00E07CDE" w:rsidRPr="00563AD3" w:rsidRDefault="00E07CDE" w:rsidP="006C0B32">
            <w:pPr>
              <w:keepNext/>
              <w:tabs>
                <w:tab w:val="left" w:pos="427"/>
              </w:tabs>
              <w:spacing w:before="67" w:after="67" w:line="240" w:lineRule="auto"/>
              <w:rPr>
                <w:rFonts w:eastAsia="Times New Roman"/>
                <w:color w:val="000000"/>
                <w:sz w:val="20"/>
                <w:szCs w:val="20"/>
              </w:rPr>
            </w:pPr>
            <w:r w:rsidRPr="00563AD3">
              <w:rPr>
                <w:rFonts w:eastAsia="Times New Roman"/>
                <w:color w:val="000000"/>
                <w:sz w:val="20"/>
                <w:szCs w:val="20"/>
              </w:rPr>
              <w:t>Complete cases only</w:t>
            </w:r>
          </w:p>
        </w:tc>
        <w:tc>
          <w:tcPr>
            <w:tcW w:w="822" w:type="dxa"/>
            <w:tcBorders>
              <w:top w:val="nil"/>
              <w:left w:val="nil"/>
              <w:bottom w:val="nil"/>
              <w:right w:val="nil"/>
            </w:tcBorders>
            <w:shd w:val="clear" w:color="auto" w:fill="FFFFFF"/>
            <w:tcMar>
              <w:left w:w="67" w:type="dxa"/>
              <w:right w:w="67" w:type="dxa"/>
            </w:tcMar>
          </w:tcPr>
          <w:p w14:paraId="4E525ACF" w14:textId="77777777" w:rsidR="00E07CDE" w:rsidRPr="00563AD3" w:rsidRDefault="00E07CDE" w:rsidP="006C0B32">
            <w:pPr>
              <w:keepNext/>
              <w:spacing w:before="67" w:after="67" w:line="240" w:lineRule="auto"/>
              <w:jc w:val="right"/>
              <w:rPr>
                <w:rFonts w:eastAsia="Times New Roman"/>
                <w:color w:val="000000"/>
                <w:sz w:val="20"/>
                <w:szCs w:val="20"/>
              </w:rPr>
            </w:pPr>
            <w:r w:rsidRPr="00563AD3">
              <w:rPr>
                <w:rFonts w:eastAsia="Times New Roman"/>
                <w:color w:val="000000"/>
                <w:sz w:val="20"/>
                <w:szCs w:val="20"/>
              </w:rPr>
              <w:t>1.319</w:t>
            </w:r>
          </w:p>
        </w:tc>
        <w:tc>
          <w:tcPr>
            <w:tcW w:w="822" w:type="dxa"/>
            <w:tcBorders>
              <w:top w:val="nil"/>
              <w:left w:val="nil"/>
              <w:bottom w:val="nil"/>
              <w:right w:val="nil"/>
            </w:tcBorders>
            <w:shd w:val="clear" w:color="auto" w:fill="FFFFFF"/>
            <w:tcMar>
              <w:left w:w="67" w:type="dxa"/>
              <w:right w:w="67" w:type="dxa"/>
            </w:tcMar>
          </w:tcPr>
          <w:p w14:paraId="487289EB" w14:textId="77777777" w:rsidR="00E07CDE" w:rsidRPr="00563AD3" w:rsidRDefault="00E07CDE" w:rsidP="006C0B32">
            <w:pPr>
              <w:keepNext/>
              <w:spacing w:before="67" w:after="67" w:line="240" w:lineRule="auto"/>
              <w:jc w:val="right"/>
              <w:rPr>
                <w:rFonts w:eastAsia="Times New Roman"/>
                <w:color w:val="000000"/>
                <w:sz w:val="20"/>
                <w:szCs w:val="20"/>
              </w:rPr>
            </w:pPr>
            <w:r w:rsidRPr="00563AD3">
              <w:rPr>
                <w:rFonts w:eastAsia="Times New Roman"/>
                <w:color w:val="000000"/>
                <w:sz w:val="20"/>
                <w:szCs w:val="20"/>
              </w:rPr>
              <w:t>0.79</w:t>
            </w:r>
          </w:p>
        </w:tc>
        <w:tc>
          <w:tcPr>
            <w:tcW w:w="822" w:type="dxa"/>
            <w:tcBorders>
              <w:top w:val="nil"/>
              <w:left w:val="nil"/>
              <w:bottom w:val="nil"/>
              <w:right w:val="nil"/>
            </w:tcBorders>
            <w:shd w:val="clear" w:color="auto" w:fill="FFFFFF"/>
            <w:tcMar>
              <w:left w:w="67" w:type="dxa"/>
              <w:right w:w="67" w:type="dxa"/>
            </w:tcMar>
          </w:tcPr>
          <w:p w14:paraId="6D21EA97" w14:textId="77777777" w:rsidR="00E07CDE" w:rsidRPr="00563AD3" w:rsidRDefault="00E07CDE" w:rsidP="006C0B32">
            <w:pPr>
              <w:keepNext/>
              <w:spacing w:before="67" w:after="67" w:line="240" w:lineRule="auto"/>
              <w:jc w:val="right"/>
              <w:rPr>
                <w:rFonts w:eastAsia="Times New Roman"/>
                <w:color w:val="000000"/>
                <w:sz w:val="20"/>
                <w:szCs w:val="20"/>
              </w:rPr>
            </w:pPr>
            <w:r w:rsidRPr="00563AD3">
              <w:rPr>
                <w:rFonts w:eastAsia="Times New Roman"/>
                <w:color w:val="000000"/>
                <w:sz w:val="20"/>
                <w:szCs w:val="20"/>
              </w:rPr>
              <w:t>2.2</w:t>
            </w:r>
          </w:p>
        </w:tc>
        <w:tc>
          <w:tcPr>
            <w:tcW w:w="822" w:type="dxa"/>
            <w:tcBorders>
              <w:top w:val="nil"/>
              <w:left w:val="nil"/>
              <w:bottom w:val="nil"/>
              <w:right w:val="nil"/>
            </w:tcBorders>
            <w:shd w:val="clear" w:color="auto" w:fill="FFFFFF"/>
            <w:tcMar>
              <w:left w:w="67" w:type="dxa"/>
              <w:right w:w="67" w:type="dxa"/>
            </w:tcMar>
          </w:tcPr>
          <w:p w14:paraId="4931841D" w14:textId="77777777" w:rsidR="00E07CDE" w:rsidRPr="00563AD3" w:rsidRDefault="00E07CDE" w:rsidP="006C0B32">
            <w:pPr>
              <w:keepNext/>
              <w:spacing w:before="67" w:after="67" w:line="240" w:lineRule="auto"/>
              <w:jc w:val="right"/>
              <w:rPr>
                <w:rFonts w:eastAsia="Times New Roman"/>
                <w:color w:val="000000"/>
                <w:sz w:val="20"/>
                <w:szCs w:val="20"/>
              </w:rPr>
            </w:pPr>
            <w:r w:rsidRPr="00563AD3">
              <w:rPr>
                <w:rFonts w:eastAsia="Times New Roman"/>
                <w:color w:val="000000"/>
                <w:sz w:val="20"/>
                <w:szCs w:val="20"/>
              </w:rPr>
              <w:t>0.2897</w:t>
            </w:r>
          </w:p>
        </w:tc>
        <w:tc>
          <w:tcPr>
            <w:tcW w:w="823" w:type="dxa"/>
            <w:tcBorders>
              <w:top w:val="nil"/>
              <w:left w:val="nil"/>
              <w:bottom w:val="nil"/>
              <w:right w:val="single" w:sz="4" w:space="0" w:color="auto"/>
            </w:tcBorders>
            <w:shd w:val="clear" w:color="auto" w:fill="FFFFFF"/>
            <w:tcMar>
              <w:left w:w="67" w:type="dxa"/>
              <w:right w:w="67" w:type="dxa"/>
            </w:tcMar>
          </w:tcPr>
          <w:p w14:paraId="0BA61DB0" w14:textId="77777777" w:rsidR="00E07CDE" w:rsidRPr="00563AD3" w:rsidRDefault="00E07CDE" w:rsidP="006C0B32">
            <w:pPr>
              <w:keepNext/>
              <w:spacing w:before="67" w:after="67" w:line="240" w:lineRule="auto"/>
              <w:jc w:val="right"/>
              <w:rPr>
                <w:rFonts w:eastAsia="Times New Roman"/>
                <w:color w:val="000000"/>
                <w:sz w:val="20"/>
                <w:szCs w:val="20"/>
              </w:rPr>
            </w:pPr>
            <w:r w:rsidRPr="00563AD3">
              <w:rPr>
                <w:rFonts w:eastAsia="Times New Roman"/>
                <w:color w:val="000000"/>
                <w:sz w:val="20"/>
                <w:szCs w:val="20"/>
              </w:rPr>
              <w:t>559</w:t>
            </w:r>
          </w:p>
        </w:tc>
      </w:tr>
      <w:tr w:rsidR="00E07CDE" w:rsidRPr="00563AD3" w14:paraId="0DD8B9FD" w14:textId="77777777" w:rsidTr="00C163F3">
        <w:trPr>
          <w:cantSplit/>
          <w:jc w:val="center"/>
        </w:trPr>
        <w:tc>
          <w:tcPr>
            <w:tcW w:w="3119" w:type="dxa"/>
            <w:vMerge/>
            <w:tcBorders>
              <w:left w:val="single" w:sz="4" w:space="0" w:color="auto"/>
              <w:bottom w:val="single" w:sz="4" w:space="0" w:color="auto"/>
              <w:right w:val="nil"/>
            </w:tcBorders>
            <w:shd w:val="clear" w:color="auto" w:fill="FFFFFF"/>
            <w:tcMar>
              <w:left w:w="67" w:type="dxa"/>
              <w:right w:w="67" w:type="dxa"/>
            </w:tcMar>
          </w:tcPr>
          <w:p w14:paraId="2F5592EF" w14:textId="77777777" w:rsidR="00E07CDE" w:rsidRPr="00563AD3" w:rsidRDefault="00E07CDE" w:rsidP="006C0B32">
            <w:pPr>
              <w:spacing w:before="67" w:after="67" w:line="240" w:lineRule="auto"/>
              <w:rPr>
                <w:rFonts w:eastAsia="Times New Roman"/>
                <w:color w:val="000000"/>
                <w:sz w:val="20"/>
                <w:szCs w:val="20"/>
              </w:rPr>
            </w:pPr>
          </w:p>
        </w:tc>
        <w:tc>
          <w:tcPr>
            <w:tcW w:w="4541" w:type="dxa"/>
            <w:tcBorders>
              <w:top w:val="nil"/>
              <w:left w:val="nil"/>
              <w:bottom w:val="single" w:sz="4" w:space="0" w:color="auto"/>
              <w:right w:val="nil"/>
            </w:tcBorders>
            <w:shd w:val="clear" w:color="auto" w:fill="FFFFFF"/>
          </w:tcPr>
          <w:p w14:paraId="00F2A409"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Missing data imputed assuming MAR</w:t>
            </w:r>
          </w:p>
        </w:tc>
        <w:tc>
          <w:tcPr>
            <w:tcW w:w="822" w:type="dxa"/>
            <w:tcBorders>
              <w:top w:val="nil"/>
              <w:left w:val="nil"/>
              <w:bottom w:val="single" w:sz="4" w:space="0" w:color="auto"/>
              <w:right w:val="nil"/>
            </w:tcBorders>
            <w:shd w:val="clear" w:color="auto" w:fill="FFFFFF"/>
            <w:tcMar>
              <w:left w:w="67" w:type="dxa"/>
              <w:right w:w="67" w:type="dxa"/>
            </w:tcMar>
          </w:tcPr>
          <w:p w14:paraId="778B8C23"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1.33</w:t>
            </w:r>
          </w:p>
        </w:tc>
        <w:tc>
          <w:tcPr>
            <w:tcW w:w="822" w:type="dxa"/>
            <w:tcBorders>
              <w:top w:val="nil"/>
              <w:left w:val="nil"/>
              <w:bottom w:val="single" w:sz="4" w:space="0" w:color="auto"/>
              <w:right w:val="nil"/>
            </w:tcBorders>
            <w:shd w:val="clear" w:color="auto" w:fill="FFFFFF"/>
            <w:tcMar>
              <w:left w:w="67" w:type="dxa"/>
              <w:right w:w="67" w:type="dxa"/>
            </w:tcMar>
          </w:tcPr>
          <w:p w14:paraId="3F8C14A0"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0.853</w:t>
            </w:r>
          </w:p>
        </w:tc>
        <w:tc>
          <w:tcPr>
            <w:tcW w:w="822" w:type="dxa"/>
            <w:tcBorders>
              <w:top w:val="nil"/>
              <w:left w:val="nil"/>
              <w:bottom w:val="single" w:sz="4" w:space="0" w:color="auto"/>
              <w:right w:val="nil"/>
            </w:tcBorders>
            <w:shd w:val="clear" w:color="auto" w:fill="FFFFFF"/>
            <w:tcMar>
              <w:left w:w="67" w:type="dxa"/>
              <w:right w:w="67" w:type="dxa"/>
            </w:tcMar>
          </w:tcPr>
          <w:p w14:paraId="7C001184"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2.073</w:t>
            </w:r>
          </w:p>
        </w:tc>
        <w:tc>
          <w:tcPr>
            <w:tcW w:w="822" w:type="dxa"/>
            <w:tcBorders>
              <w:top w:val="nil"/>
              <w:left w:val="nil"/>
              <w:bottom w:val="single" w:sz="4" w:space="0" w:color="auto"/>
              <w:right w:val="nil"/>
            </w:tcBorders>
            <w:shd w:val="clear" w:color="auto" w:fill="FFFFFF"/>
            <w:tcMar>
              <w:left w:w="67" w:type="dxa"/>
              <w:right w:w="67" w:type="dxa"/>
            </w:tcMar>
          </w:tcPr>
          <w:p w14:paraId="29ACFB87"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0.2075</w:t>
            </w:r>
          </w:p>
        </w:tc>
        <w:tc>
          <w:tcPr>
            <w:tcW w:w="823" w:type="dxa"/>
            <w:tcBorders>
              <w:top w:val="nil"/>
              <w:left w:val="nil"/>
              <w:bottom w:val="single" w:sz="4" w:space="0" w:color="auto"/>
              <w:right w:val="single" w:sz="4" w:space="0" w:color="auto"/>
            </w:tcBorders>
            <w:shd w:val="clear" w:color="auto" w:fill="FFFFFF"/>
            <w:tcMar>
              <w:left w:w="67" w:type="dxa"/>
              <w:right w:w="67" w:type="dxa"/>
            </w:tcMar>
          </w:tcPr>
          <w:p w14:paraId="6C3A2635"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726</w:t>
            </w:r>
          </w:p>
        </w:tc>
      </w:tr>
    </w:tbl>
    <w:p w14:paraId="4E63E6C4" w14:textId="77777777" w:rsidR="00E07CDE" w:rsidRPr="00563AD3" w:rsidRDefault="00E07CDE" w:rsidP="009B13F3">
      <w:pPr>
        <w:autoSpaceDE/>
        <w:autoSpaceDN/>
        <w:adjustRightInd/>
        <w:spacing w:before="120" w:after="0"/>
        <w:rPr>
          <w:rFonts w:eastAsia="Calibri"/>
          <w:sz w:val="24"/>
          <w:szCs w:val="24"/>
          <w:lang w:eastAsia="en-US"/>
        </w:rPr>
      </w:pPr>
    </w:p>
    <w:p w14:paraId="5AF59D04" w14:textId="77777777" w:rsidR="006C0B32" w:rsidRDefault="006C0B32">
      <w:pPr>
        <w:autoSpaceDE/>
        <w:autoSpaceDN/>
        <w:adjustRightInd/>
        <w:spacing w:line="259" w:lineRule="auto"/>
        <w:rPr>
          <w:rFonts w:eastAsia="Calibri"/>
          <w:b/>
          <w:lang w:eastAsia="en-US"/>
        </w:rPr>
      </w:pPr>
      <w:bookmarkStart w:id="335" w:name="_Toc500102594"/>
      <w:bookmarkStart w:id="336" w:name="_Toc500935028"/>
      <w:r>
        <w:rPr>
          <w:rFonts w:eastAsia="Calibri"/>
          <w:lang w:eastAsia="en-US"/>
        </w:rPr>
        <w:br w:type="page"/>
      </w:r>
    </w:p>
    <w:p w14:paraId="6998CE75" w14:textId="3FBBE447" w:rsidR="00E07CDE" w:rsidRPr="00563AD3" w:rsidRDefault="00E07CDE" w:rsidP="006C0B32">
      <w:pPr>
        <w:pStyle w:val="Tableheading"/>
        <w:rPr>
          <w:rFonts w:eastAsia="Calibri"/>
          <w:lang w:eastAsia="en-US"/>
        </w:rPr>
      </w:pPr>
      <w:bookmarkStart w:id="337" w:name="_Toc948251"/>
      <w:r w:rsidRPr="00563AD3">
        <w:rPr>
          <w:rFonts w:eastAsia="Calibri"/>
          <w:lang w:eastAsia="en-US"/>
        </w:rPr>
        <w:t xml:space="preserve">Table </w:t>
      </w:r>
      <w:r w:rsidR="005B29F6">
        <w:rPr>
          <w:rFonts w:eastAsia="Calibri"/>
          <w:lang w:eastAsia="en-US"/>
        </w:rPr>
        <w:t>54</w:t>
      </w:r>
      <w:r w:rsidR="005B29F6" w:rsidRPr="00563AD3">
        <w:rPr>
          <w:rFonts w:eastAsia="Calibri"/>
          <w:lang w:eastAsia="en-US"/>
        </w:rPr>
        <w:t xml:space="preserve"> </w:t>
      </w:r>
      <w:r w:rsidRPr="00563AD3">
        <w:rPr>
          <w:rFonts w:eastAsia="Calibri"/>
          <w:lang w:eastAsia="en-US"/>
        </w:rPr>
        <w:t>Behaviours staff find challenging, medications and mo</w:t>
      </w:r>
      <w:r w:rsidR="000D3E11">
        <w:rPr>
          <w:rFonts w:eastAsia="Calibri"/>
          <w:lang w:eastAsia="en-US"/>
        </w:rPr>
        <w:t>od (based on NPI domains) at 16-</w:t>
      </w:r>
      <w:r w:rsidRPr="00563AD3">
        <w:rPr>
          <w:rFonts w:eastAsia="Calibri"/>
          <w:lang w:eastAsia="en-US"/>
        </w:rPr>
        <w:t>months</w:t>
      </w:r>
      <w:bookmarkEnd w:id="335"/>
      <w:bookmarkEnd w:id="336"/>
      <w:bookmarkEnd w:id="337"/>
    </w:p>
    <w:tbl>
      <w:tblPr>
        <w:tblW w:w="0" w:type="auto"/>
        <w:jc w:val="center"/>
        <w:tblLayout w:type="fixed"/>
        <w:tblCellMar>
          <w:left w:w="0" w:type="dxa"/>
          <w:right w:w="0" w:type="dxa"/>
        </w:tblCellMar>
        <w:tblLook w:val="0000" w:firstRow="0" w:lastRow="0" w:firstColumn="0" w:lastColumn="0" w:noHBand="0" w:noVBand="0"/>
      </w:tblPr>
      <w:tblGrid>
        <w:gridCol w:w="2972"/>
        <w:gridCol w:w="4253"/>
        <w:gridCol w:w="236"/>
        <w:gridCol w:w="756"/>
        <w:gridCol w:w="134"/>
        <w:gridCol w:w="890"/>
        <w:gridCol w:w="38"/>
        <w:gridCol w:w="1064"/>
        <w:gridCol w:w="992"/>
        <w:gridCol w:w="577"/>
        <w:gridCol w:w="11"/>
      </w:tblGrid>
      <w:tr w:rsidR="00E07CDE" w:rsidRPr="00563AD3" w14:paraId="672BE6AF" w14:textId="77777777" w:rsidTr="00C163F3">
        <w:trPr>
          <w:cantSplit/>
          <w:tblHeader/>
          <w:jc w:val="center"/>
        </w:trPr>
        <w:tc>
          <w:tcPr>
            <w:tcW w:w="11923" w:type="dxa"/>
            <w:gridSpan w:val="11"/>
            <w:tcBorders>
              <w:top w:val="single" w:sz="4" w:space="0" w:color="auto"/>
              <w:left w:val="single" w:sz="4" w:space="0" w:color="auto"/>
              <w:right w:val="single" w:sz="4" w:space="0" w:color="auto"/>
            </w:tcBorders>
            <w:shd w:val="clear" w:color="auto" w:fill="FFFFFF"/>
          </w:tcPr>
          <w:p w14:paraId="263555DE" w14:textId="7A2AC804" w:rsidR="00E07CDE" w:rsidRPr="000D3E11" w:rsidRDefault="00E07CDE" w:rsidP="006C0B32">
            <w:pPr>
              <w:keepNext/>
              <w:tabs>
                <w:tab w:val="center" w:pos="5951"/>
                <w:tab w:val="right" w:pos="11902"/>
              </w:tabs>
              <w:spacing w:before="67" w:after="67" w:line="240" w:lineRule="auto"/>
              <w:rPr>
                <w:rFonts w:eastAsia="Times New Roman"/>
                <w:b/>
                <w:bCs/>
                <w:color w:val="000000"/>
                <w:sz w:val="16"/>
                <w:szCs w:val="16"/>
              </w:rPr>
            </w:pPr>
            <w:r w:rsidRPr="000D3E11">
              <w:rPr>
                <w:rFonts w:eastAsia="Times New Roman"/>
                <w:b/>
                <w:bCs/>
                <w:color w:val="000000"/>
                <w:sz w:val="16"/>
                <w:szCs w:val="16"/>
              </w:rPr>
              <w:tab/>
              <w:t>Closed cohort – behaviours staff find challenging, medications, mood at 16</w:t>
            </w:r>
            <w:r w:rsidR="000D3E11" w:rsidRPr="000D3E11">
              <w:rPr>
                <w:rFonts w:eastAsia="Times New Roman"/>
                <w:b/>
                <w:bCs/>
                <w:color w:val="000000"/>
                <w:sz w:val="16"/>
                <w:szCs w:val="16"/>
              </w:rPr>
              <w:t>-</w:t>
            </w:r>
            <w:r w:rsidRPr="000D3E11">
              <w:rPr>
                <w:rFonts w:eastAsia="Times New Roman"/>
                <w:b/>
                <w:bCs/>
                <w:color w:val="000000"/>
                <w:sz w:val="16"/>
                <w:szCs w:val="16"/>
              </w:rPr>
              <w:t>months</w:t>
            </w:r>
            <w:r w:rsidRPr="000D3E11">
              <w:rPr>
                <w:rFonts w:eastAsia="Times New Roman"/>
                <w:b/>
                <w:bCs/>
                <w:color w:val="000000"/>
                <w:sz w:val="16"/>
                <w:szCs w:val="16"/>
              </w:rPr>
              <w:tab/>
            </w:r>
          </w:p>
        </w:tc>
      </w:tr>
      <w:tr w:rsidR="00E07CDE" w:rsidRPr="00563AD3" w14:paraId="65A58AB2" w14:textId="77777777" w:rsidTr="000D3E11">
        <w:trPr>
          <w:cantSplit/>
          <w:tblHeader/>
          <w:jc w:val="center"/>
        </w:trPr>
        <w:tc>
          <w:tcPr>
            <w:tcW w:w="2972" w:type="dxa"/>
            <w:tcBorders>
              <w:left w:val="single" w:sz="4" w:space="0" w:color="auto"/>
              <w:bottom w:val="single" w:sz="4" w:space="0" w:color="000000"/>
              <w:right w:val="nil"/>
            </w:tcBorders>
            <w:shd w:val="clear" w:color="auto" w:fill="FFFFFF"/>
            <w:tcMar>
              <w:left w:w="67" w:type="dxa"/>
              <w:right w:w="67" w:type="dxa"/>
            </w:tcMar>
            <w:vAlign w:val="bottom"/>
          </w:tcPr>
          <w:p w14:paraId="1A3DBAE4" w14:textId="77777777" w:rsidR="00E07CDE" w:rsidRPr="000D3E11" w:rsidRDefault="00E07CDE" w:rsidP="006C0B32">
            <w:pPr>
              <w:keepNext/>
              <w:spacing w:before="67" w:after="67" w:line="240" w:lineRule="auto"/>
              <w:rPr>
                <w:rFonts w:eastAsia="Times New Roman"/>
                <w:b/>
                <w:bCs/>
                <w:color w:val="000000"/>
                <w:sz w:val="18"/>
                <w:szCs w:val="18"/>
              </w:rPr>
            </w:pPr>
          </w:p>
        </w:tc>
        <w:tc>
          <w:tcPr>
            <w:tcW w:w="4253" w:type="dxa"/>
            <w:tcBorders>
              <w:left w:val="nil"/>
              <w:bottom w:val="single" w:sz="4" w:space="0" w:color="000000"/>
              <w:right w:val="nil"/>
            </w:tcBorders>
            <w:shd w:val="clear" w:color="auto" w:fill="FFFFFF"/>
          </w:tcPr>
          <w:p w14:paraId="4D378535" w14:textId="77777777" w:rsidR="00E07CDE" w:rsidRPr="000D3E11" w:rsidRDefault="00E07CDE" w:rsidP="006C0B32">
            <w:pPr>
              <w:keepNext/>
              <w:spacing w:before="67" w:after="67" w:line="240" w:lineRule="auto"/>
              <w:rPr>
                <w:rFonts w:eastAsia="Times New Roman"/>
                <w:b/>
                <w:bCs/>
                <w:color w:val="000000"/>
                <w:sz w:val="16"/>
                <w:szCs w:val="16"/>
              </w:rPr>
            </w:pPr>
            <w:r w:rsidRPr="000D3E11">
              <w:rPr>
                <w:rFonts w:eastAsia="Times New Roman"/>
                <w:b/>
                <w:bCs/>
                <w:color w:val="000000"/>
                <w:sz w:val="16"/>
                <w:szCs w:val="16"/>
              </w:rPr>
              <w:t>Logistic regression models</w:t>
            </w:r>
          </w:p>
        </w:tc>
        <w:tc>
          <w:tcPr>
            <w:tcW w:w="992" w:type="dxa"/>
            <w:gridSpan w:val="2"/>
            <w:tcBorders>
              <w:left w:val="nil"/>
              <w:bottom w:val="single" w:sz="4" w:space="0" w:color="000000"/>
              <w:right w:val="nil"/>
            </w:tcBorders>
            <w:shd w:val="clear" w:color="auto" w:fill="FFFFFF"/>
            <w:tcMar>
              <w:left w:w="67" w:type="dxa"/>
              <w:right w:w="67" w:type="dxa"/>
            </w:tcMar>
            <w:vAlign w:val="bottom"/>
          </w:tcPr>
          <w:p w14:paraId="65FE2DED" w14:textId="77777777" w:rsidR="00E07CDE" w:rsidRPr="000D3E11" w:rsidRDefault="00E07CDE" w:rsidP="006C0B32">
            <w:pPr>
              <w:keepNext/>
              <w:spacing w:before="67" w:after="67" w:line="240" w:lineRule="auto"/>
              <w:jc w:val="center"/>
              <w:rPr>
                <w:rFonts w:eastAsia="Times New Roman"/>
                <w:b/>
                <w:bCs/>
                <w:color w:val="000000"/>
                <w:sz w:val="16"/>
                <w:szCs w:val="16"/>
              </w:rPr>
            </w:pPr>
            <w:r w:rsidRPr="000D3E11">
              <w:rPr>
                <w:rFonts w:eastAsia="Times New Roman"/>
                <w:b/>
                <w:bCs/>
                <w:color w:val="000000"/>
                <w:sz w:val="16"/>
                <w:szCs w:val="16"/>
              </w:rPr>
              <w:t>Treatment odds ratio (treated</w:t>
            </w:r>
            <w:r w:rsidRPr="000D3E11">
              <w:rPr>
                <w:rFonts w:eastAsia="Times New Roman"/>
                <w:b/>
                <w:bCs/>
                <w:color w:val="000000"/>
                <w:sz w:val="16"/>
                <w:szCs w:val="16"/>
              </w:rPr>
              <w:br/>
              <w:t>control)</w:t>
            </w:r>
          </w:p>
        </w:tc>
        <w:tc>
          <w:tcPr>
            <w:tcW w:w="1062" w:type="dxa"/>
            <w:gridSpan w:val="3"/>
            <w:tcBorders>
              <w:left w:val="nil"/>
              <w:bottom w:val="single" w:sz="4" w:space="0" w:color="000000"/>
              <w:right w:val="nil"/>
            </w:tcBorders>
            <w:shd w:val="clear" w:color="auto" w:fill="FFFFFF"/>
            <w:tcMar>
              <w:left w:w="67" w:type="dxa"/>
              <w:right w:w="67" w:type="dxa"/>
            </w:tcMar>
            <w:vAlign w:val="bottom"/>
          </w:tcPr>
          <w:p w14:paraId="6334B79C" w14:textId="77777777" w:rsidR="00E07CDE" w:rsidRPr="000D3E11" w:rsidRDefault="00E07CDE" w:rsidP="006C0B32">
            <w:pPr>
              <w:keepNext/>
              <w:spacing w:before="67" w:after="67" w:line="240" w:lineRule="auto"/>
              <w:jc w:val="center"/>
              <w:rPr>
                <w:rFonts w:eastAsia="Times New Roman"/>
                <w:b/>
                <w:bCs/>
                <w:color w:val="000000"/>
                <w:sz w:val="16"/>
                <w:szCs w:val="16"/>
              </w:rPr>
            </w:pPr>
            <w:r w:rsidRPr="000D3E11">
              <w:rPr>
                <w:rFonts w:eastAsia="Times New Roman"/>
                <w:b/>
                <w:bCs/>
                <w:color w:val="000000"/>
                <w:sz w:val="16"/>
                <w:szCs w:val="16"/>
              </w:rPr>
              <w:t>Lower 95% confidence limit</w:t>
            </w:r>
          </w:p>
        </w:tc>
        <w:tc>
          <w:tcPr>
            <w:tcW w:w="1064" w:type="dxa"/>
            <w:tcBorders>
              <w:left w:val="nil"/>
              <w:bottom w:val="single" w:sz="4" w:space="0" w:color="000000"/>
              <w:right w:val="nil"/>
            </w:tcBorders>
            <w:shd w:val="clear" w:color="auto" w:fill="FFFFFF"/>
            <w:tcMar>
              <w:left w:w="67" w:type="dxa"/>
              <w:right w:w="67" w:type="dxa"/>
            </w:tcMar>
            <w:vAlign w:val="bottom"/>
          </w:tcPr>
          <w:p w14:paraId="7874C5B1" w14:textId="77777777" w:rsidR="00E07CDE" w:rsidRPr="000D3E11" w:rsidRDefault="00E07CDE" w:rsidP="006C0B32">
            <w:pPr>
              <w:keepNext/>
              <w:spacing w:before="67" w:after="67" w:line="240" w:lineRule="auto"/>
              <w:jc w:val="center"/>
              <w:rPr>
                <w:rFonts w:eastAsia="Times New Roman"/>
                <w:b/>
                <w:bCs/>
                <w:color w:val="000000"/>
                <w:sz w:val="16"/>
                <w:szCs w:val="16"/>
              </w:rPr>
            </w:pPr>
            <w:r w:rsidRPr="000D3E11">
              <w:rPr>
                <w:rFonts w:eastAsia="Times New Roman"/>
                <w:b/>
                <w:bCs/>
                <w:color w:val="000000"/>
                <w:sz w:val="16"/>
                <w:szCs w:val="16"/>
              </w:rPr>
              <w:t>Upper 95% confidence limit</w:t>
            </w:r>
          </w:p>
        </w:tc>
        <w:tc>
          <w:tcPr>
            <w:tcW w:w="992" w:type="dxa"/>
            <w:tcBorders>
              <w:left w:val="nil"/>
              <w:bottom w:val="single" w:sz="4" w:space="0" w:color="000000"/>
              <w:right w:val="nil"/>
            </w:tcBorders>
            <w:shd w:val="clear" w:color="auto" w:fill="FFFFFF"/>
            <w:tcMar>
              <w:left w:w="67" w:type="dxa"/>
              <w:right w:w="67" w:type="dxa"/>
            </w:tcMar>
            <w:vAlign w:val="bottom"/>
          </w:tcPr>
          <w:p w14:paraId="32D11854" w14:textId="77777777" w:rsidR="00E07CDE" w:rsidRPr="000D3E11" w:rsidRDefault="00E07CDE" w:rsidP="006C0B32">
            <w:pPr>
              <w:keepNext/>
              <w:spacing w:before="67" w:after="67" w:line="240" w:lineRule="auto"/>
              <w:jc w:val="center"/>
              <w:rPr>
                <w:rFonts w:eastAsia="Times New Roman"/>
                <w:b/>
                <w:bCs/>
                <w:color w:val="000000"/>
                <w:sz w:val="16"/>
                <w:szCs w:val="16"/>
              </w:rPr>
            </w:pPr>
            <w:r w:rsidRPr="000D3E11">
              <w:rPr>
                <w:rFonts w:eastAsia="Times New Roman"/>
                <w:b/>
                <w:bCs/>
                <w:color w:val="000000"/>
                <w:sz w:val="16"/>
                <w:szCs w:val="16"/>
              </w:rPr>
              <w:t>p-value</w:t>
            </w:r>
          </w:p>
        </w:tc>
        <w:tc>
          <w:tcPr>
            <w:tcW w:w="588" w:type="dxa"/>
            <w:gridSpan w:val="2"/>
            <w:tcBorders>
              <w:left w:val="nil"/>
              <w:bottom w:val="single" w:sz="4" w:space="0" w:color="000000"/>
              <w:right w:val="single" w:sz="4" w:space="0" w:color="auto"/>
            </w:tcBorders>
            <w:shd w:val="clear" w:color="auto" w:fill="FFFFFF"/>
            <w:tcMar>
              <w:left w:w="67" w:type="dxa"/>
              <w:right w:w="67" w:type="dxa"/>
            </w:tcMar>
            <w:vAlign w:val="bottom"/>
          </w:tcPr>
          <w:p w14:paraId="1A9F2044" w14:textId="77777777" w:rsidR="00E07CDE" w:rsidRPr="000D3E11" w:rsidRDefault="00E07CDE" w:rsidP="006C0B32">
            <w:pPr>
              <w:keepNext/>
              <w:spacing w:before="67" w:after="67" w:line="240" w:lineRule="auto"/>
              <w:jc w:val="center"/>
              <w:rPr>
                <w:rFonts w:eastAsia="Times New Roman"/>
                <w:b/>
                <w:bCs/>
                <w:color w:val="000000"/>
                <w:sz w:val="16"/>
                <w:szCs w:val="16"/>
              </w:rPr>
            </w:pPr>
            <w:r w:rsidRPr="000D3E11">
              <w:rPr>
                <w:rFonts w:eastAsia="Times New Roman"/>
                <w:b/>
                <w:bCs/>
                <w:color w:val="000000"/>
                <w:sz w:val="16"/>
                <w:szCs w:val="16"/>
              </w:rPr>
              <w:t>N</w:t>
            </w:r>
          </w:p>
        </w:tc>
      </w:tr>
      <w:tr w:rsidR="00E07CDE" w:rsidRPr="00563AD3" w14:paraId="5497AC7F" w14:textId="77777777" w:rsidTr="000D3E11">
        <w:trPr>
          <w:gridAfter w:val="1"/>
          <w:wAfter w:w="11" w:type="dxa"/>
          <w:cantSplit/>
          <w:jc w:val="center"/>
        </w:trPr>
        <w:tc>
          <w:tcPr>
            <w:tcW w:w="2972" w:type="dxa"/>
            <w:vMerge w:val="restart"/>
            <w:tcBorders>
              <w:top w:val="nil"/>
              <w:left w:val="single" w:sz="4" w:space="0" w:color="auto"/>
              <w:right w:val="nil"/>
            </w:tcBorders>
            <w:shd w:val="clear" w:color="auto" w:fill="FFFFFF"/>
            <w:tcMar>
              <w:left w:w="67" w:type="dxa"/>
              <w:right w:w="67" w:type="dxa"/>
            </w:tcMar>
          </w:tcPr>
          <w:p w14:paraId="1AC6BF22"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 xml:space="preserve">Behaviours staff find challenging </w:t>
            </w:r>
          </w:p>
          <w:p w14:paraId="559F477A" w14:textId="77777777" w:rsidR="00E07CDE" w:rsidRPr="00563AD3" w:rsidRDefault="00E07CDE" w:rsidP="006C0B32">
            <w:pPr>
              <w:spacing w:before="67" w:after="67" w:line="240" w:lineRule="auto"/>
              <w:rPr>
                <w:rFonts w:eastAsia="Times New Roman"/>
                <w:color w:val="000000"/>
                <w:sz w:val="20"/>
                <w:szCs w:val="20"/>
              </w:rPr>
            </w:pPr>
          </w:p>
        </w:tc>
        <w:tc>
          <w:tcPr>
            <w:tcW w:w="4489" w:type="dxa"/>
            <w:gridSpan w:val="2"/>
            <w:tcBorders>
              <w:top w:val="nil"/>
              <w:left w:val="nil"/>
              <w:bottom w:val="nil"/>
              <w:right w:val="nil"/>
            </w:tcBorders>
            <w:shd w:val="clear" w:color="auto" w:fill="FFFFFF"/>
          </w:tcPr>
          <w:p w14:paraId="5A860223" w14:textId="77777777" w:rsidR="00E07CDE" w:rsidRPr="00563AD3" w:rsidRDefault="00E07CDE" w:rsidP="006C0B32">
            <w:pPr>
              <w:tabs>
                <w:tab w:val="left" w:pos="507"/>
                <w:tab w:val="left" w:pos="2844"/>
              </w:tabs>
              <w:spacing w:before="67" w:after="67" w:line="240" w:lineRule="auto"/>
              <w:rPr>
                <w:rFonts w:eastAsia="Times New Roman"/>
                <w:color w:val="000000"/>
                <w:sz w:val="20"/>
                <w:szCs w:val="20"/>
              </w:rPr>
            </w:pPr>
            <w:r w:rsidRPr="00563AD3">
              <w:rPr>
                <w:rFonts w:eastAsia="Times New Roman"/>
                <w:color w:val="000000"/>
                <w:sz w:val="20"/>
                <w:szCs w:val="20"/>
              </w:rPr>
              <w:t>Complete cases only</w:t>
            </w:r>
            <w:r w:rsidRPr="00563AD3">
              <w:rPr>
                <w:rFonts w:eastAsia="Times New Roman"/>
                <w:color w:val="000000"/>
                <w:sz w:val="20"/>
                <w:szCs w:val="20"/>
              </w:rPr>
              <w:tab/>
            </w:r>
          </w:p>
        </w:tc>
        <w:tc>
          <w:tcPr>
            <w:tcW w:w="890" w:type="dxa"/>
            <w:gridSpan w:val="2"/>
            <w:tcBorders>
              <w:top w:val="nil"/>
              <w:left w:val="nil"/>
              <w:bottom w:val="nil"/>
              <w:right w:val="nil"/>
            </w:tcBorders>
            <w:shd w:val="clear" w:color="auto" w:fill="FFFFFF"/>
            <w:tcMar>
              <w:left w:w="67" w:type="dxa"/>
              <w:right w:w="67" w:type="dxa"/>
            </w:tcMar>
          </w:tcPr>
          <w:p w14:paraId="620CEB5A"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0.605</w:t>
            </w:r>
          </w:p>
        </w:tc>
        <w:tc>
          <w:tcPr>
            <w:tcW w:w="890" w:type="dxa"/>
            <w:tcBorders>
              <w:top w:val="nil"/>
              <w:left w:val="nil"/>
              <w:bottom w:val="nil"/>
              <w:right w:val="nil"/>
            </w:tcBorders>
            <w:shd w:val="clear" w:color="auto" w:fill="FFFFFF"/>
            <w:tcMar>
              <w:left w:w="67" w:type="dxa"/>
              <w:right w:w="67" w:type="dxa"/>
            </w:tcMar>
          </w:tcPr>
          <w:p w14:paraId="24ADD874"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0.339</w:t>
            </w:r>
          </w:p>
        </w:tc>
        <w:tc>
          <w:tcPr>
            <w:tcW w:w="1102" w:type="dxa"/>
            <w:gridSpan w:val="2"/>
            <w:tcBorders>
              <w:top w:val="nil"/>
              <w:left w:val="nil"/>
              <w:bottom w:val="nil"/>
              <w:right w:val="nil"/>
            </w:tcBorders>
            <w:shd w:val="clear" w:color="auto" w:fill="FFFFFF"/>
            <w:tcMar>
              <w:left w:w="67" w:type="dxa"/>
              <w:right w:w="67" w:type="dxa"/>
            </w:tcMar>
          </w:tcPr>
          <w:p w14:paraId="3C559E2D"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1.079</w:t>
            </w:r>
          </w:p>
        </w:tc>
        <w:tc>
          <w:tcPr>
            <w:tcW w:w="992" w:type="dxa"/>
            <w:tcBorders>
              <w:top w:val="nil"/>
              <w:left w:val="nil"/>
              <w:bottom w:val="nil"/>
              <w:right w:val="nil"/>
            </w:tcBorders>
            <w:shd w:val="clear" w:color="auto" w:fill="FFFFFF"/>
            <w:tcMar>
              <w:left w:w="67" w:type="dxa"/>
              <w:right w:w="67" w:type="dxa"/>
            </w:tcMar>
          </w:tcPr>
          <w:p w14:paraId="3BA1FB7D"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0.0886</w:t>
            </w:r>
          </w:p>
        </w:tc>
        <w:tc>
          <w:tcPr>
            <w:tcW w:w="577" w:type="dxa"/>
            <w:tcBorders>
              <w:top w:val="nil"/>
              <w:left w:val="nil"/>
              <w:bottom w:val="nil"/>
              <w:right w:val="single" w:sz="4" w:space="0" w:color="auto"/>
            </w:tcBorders>
            <w:shd w:val="clear" w:color="auto" w:fill="FFFFFF"/>
            <w:tcMar>
              <w:left w:w="67" w:type="dxa"/>
              <w:right w:w="67" w:type="dxa"/>
            </w:tcMar>
          </w:tcPr>
          <w:p w14:paraId="5039CDC4"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403</w:t>
            </w:r>
          </w:p>
        </w:tc>
      </w:tr>
      <w:tr w:rsidR="00E07CDE" w:rsidRPr="00563AD3" w14:paraId="5CE826E9" w14:textId="77777777" w:rsidTr="000D3E11">
        <w:trPr>
          <w:gridAfter w:val="1"/>
          <w:wAfter w:w="11" w:type="dxa"/>
          <w:cantSplit/>
          <w:jc w:val="center"/>
        </w:trPr>
        <w:tc>
          <w:tcPr>
            <w:tcW w:w="2972" w:type="dxa"/>
            <w:vMerge/>
            <w:tcBorders>
              <w:left w:val="single" w:sz="4" w:space="0" w:color="auto"/>
              <w:right w:val="nil"/>
            </w:tcBorders>
            <w:shd w:val="clear" w:color="auto" w:fill="FFFFFF"/>
            <w:tcMar>
              <w:left w:w="67" w:type="dxa"/>
              <w:right w:w="67" w:type="dxa"/>
            </w:tcMar>
          </w:tcPr>
          <w:p w14:paraId="59C16B3D" w14:textId="77777777" w:rsidR="00E07CDE" w:rsidRPr="00563AD3" w:rsidRDefault="00E07CDE" w:rsidP="006C0B32">
            <w:pPr>
              <w:spacing w:before="67" w:after="67" w:line="240" w:lineRule="auto"/>
              <w:rPr>
                <w:rFonts w:eastAsia="Times New Roman"/>
                <w:color w:val="000000"/>
                <w:sz w:val="20"/>
                <w:szCs w:val="20"/>
              </w:rPr>
            </w:pPr>
          </w:p>
        </w:tc>
        <w:tc>
          <w:tcPr>
            <w:tcW w:w="4489" w:type="dxa"/>
            <w:gridSpan w:val="2"/>
            <w:tcBorders>
              <w:top w:val="nil"/>
              <w:left w:val="nil"/>
              <w:bottom w:val="nil"/>
              <w:right w:val="nil"/>
            </w:tcBorders>
            <w:shd w:val="clear" w:color="auto" w:fill="FFFFFF"/>
          </w:tcPr>
          <w:p w14:paraId="6C3BDA99"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Missing data imputed assuming MAR</w:t>
            </w:r>
          </w:p>
        </w:tc>
        <w:tc>
          <w:tcPr>
            <w:tcW w:w="890" w:type="dxa"/>
            <w:gridSpan w:val="2"/>
            <w:tcBorders>
              <w:top w:val="nil"/>
              <w:left w:val="nil"/>
              <w:bottom w:val="nil"/>
              <w:right w:val="nil"/>
            </w:tcBorders>
            <w:shd w:val="clear" w:color="auto" w:fill="FFFFFF"/>
            <w:tcMar>
              <w:left w:w="67" w:type="dxa"/>
              <w:right w:w="67" w:type="dxa"/>
            </w:tcMar>
          </w:tcPr>
          <w:p w14:paraId="4F3E1ECF"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0.57</w:t>
            </w:r>
          </w:p>
        </w:tc>
        <w:tc>
          <w:tcPr>
            <w:tcW w:w="890" w:type="dxa"/>
            <w:tcBorders>
              <w:top w:val="nil"/>
              <w:left w:val="nil"/>
              <w:bottom w:val="nil"/>
              <w:right w:val="nil"/>
            </w:tcBorders>
            <w:shd w:val="clear" w:color="auto" w:fill="FFFFFF"/>
            <w:tcMar>
              <w:left w:w="67" w:type="dxa"/>
              <w:right w:w="67" w:type="dxa"/>
            </w:tcMar>
          </w:tcPr>
          <w:p w14:paraId="1D30D586"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0.343</w:t>
            </w:r>
          </w:p>
        </w:tc>
        <w:tc>
          <w:tcPr>
            <w:tcW w:w="1102" w:type="dxa"/>
            <w:gridSpan w:val="2"/>
            <w:tcBorders>
              <w:top w:val="nil"/>
              <w:left w:val="nil"/>
              <w:bottom w:val="nil"/>
              <w:right w:val="nil"/>
            </w:tcBorders>
            <w:shd w:val="clear" w:color="auto" w:fill="FFFFFF"/>
            <w:tcMar>
              <w:left w:w="67" w:type="dxa"/>
              <w:right w:w="67" w:type="dxa"/>
            </w:tcMar>
          </w:tcPr>
          <w:p w14:paraId="757C45DA"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0.948</w:t>
            </w:r>
          </w:p>
        </w:tc>
        <w:tc>
          <w:tcPr>
            <w:tcW w:w="992" w:type="dxa"/>
            <w:tcBorders>
              <w:top w:val="nil"/>
              <w:left w:val="nil"/>
              <w:bottom w:val="nil"/>
              <w:right w:val="nil"/>
            </w:tcBorders>
            <w:shd w:val="clear" w:color="auto" w:fill="FFFFFF"/>
            <w:tcMar>
              <w:left w:w="67" w:type="dxa"/>
              <w:right w:w="67" w:type="dxa"/>
            </w:tcMar>
          </w:tcPr>
          <w:p w14:paraId="3B90A3AC"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0.0305</w:t>
            </w:r>
          </w:p>
        </w:tc>
        <w:tc>
          <w:tcPr>
            <w:tcW w:w="577" w:type="dxa"/>
            <w:tcBorders>
              <w:top w:val="nil"/>
              <w:left w:val="nil"/>
              <w:bottom w:val="nil"/>
              <w:right w:val="single" w:sz="4" w:space="0" w:color="auto"/>
            </w:tcBorders>
            <w:shd w:val="clear" w:color="auto" w:fill="FFFFFF"/>
            <w:tcMar>
              <w:left w:w="67" w:type="dxa"/>
              <w:right w:w="67" w:type="dxa"/>
            </w:tcMar>
          </w:tcPr>
          <w:p w14:paraId="36E3D17B"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726</w:t>
            </w:r>
          </w:p>
        </w:tc>
      </w:tr>
      <w:tr w:rsidR="00E07CDE" w:rsidRPr="00563AD3" w14:paraId="10107320" w14:textId="77777777" w:rsidTr="000D3E11">
        <w:trPr>
          <w:gridAfter w:val="1"/>
          <w:wAfter w:w="11" w:type="dxa"/>
          <w:cantSplit/>
          <w:jc w:val="center"/>
        </w:trPr>
        <w:tc>
          <w:tcPr>
            <w:tcW w:w="2972" w:type="dxa"/>
            <w:vMerge/>
            <w:tcBorders>
              <w:left w:val="single" w:sz="4" w:space="0" w:color="auto"/>
              <w:right w:val="nil"/>
            </w:tcBorders>
            <w:shd w:val="clear" w:color="auto" w:fill="FFFFFF"/>
            <w:tcMar>
              <w:left w:w="67" w:type="dxa"/>
              <w:right w:w="67" w:type="dxa"/>
            </w:tcMar>
          </w:tcPr>
          <w:p w14:paraId="5129A092" w14:textId="77777777" w:rsidR="00E07CDE" w:rsidRPr="00563AD3" w:rsidRDefault="00E07CDE" w:rsidP="006C0B32">
            <w:pPr>
              <w:spacing w:before="67" w:after="67" w:line="240" w:lineRule="auto"/>
              <w:rPr>
                <w:rFonts w:eastAsia="Times New Roman"/>
                <w:color w:val="000000"/>
                <w:sz w:val="20"/>
                <w:szCs w:val="20"/>
              </w:rPr>
            </w:pPr>
          </w:p>
        </w:tc>
        <w:tc>
          <w:tcPr>
            <w:tcW w:w="4489" w:type="dxa"/>
            <w:gridSpan w:val="2"/>
            <w:tcBorders>
              <w:top w:val="nil"/>
              <w:left w:val="nil"/>
              <w:bottom w:val="nil"/>
              <w:right w:val="nil"/>
            </w:tcBorders>
            <w:shd w:val="clear" w:color="auto" w:fill="FFFFFF"/>
          </w:tcPr>
          <w:p w14:paraId="4501D868"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Cluster specific - complete cases only</w:t>
            </w:r>
          </w:p>
        </w:tc>
        <w:tc>
          <w:tcPr>
            <w:tcW w:w="890" w:type="dxa"/>
            <w:gridSpan w:val="2"/>
            <w:tcBorders>
              <w:top w:val="nil"/>
              <w:left w:val="nil"/>
              <w:bottom w:val="nil"/>
              <w:right w:val="nil"/>
            </w:tcBorders>
            <w:shd w:val="clear" w:color="auto" w:fill="FFFFFF"/>
            <w:tcMar>
              <w:left w:w="67" w:type="dxa"/>
              <w:right w:w="67" w:type="dxa"/>
            </w:tcMar>
          </w:tcPr>
          <w:p w14:paraId="72D7DFAD"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0.591</w:t>
            </w:r>
          </w:p>
        </w:tc>
        <w:tc>
          <w:tcPr>
            <w:tcW w:w="890" w:type="dxa"/>
            <w:tcBorders>
              <w:top w:val="nil"/>
              <w:left w:val="nil"/>
              <w:bottom w:val="nil"/>
              <w:right w:val="nil"/>
            </w:tcBorders>
            <w:shd w:val="clear" w:color="auto" w:fill="FFFFFF"/>
            <w:tcMar>
              <w:left w:w="67" w:type="dxa"/>
              <w:right w:w="67" w:type="dxa"/>
            </w:tcMar>
          </w:tcPr>
          <w:p w14:paraId="5EACDE24"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0.308</w:t>
            </w:r>
          </w:p>
        </w:tc>
        <w:tc>
          <w:tcPr>
            <w:tcW w:w="1102" w:type="dxa"/>
            <w:gridSpan w:val="2"/>
            <w:tcBorders>
              <w:top w:val="nil"/>
              <w:left w:val="nil"/>
              <w:bottom w:val="nil"/>
              <w:right w:val="nil"/>
            </w:tcBorders>
            <w:shd w:val="clear" w:color="auto" w:fill="FFFFFF"/>
            <w:tcMar>
              <w:left w:w="67" w:type="dxa"/>
              <w:right w:w="67" w:type="dxa"/>
            </w:tcMar>
          </w:tcPr>
          <w:p w14:paraId="28D2F34E"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1.133</w:t>
            </w:r>
          </w:p>
        </w:tc>
        <w:tc>
          <w:tcPr>
            <w:tcW w:w="992" w:type="dxa"/>
            <w:tcBorders>
              <w:top w:val="nil"/>
              <w:left w:val="nil"/>
              <w:bottom w:val="nil"/>
              <w:right w:val="nil"/>
            </w:tcBorders>
            <w:shd w:val="clear" w:color="auto" w:fill="FFFFFF"/>
            <w:tcMar>
              <w:left w:w="67" w:type="dxa"/>
              <w:right w:w="67" w:type="dxa"/>
            </w:tcMar>
          </w:tcPr>
          <w:p w14:paraId="3FCCC436"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0.1131</w:t>
            </w:r>
          </w:p>
        </w:tc>
        <w:tc>
          <w:tcPr>
            <w:tcW w:w="577" w:type="dxa"/>
            <w:tcBorders>
              <w:top w:val="nil"/>
              <w:left w:val="nil"/>
              <w:bottom w:val="nil"/>
              <w:right w:val="single" w:sz="4" w:space="0" w:color="auto"/>
            </w:tcBorders>
            <w:shd w:val="clear" w:color="auto" w:fill="FFFFFF"/>
            <w:tcMar>
              <w:left w:w="67" w:type="dxa"/>
              <w:right w:w="67" w:type="dxa"/>
            </w:tcMar>
          </w:tcPr>
          <w:p w14:paraId="2D903365"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403</w:t>
            </w:r>
          </w:p>
        </w:tc>
      </w:tr>
      <w:tr w:rsidR="00E07CDE" w:rsidRPr="00563AD3" w14:paraId="5237A73B" w14:textId="77777777" w:rsidTr="000D3E11">
        <w:trPr>
          <w:gridAfter w:val="1"/>
          <w:wAfter w:w="11" w:type="dxa"/>
          <w:cantSplit/>
          <w:jc w:val="center"/>
        </w:trPr>
        <w:tc>
          <w:tcPr>
            <w:tcW w:w="2972" w:type="dxa"/>
            <w:vMerge/>
            <w:tcBorders>
              <w:left w:val="single" w:sz="4" w:space="0" w:color="auto"/>
              <w:bottom w:val="nil"/>
              <w:right w:val="nil"/>
            </w:tcBorders>
            <w:shd w:val="clear" w:color="auto" w:fill="FFFFFF"/>
            <w:tcMar>
              <w:left w:w="67" w:type="dxa"/>
              <w:right w:w="67" w:type="dxa"/>
            </w:tcMar>
          </w:tcPr>
          <w:p w14:paraId="621D4666" w14:textId="77777777" w:rsidR="00E07CDE" w:rsidRPr="00563AD3" w:rsidRDefault="00E07CDE" w:rsidP="006C0B32">
            <w:pPr>
              <w:spacing w:before="67" w:after="67" w:line="240" w:lineRule="auto"/>
              <w:rPr>
                <w:rFonts w:eastAsia="Times New Roman"/>
                <w:color w:val="000000"/>
                <w:sz w:val="20"/>
                <w:szCs w:val="20"/>
              </w:rPr>
            </w:pPr>
          </w:p>
        </w:tc>
        <w:tc>
          <w:tcPr>
            <w:tcW w:w="4489" w:type="dxa"/>
            <w:gridSpan w:val="2"/>
            <w:tcBorders>
              <w:top w:val="nil"/>
              <w:left w:val="nil"/>
              <w:bottom w:val="nil"/>
              <w:right w:val="nil"/>
            </w:tcBorders>
            <w:shd w:val="clear" w:color="auto" w:fill="FFFFFF"/>
          </w:tcPr>
          <w:p w14:paraId="1822A49A"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Cluster specific - missing data imputed assuming MAR</w:t>
            </w:r>
          </w:p>
        </w:tc>
        <w:tc>
          <w:tcPr>
            <w:tcW w:w="890" w:type="dxa"/>
            <w:gridSpan w:val="2"/>
            <w:tcBorders>
              <w:top w:val="nil"/>
              <w:left w:val="nil"/>
              <w:bottom w:val="nil"/>
              <w:right w:val="nil"/>
            </w:tcBorders>
            <w:shd w:val="clear" w:color="auto" w:fill="FFFFFF"/>
            <w:tcMar>
              <w:left w:w="67" w:type="dxa"/>
              <w:right w:w="67" w:type="dxa"/>
            </w:tcMar>
          </w:tcPr>
          <w:p w14:paraId="041170DB"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0.577</w:t>
            </w:r>
          </w:p>
        </w:tc>
        <w:tc>
          <w:tcPr>
            <w:tcW w:w="890" w:type="dxa"/>
            <w:tcBorders>
              <w:top w:val="nil"/>
              <w:left w:val="nil"/>
              <w:bottom w:val="nil"/>
              <w:right w:val="nil"/>
            </w:tcBorders>
            <w:shd w:val="clear" w:color="auto" w:fill="FFFFFF"/>
            <w:tcMar>
              <w:left w:w="67" w:type="dxa"/>
              <w:right w:w="67" w:type="dxa"/>
            </w:tcMar>
          </w:tcPr>
          <w:p w14:paraId="2C232AEC"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0.334</w:t>
            </w:r>
          </w:p>
        </w:tc>
        <w:tc>
          <w:tcPr>
            <w:tcW w:w="1102" w:type="dxa"/>
            <w:gridSpan w:val="2"/>
            <w:tcBorders>
              <w:top w:val="nil"/>
              <w:left w:val="nil"/>
              <w:bottom w:val="nil"/>
              <w:right w:val="nil"/>
            </w:tcBorders>
            <w:shd w:val="clear" w:color="auto" w:fill="FFFFFF"/>
            <w:tcMar>
              <w:left w:w="67" w:type="dxa"/>
              <w:right w:w="67" w:type="dxa"/>
            </w:tcMar>
          </w:tcPr>
          <w:p w14:paraId="5C325D66"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0.996</w:t>
            </w:r>
          </w:p>
        </w:tc>
        <w:tc>
          <w:tcPr>
            <w:tcW w:w="992" w:type="dxa"/>
            <w:tcBorders>
              <w:top w:val="nil"/>
              <w:left w:val="nil"/>
              <w:bottom w:val="nil"/>
              <w:right w:val="nil"/>
            </w:tcBorders>
            <w:shd w:val="clear" w:color="auto" w:fill="FFFFFF"/>
            <w:tcMar>
              <w:left w:w="67" w:type="dxa"/>
              <w:right w:w="67" w:type="dxa"/>
            </w:tcMar>
          </w:tcPr>
          <w:p w14:paraId="1335FEB4"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0.0484</w:t>
            </w:r>
          </w:p>
        </w:tc>
        <w:tc>
          <w:tcPr>
            <w:tcW w:w="577" w:type="dxa"/>
            <w:tcBorders>
              <w:top w:val="nil"/>
              <w:left w:val="nil"/>
              <w:bottom w:val="nil"/>
              <w:right w:val="single" w:sz="4" w:space="0" w:color="auto"/>
            </w:tcBorders>
            <w:shd w:val="clear" w:color="auto" w:fill="FFFFFF"/>
            <w:tcMar>
              <w:left w:w="67" w:type="dxa"/>
              <w:right w:w="67" w:type="dxa"/>
            </w:tcMar>
          </w:tcPr>
          <w:p w14:paraId="19790168"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726</w:t>
            </w:r>
          </w:p>
        </w:tc>
      </w:tr>
      <w:tr w:rsidR="00E07CDE" w:rsidRPr="00563AD3" w14:paraId="1EFBAF4E" w14:textId="77777777" w:rsidTr="000D3E11">
        <w:trPr>
          <w:gridAfter w:val="1"/>
          <w:wAfter w:w="11" w:type="dxa"/>
          <w:cantSplit/>
          <w:jc w:val="center"/>
        </w:trPr>
        <w:tc>
          <w:tcPr>
            <w:tcW w:w="2972" w:type="dxa"/>
            <w:tcBorders>
              <w:top w:val="nil"/>
              <w:left w:val="single" w:sz="4" w:space="0" w:color="auto"/>
              <w:bottom w:val="nil"/>
              <w:right w:val="nil"/>
            </w:tcBorders>
            <w:shd w:val="clear" w:color="auto" w:fill="FFFFFF"/>
            <w:tcMar>
              <w:left w:w="67" w:type="dxa"/>
              <w:right w:w="67" w:type="dxa"/>
            </w:tcMar>
          </w:tcPr>
          <w:p w14:paraId="3C1761F8" w14:textId="77777777" w:rsidR="00E07CDE" w:rsidRPr="003202D0" w:rsidRDefault="00E07CDE" w:rsidP="006C0B32">
            <w:pPr>
              <w:spacing w:before="67" w:after="67" w:line="240" w:lineRule="auto"/>
              <w:rPr>
                <w:rFonts w:eastAsia="Times New Roman"/>
                <w:color w:val="000000"/>
                <w:sz w:val="20"/>
                <w:szCs w:val="20"/>
              </w:rPr>
            </w:pPr>
            <w:r w:rsidRPr="003202D0">
              <w:rPr>
                <w:rFonts w:eastAsia="Times New Roman"/>
                <w:color w:val="000000"/>
                <w:sz w:val="20"/>
                <w:szCs w:val="20"/>
              </w:rPr>
              <w:t xml:space="preserve">PRN antipsychotic medication </w:t>
            </w:r>
          </w:p>
        </w:tc>
        <w:tc>
          <w:tcPr>
            <w:tcW w:w="4489" w:type="dxa"/>
            <w:gridSpan w:val="2"/>
            <w:tcBorders>
              <w:top w:val="nil"/>
              <w:left w:val="nil"/>
              <w:bottom w:val="nil"/>
              <w:right w:val="nil"/>
            </w:tcBorders>
            <w:shd w:val="clear" w:color="auto" w:fill="FFFFFF"/>
          </w:tcPr>
          <w:p w14:paraId="68163145" w14:textId="77777777" w:rsidR="00E07CDE" w:rsidRPr="003202D0" w:rsidRDefault="00E07CDE" w:rsidP="006C0B32">
            <w:pPr>
              <w:spacing w:before="67" w:after="67" w:line="240" w:lineRule="auto"/>
              <w:rPr>
                <w:rFonts w:eastAsia="Times New Roman"/>
                <w:color w:val="000000"/>
                <w:sz w:val="20"/>
                <w:szCs w:val="20"/>
              </w:rPr>
            </w:pPr>
            <w:r w:rsidRPr="003202D0">
              <w:rPr>
                <w:rFonts w:eastAsia="Times New Roman"/>
                <w:color w:val="000000"/>
                <w:sz w:val="20"/>
                <w:szCs w:val="20"/>
              </w:rPr>
              <w:t>Complete cases only</w:t>
            </w:r>
            <w:r w:rsidRPr="003202D0">
              <w:rPr>
                <w:rFonts w:eastAsia="Calibri"/>
                <w:color w:val="000000"/>
                <w:sz w:val="20"/>
                <w:szCs w:val="20"/>
                <w:lang w:eastAsia="en-US"/>
              </w:rPr>
              <w:t xml:space="preserve"> without hub </w:t>
            </w:r>
          </w:p>
        </w:tc>
        <w:tc>
          <w:tcPr>
            <w:tcW w:w="890" w:type="dxa"/>
            <w:gridSpan w:val="2"/>
            <w:tcBorders>
              <w:top w:val="nil"/>
              <w:left w:val="nil"/>
              <w:bottom w:val="nil"/>
              <w:right w:val="nil"/>
            </w:tcBorders>
            <w:shd w:val="clear" w:color="auto" w:fill="FFFFFF"/>
            <w:tcMar>
              <w:left w:w="67" w:type="dxa"/>
              <w:right w:w="67" w:type="dxa"/>
            </w:tcMar>
          </w:tcPr>
          <w:p w14:paraId="366D1D87" w14:textId="77777777" w:rsidR="00E07CDE" w:rsidRPr="003202D0" w:rsidRDefault="00E07CDE" w:rsidP="006C0B32">
            <w:pPr>
              <w:spacing w:before="67" w:after="67" w:line="240" w:lineRule="auto"/>
              <w:jc w:val="right"/>
              <w:rPr>
                <w:rFonts w:eastAsia="Times New Roman"/>
                <w:color w:val="000000"/>
                <w:sz w:val="20"/>
                <w:szCs w:val="20"/>
              </w:rPr>
            </w:pPr>
            <w:r w:rsidRPr="003202D0">
              <w:rPr>
                <w:rFonts w:eastAsia="Calibri"/>
                <w:color w:val="000000"/>
                <w:sz w:val="20"/>
                <w:szCs w:val="20"/>
                <w:lang w:eastAsia="en-US"/>
              </w:rPr>
              <w:t>0.766</w:t>
            </w:r>
          </w:p>
        </w:tc>
        <w:tc>
          <w:tcPr>
            <w:tcW w:w="890" w:type="dxa"/>
            <w:tcBorders>
              <w:top w:val="nil"/>
              <w:left w:val="nil"/>
              <w:bottom w:val="nil"/>
              <w:right w:val="nil"/>
            </w:tcBorders>
            <w:shd w:val="clear" w:color="auto" w:fill="FFFFFF"/>
            <w:tcMar>
              <w:left w:w="67" w:type="dxa"/>
              <w:right w:w="67" w:type="dxa"/>
            </w:tcMar>
          </w:tcPr>
          <w:p w14:paraId="13128861" w14:textId="77777777" w:rsidR="00E07CDE" w:rsidRPr="003202D0" w:rsidRDefault="00E07CDE" w:rsidP="006C0B32">
            <w:pPr>
              <w:spacing w:before="67" w:after="67" w:line="240" w:lineRule="auto"/>
              <w:jc w:val="right"/>
              <w:rPr>
                <w:rFonts w:eastAsia="Times New Roman"/>
                <w:color w:val="000000"/>
                <w:sz w:val="20"/>
                <w:szCs w:val="20"/>
              </w:rPr>
            </w:pPr>
            <w:r w:rsidRPr="003202D0">
              <w:rPr>
                <w:rFonts w:eastAsia="Calibri"/>
                <w:color w:val="000000"/>
                <w:sz w:val="20"/>
                <w:szCs w:val="20"/>
                <w:lang w:eastAsia="en-US"/>
              </w:rPr>
              <w:t>0.132</w:t>
            </w:r>
          </w:p>
        </w:tc>
        <w:tc>
          <w:tcPr>
            <w:tcW w:w="1102" w:type="dxa"/>
            <w:gridSpan w:val="2"/>
            <w:tcBorders>
              <w:top w:val="nil"/>
              <w:left w:val="nil"/>
              <w:bottom w:val="nil"/>
              <w:right w:val="nil"/>
            </w:tcBorders>
            <w:shd w:val="clear" w:color="auto" w:fill="FFFFFF"/>
            <w:tcMar>
              <w:left w:w="67" w:type="dxa"/>
              <w:right w:w="67" w:type="dxa"/>
            </w:tcMar>
          </w:tcPr>
          <w:p w14:paraId="4906BDE4" w14:textId="77777777" w:rsidR="00E07CDE" w:rsidRPr="003202D0" w:rsidRDefault="00E07CDE" w:rsidP="006C0B32">
            <w:pPr>
              <w:spacing w:before="67" w:after="67" w:line="240" w:lineRule="auto"/>
              <w:jc w:val="right"/>
              <w:rPr>
                <w:rFonts w:eastAsia="Times New Roman"/>
                <w:color w:val="000000"/>
                <w:sz w:val="20"/>
                <w:szCs w:val="20"/>
              </w:rPr>
            </w:pPr>
            <w:r w:rsidRPr="003202D0">
              <w:rPr>
                <w:rFonts w:eastAsia="Calibri"/>
                <w:color w:val="000000"/>
                <w:sz w:val="20"/>
                <w:szCs w:val="20"/>
                <w:lang w:eastAsia="en-US"/>
              </w:rPr>
              <w:t>4.457</w:t>
            </w:r>
          </w:p>
        </w:tc>
        <w:tc>
          <w:tcPr>
            <w:tcW w:w="992" w:type="dxa"/>
            <w:tcBorders>
              <w:top w:val="nil"/>
              <w:left w:val="nil"/>
              <w:bottom w:val="nil"/>
              <w:right w:val="nil"/>
            </w:tcBorders>
            <w:shd w:val="clear" w:color="auto" w:fill="FFFFFF"/>
            <w:tcMar>
              <w:left w:w="67" w:type="dxa"/>
              <w:right w:w="67" w:type="dxa"/>
            </w:tcMar>
          </w:tcPr>
          <w:p w14:paraId="22AFA6B3" w14:textId="77777777" w:rsidR="00E07CDE" w:rsidRPr="003202D0" w:rsidRDefault="00E07CDE" w:rsidP="006C0B32">
            <w:pPr>
              <w:spacing w:before="67" w:after="67" w:line="240" w:lineRule="auto"/>
              <w:jc w:val="right"/>
              <w:rPr>
                <w:rFonts w:eastAsia="Times New Roman"/>
                <w:color w:val="000000"/>
                <w:sz w:val="20"/>
                <w:szCs w:val="20"/>
              </w:rPr>
            </w:pPr>
            <w:r w:rsidRPr="003202D0">
              <w:rPr>
                <w:rFonts w:eastAsia="Calibri"/>
                <w:color w:val="000000"/>
                <w:sz w:val="20"/>
                <w:szCs w:val="20"/>
                <w:lang w:eastAsia="en-US"/>
              </w:rPr>
              <w:t>0.7666</w:t>
            </w:r>
          </w:p>
        </w:tc>
        <w:tc>
          <w:tcPr>
            <w:tcW w:w="577" w:type="dxa"/>
            <w:tcBorders>
              <w:top w:val="nil"/>
              <w:left w:val="nil"/>
              <w:bottom w:val="nil"/>
              <w:right w:val="single" w:sz="4" w:space="0" w:color="auto"/>
            </w:tcBorders>
            <w:shd w:val="clear" w:color="auto" w:fill="FFFFFF"/>
            <w:tcMar>
              <w:left w:w="67" w:type="dxa"/>
              <w:right w:w="67" w:type="dxa"/>
            </w:tcMar>
          </w:tcPr>
          <w:p w14:paraId="479AF6D2" w14:textId="77777777" w:rsidR="00E07CDE" w:rsidRPr="003202D0" w:rsidRDefault="00E07CDE" w:rsidP="006C0B32">
            <w:pPr>
              <w:spacing w:before="67" w:after="67" w:line="240" w:lineRule="auto"/>
              <w:jc w:val="right"/>
              <w:rPr>
                <w:rFonts w:eastAsia="Times New Roman"/>
                <w:color w:val="000000"/>
                <w:sz w:val="20"/>
                <w:szCs w:val="20"/>
              </w:rPr>
            </w:pPr>
            <w:r w:rsidRPr="003202D0">
              <w:rPr>
                <w:rFonts w:eastAsia="Calibri"/>
                <w:color w:val="000000"/>
                <w:sz w:val="20"/>
                <w:szCs w:val="20"/>
                <w:lang w:eastAsia="en-US"/>
              </w:rPr>
              <w:t>406</w:t>
            </w:r>
          </w:p>
        </w:tc>
      </w:tr>
      <w:tr w:rsidR="00E07CDE" w:rsidRPr="00563AD3" w14:paraId="756B8166" w14:textId="77777777" w:rsidTr="000D3E11">
        <w:trPr>
          <w:gridAfter w:val="1"/>
          <w:wAfter w:w="11" w:type="dxa"/>
          <w:cantSplit/>
          <w:jc w:val="center"/>
        </w:trPr>
        <w:tc>
          <w:tcPr>
            <w:tcW w:w="2972" w:type="dxa"/>
            <w:tcBorders>
              <w:top w:val="nil"/>
              <w:left w:val="single" w:sz="4" w:space="0" w:color="auto"/>
              <w:bottom w:val="nil"/>
              <w:right w:val="nil"/>
            </w:tcBorders>
            <w:shd w:val="clear" w:color="auto" w:fill="FFFFFF"/>
            <w:tcMar>
              <w:left w:w="67" w:type="dxa"/>
              <w:right w:w="67" w:type="dxa"/>
            </w:tcMar>
          </w:tcPr>
          <w:p w14:paraId="38811515" w14:textId="77777777" w:rsidR="00E07CDE" w:rsidRPr="003202D0" w:rsidRDefault="00E07CDE" w:rsidP="006C0B32">
            <w:pPr>
              <w:spacing w:before="67" w:after="67" w:line="240" w:lineRule="auto"/>
              <w:rPr>
                <w:rFonts w:eastAsia="Times New Roman"/>
                <w:color w:val="000000"/>
                <w:sz w:val="20"/>
                <w:szCs w:val="20"/>
              </w:rPr>
            </w:pPr>
          </w:p>
        </w:tc>
        <w:tc>
          <w:tcPr>
            <w:tcW w:w="4489" w:type="dxa"/>
            <w:gridSpan w:val="2"/>
            <w:tcBorders>
              <w:top w:val="nil"/>
              <w:left w:val="nil"/>
              <w:bottom w:val="nil"/>
              <w:right w:val="nil"/>
            </w:tcBorders>
            <w:shd w:val="clear" w:color="auto" w:fill="FFFFFF"/>
          </w:tcPr>
          <w:p w14:paraId="4B12A6FD" w14:textId="77777777" w:rsidR="00E07CDE" w:rsidRPr="00451434" w:rsidRDefault="00E07CDE" w:rsidP="006C0B32">
            <w:pPr>
              <w:spacing w:before="67" w:after="67" w:line="240" w:lineRule="auto"/>
              <w:rPr>
                <w:rFonts w:eastAsia="Times New Roman"/>
                <w:color w:val="000000"/>
                <w:sz w:val="20"/>
                <w:szCs w:val="20"/>
              </w:rPr>
            </w:pPr>
            <w:r w:rsidRPr="00451434">
              <w:rPr>
                <w:rFonts w:eastAsia="Times New Roman"/>
                <w:color w:val="000000"/>
                <w:sz w:val="20"/>
                <w:szCs w:val="20"/>
              </w:rPr>
              <w:t>Missing data imputed assuming MAR</w:t>
            </w:r>
            <w:r w:rsidRPr="00451434">
              <w:rPr>
                <w:rFonts w:eastAsia="Calibri"/>
                <w:color w:val="000000"/>
                <w:sz w:val="20"/>
                <w:szCs w:val="20"/>
                <w:lang w:eastAsia="en-US"/>
              </w:rPr>
              <w:t xml:space="preserve"> without hub </w:t>
            </w:r>
          </w:p>
        </w:tc>
        <w:tc>
          <w:tcPr>
            <w:tcW w:w="890" w:type="dxa"/>
            <w:gridSpan w:val="2"/>
            <w:tcBorders>
              <w:top w:val="nil"/>
              <w:left w:val="nil"/>
              <w:bottom w:val="nil"/>
              <w:right w:val="nil"/>
            </w:tcBorders>
            <w:shd w:val="clear" w:color="auto" w:fill="FFFFFF"/>
            <w:tcMar>
              <w:left w:w="67" w:type="dxa"/>
              <w:right w:w="67" w:type="dxa"/>
            </w:tcMar>
          </w:tcPr>
          <w:p w14:paraId="259D0204" w14:textId="77777777" w:rsidR="00E07CDE" w:rsidRPr="00817F2A" w:rsidRDefault="00E07CDE" w:rsidP="006C0B32">
            <w:pPr>
              <w:spacing w:before="67" w:after="67" w:line="240" w:lineRule="auto"/>
              <w:jc w:val="right"/>
              <w:rPr>
                <w:rFonts w:eastAsia="Times New Roman"/>
                <w:color w:val="000000"/>
                <w:sz w:val="20"/>
                <w:szCs w:val="20"/>
              </w:rPr>
            </w:pPr>
            <w:r w:rsidRPr="00451434">
              <w:rPr>
                <w:rFonts w:eastAsia="Calibri"/>
                <w:color w:val="000000"/>
                <w:sz w:val="20"/>
                <w:szCs w:val="20"/>
                <w:lang w:eastAsia="en-US"/>
              </w:rPr>
              <w:t>0.783</w:t>
            </w:r>
          </w:p>
        </w:tc>
        <w:tc>
          <w:tcPr>
            <w:tcW w:w="890" w:type="dxa"/>
            <w:tcBorders>
              <w:top w:val="nil"/>
              <w:left w:val="nil"/>
              <w:bottom w:val="nil"/>
              <w:right w:val="nil"/>
            </w:tcBorders>
            <w:shd w:val="clear" w:color="auto" w:fill="FFFFFF"/>
            <w:tcMar>
              <w:left w:w="67" w:type="dxa"/>
              <w:right w:w="67" w:type="dxa"/>
            </w:tcMar>
          </w:tcPr>
          <w:p w14:paraId="13631F95" w14:textId="77777777" w:rsidR="00E07CDE" w:rsidRPr="003202D0" w:rsidRDefault="00E07CDE" w:rsidP="006C0B32">
            <w:pPr>
              <w:spacing w:before="67" w:after="67" w:line="240" w:lineRule="auto"/>
              <w:jc w:val="right"/>
              <w:rPr>
                <w:rFonts w:eastAsia="Times New Roman"/>
                <w:color w:val="000000"/>
                <w:sz w:val="20"/>
                <w:szCs w:val="20"/>
              </w:rPr>
            </w:pPr>
            <w:r w:rsidRPr="001D633F">
              <w:rPr>
                <w:rFonts w:eastAsia="Calibri"/>
                <w:color w:val="000000"/>
                <w:sz w:val="20"/>
                <w:szCs w:val="20"/>
                <w:lang w:eastAsia="en-US"/>
              </w:rPr>
              <w:t>0.114</w:t>
            </w:r>
          </w:p>
        </w:tc>
        <w:tc>
          <w:tcPr>
            <w:tcW w:w="1102" w:type="dxa"/>
            <w:gridSpan w:val="2"/>
            <w:tcBorders>
              <w:top w:val="nil"/>
              <w:left w:val="nil"/>
              <w:bottom w:val="nil"/>
              <w:right w:val="nil"/>
            </w:tcBorders>
            <w:shd w:val="clear" w:color="auto" w:fill="FFFFFF"/>
            <w:tcMar>
              <w:left w:w="67" w:type="dxa"/>
              <w:right w:w="67" w:type="dxa"/>
            </w:tcMar>
          </w:tcPr>
          <w:p w14:paraId="5CBF5F95" w14:textId="77777777" w:rsidR="00E07CDE" w:rsidRPr="003202D0" w:rsidRDefault="00E07CDE" w:rsidP="006C0B32">
            <w:pPr>
              <w:spacing w:before="67" w:after="67" w:line="240" w:lineRule="auto"/>
              <w:jc w:val="right"/>
              <w:rPr>
                <w:rFonts w:eastAsia="Times New Roman"/>
                <w:color w:val="000000"/>
                <w:sz w:val="20"/>
                <w:szCs w:val="20"/>
              </w:rPr>
            </w:pPr>
            <w:r w:rsidRPr="003202D0">
              <w:rPr>
                <w:rFonts w:eastAsia="Calibri"/>
                <w:color w:val="000000"/>
                <w:sz w:val="20"/>
                <w:szCs w:val="20"/>
                <w:lang w:eastAsia="en-US"/>
              </w:rPr>
              <w:t>5.368</w:t>
            </w:r>
          </w:p>
        </w:tc>
        <w:tc>
          <w:tcPr>
            <w:tcW w:w="992" w:type="dxa"/>
            <w:tcBorders>
              <w:top w:val="nil"/>
              <w:left w:val="nil"/>
              <w:bottom w:val="nil"/>
              <w:right w:val="nil"/>
            </w:tcBorders>
            <w:shd w:val="clear" w:color="auto" w:fill="FFFFFF"/>
            <w:tcMar>
              <w:left w:w="67" w:type="dxa"/>
              <w:right w:w="67" w:type="dxa"/>
            </w:tcMar>
          </w:tcPr>
          <w:p w14:paraId="34C2C9C5" w14:textId="77777777" w:rsidR="00E07CDE" w:rsidRPr="003202D0" w:rsidRDefault="00E07CDE" w:rsidP="006C0B32">
            <w:pPr>
              <w:spacing w:before="67" w:after="67" w:line="240" w:lineRule="auto"/>
              <w:jc w:val="right"/>
              <w:rPr>
                <w:rFonts w:eastAsia="Times New Roman"/>
                <w:color w:val="000000"/>
                <w:sz w:val="20"/>
                <w:szCs w:val="20"/>
              </w:rPr>
            </w:pPr>
            <w:r w:rsidRPr="003202D0">
              <w:rPr>
                <w:rFonts w:eastAsia="Calibri"/>
                <w:color w:val="000000"/>
                <w:sz w:val="20"/>
                <w:szCs w:val="20"/>
                <w:lang w:eastAsia="en-US"/>
              </w:rPr>
              <w:t>0.8019</w:t>
            </w:r>
          </w:p>
        </w:tc>
        <w:tc>
          <w:tcPr>
            <w:tcW w:w="577" w:type="dxa"/>
            <w:tcBorders>
              <w:top w:val="nil"/>
              <w:left w:val="nil"/>
              <w:bottom w:val="nil"/>
              <w:right w:val="single" w:sz="4" w:space="0" w:color="auto"/>
            </w:tcBorders>
            <w:shd w:val="clear" w:color="auto" w:fill="FFFFFF"/>
            <w:tcMar>
              <w:left w:w="67" w:type="dxa"/>
              <w:right w:w="67" w:type="dxa"/>
            </w:tcMar>
          </w:tcPr>
          <w:p w14:paraId="2FC360F6" w14:textId="77777777" w:rsidR="00E07CDE" w:rsidRPr="003202D0" w:rsidRDefault="00E07CDE" w:rsidP="006C0B32">
            <w:pPr>
              <w:spacing w:before="67" w:after="67" w:line="240" w:lineRule="auto"/>
              <w:jc w:val="right"/>
              <w:rPr>
                <w:rFonts w:eastAsia="Times New Roman"/>
                <w:color w:val="000000"/>
                <w:sz w:val="20"/>
                <w:szCs w:val="20"/>
              </w:rPr>
            </w:pPr>
            <w:r w:rsidRPr="003202D0">
              <w:rPr>
                <w:rFonts w:eastAsia="Calibri"/>
                <w:color w:val="000000"/>
                <w:sz w:val="20"/>
                <w:szCs w:val="20"/>
                <w:lang w:eastAsia="en-US"/>
              </w:rPr>
              <w:t>726</w:t>
            </w:r>
          </w:p>
        </w:tc>
      </w:tr>
      <w:tr w:rsidR="00E07CDE" w:rsidRPr="00563AD3" w14:paraId="6173CC7B" w14:textId="77777777" w:rsidTr="000D3E11">
        <w:trPr>
          <w:gridAfter w:val="1"/>
          <w:wAfter w:w="11" w:type="dxa"/>
          <w:cantSplit/>
          <w:jc w:val="center"/>
        </w:trPr>
        <w:tc>
          <w:tcPr>
            <w:tcW w:w="2972" w:type="dxa"/>
            <w:tcBorders>
              <w:top w:val="nil"/>
              <w:left w:val="single" w:sz="4" w:space="0" w:color="auto"/>
              <w:bottom w:val="nil"/>
              <w:right w:val="nil"/>
            </w:tcBorders>
            <w:shd w:val="clear" w:color="auto" w:fill="FFFFFF"/>
            <w:tcMar>
              <w:left w:w="67" w:type="dxa"/>
              <w:right w:w="67" w:type="dxa"/>
            </w:tcMar>
          </w:tcPr>
          <w:p w14:paraId="3850238F" w14:textId="77777777" w:rsidR="00E07CDE" w:rsidRPr="00563AD3" w:rsidRDefault="00E07CDE" w:rsidP="006C0B32">
            <w:pPr>
              <w:spacing w:before="67" w:after="67" w:line="240" w:lineRule="auto"/>
              <w:rPr>
                <w:rFonts w:eastAsia="Times New Roman"/>
                <w:b/>
                <w:color w:val="000000"/>
                <w:sz w:val="20"/>
                <w:szCs w:val="20"/>
              </w:rPr>
            </w:pPr>
            <w:r w:rsidRPr="00563AD3">
              <w:rPr>
                <w:rFonts w:eastAsia="Times New Roman"/>
                <w:b/>
                <w:color w:val="000000"/>
                <w:sz w:val="20"/>
                <w:szCs w:val="20"/>
              </w:rPr>
              <w:t>Mood</w:t>
            </w:r>
          </w:p>
        </w:tc>
        <w:tc>
          <w:tcPr>
            <w:tcW w:w="4489" w:type="dxa"/>
            <w:gridSpan w:val="2"/>
            <w:tcBorders>
              <w:top w:val="nil"/>
              <w:left w:val="nil"/>
              <w:bottom w:val="nil"/>
              <w:right w:val="nil"/>
            </w:tcBorders>
            <w:shd w:val="clear" w:color="auto" w:fill="FFFFFF"/>
          </w:tcPr>
          <w:p w14:paraId="75710860" w14:textId="77777777" w:rsidR="00E07CDE" w:rsidRPr="00563AD3" w:rsidRDefault="00E07CDE" w:rsidP="006C0B32">
            <w:pPr>
              <w:spacing w:before="67" w:after="67" w:line="240" w:lineRule="auto"/>
              <w:rPr>
                <w:rFonts w:eastAsia="Times New Roman"/>
                <w:color w:val="000000"/>
                <w:sz w:val="20"/>
                <w:szCs w:val="20"/>
              </w:rPr>
            </w:pPr>
          </w:p>
        </w:tc>
        <w:tc>
          <w:tcPr>
            <w:tcW w:w="890" w:type="dxa"/>
            <w:gridSpan w:val="2"/>
            <w:tcBorders>
              <w:top w:val="nil"/>
              <w:left w:val="nil"/>
              <w:bottom w:val="nil"/>
              <w:right w:val="nil"/>
            </w:tcBorders>
            <w:shd w:val="clear" w:color="auto" w:fill="FFFFFF"/>
            <w:tcMar>
              <w:left w:w="67" w:type="dxa"/>
              <w:right w:w="67" w:type="dxa"/>
            </w:tcMar>
          </w:tcPr>
          <w:p w14:paraId="0C5B4C81" w14:textId="77777777" w:rsidR="00E07CDE" w:rsidRPr="00563AD3" w:rsidRDefault="00E07CDE" w:rsidP="006C0B32">
            <w:pPr>
              <w:spacing w:before="67" w:after="67" w:line="240" w:lineRule="auto"/>
              <w:jc w:val="right"/>
              <w:rPr>
                <w:rFonts w:eastAsia="Times New Roman"/>
                <w:color w:val="000000"/>
                <w:sz w:val="20"/>
                <w:szCs w:val="20"/>
              </w:rPr>
            </w:pPr>
          </w:p>
        </w:tc>
        <w:tc>
          <w:tcPr>
            <w:tcW w:w="890" w:type="dxa"/>
            <w:tcBorders>
              <w:top w:val="nil"/>
              <w:left w:val="nil"/>
              <w:bottom w:val="nil"/>
              <w:right w:val="nil"/>
            </w:tcBorders>
            <w:shd w:val="clear" w:color="auto" w:fill="FFFFFF"/>
            <w:tcMar>
              <w:left w:w="67" w:type="dxa"/>
              <w:right w:w="67" w:type="dxa"/>
            </w:tcMar>
          </w:tcPr>
          <w:p w14:paraId="2592ADA2" w14:textId="77777777" w:rsidR="00E07CDE" w:rsidRPr="00563AD3" w:rsidRDefault="00E07CDE" w:rsidP="006C0B32">
            <w:pPr>
              <w:spacing w:before="67" w:after="67" w:line="240" w:lineRule="auto"/>
              <w:jc w:val="right"/>
              <w:rPr>
                <w:rFonts w:eastAsia="Times New Roman"/>
                <w:color w:val="000000"/>
                <w:sz w:val="20"/>
                <w:szCs w:val="20"/>
              </w:rPr>
            </w:pPr>
          </w:p>
        </w:tc>
        <w:tc>
          <w:tcPr>
            <w:tcW w:w="1102" w:type="dxa"/>
            <w:gridSpan w:val="2"/>
            <w:tcBorders>
              <w:top w:val="nil"/>
              <w:left w:val="nil"/>
              <w:bottom w:val="nil"/>
              <w:right w:val="nil"/>
            </w:tcBorders>
            <w:shd w:val="clear" w:color="auto" w:fill="FFFFFF"/>
            <w:tcMar>
              <w:left w:w="67" w:type="dxa"/>
              <w:right w:w="67" w:type="dxa"/>
            </w:tcMar>
          </w:tcPr>
          <w:p w14:paraId="071BDF3F" w14:textId="77777777" w:rsidR="00E07CDE" w:rsidRPr="00563AD3" w:rsidRDefault="00E07CDE" w:rsidP="006C0B32">
            <w:pPr>
              <w:spacing w:before="67" w:after="67" w:line="240" w:lineRule="auto"/>
              <w:jc w:val="right"/>
              <w:rPr>
                <w:rFonts w:eastAsia="Times New Roman"/>
                <w:color w:val="000000"/>
                <w:sz w:val="20"/>
                <w:szCs w:val="20"/>
              </w:rPr>
            </w:pPr>
          </w:p>
        </w:tc>
        <w:tc>
          <w:tcPr>
            <w:tcW w:w="992" w:type="dxa"/>
            <w:tcBorders>
              <w:top w:val="nil"/>
              <w:left w:val="nil"/>
              <w:bottom w:val="nil"/>
              <w:right w:val="nil"/>
            </w:tcBorders>
            <w:shd w:val="clear" w:color="auto" w:fill="FFFFFF"/>
            <w:tcMar>
              <w:left w:w="67" w:type="dxa"/>
              <w:right w:w="67" w:type="dxa"/>
            </w:tcMar>
          </w:tcPr>
          <w:p w14:paraId="53501AA0" w14:textId="77777777" w:rsidR="00E07CDE" w:rsidRPr="00563AD3" w:rsidRDefault="00E07CDE" w:rsidP="006C0B32">
            <w:pPr>
              <w:spacing w:before="67" w:after="67" w:line="240" w:lineRule="auto"/>
              <w:jc w:val="right"/>
              <w:rPr>
                <w:rFonts w:eastAsia="Times New Roman"/>
                <w:color w:val="000000"/>
                <w:sz w:val="20"/>
                <w:szCs w:val="20"/>
              </w:rPr>
            </w:pPr>
          </w:p>
        </w:tc>
        <w:tc>
          <w:tcPr>
            <w:tcW w:w="577" w:type="dxa"/>
            <w:tcBorders>
              <w:top w:val="nil"/>
              <w:left w:val="nil"/>
              <w:bottom w:val="nil"/>
              <w:right w:val="single" w:sz="4" w:space="0" w:color="auto"/>
            </w:tcBorders>
            <w:shd w:val="clear" w:color="auto" w:fill="FFFFFF"/>
            <w:tcMar>
              <w:left w:w="67" w:type="dxa"/>
              <w:right w:w="67" w:type="dxa"/>
            </w:tcMar>
          </w:tcPr>
          <w:p w14:paraId="431A4271" w14:textId="77777777" w:rsidR="00E07CDE" w:rsidRPr="00563AD3" w:rsidRDefault="00E07CDE" w:rsidP="006C0B32">
            <w:pPr>
              <w:spacing w:before="67" w:after="67" w:line="240" w:lineRule="auto"/>
              <w:jc w:val="right"/>
              <w:rPr>
                <w:rFonts w:eastAsia="Times New Roman"/>
                <w:color w:val="000000"/>
                <w:sz w:val="20"/>
                <w:szCs w:val="20"/>
              </w:rPr>
            </w:pPr>
          </w:p>
        </w:tc>
      </w:tr>
      <w:tr w:rsidR="00E07CDE" w:rsidRPr="00563AD3" w14:paraId="6FFF9BEF" w14:textId="77777777" w:rsidTr="000D3E11">
        <w:trPr>
          <w:gridAfter w:val="1"/>
          <w:wAfter w:w="11" w:type="dxa"/>
          <w:cantSplit/>
          <w:jc w:val="center"/>
        </w:trPr>
        <w:tc>
          <w:tcPr>
            <w:tcW w:w="2972" w:type="dxa"/>
            <w:tcBorders>
              <w:top w:val="nil"/>
              <w:left w:val="single" w:sz="4" w:space="0" w:color="auto"/>
              <w:bottom w:val="nil"/>
              <w:right w:val="nil"/>
            </w:tcBorders>
            <w:shd w:val="clear" w:color="auto" w:fill="FFFFFF"/>
            <w:tcMar>
              <w:left w:w="67" w:type="dxa"/>
              <w:right w:w="67" w:type="dxa"/>
            </w:tcMar>
          </w:tcPr>
          <w:p w14:paraId="327865F3"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Depression/dysphoria</w:t>
            </w:r>
          </w:p>
        </w:tc>
        <w:tc>
          <w:tcPr>
            <w:tcW w:w="4489" w:type="dxa"/>
            <w:gridSpan w:val="2"/>
            <w:tcBorders>
              <w:top w:val="nil"/>
              <w:left w:val="nil"/>
              <w:bottom w:val="nil"/>
              <w:right w:val="nil"/>
            </w:tcBorders>
            <w:shd w:val="clear" w:color="auto" w:fill="FFFFFF"/>
          </w:tcPr>
          <w:p w14:paraId="4FEBD7E5"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Complete cases only</w:t>
            </w:r>
          </w:p>
        </w:tc>
        <w:tc>
          <w:tcPr>
            <w:tcW w:w="890" w:type="dxa"/>
            <w:gridSpan w:val="2"/>
            <w:tcBorders>
              <w:top w:val="nil"/>
              <w:left w:val="nil"/>
              <w:bottom w:val="nil"/>
              <w:right w:val="nil"/>
            </w:tcBorders>
            <w:shd w:val="clear" w:color="auto" w:fill="FFFFFF"/>
            <w:tcMar>
              <w:left w:w="67" w:type="dxa"/>
              <w:right w:w="67" w:type="dxa"/>
            </w:tcMar>
          </w:tcPr>
          <w:p w14:paraId="25C64402"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0.614</w:t>
            </w:r>
          </w:p>
        </w:tc>
        <w:tc>
          <w:tcPr>
            <w:tcW w:w="890" w:type="dxa"/>
            <w:tcBorders>
              <w:top w:val="nil"/>
              <w:left w:val="nil"/>
              <w:bottom w:val="nil"/>
              <w:right w:val="nil"/>
            </w:tcBorders>
            <w:shd w:val="clear" w:color="auto" w:fill="FFFFFF"/>
            <w:tcMar>
              <w:left w:w="67" w:type="dxa"/>
              <w:right w:w="67" w:type="dxa"/>
            </w:tcMar>
          </w:tcPr>
          <w:p w14:paraId="422BD612"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0.345</w:t>
            </w:r>
          </w:p>
        </w:tc>
        <w:tc>
          <w:tcPr>
            <w:tcW w:w="1102" w:type="dxa"/>
            <w:gridSpan w:val="2"/>
            <w:tcBorders>
              <w:top w:val="nil"/>
              <w:left w:val="nil"/>
              <w:bottom w:val="nil"/>
              <w:right w:val="nil"/>
            </w:tcBorders>
            <w:shd w:val="clear" w:color="auto" w:fill="FFFFFF"/>
            <w:tcMar>
              <w:left w:w="67" w:type="dxa"/>
              <w:right w:w="67" w:type="dxa"/>
            </w:tcMar>
          </w:tcPr>
          <w:p w14:paraId="26C0461C"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1.094</w:t>
            </w:r>
          </w:p>
        </w:tc>
        <w:tc>
          <w:tcPr>
            <w:tcW w:w="992" w:type="dxa"/>
            <w:tcBorders>
              <w:top w:val="nil"/>
              <w:left w:val="nil"/>
              <w:bottom w:val="nil"/>
              <w:right w:val="nil"/>
            </w:tcBorders>
            <w:shd w:val="clear" w:color="auto" w:fill="FFFFFF"/>
            <w:tcMar>
              <w:left w:w="67" w:type="dxa"/>
              <w:right w:w="67" w:type="dxa"/>
            </w:tcMar>
          </w:tcPr>
          <w:p w14:paraId="394E6448"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0.0980</w:t>
            </w:r>
          </w:p>
        </w:tc>
        <w:tc>
          <w:tcPr>
            <w:tcW w:w="577" w:type="dxa"/>
            <w:tcBorders>
              <w:top w:val="nil"/>
              <w:left w:val="nil"/>
              <w:bottom w:val="nil"/>
              <w:right w:val="single" w:sz="4" w:space="0" w:color="auto"/>
            </w:tcBorders>
            <w:shd w:val="clear" w:color="auto" w:fill="FFFFFF"/>
            <w:tcMar>
              <w:left w:w="67" w:type="dxa"/>
              <w:right w:w="67" w:type="dxa"/>
            </w:tcMar>
          </w:tcPr>
          <w:p w14:paraId="0F69FC45"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404</w:t>
            </w:r>
          </w:p>
        </w:tc>
      </w:tr>
      <w:tr w:rsidR="00E07CDE" w:rsidRPr="00563AD3" w14:paraId="006ADBC0" w14:textId="77777777" w:rsidTr="000D3E11">
        <w:trPr>
          <w:gridAfter w:val="1"/>
          <w:wAfter w:w="11" w:type="dxa"/>
          <w:cantSplit/>
          <w:jc w:val="center"/>
        </w:trPr>
        <w:tc>
          <w:tcPr>
            <w:tcW w:w="2972" w:type="dxa"/>
            <w:tcBorders>
              <w:top w:val="nil"/>
              <w:left w:val="single" w:sz="4" w:space="0" w:color="auto"/>
              <w:bottom w:val="nil"/>
              <w:right w:val="nil"/>
            </w:tcBorders>
            <w:shd w:val="clear" w:color="auto" w:fill="FFFFFF"/>
            <w:tcMar>
              <w:left w:w="67" w:type="dxa"/>
              <w:right w:w="67" w:type="dxa"/>
            </w:tcMar>
          </w:tcPr>
          <w:p w14:paraId="3C0E1ADB" w14:textId="77777777" w:rsidR="00E07CDE" w:rsidRPr="00563AD3" w:rsidRDefault="00E07CDE" w:rsidP="006C0B32">
            <w:pPr>
              <w:spacing w:before="67" w:after="67" w:line="240" w:lineRule="auto"/>
              <w:rPr>
                <w:rFonts w:eastAsia="Times New Roman"/>
                <w:color w:val="000000"/>
                <w:sz w:val="20"/>
                <w:szCs w:val="20"/>
              </w:rPr>
            </w:pPr>
          </w:p>
        </w:tc>
        <w:tc>
          <w:tcPr>
            <w:tcW w:w="4489" w:type="dxa"/>
            <w:gridSpan w:val="2"/>
            <w:tcBorders>
              <w:top w:val="nil"/>
              <w:left w:val="nil"/>
              <w:bottom w:val="nil"/>
              <w:right w:val="nil"/>
            </w:tcBorders>
            <w:shd w:val="clear" w:color="auto" w:fill="FFFFFF"/>
          </w:tcPr>
          <w:p w14:paraId="0429274B"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Missing data imputed assuming MAR</w:t>
            </w:r>
          </w:p>
        </w:tc>
        <w:tc>
          <w:tcPr>
            <w:tcW w:w="890" w:type="dxa"/>
            <w:gridSpan w:val="2"/>
            <w:tcBorders>
              <w:top w:val="nil"/>
              <w:left w:val="nil"/>
              <w:bottom w:val="nil"/>
              <w:right w:val="nil"/>
            </w:tcBorders>
            <w:shd w:val="clear" w:color="auto" w:fill="FFFFFF"/>
            <w:tcMar>
              <w:left w:w="67" w:type="dxa"/>
              <w:right w:w="67" w:type="dxa"/>
            </w:tcMar>
          </w:tcPr>
          <w:p w14:paraId="39D512A8"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0.592</w:t>
            </w:r>
          </w:p>
        </w:tc>
        <w:tc>
          <w:tcPr>
            <w:tcW w:w="890" w:type="dxa"/>
            <w:tcBorders>
              <w:top w:val="nil"/>
              <w:left w:val="nil"/>
              <w:bottom w:val="nil"/>
              <w:right w:val="nil"/>
            </w:tcBorders>
            <w:shd w:val="clear" w:color="auto" w:fill="FFFFFF"/>
            <w:tcMar>
              <w:left w:w="67" w:type="dxa"/>
              <w:right w:w="67" w:type="dxa"/>
            </w:tcMar>
          </w:tcPr>
          <w:p w14:paraId="3E398987"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0.369</w:t>
            </w:r>
          </w:p>
        </w:tc>
        <w:tc>
          <w:tcPr>
            <w:tcW w:w="1102" w:type="dxa"/>
            <w:gridSpan w:val="2"/>
            <w:tcBorders>
              <w:top w:val="nil"/>
              <w:left w:val="nil"/>
              <w:bottom w:val="nil"/>
              <w:right w:val="nil"/>
            </w:tcBorders>
            <w:shd w:val="clear" w:color="auto" w:fill="FFFFFF"/>
            <w:tcMar>
              <w:left w:w="67" w:type="dxa"/>
              <w:right w:w="67" w:type="dxa"/>
            </w:tcMar>
          </w:tcPr>
          <w:p w14:paraId="405DD95C"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0.95</w:t>
            </w:r>
          </w:p>
        </w:tc>
        <w:tc>
          <w:tcPr>
            <w:tcW w:w="992" w:type="dxa"/>
            <w:tcBorders>
              <w:top w:val="nil"/>
              <w:left w:val="nil"/>
              <w:bottom w:val="nil"/>
              <w:right w:val="nil"/>
            </w:tcBorders>
            <w:shd w:val="clear" w:color="auto" w:fill="FFFFFF"/>
            <w:tcMar>
              <w:left w:w="67" w:type="dxa"/>
              <w:right w:w="67" w:type="dxa"/>
            </w:tcMar>
          </w:tcPr>
          <w:p w14:paraId="6B6865AD"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0.0298</w:t>
            </w:r>
          </w:p>
        </w:tc>
        <w:tc>
          <w:tcPr>
            <w:tcW w:w="577" w:type="dxa"/>
            <w:tcBorders>
              <w:top w:val="nil"/>
              <w:left w:val="nil"/>
              <w:bottom w:val="nil"/>
              <w:right w:val="single" w:sz="4" w:space="0" w:color="auto"/>
            </w:tcBorders>
            <w:shd w:val="clear" w:color="auto" w:fill="FFFFFF"/>
            <w:tcMar>
              <w:left w:w="67" w:type="dxa"/>
              <w:right w:w="67" w:type="dxa"/>
            </w:tcMar>
          </w:tcPr>
          <w:p w14:paraId="1F119416"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726</w:t>
            </w:r>
          </w:p>
        </w:tc>
      </w:tr>
      <w:tr w:rsidR="00E07CDE" w:rsidRPr="00563AD3" w14:paraId="7E687BEA" w14:textId="77777777" w:rsidTr="000D3E11">
        <w:trPr>
          <w:gridAfter w:val="1"/>
          <w:wAfter w:w="11" w:type="dxa"/>
          <w:cantSplit/>
          <w:jc w:val="center"/>
        </w:trPr>
        <w:tc>
          <w:tcPr>
            <w:tcW w:w="2972" w:type="dxa"/>
            <w:tcBorders>
              <w:top w:val="nil"/>
              <w:left w:val="single" w:sz="4" w:space="0" w:color="auto"/>
              <w:bottom w:val="nil"/>
              <w:right w:val="nil"/>
            </w:tcBorders>
            <w:shd w:val="clear" w:color="auto" w:fill="FFFFFF"/>
            <w:tcMar>
              <w:left w:w="67" w:type="dxa"/>
              <w:right w:w="67" w:type="dxa"/>
            </w:tcMar>
          </w:tcPr>
          <w:p w14:paraId="1E7CFA5E"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 xml:space="preserve">Anxiety </w:t>
            </w:r>
          </w:p>
        </w:tc>
        <w:tc>
          <w:tcPr>
            <w:tcW w:w="4489" w:type="dxa"/>
            <w:gridSpan w:val="2"/>
            <w:tcBorders>
              <w:top w:val="nil"/>
              <w:left w:val="nil"/>
              <w:bottom w:val="nil"/>
              <w:right w:val="nil"/>
            </w:tcBorders>
            <w:shd w:val="clear" w:color="auto" w:fill="FFFFFF"/>
          </w:tcPr>
          <w:p w14:paraId="3B9DA2AB"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Complete cases only</w:t>
            </w:r>
          </w:p>
        </w:tc>
        <w:tc>
          <w:tcPr>
            <w:tcW w:w="890" w:type="dxa"/>
            <w:gridSpan w:val="2"/>
            <w:tcBorders>
              <w:top w:val="nil"/>
              <w:left w:val="nil"/>
              <w:bottom w:val="nil"/>
              <w:right w:val="nil"/>
            </w:tcBorders>
            <w:shd w:val="clear" w:color="auto" w:fill="FFFFFF"/>
            <w:tcMar>
              <w:left w:w="67" w:type="dxa"/>
              <w:right w:w="67" w:type="dxa"/>
            </w:tcMar>
          </w:tcPr>
          <w:p w14:paraId="29765A25"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1.027</w:t>
            </w:r>
          </w:p>
        </w:tc>
        <w:tc>
          <w:tcPr>
            <w:tcW w:w="890" w:type="dxa"/>
            <w:tcBorders>
              <w:top w:val="nil"/>
              <w:left w:val="nil"/>
              <w:bottom w:val="nil"/>
              <w:right w:val="nil"/>
            </w:tcBorders>
            <w:shd w:val="clear" w:color="auto" w:fill="FFFFFF"/>
            <w:tcMar>
              <w:left w:w="67" w:type="dxa"/>
              <w:right w:w="67" w:type="dxa"/>
            </w:tcMar>
          </w:tcPr>
          <w:p w14:paraId="3C6CFB55"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0.51</w:t>
            </w:r>
          </w:p>
        </w:tc>
        <w:tc>
          <w:tcPr>
            <w:tcW w:w="1102" w:type="dxa"/>
            <w:gridSpan w:val="2"/>
            <w:tcBorders>
              <w:top w:val="nil"/>
              <w:left w:val="nil"/>
              <w:bottom w:val="nil"/>
              <w:right w:val="nil"/>
            </w:tcBorders>
            <w:shd w:val="clear" w:color="auto" w:fill="FFFFFF"/>
            <w:tcMar>
              <w:left w:w="67" w:type="dxa"/>
              <w:right w:w="67" w:type="dxa"/>
            </w:tcMar>
          </w:tcPr>
          <w:p w14:paraId="3BF2C711"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2.069</w:t>
            </w:r>
          </w:p>
        </w:tc>
        <w:tc>
          <w:tcPr>
            <w:tcW w:w="992" w:type="dxa"/>
            <w:tcBorders>
              <w:top w:val="nil"/>
              <w:left w:val="nil"/>
              <w:bottom w:val="nil"/>
              <w:right w:val="nil"/>
            </w:tcBorders>
            <w:shd w:val="clear" w:color="auto" w:fill="FFFFFF"/>
            <w:tcMar>
              <w:left w:w="67" w:type="dxa"/>
              <w:right w:w="67" w:type="dxa"/>
            </w:tcMar>
          </w:tcPr>
          <w:p w14:paraId="6BCBB32F"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0.9395</w:t>
            </w:r>
          </w:p>
        </w:tc>
        <w:tc>
          <w:tcPr>
            <w:tcW w:w="577" w:type="dxa"/>
            <w:tcBorders>
              <w:top w:val="nil"/>
              <w:left w:val="nil"/>
              <w:bottom w:val="nil"/>
              <w:right w:val="single" w:sz="4" w:space="0" w:color="auto"/>
            </w:tcBorders>
            <w:shd w:val="clear" w:color="auto" w:fill="FFFFFF"/>
            <w:tcMar>
              <w:left w:w="67" w:type="dxa"/>
              <w:right w:w="67" w:type="dxa"/>
            </w:tcMar>
          </w:tcPr>
          <w:p w14:paraId="00A61461"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403</w:t>
            </w:r>
          </w:p>
        </w:tc>
      </w:tr>
      <w:tr w:rsidR="00E07CDE" w:rsidRPr="00563AD3" w14:paraId="7642241B" w14:textId="77777777" w:rsidTr="000D3E11">
        <w:trPr>
          <w:gridAfter w:val="1"/>
          <w:wAfter w:w="11" w:type="dxa"/>
          <w:cantSplit/>
          <w:jc w:val="center"/>
        </w:trPr>
        <w:tc>
          <w:tcPr>
            <w:tcW w:w="2972" w:type="dxa"/>
            <w:tcBorders>
              <w:top w:val="nil"/>
              <w:left w:val="single" w:sz="4" w:space="0" w:color="auto"/>
              <w:bottom w:val="nil"/>
              <w:right w:val="nil"/>
            </w:tcBorders>
            <w:shd w:val="clear" w:color="auto" w:fill="FFFFFF"/>
            <w:tcMar>
              <w:left w:w="67" w:type="dxa"/>
              <w:right w:w="67" w:type="dxa"/>
            </w:tcMar>
          </w:tcPr>
          <w:p w14:paraId="0966C66F" w14:textId="77777777" w:rsidR="00E07CDE" w:rsidRPr="00563AD3" w:rsidRDefault="00E07CDE" w:rsidP="006C0B32">
            <w:pPr>
              <w:spacing w:before="67" w:after="67" w:line="240" w:lineRule="auto"/>
              <w:rPr>
                <w:rFonts w:eastAsia="Times New Roman"/>
                <w:color w:val="000000"/>
                <w:sz w:val="20"/>
                <w:szCs w:val="20"/>
              </w:rPr>
            </w:pPr>
          </w:p>
        </w:tc>
        <w:tc>
          <w:tcPr>
            <w:tcW w:w="4489" w:type="dxa"/>
            <w:gridSpan w:val="2"/>
            <w:tcBorders>
              <w:top w:val="nil"/>
              <w:left w:val="nil"/>
              <w:bottom w:val="nil"/>
              <w:right w:val="nil"/>
            </w:tcBorders>
            <w:shd w:val="clear" w:color="auto" w:fill="FFFFFF"/>
          </w:tcPr>
          <w:p w14:paraId="46D74A18"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Missing data imputed assuming MAR</w:t>
            </w:r>
          </w:p>
        </w:tc>
        <w:tc>
          <w:tcPr>
            <w:tcW w:w="890" w:type="dxa"/>
            <w:gridSpan w:val="2"/>
            <w:tcBorders>
              <w:top w:val="nil"/>
              <w:left w:val="nil"/>
              <w:bottom w:val="nil"/>
              <w:right w:val="nil"/>
            </w:tcBorders>
            <w:shd w:val="clear" w:color="auto" w:fill="FFFFFF"/>
            <w:tcMar>
              <w:left w:w="67" w:type="dxa"/>
              <w:right w:w="67" w:type="dxa"/>
            </w:tcMar>
          </w:tcPr>
          <w:p w14:paraId="4C425648"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1.037</w:t>
            </w:r>
          </w:p>
        </w:tc>
        <w:tc>
          <w:tcPr>
            <w:tcW w:w="890" w:type="dxa"/>
            <w:tcBorders>
              <w:top w:val="nil"/>
              <w:left w:val="nil"/>
              <w:bottom w:val="nil"/>
              <w:right w:val="nil"/>
            </w:tcBorders>
            <w:shd w:val="clear" w:color="auto" w:fill="FFFFFF"/>
            <w:tcMar>
              <w:left w:w="67" w:type="dxa"/>
              <w:right w:w="67" w:type="dxa"/>
            </w:tcMar>
          </w:tcPr>
          <w:p w14:paraId="27F4E0A6"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0.588</w:t>
            </w:r>
          </w:p>
        </w:tc>
        <w:tc>
          <w:tcPr>
            <w:tcW w:w="1102" w:type="dxa"/>
            <w:gridSpan w:val="2"/>
            <w:tcBorders>
              <w:top w:val="nil"/>
              <w:left w:val="nil"/>
              <w:bottom w:val="nil"/>
              <w:right w:val="nil"/>
            </w:tcBorders>
            <w:shd w:val="clear" w:color="auto" w:fill="FFFFFF"/>
            <w:tcMar>
              <w:left w:w="67" w:type="dxa"/>
              <w:right w:w="67" w:type="dxa"/>
            </w:tcMar>
          </w:tcPr>
          <w:p w14:paraId="785B07A2"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1.83</w:t>
            </w:r>
          </w:p>
        </w:tc>
        <w:tc>
          <w:tcPr>
            <w:tcW w:w="992" w:type="dxa"/>
            <w:tcBorders>
              <w:top w:val="nil"/>
              <w:left w:val="nil"/>
              <w:bottom w:val="nil"/>
              <w:right w:val="nil"/>
            </w:tcBorders>
            <w:shd w:val="clear" w:color="auto" w:fill="FFFFFF"/>
            <w:tcMar>
              <w:left w:w="67" w:type="dxa"/>
              <w:right w:w="67" w:type="dxa"/>
            </w:tcMar>
          </w:tcPr>
          <w:p w14:paraId="5740CF0E"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0.9004</w:t>
            </w:r>
          </w:p>
        </w:tc>
        <w:tc>
          <w:tcPr>
            <w:tcW w:w="577" w:type="dxa"/>
            <w:tcBorders>
              <w:top w:val="nil"/>
              <w:left w:val="nil"/>
              <w:bottom w:val="nil"/>
              <w:right w:val="single" w:sz="4" w:space="0" w:color="auto"/>
            </w:tcBorders>
            <w:shd w:val="clear" w:color="auto" w:fill="FFFFFF"/>
            <w:tcMar>
              <w:left w:w="67" w:type="dxa"/>
              <w:right w:w="67" w:type="dxa"/>
            </w:tcMar>
          </w:tcPr>
          <w:p w14:paraId="6C543A01"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726</w:t>
            </w:r>
          </w:p>
        </w:tc>
      </w:tr>
      <w:tr w:rsidR="00E07CDE" w:rsidRPr="00563AD3" w14:paraId="7CF6BACE" w14:textId="77777777" w:rsidTr="000D3E11">
        <w:trPr>
          <w:gridAfter w:val="1"/>
          <w:wAfter w:w="11" w:type="dxa"/>
          <w:cantSplit/>
          <w:jc w:val="center"/>
        </w:trPr>
        <w:tc>
          <w:tcPr>
            <w:tcW w:w="2972" w:type="dxa"/>
            <w:tcBorders>
              <w:top w:val="nil"/>
              <w:left w:val="single" w:sz="4" w:space="0" w:color="auto"/>
              <w:bottom w:val="nil"/>
              <w:right w:val="nil"/>
            </w:tcBorders>
            <w:shd w:val="clear" w:color="auto" w:fill="FFFFFF"/>
            <w:tcMar>
              <w:left w:w="67" w:type="dxa"/>
              <w:right w:w="67" w:type="dxa"/>
            </w:tcMar>
          </w:tcPr>
          <w:p w14:paraId="627027CD" w14:textId="77777777" w:rsidR="00E07CDE" w:rsidRPr="00563AD3" w:rsidRDefault="00E07CDE" w:rsidP="006C0B32">
            <w:pPr>
              <w:keepNext/>
              <w:spacing w:before="67" w:after="67" w:line="240" w:lineRule="auto"/>
              <w:rPr>
                <w:rFonts w:eastAsia="Times New Roman"/>
                <w:color w:val="000000"/>
                <w:sz w:val="20"/>
                <w:szCs w:val="20"/>
              </w:rPr>
            </w:pPr>
            <w:r w:rsidRPr="00563AD3">
              <w:rPr>
                <w:rFonts w:eastAsia="Times New Roman"/>
                <w:color w:val="000000"/>
                <w:sz w:val="20"/>
                <w:szCs w:val="20"/>
              </w:rPr>
              <w:t>Apathy/indifference</w:t>
            </w:r>
          </w:p>
        </w:tc>
        <w:tc>
          <w:tcPr>
            <w:tcW w:w="4489" w:type="dxa"/>
            <w:gridSpan w:val="2"/>
            <w:tcBorders>
              <w:top w:val="nil"/>
              <w:left w:val="nil"/>
              <w:bottom w:val="nil"/>
              <w:right w:val="nil"/>
            </w:tcBorders>
            <w:shd w:val="clear" w:color="auto" w:fill="FFFFFF"/>
          </w:tcPr>
          <w:p w14:paraId="03B3D764"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Complete cases only</w:t>
            </w:r>
          </w:p>
        </w:tc>
        <w:tc>
          <w:tcPr>
            <w:tcW w:w="890" w:type="dxa"/>
            <w:gridSpan w:val="2"/>
            <w:tcBorders>
              <w:top w:val="nil"/>
              <w:left w:val="nil"/>
              <w:bottom w:val="nil"/>
              <w:right w:val="nil"/>
            </w:tcBorders>
            <w:shd w:val="clear" w:color="auto" w:fill="FFFFFF"/>
            <w:tcMar>
              <w:left w:w="67" w:type="dxa"/>
              <w:right w:w="67" w:type="dxa"/>
            </w:tcMar>
          </w:tcPr>
          <w:p w14:paraId="255ACABB"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0.601</w:t>
            </w:r>
          </w:p>
        </w:tc>
        <w:tc>
          <w:tcPr>
            <w:tcW w:w="890" w:type="dxa"/>
            <w:tcBorders>
              <w:top w:val="nil"/>
              <w:left w:val="nil"/>
              <w:bottom w:val="nil"/>
              <w:right w:val="nil"/>
            </w:tcBorders>
            <w:shd w:val="clear" w:color="auto" w:fill="FFFFFF"/>
            <w:tcMar>
              <w:left w:w="67" w:type="dxa"/>
              <w:right w:w="67" w:type="dxa"/>
            </w:tcMar>
          </w:tcPr>
          <w:p w14:paraId="272032A4"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0.322</w:t>
            </w:r>
          </w:p>
        </w:tc>
        <w:tc>
          <w:tcPr>
            <w:tcW w:w="1102" w:type="dxa"/>
            <w:gridSpan w:val="2"/>
            <w:tcBorders>
              <w:top w:val="nil"/>
              <w:left w:val="nil"/>
              <w:bottom w:val="nil"/>
              <w:right w:val="nil"/>
            </w:tcBorders>
            <w:shd w:val="clear" w:color="auto" w:fill="FFFFFF"/>
            <w:tcMar>
              <w:left w:w="67" w:type="dxa"/>
              <w:right w:w="67" w:type="dxa"/>
            </w:tcMar>
          </w:tcPr>
          <w:p w14:paraId="194374BA"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1.124</w:t>
            </w:r>
          </w:p>
        </w:tc>
        <w:tc>
          <w:tcPr>
            <w:tcW w:w="992" w:type="dxa"/>
            <w:tcBorders>
              <w:top w:val="nil"/>
              <w:left w:val="nil"/>
              <w:bottom w:val="nil"/>
              <w:right w:val="nil"/>
            </w:tcBorders>
            <w:shd w:val="clear" w:color="auto" w:fill="FFFFFF"/>
            <w:tcMar>
              <w:left w:w="67" w:type="dxa"/>
              <w:right w:w="67" w:type="dxa"/>
            </w:tcMar>
          </w:tcPr>
          <w:p w14:paraId="4BE1D16C"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0.1109</w:t>
            </w:r>
          </w:p>
        </w:tc>
        <w:tc>
          <w:tcPr>
            <w:tcW w:w="577" w:type="dxa"/>
            <w:tcBorders>
              <w:top w:val="nil"/>
              <w:left w:val="nil"/>
              <w:bottom w:val="nil"/>
              <w:right w:val="single" w:sz="4" w:space="0" w:color="auto"/>
            </w:tcBorders>
            <w:shd w:val="clear" w:color="auto" w:fill="FFFFFF"/>
            <w:tcMar>
              <w:left w:w="67" w:type="dxa"/>
              <w:right w:w="67" w:type="dxa"/>
            </w:tcMar>
          </w:tcPr>
          <w:p w14:paraId="312BEB82"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403</w:t>
            </w:r>
          </w:p>
        </w:tc>
      </w:tr>
      <w:tr w:rsidR="00E07CDE" w:rsidRPr="00563AD3" w14:paraId="66B224EB" w14:textId="77777777" w:rsidTr="000D3E11">
        <w:trPr>
          <w:gridAfter w:val="1"/>
          <w:wAfter w:w="11" w:type="dxa"/>
          <w:cantSplit/>
          <w:jc w:val="center"/>
        </w:trPr>
        <w:tc>
          <w:tcPr>
            <w:tcW w:w="2972" w:type="dxa"/>
            <w:tcBorders>
              <w:top w:val="nil"/>
              <w:left w:val="single" w:sz="4" w:space="0" w:color="auto"/>
              <w:bottom w:val="single" w:sz="4" w:space="0" w:color="auto"/>
              <w:right w:val="nil"/>
            </w:tcBorders>
            <w:shd w:val="clear" w:color="auto" w:fill="FFFFFF"/>
            <w:tcMar>
              <w:left w:w="67" w:type="dxa"/>
              <w:right w:w="67" w:type="dxa"/>
            </w:tcMar>
          </w:tcPr>
          <w:p w14:paraId="20697636" w14:textId="77777777" w:rsidR="00E07CDE" w:rsidRPr="00563AD3" w:rsidRDefault="00E07CDE" w:rsidP="006C0B32">
            <w:pPr>
              <w:spacing w:before="67" w:after="67" w:line="240" w:lineRule="auto"/>
              <w:rPr>
                <w:rFonts w:eastAsia="Times New Roman"/>
                <w:color w:val="000000"/>
                <w:sz w:val="20"/>
                <w:szCs w:val="20"/>
              </w:rPr>
            </w:pPr>
          </w:p>
        </w:tc>
        <w:tc>
          <w:tcPr>
            <w:tcW w:w="4489" w:type="dxa"/>
            <w:gridSpan w:val="2"/>
            <w:tcBorders>
              <w:top w:val="nil"/>
              <w:left w:val="nil"/>
              <w:bottom w:val="single" w:sz="4" w:space="0" w:color="auto"/>
              <w:right w:val="nil"/>
            </w:tcBorders>
            <w:shd w:val="clear" w:color="auto" w:fill="FFFFFF"/>
          </w:tcPr>
          <w:p w14:paraId="08E8B563"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Missing data imputed assuming MAR</w:t>
            </w:r>
          </w:p>
        </w:tc>
        <w:tc>
          <w:tcPr>
            <w:tcW w:w="890" w:type="dxa"/>
            <w:gridSpan w:val="2"/>
            <w:tcBorders>
              <w:top w:val="nil"/>
              <w:left w:val="nil"/>
              <w:bottom w:val="single" w:sz="4" w:space="0" w:color="auto"/>
              <w:right w:val="nil"/>
            </w:tcBorders>
            <w:shd w:val="clear" w:color="auto" w:fill="FFFFFF"/>
            <w:tcMar>
              <w:left w:w="67" w:type="dxa"/>
              <w:right w:w="67" w:type="dxa"/>
            </w:tcMar>
          </w:tcPr>
          <w:p w14:paraId="62833A2E"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0.601</w:t>
            </w:r>
          </w:p>
        </w:tc>
        <w:tc>
          <w:tcPr>
            <w:tcW w:w="890" w:type="dxa"/>
            <w:tcBorders>
              <w:top w:val="nil"/>
              <w:left w:val="nil"/>
              <w:bottom w:val="single" w:sz="4" w:space="0" w:color="auto"/>
              <w:right w:val="nil"/>
            </w:tcBorders>
            <w:shd w:val="clear" w:color="auto" w:fill="FFFFFF"/>
            <w:tcMar>
              <w:left w:w="67" w:type="dxa"/>
              <w:right w:w="67" w:type="dxa"/>
            </w:tcMar>
          </w:tcPr>
          <w:p w14:paraId="5F5BDEC9"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0.38</w:t>
            </w:r>
          </w:p>
        </w:tc>
        <w:tc>
          <w:tcPr>
            <w:tcW w:w="1102" w:type="dxa"/>
            <w:gridSpan w:val="2"/>
            <w:tcBorders>
              <w:top w:val="nil"/>
              <w:left w:val="nil"/>
              <w:bottom w:val="single" w:sz="4" w:space="0" w:color="auto"/>
              <w:right w:val="nil"/>
            </w:tcBorders>
            <w:shd w:val="clear" w:color="auto" w:fill="FFFFFF"/>
            <w:tcMar>
              <w:left w:w="67" w:type="dxa"/>
              <w:right w:w="67" w:type="dxa"/>
            </w:tcMar>
          </w:tcPr>
          <w:p w14:paraId="627EAA52"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0.952</w:t>
            </w:r>
          </w:p>
        </w:tc>
        <w:tc>
          <w:tcPr>
            <w:tcW w:w="992" w:type="dxa"/>
            <w:tcBorders>
              <w:top w:val="nil"/>
              <w:left w:val="nil"/>
              <w:bottom w:val="single" w:sz="4" w:space="0" w:color="auto"/>
              <w:right w:val="nil"/>
            </w:tcBorders>
            <w:shd w:val="clear" w:color="auto" w:fill="FFFFFF"/>
            <w:tcMar>
              <w:left w:w="67" w:type="dxa"/>
              <w:right w:w="67" w:type="dxa"/>
            </w:tcMar>
          </w:tcPr>
          <w:p w14:paraId="3058FBCF"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0.0302</w:t>
            </w:r>
          </w:p>
        </w:tc>
        <w:tc>
          <w:tcPr>
            <w:tcW w:w="577" w:type="dxa"/>
            <w:tcBorders>
              <w:top w:val="nil"/>
              <w:left w:val="nil"/>
              <w:bottom w:val="single" w:sz="4" w:space="0" w:color="auto"/>
              <w:right w:val="single" w:sz="4" w:space="0" w:color="auto"/>
            </w:tcBorders>
            <w:shd w:val="clear" w:color="auto" w:fill="FFFFFF"/>
            <w:tcMar>
              <w:left w:w="67" w:type="dxa"/>
              <w:right w:w="67" w:type="dxa"/>
            </w:tcMar>
          </w:tcPr>
          <w:p w14:paraId="60C0FCE1" w14:textId="77777777" w:rsidR="00E07CDE" w:rsidRPr="00563AD3" w:rsidRDefault="00E07CDE" w:rsidP="006C0B32">
            <w:pPr>
              <w:spacing w:before="67" w:after="67" w:line="240" w:lineRule="auto"/>
              <w:jc w:val="right"/>
              <w:rPr>
                <w:rFonts w:eastAsia="Times New Roman"/>
                <w:color w:val="000000"/>
                <w:sz w:val="20"/>
                <w:szCs w:val="20"/>
              </w:rPr>
            </w:pPr>
            <w:r w:rsidRPr="00563AD3">
              <w:rPr>
                <w:rFonts w:eastAsia="Times New Roman"/>
                <w:color w:val="000000"/>
                <w:sz w:val="20"/>
                <w:szCs w:val="20"/>
              </w:rPr>
              <w:t>726</w:t>
            </w:r>
          </w:p>
        </w:tc>
      </w:tr>
    </w:tbl>
    <w:p w14:paraId="5B3F3BC3" w14:textId="77777777" w:rsidR="00E07CDE" w:rsidRPr="00563AD3" w:rsidRDefault="00E07CDE" w:rsidP="009B13F3">
      <w:pPr>
        <w:autoSpaceDE/>
        <w:autoSpaceDN/>
        <w:adjustRightInd/>
        <w:spacing w:before="120" w:after="0"/>
        <w:rPr>
          <w:rFonts w:eastAsia="Calibri"/>
          <w:sz w:val="24"/>
          <w:szCs w:val="24"/>
          <w:lang w:eastAsia="en-US"/>
        </w:rPr>
      </w:pPr>
    </w:p>
    <w:p w14:paraId="39DFACC0" w14:textId="77777777" w:rsidR="006C0B32" w:rsidRDefault="006C0B32">
      <w:pPr>
        <w:autoSpaceDE/>
        <w:autoSpaceDN/>
        <w:adjustRightInd/>
        <w:spacing w:line="259" w:lineRule="auto"/>
        <w:rPr>
          <w:rFonts w:eastAsia="Calibri"/>
          <w:b/>
          <w:lang w:eastAsia="en-US"/>
        </w:rPr>
      </w:pPr>
      <w:bookmarkStart w:id="338" w:name="_Toc500102596"/>
      <w:bookmarkStart w:id="339" w:name="_Toc500935031"/>
      <w:r>
        <w:rPr>
          <w:rFonts w:eastAsia="Calibri"/>
          <w:lang w:eastAsia="en-US"/>
        </w:rPr>
        <w:br w:type="page"/>
      </w:r>
    </w:p>
    <w:p w14:paraId="23E4935D" w14:textId="4DF89B4E" w:rsidR="00E07CDE" w:rsidRPr="00563AD3" w:rsidRDefault="00E07CDE" w:rsidP="006C0B32">
      <w:pPr>
        <w:pStyle w:val="Tableheading"/>
        <w:rPr>
          <w:rFonts w:eastAsia="Calibri"/>
          <w:lang w:eastAsia="en-US"/>
        </w:rPr>
      </w:pPr>
      <w:bookmarkStart w:id="340" w:name="_Toc948252"/>
      <w:r w:rsidRPr="00563AD3">
        <w:rPr>
          <w:rFonts w:eastAsia="Calibri"/>
          <w:lang w:eastAsia="en-US"/>
        </w:rPr>
        <w:t xml:space="preserve">Table </w:t>
      </w:r>
      <w:r w:rsidR="005B29F6">
        <w:rPr>
          <w:rFonts w:eastAsia="Calibri"/>
          <w:lang w:eastAsia="en-US"/>
        </w:rPr>
        <w:t>55</w:t>
      </w:r>
      <w:r w:rsidR="005B29F6" w:rsidRPr="00563AD3">
        <w:rPr>
          <w:rFonts w:eastAsia="Calibri"/>
          <w:lang w:eastAsia="en-US"/>
        </w:rPr>
        <w:t xml:space="preserve"> </w:t>
      </w:r>
      <w:r w:rsidRPr="00563AD3">
        <w:rPr>
          <w:rFonts w:eastAsia="Calibri"/>
          <w:lang w:eastAsia="en-US"/>
        </w:rPr>
        <w:t>Behaviours staff find challenging, medications and mo</w:t>
      </w:r>
      <w:r w:rsidR="000D3E11">
        <w:rPr>
          <w:rFonts w:eastAsia="Calibri"/>
          <w:lang w:eastAsia="en-US"/>
        </w:rPr>
        <w:t>od (based on NPI domains) at 16-</w:t>
      </w:r>
      <w:r w:rsidRPr="00563AD3">
        <w:rPr>
          <w:rFonts w:eastAsia="Calibri"/>
          <w:lang w:eastAsia="en-US"/>
        </w:rPr>
        <w:t>months</w:t>
      </w:r>
      <w:bookmarkEnd w:id="338"/>
      <w:bookmarkEnd w:id="339"/>
      <w:bookmarkEnd w:id="340"/>
    </w:p>
    <w:tbl>
      <w:tblPr>
        <w:tblW w:w="0" w:type="auto"/>
        <w:jc w:val="center"/>
        <w:tblLayout w:type="fixed"/>
        <w:tblCellMar>
          <w:left w:w="0" w:type="dxa"/>
          <w:right w:w="0" w:type="dxa"/>
        </w:tblCellMar>
        <w:tblLook w:val="0000" w:firstRow="0" w:lastRow="0" w:firstColumn="0" w:lastColumn="0" w:noHBand="0" w:noVBand="0"/>
      </w:tblPr>
      <w:tblGrid>
        <w:gridCol w:w="2836"/>
        <w:gridCol w:w="3963"/>
        <w:gridCol w:w="993"/>
        <w:gridCol w:w="1134"/>
        <w:gridCol w:w="992"/>
        <w:gridCol w:w="850"/>
        <w:gridCol w:w="567"/>
      </w:tblGrid>
      <w:tr w:rsidR="00E07CDE" w:rsidRPr="00563AD3" w14:paraId="07B772B1" w14:textId="77777777" w:rsidTr="00C163F3">
        <w:trPr>
          <w:cantSplit/>
          <w:tblHeader/>
          <w:jc w:val="center"/>
        </w:trPr>
        <w:tc>
          <w:tcPr>
            <w:tcW w:w="11335" w:type="dxa"/>
            <w:gridSpan w:val="7"/>
            <w:tcBorders>
              <w:top w:val="single" w:sz="4" w:space="0" w:color="auto"/>
              <w:left w:val="single" w:sz="4" w:space="0" w:color="auto"/>
              <w:right w:val="single" w:sz="4" w:space="0" w:color="auto"/>
            </w:tcBorders>
            <w:shd w:val="clear" w:color="auto" w:fill="FFFFFF"/>
          </w:tcPr>
          <w:p w14:paraId="12F6235D" w14:textId="4F48B29D" w:rsidR="00E07CDE" w:rsidRPr="000D3E11" w:rsidRDefault="00E07CDE" w:rsidP="006C0B32">
            <w:pPr>
              <w:keepNext/>
              <w:spacing w:before="67" w:after="67" w:line="240" w:lineRule="auto"/>
              <w:jc w:val="center"/>
              <w:rPr>
                <w:rFonts w:eastAsia="Times New Roman"/>
                <w:b/>
                <w:bCs/>
                <w:color w:val="000000"/>
                <w:sz w:val="16"/>
                <w:szCs w:val="16"/>
              </w:rPr>
            </w:pPr>
            <w:r w:rsidRPr="000D3E11">
              <w:rPr>
                <w:rFonts w:eastAsia="Times New Roman"/>
                <w:b/>
                <w:bCs/>
                <w:color w:val="000000"/>
                <w:sz w:val="16"/>
                <w:szCs w:val="16"/>
              </w:rPr>
              <w:t>Cross-sectional sample – behaviours staff find challenging, me</w:t>
            </w:r>
            <w:r w:rsidR="000D3E11" w:rsidRPr="000D3E11">
              <w:rPr>
                <w:rFonts w:eastAsia="Times New Roman"/>
                <w:b/>
                <w:bCs/>
                <w:color w:val="000000"/>
                <w:sz w:val="16"/>
                <w:szCs w:val="16"/>
              </w:rPr>
              <w:t>dications, mood at 16-</w:t>
            </w:r>
            <w:r w:rsidRPr="000D3E11">
              <w:rPr>
                <w:rFonts w:eastAsia="Times New Roman"/>
                <w:b/>
                <w:bCs/>
                <w:color w:val="000000"/>
                <w:sz w:val="16"/>
                <w:szCs w:val="16"/>
              </w:rPr>
              <w:t>months</w:t>
            </w:r>
          </w:p>
        </w:tc>
      </w:tr>
      <w:tr w:rsidR="00E07CDE" w:rsidRPr="00563AD3" w14:paraId="305FCDFD" w14:textId="77777777" w:rsidTr="000D3E11">
        <w:trPr>
          <w:cantSplit/>
          <w:tblHeader/>
          <w:jc w:val="center"/>
        </w:trPr>
        <w:tc>
          <w:tcPr>
            <w:tcW w:w="2836" w:type="dxa"/>
            <w:tcBorders>
              <w:left w:val="single" w:sz="4" w:space="0" w:color="auto"/>
              <w:bottom w:val="single" w:sz="4" w:space="0" w:color="000000"/>
              <w:right w:val="nil"/>
            </w:tcBorders>
            <w:shd w:val="clear" w:color="auto" w:fill="FFFFFF"/>
            <w:tcMar>
              <w:left w:w="67" w:type="dxa"/>
              <w:right w:w="67" w:type="dxa"/>
            </w:tcMar>
            <w:vAlign w:val="bottom"/>
          </w:tcPr>
          <w:p w14:paraId="23B7A3DA" w14:textId="77777777" w:rsidR="00E07CDE" w:rsidRPr="000D3E11" w:rsidRDefault="00E07CDE" w:rsidP="006C0B32">
            <w:pPr>
              <w:keepNext/>
              <w:spacing w:before="67" w:after="67" w:line="240" w:lineRule="auto"/>
              <w:rPr>
                <w:rFonts w:eastAsia="Times New Roman"/>
                <w:b/>
                <w:bCs/>
                <w:color w:val="000000"/>
                <w:sz w:val="16"/>
                <w:szCs w:val="16"/>
              </w:rPr>
            </w:pPr>
          </w:p>
        </w:tc>
        <w:tc>
          <w:tcPr>
            <w:tcW w:w="3963" w:type="dxa"/>
            <w:tcBorders>
              <w:left w:val="nil"/>
              <w:bottom w:val="single" w:sz="4" w:space="0" w:color="000000"/>
              <w:right w:val="nil"/>
            </w:tcBorders>
            <w:shd w:val="clear" w:color="auto" w:fill="FFFFFF"/>
          </w:tcPr>
          <w:p w14:paraId="5715BAD6" w14:textId="77777777" w:rsidR="00E07CDE" w:rsidRPr="000D3E11" w:rsidRDefault="00E07CDE" w:rsidP="006C0B32">
            <w:pPr>
              <w:keepNext/>
              <w:spacing w:before="67" w:after="67" w:line="240" w:lineRule="auto"/>
              <w:rPr>
                <w:rFonts w:eastAsia="Times New Roman"/>
                <w:b/>
                <w:bCs/>
                <w:color w:val="000000"/>
                <w:sz w:val="16"/>
                <w:szCs w:val="16"/>
              </w:rPr>
            </w:pPr>
          </w:p>
          <w:p w14:paraId="77AD7902" w14:textId="77777777" w:rsidR="00E07CDE" w:rsidRPr="000D3E11" w:rsidRDefault="00E07CDE" w:rsidP="006C0B32">
            <w:pPr>
              <w:keepNext/>
              <w:spacing w:before="67" w:after="67" w:line="240" w:lineRule="auto"/>
              <w:rPr>
                <w:rFonts w:eastAsia="Times New Roman"/>
                <w:b/>
                <w:bCs/>
                <w:color w:val="000000"/>
                <w:sz w:val="16"/>
                <w:szCs w:val="16"/>
              </w:rPr>
            </w:pPr>
          </w:p>
          <w:p w14:paraId="550836B0" w14:textId="77777777" w:rsidR="00E07CDE" w:rsidRPr="000D3E11" w:rsidRDefault="00E07CDE" w:rsidP="006C0B32">
            <w:pPr>
              <w:keepNext/>
              <w:spacing w:before="67" w:after="67" w:line="240" w:lineRule="auto"/>
              <w:rPr>
                <w:rFonts w:eastAsia="Times New Roman"/>
                <w:b/>
                <w:bCs/>
                <w:color w:val="000000"/>
                <w:sz w:val="16"/>
                <w:szCs w:val="16"/>
              </w:rPr>
            </w:pPr>
            <w:r w:rsidRPr="000D3E11">
              <w:rPr>
                <w:rFonts w:eastAsia="Times New Roman"/>
                <w:b/>
                <w:bCs/>
                <w:color w:val="000000"/>
                <w:sz w:val="16"/>
                <w:szCs w:val="16"/>
              </w:rPr>
              <w:t>Logistic regression models</w:t>
            </w:r>
          </w:p>
        </w:tc>
        <w:tc>
          <w:tcPr>
            <w:tcW w:w="993" w:type="dxa"/>
            <w:tcBorders>
              <w:left w:val="nil"/>
              <w:bottom w:val="single" w:sz="4" w:space="0" w:color="000000"/>
              <w:right w:val="nil"/>
            </w:tcBorders>
            <w:shd w:val="clear" w:color="auto" w:fill="FFFFFF"/>
            <w:tcMar>
              <w:left w:w="67" w:type="dxa"/>
              <w:right w:w="67" w:type="dxa"/>
            </w:tcMar>
            <w:vAlign w:val="bottom"/>
          </w:tcPr>
          <w:p w14:paraId="3726EC9C" w14:textId="77777777" w:rsidR="00E07CDE" w:rsidRPr="000D3E11" w:rsidRDefault="00E07CDE" w:rsidP="006C0B32">
            <w:pPr>
              <w:keepNext/>
              <w:spacing w:before="67" w:after="67" w:line="240" w:lineRule="auto"/>
              <w:jc w:val="center"/>
              <w:rPr>
                <w:rFonts w:eastAsia="Times New Roman"/>
                <w:b/>
                <w:bCs/>
                <w:color w:val="000000"/>
                <w:sz w:val="16"/>
                <w:szCs w:val="16"/>
              </w:rPr>
            </w:pPr>
            <w:r w:rsidRPr="000D3E11">
              <w:rPr>
                <w:rFonts w:eastAsia="Times New Roman"/>
                <w:b/>
                <w:bCs/>
                <w:color w:val="000000"/>
                <w:sz w:val="16"/>
                <w:szCs w:val="16"/>
              </w:rPr>
              <w:t>Treatment odds ratio (treated</w:t>
            </w:r>
            <w:r w:rsidRPr="000D3E11">
              <w:rPr>
                <w:rFonts w:eastAsia="Times New Roman"/>
                <w:b/>
                <w:bCs/>
                <w:color w:val="000000"/>
                <w:sz w:val="16"/>
                <w:szCs w:val="16"/>
              </w:rPr>
              <w:br/>
              <w:t>control)</w:t>
            </w:r>
          </w:p>
        </w:tc>
        <w:tc>
          <w:tcPr>
            <w:tcW w:w="1134" w:type="dxa"/>
            <w:tcBorders>
              <w:left w:val="nil"/>
              <w:bottom w:val="single" w:sz="4" w:space="0" w:color="000000"/>
              <w:right w:val="nil"/>
            </w:tcBorders>
            <w:shd w:val="clear" w:color="auto" w:fill="FFFFFF"/>
            <w:tcMar>
              <w:left w:w="67" w:type="dxa"/>
              <w:right w:w="67" w:type="dxa"/>
            </w:tcMar>
            <w:vAlign w:val="bottom"/>
          </w:tcPr>
          <w:p w14:paraId="6B4FDB03" w14:textId="77777777" w:rsidR="00E07CDE" w:rsidRPr="000D3E11" w:rsidRDefault="00E07CDE" w:rsidP="006C0B32">
            <w:pPr>
              <w:keepNext/>
              <w:spacing w:before="67" w:after="67" w:line="240" w:lineRule="auto"/>
              <w:jc w:val="center"/>
              <w:rPr>
                <w:rFonts w:eastAsia="Times New Roman"/>
                <w:b/>
                <w:bCs/>
                <w:color w:val="000000"/>
                <w:sz w:val="16"/>
                <w:szCs w:val="16"/>
              </w:rPr>
            </w:pPr>
            <w:r w:rsidRPr="000D3E11">
              <w:rPr>
                <w:rFonts w:eastAsia="Times New Roman"/>
                <w:b/>
                <w:bCs/>
                <w:color w:val="000000"/>
                <w:sz w:val="16"/>
                <w:szCs w:val="16"/>
              </w:rPr>
              <w:t>Lower 95% confidence limit</w:t>
            </w:r>
          </w:p>
        </w:tc>
        <w:tc>
          <w:tcPr>
            <w:tcW w:w="992" w:type="dxa"/>
            <w:tcBorders>
              <w:left w:val="nil"/>
              <w:bottom w:val="single" w:sz="4" w:space="0" w:color="000000"/>
              <w:right w:val="nil"/>
            </w:tcBorders>
            <w:shd w:val="clear" w:color="auto" w:fill="FFFFFF"/>
            <w:tcMar>
              <w:left w:w="67" w:type="dxa"/>
              <w:right w:w="67" w:type="dxa"/>
            </w:tcMar>
            <w:vAlign w:val="bottom"/>
          </w:tcPr>
          <w:p w14:paraId="7191E0B9" w14:textId="77777777" w:rsidR="00E07CDE" w:rsidRPr="000D3E11" w:rsidRDefault="00E07CDE" w:rsidP="006C0B32">
            <w:pPr>
              <w:keepNext/>
              <w:spacing w:before="67" w:after="67" w:line="240" w:lineRule="auto"/>
              <w:jc w:val="center"/>
              <w:rPr>
                <w:rFonts w:eastAsia="Times New Roman"/>
                <w:b/>
                <w:bCs/>
                <w:color w:val="000000"/>
                <w:sz w:val="16"/>
                <w:szCs w:val="16"/>
              </w:rPr>
            </w:pPr>
            <w:r w:rsidRPr="000D3E11">
              <w:rPr>
                <w:rFonts w:eastAsia="Times New Roman"/>
                <w:b/>
                <w:bCs/>
                <w:color w:val="000000"/>
                <w:sz w:val="16"/>
                <w:szCs w:val="16"/>
              </w:rPr>
              <w:t>Upper 95% confidence limit</w:t>
            </w:r>
          </w:p>
        </w:tc>
        <w:tc>
          <w:tcPr>
            <w:tcW w:w="850" w:type="dxa"/>
            <w:tcBorders>
              <w:left w:val="nil"/>
              <w:bottom w:val="single" w:sz="4" w:space="0" w:color="000000"/>
              <w:right w:val="nil"/>
            </w:tcBorders>
            <w:shd w:val="clear" w:color="auto" w:fill="FFFFFF"/>
            <w:tcMar>
              <w:left w:w="67" w:type="dxa"/>
              <w:right w:w="67" w:type="dxa"/>
            </w:tcMar>
            <w:vAlign w:val="bottom"/>
          </w:tcPr>
          <w:p w14:paraId="046702EF" w14:textId="77777777" w:rsidR="00E07CDE" w:rsidRPr="000D3E11" w:rsidRDefault="00E07CDE" w:rsidP="006C0B32">
            <w:pPr>
              <w:keepNext/>
              <w:spacing w:before="67" w:after="67" w:line="240" w:lineRule="auto"/>
              <w:jc w:val="center"/>
              <w:rPr>
                <w:rFonts w:eastAsia="Times New Roman"/>
                <w:b/>
                <w:bCs/>
                <w:color w:val="000000"/>
                <w:sz w:val="16"/>
                <w:szCs w:val="16"/>
              </w:rPr>
            </w:pPr>
            <w:r w:rsidRPr="000D3E11">
              <w:rPr>
                <w:rFonts w:eastAsia="Times New Roman"/>
                <w:b/>
                <w:bCs/>
                <w:color w:val="000000"/>
                <w:sz w:val="16"/>
                <w:szCs w:val="16"/>
              </w:rPr>
              <w:t>p-value</w:t>
            </w:r>
          </w:p>
        </w:tc>
        <w:tc>
          <w:tcPr>
            <w:tcW w:w="567" w:type="dxa"/>
            <w:tcBorders>
              <w:left w:val="nil"/>
              <w:bottom w:val="single" w:sz="4" w:space="0" w:color="000000"/>
              <w:right w:val="single" w:sz="4" w:space="0" w:color="auto"/>
            </w:tcBorders>
            <w:shd w:val="clear" w:color="auto" w:fill="FFFFFF"/>
            <w:tcMar>
              <w:left w:w="67" w:type="dxa"/>
              <w:right w:w="67" w:type="dxa"/>
            </w:tcMar>
            <w:vAlign w:val="bottom"/>
          </w:tcPr>
          <w:p w14:paraId="7EE849AF" w14:textId="77777777" w:rsidR="00E07CDE" w:rsidRPr="000D3E11" w:rsidRDefault="00E07CDE" w:rsidP="006C0B32">
            <w:pPr>
              <w:keepNext/>
              <w:spacing w:before="67" w:after="67" w:line="240" w:lineRule="auto"/>
              <w:jc w:val="center"/>
              <w:rPr>
                <w:rFonts w:eastAsia="Times New Roman"/>
                <w:b/>
                <w:bCs/>
                <w:color w:val="000000"/>
                <w:sz w:val="16"/>
                <w:szCs w:val="16"/>
              </w:rPr>
            </w:pPr>
            <w:r w:rsidRPr="000D3E11">
              <w:rPr>
                <w:rFonts w:eastAsia="Times New Roman"/>
                <w:b/>
                <w:bCs/>
                <w:color w:val="000000"/>
                <w:sz w:val="16"/>
                <w:szCs w:val="16"/>
              </w:rPr>
              <w:t>N</w:t>
            </w:r>
          </w:p>
        </w:tc>
      </w:tr>
      <w:tr w:rsidR="00E07CDE" w:rsidRPr="00563AD3" w14:paraId="5CF693F2" w14:textId="77777777" w:rsidTr="000D3E11">
        <w:trPr>
          <w:cantSplit/>
          <w:jc w:val="center"/>
        </w:trPr>
        <w:tc>
          <w:tcPr>
            <w:tcW w:w="2836" w:type="dxa"/>
            <w:vMerge w:val="restart"/>
            <w:tcBorders>
              <w:top w:val="nil"/>
              <w:left w:val="single" w:sz="4" w:space="0" w:color="auto"/>
              <w:right w:val="nil"/>
            </w:tcBorders>
            <w:shd w:val="clear" w:color="auto" w:fill="FFFFFF"/>
            <w:tcMar>
              <w:left w:w="67" w:type="dxa"/>
              <w:right w:w="67" w:type="dxa"/>
            </w:tcMar>
          </w:tcPr>
          <w:p w14:paraId="666E2FDC"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 xml:space="preserve">Behaviours staff find challenging </w:t>
            </w:r>
          </w:p>
          <w:p w14:paraId="2C2EF9AB" w14:textId="77777777" w:rsidR="00E07CDE" w:rsidRPr="000D3E11" w:rsidRDefault="00E07CDE" w:rsidP="006C0B32">
            <w:pPr>
              <w:spacing w:before="67" w:after="67" w:line="240" w:lineRule="auto"/>
              <w:rPr>
                <w:rFonts w:eastAsia="Times New Roman"/>
                <w:color w:val="000000"/>
                <w:sz w:val="18"/>
                <w:szCs w:val="18"/>
              </w:rPr>
            </w:pPr>
          </w:p>
        </w:tc>
        <w:tc>
          <w:tcPr>
            <w:tcW w:w="3963" w:type="dxa"/>
            <w:tcBorders>
              <w:top w:val="nil"/>
              <w:left w:val="nil"/>
              <w:bottom w:val="nil"/>
              <w:right w:val="nil"/>
            </w:tcBorders>
            <w:shd w:val="clear" w:color="auto" w:fill="FFFFFF"/>
          </w:tcPr>
          <w:p w14:paraId="212CDA6F" w14:textId="77777777" w:rsidR="00E07CDE" w:rsidRPr="000D3E11" w:rsidRDefault="00E07CDE" w:rsidP="006C0B32">
            <w:pPr>
              <w:tabs>
                <w:tab w:val="left" w:pos="360"/>
              </w:tabs>
              <w:spacing w:before="67" w:after="67" w:line="240" w:lineRule="auto"/>
              <w:rPr>
                <w:rFonts w:eastAsia="Times New Roman"/>
                <w:color w:val="000000"/>
                <w:sz w:val="18"/>
                <w:szCs w:val="18"/>
              </w:rPr>
            </w:pPr>
            <w:r w:rsidRPr="000D3E11">
              <w:rPr>
                <w:rFonts w:eastAsia="Times New Roman"/>
                <w:color w:val="000000"/>
                <w:sz w:val="18"/>
                <w:szCs w:val="18"/>
              </w:rPr>
              <w:t>Complete cases only</w:t>
            </w:r>
          </w:p>
        </w:tc>
        <w:tc>
          <w:tcPr>
            <w:tcW w:w="993" w:type="dxa"/>
            <w:tcBorders>
              <w:top w:val="nil"/>
              <w:left w:val="nil"/>
              <w:bottom w:val="nil"/>
              <w:right w:val="nil"/>
            </w:tcBorders>
            <w:shd w:val="clear" w:color="auto" w:fill="FFFFFF"/>
            <w:tcMar>
              <w:left w:w="67" w:type="dxa"/>
              <w:right w:w="67" w:type="dxa"/>
            </w:tcMar>
          </w:tcPr>
          <w:p w14:paraId="50C48879"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0.723</w:t>
            </w:r>
          </w:p>
        </w:tc>
        <w:tc>
          <w:tcPr>
            <w:tcW w:w="1134" w:type="dxa"/>
            <w:tcBorders>
              <w:top w:val="nil"/>
              <w:left w:val="nil"/>
              <w:bottom w:val="nil"/>
              <w:right w:val="nil"/>
            </w:tcBorders>
            <w:shd w:val="clear" w:color="auto" w:fill="FFFFFF"/>
            <w:tcMar>
              <w:left w:w="67" w:type="dxa"/>
              <w:right w:w="67" w:type="dxa"/>
            </w:tcMar>
          </w:tcPr>
          <w:p w14:paraId="1EB473FC"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0.481</w:t>
            </w:r>
          </w:p>
        </w:tc>
        <w:tc>
          <w:tcPr>
            <w:tcW w:w="992" w:type="dxa"/>
            <w:tcBorders>
              <w:top w:val="nil"/>
              <w:left w:val="nil"/>
              <w:bottom w:val="nil"/>
              <w:right w:val="nil"/>
            </w:tcBorders>
            <w:shd w:val="clear" w:color="auto" w:fill="FFFFFF"/>
            <w:tcMar>
              <w:left w:w="67" w:type="dxa"/>
              <w:right w:w="67" w:type="dxa"/>
            </w:tcMar>
          </w:tcPr>
          <w:p w14:paraId="0BD23EDA"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1.088</w:t>
            </w:r>
          </w:p>
        </w:tc>
        <w:tc>
          <w:tcPr>
            <w:tcW w:w="850" w:type="dxa"/>
            <w:tcBorders>
              <w:top w:val="nil"/>
              <w:left w:val="nil"/>
              <w:bottom w:val="nil"/>
              <w:right w:val="nil"/>
            </w:tcBorders>
            <w:shd w:val="clear" w:color="auto" w:fill="FFFFFF"/>
            <w:tcMar>
              <w:left w:w="67" w:type="dxa"/>
              <w:right w:w="67" w:type="dxa"/>
            </w:tcMar>
          </w:tcPr>
          <w:p w14:paraId="1BC1DC6E"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0.1198</w:t>
            </w:r>
          </w:p>
        </w:tc>
        <w:tc>
          <w:tcPr>
            <w:tcW w:w="567" w:type="dxa"/>
            <w:tcBorders>
              <w:top w:val="nil"/>
              <w:left w:val="nil"/>
              <w:bottom w:val="nil"/>
              <w:right w:val="single" w:sz="4" w:space="0" w:color="auto"/>
            </w:tcBorders>
            <w:shd w:val="clear" w:color="auto" w:fill="FFFFFF"/>
            <w:tcMar>
              <w:left w:w="67" w:type="dxa"/>
              <w:right w:w="67" w:type="dxa"/>
            </w:tcMar>
          </w:tcPr>
          <w:p w14:paraId="77323A61"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668</w:t>
            </w:r>
          </w:p>
        </w:tc>
      </w:tr>
      <w:tr w:rsidR="00E07CDE" w:rsidRPr="00563AD3" w14:paraId="0FC904B0" w14:textId="77777777" w:rsidTr="000D3E11">
        <w:trPr>
          <w:cantSplit/>
          <w:jc w:val="center"/>
        </w:trPr>
        <w:tc>
          <w:tcPr>
            <w:tcW w:w="2836" w:type="dxa"/>
            <w:vMerge/>
            <w:tcBorders>
              <w:left w:val="single" w:sz="4" w:space="0" w:color="auto"/>
              <w:right w:val="nil"/>
            </w:tcBorders>
            <w:shd w:val="clear" w:color="auto" w:fill="FFFFFF"/>
            <w:tcMar>
              <w:left w:w="67" w:type="dxa"/>
              <w:right w:w="67" w:type="dxa"/>
            </w:tcMar>
          </w:tcPr>
          <w:p w14:paraId="7A969CBA" w14:textId="77777777" w:rsidR="00E07CDE" w:rsidRPr="000D3E11" w:rsidRDefault="00E07CDE" w:rsidP="006C0B32">
            <w:pPr>
              <w:spacing w:before="67" w:after="67" w:line="240" w:lineRule="auto"/>
              <w:rPr>
                <w:rFonts w:eastAsia="Times New Roman"/>
                <w:color w:val="000000"/>
                <w:sz w:val="18"/>
                <w:szCs w:val="18"/>
              </w:rPr>
            </w:pPr>
          </w:p>
        </w:tc>
        <w:tc>
          <w:tcPr>
            <w:tcW w:w="3963" w:type="dxa"/>
            <w:tcBorders>
              <w:top w:val="nil"/>
              <w:left w:val="nil"/>
              <w:bottom w:val="nil"/>
              <w:right w:val="nil"/>
            </w:tcBorders>
            <w:shd w:val="clear" w:color="auto" w:fill="FFFFFF"/>
          </w:tcPr>
          <w:p w14:paraId="7F078866"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Missing data imputed assuming MAR</w:t>
            </w:r>
          </w:p>
        </w:tc>
        <w:tc>
          <w:tcPr>
            <w:tcW w:w="993" w:type="dxa"/>
            <w:tcBorders>
              <w:top w:val="nil"/>
              <w:left w:val="nil"/>
              <w:bottom w:val="nil"/>
              <w:right w:val="nil"/>
            </w:tcBorders>
            <w:shd w:val="clear" w:color="auto" w:fill="FFFFFF"/>
            <w:tcMar>
              <w:left w:w="67" w:type="dxa"/>
              <w:right w:w="67" w:type="dxa"/>
            </w:tcMar>
          </w:tcPr>
          <w:p w14:paraId="5F08A292"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0.720</w:t>
            </w:r>
          </w:p>
        </w:tc>
        <w:tc>
          <w:tcPr>
            <w:tcW w:w="1134" w:type="dxa"/>
            <w:tcBorders>
              <w:top w:val="nil"/>
              <w:left w:val="nil"/>
              <w:bottom w:val="nil"/>
              <w:right w:val="nil"/>
            </w:tcBorders>
            <w:shd w:val="clear" w:color="auto" w:fill="FFFFFF"/>
            <w:tcMar>
              <w:left w:w="67" w:type="dxa"/>
              <w:right w:w="67" w:type="dxa"/>
            </w:tcMar>
          </w:tcPr>
          <w:p w14:paraId="69519C12"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0.479</w:t>
            </w:r>
          </w:p>
        </w:tc>
        <w:tc>
          <w:tcPr>
            <w:tcW w:w="992" w:type="dxa"/>
            <w:tcBorders>
              <w:top w:val="nil"/>
              <w:left w:val="nil"/>
              <w:bottom w:val="nil"/>
              <w:right w:val="nil"/>
            </w:tcBorders>
            <w:shd w:val="clear" w:color="auto" w:fill="FFFFFF"/>
            <w:tcMar>
              <w:left w:w="67" w:type="dxa"/>
              <w:right w:w="67" w:type="dxa"/>
            </w:tcMar>
          </w:tcPr>
          <w:p w14:paraId="7ADD40FE"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1.083</w:t>
            </w:r>
          </w:p>
        </w:tc>
        <w:tc>
          <w:tcPr>
            <w:tcW w:w="850" w:type="dxa"/>
            <w:tcBorders>
              <w:top w:val="nil"/>
              <w:left w:val="nil"/>
              <w:bottom w:val="nil"/>
              <w:right w:val="nil"/>
            </w:tcBorders>
            <w:shd w:val="clear" w:color="auto" w:fill="FFFFFF"/>
            <w:tcMar>
              <w:left w:w="67" w:type="dxa"/>
              <w:right w:w="67" w:type="dxa"/>
            </w:tcMar>
          </w:tcPr>
          <w:p w14:paraId="1513440A"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0.1146</w:t>
            </w:r>
          </w:p>
        </w:tc>
        <w:tc>
          <w:tcPr>
            <w:tcW w:w="567" w:type="dxa"/>
            <w:tcBorders>
              <w:top w:val="nil"/>
              <w:left w:val="nil"/>
              <w:bottom w:val="nil"/>
              <w:right w:val="single" w:sz="4" w:space="0" w:color="auto"/>
            </w:tcBorders>
            <w:shd w:val="clear" w:color="auto" w:fill="FFFFFF"/>
            <w:tcMar>
              <w:left w:w="67" w:type="dxa"/>
              <w:right w:w="67" w:type="dxa"/>
            </w:tcMar>
          </w:tcPr>
          <w:p w14:paraId="1F25FF8A"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675</w:t>
            </w:r>
          </w:p>
        </w:tc>
      </w:tr>
      <w:tr w:rsidR="00E07CDE" w:rsidRPr="00563AD3" w14:paraId="7C399A38" w14:textId="77777777" w:rsidTr="000D3E11">
        <w:trPr>
          <w:cantSplit/>
          <w:jc w:val="center"/>
        </w:trPr>
        <w:tc>
          <w:tcPr>
            <w:tcW w:w="2836" w:type="dxa"/>
            <w:vMerge/>
            <w:tcBorders>
              <w:left w:val="single" w:sz="4" w:space="0" w:color="auto"/>
              <w:right w:val="nil"/>
            </w:tcBorders>
            <w:shd w:val="clear" w:color="auto" w:fill="FFFFFF"/>
            <w:tcMar>
              <w:left w:w="67" w:type="dxa"/>
              <w:right w:w="67" w:type="dxa"/>
            </w:tcMar>
          </w:tcPr>
          <w:p w14:paraId="2DC58637" w14:textId="77777777" w:rsidR="00E07CDE" w:rsidRPr="000D3E11" w:rsidRDefault="00E07CDE" w:rsidP="006C0B32">
            <w:pPr>
              <w:spacing w:before="67" w:after="67" w:line="240" w:lineRule="auto"/>
              <w:rPr>
                <w:rFonts w:eastAsia="Times New Roman"/>
                <w:color w:val="000000"/>
                <w:sz w:val="18"/>
                <w:szCs w:val="18"/>
              </w:rPr>
            </w:pPr>
          </w:p>
        </w:tc>
        <w:tc>
          <w:tcPr>
            <w:tcW w:w="3963" w:type="dxa"/>
            <w:tcBorders>
              <w:top w:val="nil"/>
              <w:left w:val="nil"/>
              <w:bottom w:val="nil"/>
              <w:right w:val="nil"/>
            </w:tcBorders>
            <w:shd w:val="clear" w:color="auto" w:fill="FFFFFF"/>
          </w:tcPr>
          <w:p w14:paraId="0DBAC141"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Cluster specific - complete cases only</w:t>
            </w:r>
          </w:p>
        </w:tc>
        <w:tc>
          <w:tcPr>
            <w:tcW w:w="993" w:type="dxa"/>
            <w:tcBorders>
              <w:top w:val="nil"/>
              <w:left w:val="nil"/>
              <w:bottom w:val="nil"/>
              <w:right w:val="nil"/>
            </w:tcBorders>
            <w:shd w:val="clear" w:color="auto" w:fill="FFFFFF"/>
            <w:tcMar>
              <w:left w:w="67" w:type="dxa"/>
              <w:right w:w="67" w:type="dxa"/>
            </w:tcMar>
          </w:tcPr>
          <w:p w14:paraId="509482D9"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0.683</w:t>
            </w:r>
          </w:p>
        </w:tc>
        <w:tc>
          <w:tcPr>
            <w:tcW w:w="1134" w:type="dxa"/>
            <w:tcBorders>
              <w:top w:val="nil"/>
              <w:left w:val="nil"/>
              <w:bottom w:val="nil"/>
              <w:right w:val="nil"/>
            </w:tcBorders>
            <w:shd w:val="clear" w:color="auto" w:fill="FFFFFF"/>
            <w:tcMar>
              <w:left w:w="67" w:type="dxa"/>
              <w:right w:w="67" w:type="dxa"/>
            </w:tcMar>
          </w:tcPr>
          <w:p w14:paraId="6C6CAD6C"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0.4</w:t>
            </w:r>
          </w:p>
        </w:tc>
        <w:tc>
          <w:tcPr>
            <w:tcW w:w="992" w:type="dxa"/>
            <w:tcBorders>
              <w:top w:val="nil"/>
              <w:left w:val="nil"/>
              <w:bottom w:val="nil"/>
              <w:right w:val="nil"/>
            </w:tcBorders>
            <w:shd w:val="clear" w:color="auto" w:fill="FFFFFF"/>
            <w:tcMar>
              <w:left w:w="67" w:type="dxa"/>
              <w:right w:w="67" w:type="dxa"/>
            </w:tcMar>
          </w:tcPr>
          <w:p w14:paraId="20460C56"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1.166</w:t>
            </w:r>
          </w:p>
        </w:tc>
        <w:tc>
          <w:tcPr>
            <w:tcW w:w="850" w:type="dxa"/>
            <w:tcBorders>
              <w:top w:val="nil"/>
              <w:left w:val="nil"/>
              <w:bottom w:val="nil"/>
              <w:right w:val="nil"/>
            </w:tcBorders>
            <w:shd w:val="clear" w:color="auto" w:fill="FFFFFF"/>
            <w:tcMar>
              <w:left w:w="67" w:type="dxa"/>
              <w:right w:w="67" w:type="dxa"/>
            </w:tcMar>
          </w:tcPr>
          <w:p w14:paraId="3A53FBB6"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0.1619</w:t>
            </w:r>
          </w:p>
        </w:tc>
        <w:tc>
          <w:tcPr>
            <w:tcW w:w="567" w:type="dxa"/>
            <w:tcBorders>
              <w:top w:val="nil"/>
              <w:left w:val="nil"/>
              <w:bottom w:val="nil"/>
              <w:right w:val="single" w:sz="4" w:space="0" w:color="auto"/>
            </w:tcBorders>
            <w:shd w:val="clear" w:color="auto" w:fill="FFFFFF"/>
            <w:tcMar>
              <w:left w:w="67" w:type="dxa"/>
              <w:right w:w="67" w:type="dxa"/>
            </w:tcMar>
          </w:tcPr>
          <w:p w14:paraId="42EC3EFF"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668</w:t>
            </w:r>
          </w:p>
        </w:tc>
      </w:tr>
      <w:tr w:rsidR="00E07CDE" w:rsidRPr="00563AD3" w14:paraId="7DC8390A" w14:textId="77777777" w:rsidTr="000D3E11">
        <w:trPr>
          <w:cantSplit/>
          <w:jc w:val="center"/>
        </w:trPr>
        <w:tc>
          <w:tcPr>
            <w:tcW w:w="2836" w:type="dxa"/>
            <w:vMerge/>
            <w:tcBorders>
              <w:left w:val="single" w:sz="4" w:space="0" w:color="auto"/>
              <w:bottom w:val="nil"/>
              <w:right w:val="nil"/>
            </w:tcBorders>
            <w:shd w:val="clear" w:color="auto" w:fill="FFFFFF"/>
            <w:tcMar>
              <w:left w:w="67" w:type="dxa"/>
              <w:right w:w="67" w:type="dxa"/>
            </w:tcMar>
          </w:tcPr>
          <w:p w14:paraId="48DE5187" w14:textId="77777777" w:rsidR="00E07CDE" w:rsidRPr="000D3E11" w:rsidRDefault="00E07CDE" w:rsidP="006C0B32">
            <w:pPr>
              <w:spacing w:before="67" w:after="67" w:line="240" w:lineRule="auto"/>
              <w:rPr>
                <w:rFonts w:eastAsia="Times New Roman"/>
                <w:color w:val="000000"/>
                <w:sz w:val="18"/>
                <w:szCs w:val="18"/>
              </w:rPr>
            </w:pPr>
          </w:p>
        </w:tc>
        <w:tc>
          <w:tcPr>
            <w:tcW w:w="3963" w:type="dxa"/>
            <w:tcBorders>
              <w:top w:val="nil"/>
              <w:left w:val="nil"/>
              <w:bottom w:val="nil"/>
              <w:right w:val="nil"/>
            </w:tcBorders>
            <w:shd w:val="clear" w:color="auto" w:fill="FFFFFF"/>
          </w:tcPr>
          <w:p w14:paraId="13EA7333"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Cluster specific - missing data imputed assuming MAR</w:t>
            </w:r>
          </w:p>
        </w:tc>
        <w:tc>
          <w:tcPr>
            <w:tcW w:w="993" w:type="dxa"/>
            <w:tcBorders>
              <w:top w:val="nil"/>
              <w:left w:val="nil"/>
              <w:bottom w:val="nil"/>
              <w:right w:val="nil"/>
            </w:tcBorders>
            <w:shd w:val="clear" w:color="auto" w:fill="FFFFFF"/>
            <w:tcMar>
              <w:left w:w="67" w:type="dxa"/>
              <w:right w:w="67" w:type="dxa"/>
            </w:tcMar>
          </w:tcPr>
          <w:p w14:paraId="24522620"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0.681</w:t>
            </w:r>
          </w:p>
        </w:tc>
        <w:tc>
          <w:tcPr>
            <w:tcW w:w="1134" w:type="dxa"/>
            <w:tcBorders>
              <w:top w:val="nil"/>
              <w:left w:val="nil"/>
              <w:bottom w:val="nil"/>
              <w:right w:val="nil"/>
            </w:tcBorders>
            <w:shd w:val="clear" w:color="auto" w:fill="FFFFFF"/>
            <w:tcMar>
              <w:left w:w="67" w:type="dxa"/>
              <w:right w:w="67" w:type="dxa"/>
            </w:tcMar>
          </w:tcPr>
          <w:p w14:paraId="7E8D4EBF"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0.4</w:t>
            </w:r>
          </w:p>
        </w:tc>
        <w:tc>
          <w:tcPr>
            <w:tcW w:w="992" w:type="dxa"/>
            <w:tcBorders>
              <w:top w:val="nil"/>
              <w:left w:val="nil"/>
              <w:bottom w:val="nil"/>
              <w:right w:val="nil"/>
            </w:tcBorders>
            <w:shd w:val="clear" w:color="auto" w:fill="FFFFFF"/>
            <w:tcMar>
              <w:left w:w="67" w:type="dxa"/>
              <w:right w:w="67" w:type="dxa"/>
            </w:tcMar>
          </w:tcPr>
          <w:p w14:paraId="0E12ED46"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1.158</w:t>
            </w:r>
          </w:p>
        </w:tc>
        <w:tc>
          <w:tcPr>
            <w:tcW w:w="850" w:type="dxa"/>
            <w:tcBorders>
              <w:top w:val="nil"/>
              <w:left w:val="nil"/>
              <w:bottom w:val="nil"/>
              <w:right w:val="nil"/>
            </w:tcBorders>
            <w:shd w:val="clear" w:color="auto" w:fill="FFFFFF"/>
            <w:tcMar>
              <w:left w:w="67" w:type="dxa"/>
              <w:right w:w="67" w:type="dxa"/>
            </w:tcMar>
          </w:tcPr>
          <w:p w14:paraId="072561E3"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0.1561</w:t>
            </w:r>
          </w:p>
        </w:tc>
        <w:tc>
          <w:tcPr>
            <w:tcW w:w="567" w:type="dxa"/>
            <w:tcBorders>
              <w:top w:val="nil"/>
              <w:left w:val="nil"/>
              <w:bottom w:val="nil"/>
              <w:right w:val="single" w:sz="4" w:space="0" w:color="auto"/>
            </w:tcBorders>
            <w:shd w:val="clear" w:color="auto" w:fill="FFFFFF"/>
            <w:tcMar>
              <w:left w:w="67" w:type="dxa"/>
              <w:right w:w="67" w:type="dxa"/>
            </w:tcMar>
          </w:tcPr>
          <w:p w14:paraId="4028F192"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675</w:t>
            </w:r>
          </w:p>
        </w:tc>
      </w:tr>
      <w:tr w:rsidR="00E07CDE" w:rsidRPr="00563AD3" w14:paraId="521A5E3B" w14:textId="77777777" w:rsidTr="000D3E11">
        <w:trPr>
          <w:cantSplit/>
          <w:jc w:val="center"/>
        </w:trPr>
        <w:tc>
          <w:tcPr>
            <w:tcW w:w="2836" w:type="dxa"/>
            <w:tcBorders>
              <w:top w:val="nil"/>
              <w:left w:val="single" w:sz="4" w:space="0" w:color="auto"/>
              <w:bottom w:val="nil"/>
              <w:right w:val="nil"/>
            </w:tcBorders>
            <w:shd w:val="clear" w:color="auto" w:fill="FFFFFF"/>
            <w:tcMar>
              <w:left w:w="67" w:type="dxa"/>
              <w:right w:w="67" w:type="dxa"/>
            </w:tcMar>
          </w:tcPr>
          <w:p w14:paraId="05412E05"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 xml:space="preserve">Antipsychotic medication </w:t>
            </w:r>
          </w:p>
        </w:tc>
        <w:tc>
          <w:tcPr>
            <w:tcW w:w="3963" w:type="dxa"/>
            <w:tcBorders>
              <w:top w:val="nil"/>
              <w:left w:val="nil"/>
              <w:bottom w:val="nil"/>
              <w:right w:val="nil"/>
            </w:tcBorders>
            <w:shd w:val="clear" w:color="auto" w:fill="FFFFFF"/>
          </w:tcPr>
          <w:p w14:paraId="308F332F"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Complete cases only</w:t>
            </w:r>
          </w:p>
        </w:tc>
        <w:tc>
          <w:tcPr>
            <w:tcW w:w="993" w:type="dxa"/>
            <w:tcBorders>
              <w:top w:val="nil"/>
              <w:left w:val="nil"/>
              <w:bottom w:val="nil"/>
              <w:right w:val="nil"/>
            </w:tcBorders>
            <w:shd w:val="clear" w:color="auto" w:fill="FFFFFF"/>
            <w:tcMar>
              <w:left w:w="67" w:type="dxa"/>
              <w:right w:w="67" w:type="dxa"/>
            </w:tcMar>
          </w:tcPr>
          <w:p w14:paraId="00AB62DA"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1.166</w:t>
            </w:r>
          </w:p>
        </w:tc>
        <w:tc>
          <w:tcPr>
            <w:tcW w:w="1134" w:type="dxa"/>
            <w:tcBorders>
              <w:top w:val="nil"/>
              <w:left w:val="nil"/>
              <w:bottom w:val="nil"/>
              <w:right w:val="nil"/>
            </w:tcBorders>
            <w:shd w:val="clear" w:color="auto" w:fill="FFFFFF"/>
            <w:tcMar>
              <w:left w:w="67" w:type="dxa"/>
              <w:right w:w="67" w:type="dxa"/>
            </w:tcMar>
          </w:tcPr>
          <w:p w14:paraId="49FBF154"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0.127</w:t>
            </w:r>
          </w:p>
        </w:tc>
        <w:tc>
          <w:tcPr>
            <w:tcW w:w="992" w:type="dxa"/>
            <w:tcBorders>
              <w:top w:val="nil"/>
              <w:left w:val="nil"/>
              <w:bottom w:val="nil"/>
              <w:right w:val="nil"/>
            </w:tcBorders>
            <w:shd w:val="clear" w:color="auto" w:fill="FFFFFF"/>
            <w:tcMar>
              <w:left w:w="67" w:type="dxa"/>
              <w:right w:w="67" w:type="dxa"/>
            </w:tcMar>
          </w:tcPr>
          <w:p w14:paraId="6165FCD4"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10.688</w:t>
            </w:r>
          </w:p>
        </w:tc>
        <w:tc>
          <w:tcPr>
            <w:tcW w:w="850" w:type="dxa"/>
            <w:tcBorders>
              <w:top w:val="nil"/>
              <w:left w:val="nil"/>
              <w:bottom w:val="nil"/>
              <w:right w:val="nil"/>
            </w:tcBorders>
            <w:shd w:val="clear" w:color="auto" w:fill="FFFFFF"/>
            <w:tcMar>
              <w:left w:w="67" w:type="dxa"/>
              <w:right w:w="67" w:type="dxa"/>
            </w:tcMar>
          </w:tcPr>
          <w:p w14:paraId="20A14A1A"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0.892</w:t>
            </w:r>
          </w:p>
        </w:tc>
        <w:tc>
          <w:tcPr>
            <w:tcW w:w="567" w:type="dxa"/>
            <w:tcBorders>
              <w:top w:val="nil"/>
              <w:left w:val="nil"/>
              <w:bottom w:val="nil"/>
              <w:right w:val="single" w:sz="4" w:space="0" w:color="auto"/>
            </w:tcBorders>
            <w:shd w:val="clear" w:color="auto" w:fill="FFFFFF"/>
            <w:tcMar>
              <w:left w:w="67" w:type="dxa"/>
              <w:right w:w="67" w:type="dxa"/>
            </w:tcMar>
          </w:tcPr>
          <w:p w14:paraId="66A48F4D"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413</w:t>
            </w:r>
          </w:p>
        </w:tc>
      </w:tr>
      <w:tr w:rsidR="00E07CDE" w:rsidRPr="00563AD3" w14:paraId="1417BB3A" w14:textId="77777777" w:rsidTr="000D3E11">
        <w:trPr>
          <w:cantSplit/>
          <w:jc w:val="center"/>
        </w:trPr>
        <w:tc>
          <w:tcPr>
            <w:tcW w:w="2836" w:type="dxa"/>
            <w:tcBorders>
              <w:top w:val="nil"/>
              <w:left w:val="single" w:sz="4" w:space="0" w:color="auto"/>
              <w:bottom w:val="nil"/>
              <w:right w:val="nil"/>
            </w:tcBorders>
            <w:shd w:val="clear" w:color="auto" w:fill="FFFFFF"/>
            <w:tcMar>
              <w:left w:w="67" w:type="dxa"/>
              <w:right w:w="67" w:type="dxa"/>
            </w:tcMar>
          </w:tcPr>
          <w:p w14:paraId="589DCE6E" w14:textId="77777777" w:rsidR="00E07CDE" w:rsidRPr="000D3E11" w:rsidRDefault="00E07CDE" w:rsidP="006C0B32">
            <w:pPr>
              <w:spacing w:before="67" w:after="67" w:line="240" w:lineRule="auto"/>
              <w:rPr>
                <w:rFonts w:eastAsia="Times New Roman"/>
                <w:color w:val="000000"/>
                <w:sz w:val="18"/>
                <w:szCs w:val="18"/>
              </w:rPr>
            </w:pPr>
          </w:p>
        </w:tc>
        <w:tc>
          <w:tcPr>
            <w:tcW w:w="3963" w:type="dxa"/>
            <w:tcBorders>
              <w:top w:val="nil"/>
              <w:left w:val="nil"/>
              <w:bottom w:val="nil"/>
              <w:right w:val="nil"/>
            </w:tcBorders>
            <w:shd w:val="clear" w:color="auto" w:fill="FFFFFF"/>
          </w:tcPr>
          <w:p w14:paraId="3905395D"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Missing data imputed assuming MAR</w:t>
            </w:r>
          </w:p>
        </w:tc>
        <w:tc>
          <w:tcPr>
            <w:tcW w:w="993" w:type="dxa"/>
            <w:tcBorders>
              <w:top w:val="nil"/>
              <w:left w:val="nil"/>
              <w:bottom w:val="nil"/>
              <w:right w:val="nil"/>
            </w:tcBorders>
            <w:shd w:val="clear" w:color="auto" w:fill="FFFFFF"/>
            <w:tcMar>
              <w:left w:w="67" w:type="dxa"/>
              <w:right w:w="67" w:type="dxa"/>
            </w:tcMar>
          </w:tcPr>
          <w:p w14:paraId="187671BD"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1.28</w:t>
            </w:r>
          </w:p>
        </w:tc>
        <w:tc>
          <w:tcPr>
            <w:tcW w:w="1134" w:type="dxa"/>
            <w:tcBorders>
              <w:top w:val="nil"/>
              <w:left w:val="nil"/>
              <w:bottom w:val="nil"/>
              <w:right w:val="nil"/>
            </w:tcBorders>
            <w:shd w:val="clear" w:color="auto" w:fill="FFFFFF"/>
            <w:tcMar>
              <w:left w:w="67" w:type="dxa"/>
              <w:right w:w="67" w:type="dxa"/>
            </w:tcMar>
          </w:tcPr>
          <w:p w14:paraId="12F6280B"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0.153</w:t>
            </w:r>
          </w:p>
        </w:tc>
        <w:tc>
          <w:tcPr>
            <w:tcW w:w="992" w:type="dxa"/>
            <w:tcBorders>
              <w:top w:val="nil"/>
              <w:left w:val="nil"/>
              <w:bottom w:val="nil"/>
              <w:right w:val="nil"/>
            </w:tcBorders>
            <w:shd w:val="clear" w:color="auto" w:fill="FFFFFF"/>
            <w:tcMar>
              <w:left w:w="67" w:type="dxa"/>
              <w:right w:w="67" w:type="dxa"/>
            </w:tcMar>
          </w:tcPr>
          <w:p w14:paraId="086AF34F"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10.685</w:t>
            </w:r>
          </w:p>
        </w:tc>
        <w:tc>
          <w:tcPr>
            <w:tcW w:w="850" w:type="dxa"/>
            <w:tcBorders>
              <w:top w:val="nil"/>
              <w:left w:val="nil"/>
              <w:bottom w:val="nil"/>
              <w:right w:val="nil"/>
            </w:tcBorders>
            <w:shd w:val="clear" w:color="auto" w:fill="FFFFFF"/>
            <w:tcMar>
              <w:left w:w="67" w:type="dxa"/>
              <w:right w:w="67" w:type="dxa"/>
            </w:tcMar>
          </w:tcPr>
          <w:p w14:paraId="0A04D1DA"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0.8189</w:t>
            </w:r>
          </w:p>
        </w:tc>
        <w:tc>
          <w:tcPr>
            <w:tcW w:w="567" w:type="dxa"/>
            <w:tcBorders>
              <w:top w:val="nil"/>
              <w:left w:val="nil"/>
              <w:bottom w:val="nil"/>
              <w:right w:val="single" w:sz="4" w:space="0" w:color="auto"/>
            </w:tcBorders>
            <w:shd w:val="clear" w:color="auto" w:fill="FFFFFF"/>
            <w:tcMar>
              <w:left w:w="67" w:type="dxa"/>
              <w:right w:w="67" w:type="dxa"/>
            </w:tcMar>
          </w:tcPr>
          <w:p w14:paraId="75F35BDA"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675</w:t>
            </w:r>
          </w:p>
        </w:tc>
      </w:tr>
      <w:tr w:rsidR="00E07CDE" w:rsidRPr="00563AD3" w14:paraId="53CA9029" w14:textId="77777777" w:rsidTr="000D3E11">
        <w:trPr>
          <w:cantSplit/>
          <w:jc w:val="center"/>
        </w:trPr>
        <w:tc>
          <w:tcPr>
            <w:tcW w:w="2836" w:type="dxa"/>
            <w:tcBorders>
              <w:top w:val="nil"/>
              <w:left w:val="single" w:sz="4" w:space="0" w:color="auto"/>
              <w:bottom w:val="nil"/>
              <w:right w:val="nil"/>
            </w:tcBorders>
            <w:shd w:val="clear" w:color="auto" w:fill="FFFFFF"/>
            <w:tcMar>
              <w:left w:w="67" w:type="dxa"/>
              <w:right w:w="67" w:type="dxa"/>
            </w:tcMar>
          </w:tcPr>
          <w:p w14:paraId="6D764B74" w14:textId="77777777" w:rsidR="00E07CDE" w:rsidRPr="000D3E11" w:rsidRDefault="00E07CDE" w:rsidP="006C0B32">
            <w:pPr>
              <w:spacing w:before="67" w:after="67" w:line="240" w:lineRule="auto"/>
              <w:rPr>
                <w:rFonts w:eastAsia="Times New Roman"/>
                <w:b/>
                <w:color w:val="000000"/>
                <w:sz w:val="18"/>
                <w:szCs w:val="18"/>
              </w:rPr>
            </w:pPr>
            <w:r w:rsidRPr="000D3E11">
              <w:rPr>
                <w:rFonts w:eastAsia="Times New Roman"/>
                <w:b/>
                <w:color w:val="000000"/>
                <w:sz w:val="18"/>
                <w:szCs w:val="18"/>
              </w:rPr>
              <w:t>Mood</w:t>
            </w:r>
          </w:p>
        </w:tc>
        <w:tc>
          <w:tcPr>
            <w:tcW w:w="3963" w:type="dxa"/>
            <w:tcBorders>
              <w:top w:val="nil"/>
              <w:left w:val="nil"/>
              <w:bottom w:val="nil"/>
              <w:right w:val="nil"/>
            </w:tcBorders>
            <w:shd w:val="clear" w:color="auto" w:fill="FFFFFF"/>
          </w:tcPr>
          <w:p w14:paraId="6E39817F" w14:textId="77777777" w:rsidR="00E07CDE" w:rsidRPr="000D3E11" w:rsidRDefault="00E07CDE" w:rsidP="006C0B32">
            <w:pPr>
              <w:spacing w:before="67" w:after="67" w:line="240" w:lineRule="auto"/>
              <w:rPr>
                <w:rFonts w:eastAsia="Times New Roman"/>
                <w:color w:val="000000"/>
                <w:sz w:val="18"/>
                <w:szCs w:val="18"/>
              </w:rPr>
            </w:pPr>
          </w:p>
        </w:tc>
        <w:tc>
          <w:tcPr>
            <w:tcW w:w="993" w:type="dxa"/>
            <w:tcBorders>
              <w:top w:val="nil"/>
              <w:left w:val="nil"/>
              <w:bottom w:val="nil"/>
              <w:right w:val="nil"/>
            </w:tcBorders>
            <w:shd w:val="clear" w:color="auto" w:fill="FFFFFF"/>
            <w:tcMar>
              <w:left w:w="67" w:type="dxa"/>
              <w:right w:w="67" w:type="dxa"/>
            </w:tcMar>
          </w:tcPr>
          <w:p w14:paraId="2F29D5C1" w14:textId="77777777" w:rsidR="00E07CDE" w:rsidRPr="000D3E11" w:rsidRDefault="00E07CDE" w:rsidP="006C0B32">
            <w:pPr>
              <w:spacing w:before="67" w:after="67" w:line="240" w:lineRule="auto"/>
              <w:jc w:val="right"/>
              <w:rPr>
                <w:rFonts w:eastAsia="Times New Roman"/>
                <w:color w:val="000000"/>
                <w:sz w:val="18"/>
                <w:szCs w:val="18"/>
              </w:rPr>
            </w:pPr>
          </w:p>
        </w:tc>
        <w:tc>
          <w:tcPr>
            <w:tcW w:w="1134" w:type="dxa"/>
            <w:tcBorders>
              <w:top w:val="nil"/>
              <w:left w:val="nil"/>
              <w:bottom w:val="nil"/>
              <w:right w:val="nil"/>
            </w:tcBorders>
            <w:shd w:val="clear" w:color="auto" w:fill="FFFFFF"/>
            <w:tcMar>
              <w:left w:w="67" w:type="dxa"/>
              <w:right w:w="67" w:type="dxa"/>
            </w:tcMar>
          </w:tcPr>
          <w:p w14:paraId="72FA2740" w14:textId="77777777" w:rsidR="00E07CDE" w:rsidRPr="000D3E11" w:rsidRDefault="00E07CDE" w:rsidP="006C0B32">
            <w:pPr>
              <w:spacing w:before="67" w:after="67" w:line="240" w:lineRule="auto"/>
              <w:jc w:val="right"/>
              <w:rPr>
                <w:rFonts w:eastAsia="Times New Roman"/>
                <w:color w:val="000000"/>
                <w:sz w:val="18"/>
                <w:szCs w:val="18"/>
              </w:rPr>
            </w:pPr>
          </w:p>
        </w:tc>
        <w:tc>
          <w:tcPr>
            <w:tcW w:w="992" w:type="dxa"/>
            <w:tcBorders>
              <w:top w:val="nil"/>
              <w:left w:val="nil"/>
              <w:bottom w:val="nil"/>
              <w:right w:val="nil"/>
            </w:tcBorders>
            <w:shd w:val="clear" w:color="auto" w:fill="FFFFFF"/>
            <w:tcMar>
              <w:left w:w="67" w:type="dxa"/>
              <w:right w:w="67" w:type="dxa"/>
            </w:tcMar>
          </w:tcPr>
          <w:p w14:paraId="01C0AFCD" w14:textId="77777777" w:rsidR="00E07CDE" w:rsidRPr="000D3E11" w:rsidRDefault="00E07CDE" w:rsidP="006C0B32">
            <w:pPr>
              <w:spacing w:before="67" w:after="67" w:line="240" w:lineRule="auto"/>
              <w:jc w:val="right"/>
              <w:rPr>
                <w:rFonts w:eastAsia="Times New Roman"/>
                <w:color w:val="000000"/>
                <w:sz w:val="18"/>
                <w:szCs w:val="18"/>
              </w:rPr>
            </w:pPr>
          </w:p>
        </w:tc>
        <w:tc>
          <w:tcPr>
            <w:tcW w:w="850" w:type="dxa"/>
            <w:tcBorders>
              <w:top w:val="nil"/>
              <w:left w:val="nil"/>
              <w:bottom w:val="nil"/>
              <w:right w:val="nil"/>
            </w:tcBorders>
            <w:shd w:val="clear" w:color="auto" w:fill="FFFFFF"/>
            <w:tcMar>
              <w:left w:w="67" w:type="dxa"/>
              <w:right w:w="67" w:type="dxa"/>
            </w:tcMar>
          </w:tcPr>
          <w:p w14:paraId="5824EE2A" w14:textId="77777777" w:rsidR="00E07CDE" w:rsidRPr="000D3E11" w:rsidRDefault="00E07CDE" w:rsidP="006C0B32">
            <w:pPr>
              <w:spacing w:before="67" w:after="67" w:line="240" w:lineRule="auto"/>
              <w:jc w:val="right"/>
              <w:rPr>
                <w:rFonts w:eastAsia="Times New Roman"/>
                <w:color w:val="000000"/>
                <w:sz w:val="18"/>
                <w:szCs w:val="18"/>
              </w:rPr>
            </w:pPr>
          </w:p>
        </w:tc>
        <w:tc>
          <w:tcPr>
            <w:tcW w:w="567" w:type="dxa"/>
            <w:tcBorders>
              <w:top w:val="nil"/>
              <w:left w:val="nil"/>
              <w:bottom w:val="nil"/>
              <w:right w:val="single" w:sz="4" w:space="0" w:color="auto"/>
            </w:tcBorders>
            <w:shd w:val="clear" w:color="auto" w:fill="FFFFFF"/>
            <w:tcMar>
              <w:left w:w="67" w:type="dxa"/>
              <w:right w:w="67" w:type="dxa"/>
            </w:tcMar>
          </w:tcPr>
          <w:p w14:paraId="1BD19EEC" w14:textId="77777777" w:rsidR="00E07CDE" w:rsidRPr="000D3E11" w:rsidRDefault="00E07CDE" w:rsidP="006C0B32">
            <w:pPr>
              <w:spacing w:before="67" w:after="67" w:line="240" w:lineRule="auto"/>
              <w:jc w:val="right"/>
              <w:rPr>
                <w:rFonts w:eastAsia="Times New Roman"/>
                <w:color w:val="000000"/>
                <w:sz w:val="18"/>
                <w:szCs w:val="18"/>
              </w:rPr>
            </w:pPr>
          </w:p>
        </w:tc>
      </w:tr>
      <w:tr w:rsidR="00E07CDE" w:rsidRPr="00563AD3" w14:paraId="21923824" w14:textId="77777777" w:rsidTr="000D3E11">
        <w:trPr>
          <w:cantSplit/>
          <w:jc w:val="center"/>
        </w:trPr>
        <w:tc>
          <w:tcPr>
            <w:tcW w:w="2836" w:type="dxa"/>
            <w:tcBorders>
              <w:top w:val="nil"/>
              <w:left w:val="single" w:sz="4" w:space="0" w:color="auto"/>
              <w:bottom w:val="nil"/>
              <w:right w:val="nil"/>
            </w:tcBorders>
            <w:shd w:val="clear" w:color="auto" w:fill="FFFFFF"/>
            <w:tcMar>
              <w:left w:w="67" w:type="dxa"/>
              <w:right w:w="67" w:type="dxa"/>
            </w:tcMar>
          </w:tcPr>
          <w:p w14:paraId="1D09593A"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Depression/dysphoria</w:t>
            </w:r>
          </w:p>
        </w:tc>
        <w:tc>
          <w:tcPr>
            <w:tcW w:w="3963" w:type="dxa"/>
            <w:tcBorders>
              <w:top w:val="nil"/>
              <w:left w:val="nil"/>
              <w:bottom w:val="nil"/>
              <w:right w:val="nil"/>
            </w:tcBorders>
            <w:shd w:val="clear" w:color="auto" w:fill="FFFFFF"/>
          </w:tcPr>
          <w:p w14:paraId="0AB0C1DE"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Complete cases only</w:t>
            </w:r>
          </w:p>
        </w:tc>
        <w:tc>
          <w:tcPr>
            <w:tcW w:w="993" w:type="dxa"/>
            <w:tcBorders>
              <w:top w:val="nil"/>
              <w:left w:val="nil"/>
              <w:bottom w:val="nil"/>
              <w:right w:val="nil"/>
            </w:tcBorders>
            <w:shd w:val="clear" w:color="auto" w:fill="FFFFFF"/>
            <w:tcMar>
              <w:left w:w="67" w:type="dxa"/>
              <w:right w:w="67" w:type="dxa"/>
            </w:tcMar>
          </w:tcPr>
          <w:p w14:paraId="3A0A132D"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0.757</w:t>
            </w:r>
          </w:p>
        </w:tc>
        <w:tc>
          <w:tcPr>
            <w:tcW w:w="1134" w:type="dxa"/>
            <w:tcBorders>
              <w:top w:val="nil"/>
              <w:left w:val="nil"/>
              <w:bottom w:val="nil"/>
              <w:right w:val="nil"/>
            </w:tcBorders>
            <w:shd w:val="clear" w:color="auto" w:fill="FFFFFF"/>
            <w:tcMar>
              <w:left w:w="67" w:type="dxa"/>
              <w:right w:w="67" w:type="dxa"/>
            </w:tcMar>
          </w:tcPr>
          <w:p w14:paraId="2F8E81A9"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0.51</w:t>
            </w:r>
          </w:p>
        </w:tc>
        <w:tc>
          <w:tcPr>
            <w:tcW w:w="992" w:type="dxa"/>
            <w:tcBorders>
              <w:top w:val="nil"/>
              <w:left w:val="nil"/>
              <w:bottom w:val="nil"/>
              <w:right w:val="nil"/>
            </w:tcBorders>
            <w:shd w:val="clear" w:color="auto" w:fill="FFFFFF"/>
            <w:tcMar>
              <w:left w:w="67" w:type="dxa"/>
              <w:right w:w="67" w:type="dxa"/>
            </w:tcMar>
          </w:tcPr>
          <w:p w14:paraId="091101D8"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1.123</w:t>
            </w:r>
          </w:p>
        </w:tc>
        <w:tc>
          <w:tcPr>
            <w:tcW w:w="850" w:type="dxa"/>
            <w:tcBorders>
              <w:top w:val="nil"/>
              <w:left w:val="nil"/>
              <w:bottom w:val="nil"/>
              <w:right w:val="nil"/>
            </w:tcBorders>
            <w:shd w:val="clear" w:color="auto" w:fill="FFFFFF"/>
            <w:tcMar>
              <w:left w:w="67" w:type="dxa"/>
              <w:right w:w="67" w:type="dxa"/>
            </w:tcMar>
          </w:tcPr>
          <w:p w14:paraId="6C807FF3"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0.1666</w:t>
            </w:r>
          </w:p>
        </w:tc>
        <w:tc>
          <w:tcPr>
            <w:tcW w:w="567" w:type="dxa"/>
            <w:tcBorders>
              <w:top w:val="nil"/>
              <w:left w:val="nil"/>
              <w:bottom w:val="nil"/>
              <w:right w:val="single" w:sz="4" w:space="0" w:color="auto"/>
            </w:tcBorders>
            <w:shd w:val="clear" w:color="auto" w:fill="FFFFFF"/>
            <w:tcMar>
              <w:left w:w="67" w:type="dxa"/>
              <w:right w:w="67" w:type="dxa"/>
            </w:tcMar>
          </w:tcPr>
          <w:p w14:paraId="18B98E3B"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668</w:t>
            </w:r>
          </w:p>
        </w:tc>
      </w:tr>
      <w:tr w:rsidR="00E07CDE" w:rsidRPr="00563AD3" w14:paraId="75560BBD" w14:textId="77777777" w:rsidTr="000D3E11">
        <w:trPr>
          <w:cantSplit/>
          <w:jc w:val="center"/>
        </w:trPr>
        <w:tc>
          <w:tcPr>
            <w:tcW w:w="2836" w:type="dxa"/>
            <w:tcBorders>
              <w:top w:val="nil"/>
              <w:left w:val="single" w:sz="4" w:space="0" w:color="auto"/>
              <w:bottom w:val="nil"/>
              <w:right w:val="nil"/>
            </w:tcBorders>
            <w:shd w:val="clear" w:color="auto" w:fill="FFFFFF"/>
            <w:tcMar>
              <w:left w:w="67" w:type="dxa"/>
              <w:right w:w="67" w:type="dxa"/>
            </w:tcMar>
          </w:tcPr>
          <w:p w14:paraId="0180743B" w14:textId="77777777" w:rsidR="00E07CDE" w:rsidRPr="000D3E11" w:rsidRDefault="00E07CDE" w:rsidP="006C0B32">
            <w:pPr>
              <w:spacing w:before="67" w:after="67" w:line="240" w:lineRule="auto"/>
              <w:rPr>
                <w:rFonts w:eastAsia="Times New Roman"/>
                <w:color w:val="000000"/>
                <w:sz w:val="18"/>
                <w:szCs w:val="18"/>
              </w:rPr>
            </w:pPr>
          </w:p>
        </w:tc>
        <w:tc>
          <w:tcPr>
            <w:tcW w:w="3963" w:type="dxa"/>
            <w:tcBorders>
              <w:top w:val="nil"/>
              <w:left w:val="nil"/>
              <w:bottom w:val="nil"/>
              <w:right w:val="nil"/>
            </w:tcBorders>
            <w:shd w:val="clear" w:color="auto" w:fill="FFFFFF"/>
          </w:tcPr>
          <w:p w14:paraId="37F7A2EC"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Missing data imputed assuming MAR</w:t>
            </w:r>
          </w:p>
        </w:tc>
        <w:tc>
          <w:tcPr>
            <w:tcW w:w="993" w:type="dxa"/>
            <w:tcBorders>
              <w:top w:val="nil"/>
              <w:left w:val="nil"/>
              <w:bottom w:val="nil"/>
              <w:right w:val="nil"/>
            </w:tcBorders>
            <w:shd w:val="clear" w:color="auto" w:fill="FFFFFF"/>
            <w:tcMar>
              <w:left w:w="67" w:type="dxa"/>
              <w:right w:w="67" w:type="dxa"/>
            </w:tcMar>
          </w:tcPr>
          <w:p w14:paraId="32320703"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0.757</w:t>
            </w:r>
          </w:p>
        </w:tc>
        <w:tc>
          <w:tcPr>
            <w:tcW w:w="1134" w:type="dxa"/>
            <w:tcBorders>
              <w:top w:val="nil"/>
              <w:left w:val="nil"/>
              <w:bottom w:val="nil"/>
              <w:right w:val="nil"/>
            </w:tcBorders>
            <w:shd w:val="clear" w:color="auto" w:fill="FFFFFF"/>
            <w:tcMar>
              <w:left w:w="67" w:type="dxa"/>
              <w:right w:w="67" w:type="dxa"/>
            </w:tcMar>
          </w:tcPr>
          <w:p w14:paraId="4443C3C6"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0.511</w:t>
            </w:r>
          </w:p>
        </w:tc>
        <w:tc>
          <w:tcPr>
            <w:tcW w:w="992" w:type="dxa"/>
            <w:tcBorders>
              <w:top w:val="nil"/>
              <w:left w:val="nil"/>
              <w:bottom w:val="nil"/>
              <w:right w:val="nil"/>
            </w:tcBorders>
            <w:shd w:val="clear" w:color="auto" w:fill="FFFFFF"/>
            <w:tcMar>
              <w:left w:w="67" w:type="dxa"/>
              <w:right w:w="67" w:type="dxa"/>
            </w:tcMar>
          </w:tcPr>
          <w:p w14:paraId="76BA59EB"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1.123</w:t>
            </w:r>
          </w:p>
        </w:tc>
        <w:tc>
          <w:tcPr>
            <w:tcW w:w="850" w:type="dxa"/>
            <w:tcBorders>
              <w:top w:val="nil"/>
              <w:left w:val="nil"/>
              <w:bottom w:val="nil"/>
              <w:right w:val="nil"/>
            </w:tcBorders>
            <w:shd w:val="clear" w:color="auto" w:fill="FFFFFF"/>
            <w:tcMar>
              <w:left w:w="67" w:type="dxa"/>
              <w:right w:w="67" w:type="dxa"/>
            </w:tcMar>
          </w:tcPr>
          <w:p w14:paraId="66188827"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0.1672</w:t>
            </w:r>
          </w:p>
        </w:tc>
        <w:tc>
          <w:tcPr>
            <w:tcW w:w="567" w:type="dxa"/>
            <w:tcBorders>
              <w:top w:val="nil"/>
              <w:left w:val="nil"/>
              <w:bottom w:val="nil"/>
              <w:right w:val="single" w:sz="4" w:space="0" w:color="auto"/>
            </w:tcBorders>
            <w:shd w:val="clear" w:color="auto" w:fill="FFFFFF"/>
            <w:tcMar>
              <w:left w:w="67" w:type="dxa"/>
              <w:right w:w="67" w:type="dxa"/>
            </w:tcMar>
          </w:tcPr>
          <w:p w14:paraId="562C1CB4"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675</w:t>
            </w:r>
          </w:p>
        </w:tc>
      </w:tr>
      <w:tr w:rsidR="00E07CDE" w:rsidRPr="00563AD3" w14:paraId="056D47C0" w14:textId="77777777" w:rsidTr="000D3E11">
        <w:trPr>
          <w:cantSplit/>
          <w:jc w:val="center"/>
        </w:trPr>
        <w:tc>
          <w:tcPr>
            <w:tcW w:w="2836" w:type="dxa"/>
            <w:tcBorders>
              <w:top w:val="nil"/>
              <w:left w:val="single" w:sz="4" w:space="0" w:color="auto"/>
              <w:bottom w:val="nil"/>
              <w:right w:val="nil"/>
            </w:tcBorders>
            <w:shd w:val="clear" w:color="auto" w:fill="FFFFFF"/>
            <w:tcMar>
              <w:left w:w="67" w:type="dxa"/>
              <w:right w:w="67" w:type="dxa"/>
            </w:tcMar>
          </w:tcPr>
          <w:p w14:paraId="010D5683"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 xml:space="preserve">Anxiety </w:t>
            </w:r>
          </w:p>
        </w:tc>
        <w:tc>
          <w:tcPr>
            <w:tcW w:w="3963" w:type="dxa"/>
            <w:tcBorders>
              <w:top w:val="nil"/>
              <w:left w:val="nil"/>
              <w:bottom w:val="nil"/>
              <w:right w:val="nil"/>
            </w:tcBorders>
            <w:shd w:val="clear" w:color="auto" w:fill="FFFFFF"/>
          </w:tcPr>
          <w:p w14:paraId="77BC9503"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Complete cases only</w:t>
            </w:r>
          </w:p>
        </w:tc>
        <w:tc>
          <w:tcPr>
            <w:tcW w:w="993" w:type="dxa"/>
            <w:tcBorders>
              <w:top w:val="nil"/>
              <w:left w:val="nil"/>
              <w:bottom w:val="nil"/>
              <w:right w:val="nil"/>
            </w:tcBorders>
            <w:shd w:val="clear" w:color="auto" w:fill="FFFFFF"/>
            <w:tcMar>
              <w:left w:w="67" w:type="dxa"/>
              <w:right w:w="67" w:type="dxa"/>
            </w:tcMar>
          </w:tcPr>
          <w:p w14:paraId="18AD817D"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1.134</w:t>
            </w:r>
          </w:p>
        </w:tc>
        <w:tc>
          <w:tcPr>
            <w:tcW w:w="1134" w:type="dxa"/>
            <w:tcBorders>
              <w:top w:val="nil"/>
              <w:left w:val="nil"/>
              <w:bottom w:val="nil"/>
              <w:right w:val="nil"/>
            </w:tcBorders>
            <w:shd w:val="clear" w:color="auto" w:fill="FFFFFF"/>
            <w:tcMar>
              <w:left w:w="67" w:type="dxa"/>
              <w:right w:w="67" w:type="dxa"/>
            </w:tcMar>
          </w:tcPr>
          <w:p w14:paraId="534D5EEB"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0.667</w:t>
            </w:r>
          </w:p>
        </w:tc>
        <w:tc>
          <w:tcPr>
            <w:tcW w:w="992" w:type="dxa"/>
            <w:tcBorders>
              <w:top w:val="nil"/>
              <w:left w:val="nil"/>
              <w:bottom w:val="nil"/>
              <w:right w:val="nil"/>
            </w:tcBorders>
            <w:shd w:val="clear" w:color="auto" w:fill="FFFFFF"/>
            <w:tcMar>
              <w:left w:w="67" w:type="dxa"/>
              <w:right w:w="67" w:type="dxa"/>
            </w:tcMar>
          </w:tcPr>
          <w:p w14:paraId="5A3F3449"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1.928</w:t>
            </w:r>
          </w:p>
        </w:tc>
        <w:tc>
          <w:tcPr>
            <w:tcW w:w="850" w:type="dxa"/>
            <w:tcBorders>
              <w:top w:val="nil"/>
              <w:left w:val="nil"/>
              <w:bottom w:val="nil"/>
              <w:right w:val="nil"/>
            </w:tcBorders>
            <w:shd w:val="clear" w:color="auto" w:fill="FFFFFF"/>
            <w:tcMar>
              <w:left w:w="67" w:type="dxa"/>
              <w:right w:w="67" w:type="dxa"/>
            </w:tcMar>
          </w:tcPr>
          <w:p w14:paraId="45C5C955"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0.6422</w:t>
            </w:r>
          </w:p>
        </w:tc>
        <w:tc>
          <w:tcPr>
            <w:tcW w:w="567" w:type="dxa"/>
            <w:tcBorders>
              <w:top w:val="nil"/>
              <w:left w:val="nil"/>
              <w:bottom w:val="nil"/>
              <w:right w:val="single" w:sz="4" w:space="0" w:color="auto"/>
            </w:tcBorders>
            <w:shd w:val="clear" w:color="auto" w:fill="FFFFFF"/>
            <w:tcMar>
              <w:left w:w="67" w:type="dxa"/>
              <w:right w:w="67" w:type="dxa"/>
            </w:tcMar>
          </w:tcPr>
          <w:p w14:paraId="4FC9A289"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667</w:t>
            </w:r>
          </w:p>
        </w:tc>
      </w:tr>
      <w:tr w:rsidR="00E07CDE" w:rsidRPr="00563AD3" w14:paraId="0A0E4CC9" w14:textId="77777777" w:rsidTr="000D3E11">
        <w:trPr>
          <w:cantSplit/>
          <w:jc w:val="center"/>
        </w:trPr>
        <w:tc>
          <w:tcPr>
            <w:tcW w:w="2836" w:type="dxa"/>
            <w:tcBorders>
              <w:top w:val="nil"/>
              <w:left w:val="single" w:sz="4" w:space="0" w:color="auto"/>
              <w:bottom w:val="nil"/>
              <w:right w:val="nil"/>
            </w:tcBorders>
            <w:shd w:val="clear" w:color="auto" w:fill="FFFFFF"/>
            <w:tcMar>
              <w:left w:w="67" w:type="dxa"/>
              <w:right w:w="67" w:type="dxa"/>
            </w:tcMar>
          </w:tcPr>
          <w:p w14:paraId="4C664C64" w14:textId="77777777" w:rsidR="00E07CDE" w:rsidRPr="000D3E11" w:rsidRDefault="00E07CDE" w:rsidP="006C0B32">
            <w:pPr>
              <w:spacing w:before="67" w:after="67" w:line="240" w:lineRule="auto"/>
              <w:rPr>
                <w:rFonts w:eastAsia="Times New Roman"/>
                <w:color w:val="000000"/>
                <w:sz w:val="18"/>
                <w:szCs w:val="18"/>
              </w:rPr>
            </w:pPr>
          </w:p>
        </w:tc>
        <w:tc>
          <w:tcPr>
            <w:tcW w:w="3963" w:type="dxa"/>
            <w:tcBorders>
              <w:top w:val="nil"/>
              <w:left w:val="nil"/>
              <w:bottom w:val="nil"/>
              <w:right w:val="nil"/>
            </w:tcBorders>
            <w:shd w:val="clear" w:color="auto" w:fill="FFFFFF"/>
          </w:tcPr>
          <w:p w14:paraId="0B8D88A6"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Missing data imputed assuming MAR</w:t>
            </w:r>
          </w:p>
        </w:tc>
        <w:tc>
          <w:tcPr>
            <w:tcW w:w="993" w:type="dxa"/>
            <w:tcBorders>
              <w:top w:val="nil"/>
              <w:left w:val="nil"/>
              <w:bottom w:val="nil"/>
              <w:right w:val="nil"/>
            </w:tcBorders>
            <w:shd w:val="clear" w:color="auto" w:fill="FFFFFF"/>
            <w:tcMar>
              <w:left w:w="67" w:type="dxa"/>
              <w:right w:w="67" w:type="dxa"/>
            </w:tcMar>
          </w:tcPr>
          <w:p w14:paraId="4FC0067F"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1.133</w:t>
            </w:r>
          </w:p>
        </w:tc>
        <w:tc>
          <w:tcPr>
            <w:tcW w:w="1134" w:type="dxa"/>
            <w:tcBorders>
              <w:top w:val="nil"/>
              <w:left w:val="nil"/>
              <w:bottom w:val="nil"/>
              <w:right w:val="nil"/>
            </w:tcBorders>
            <w:shd w:val="clear" w:color="auto" w:fill="FFFFFF"/>
            <w:tcMar>
              <w:left w:w="67" w:type="dxa"/>
              <w:right w:w="67" w:type="dxa"/>
            </w:tcMar>
          </w:tcPr>
          <w:p w14:paraId="14C606D6"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0.67</w:t>
            </w:r>
          </w:p>
        </w:tc>
        <w:tc>
          <w:tcPr>
            <w:tcW w:w="992" w:type="dxa"/>
            <w:tcBorders>
              <w:top w:val="nil"/>
              <w:left w:val="nil"/>
              <w:bottom w:val="nil"/>
              <w:right w:val="nil"/>
            </w:tcBorders>
            <w:shd w:val="clear" w:color="auto" w:fill="FFFFFF"/>
            <w:tcMar>
              <w:left w:w="67" w:type="dxa"/>
              <w:right w:w="67" w:type="dxa"/>
            </w:tcMar>
          </w:tcPr>
          <w:p w14:paraId="0C010B46"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1.916</w:t>
            </w:r>
          </w:p>
        </w:tc>
        <w:tc>
          <w:tcPr>
            <w:tcW w:w="850" w:type="dxa"/>
            <w:tcBorders>
              <w:top w:val="nil"/>
              <w:left w:val="nil"/>
              <w:bottom w:val="nil"/>
              <w:right w:val="nil"/>
            </w:tcBorders>
            <w:shd w:val="clear" w:color="auto" w:fill="FFFFFF"/>
            <w:tcMar>
              <w:left w:w="67" w:type="dxa"/>
              <w:right w:w="67" w:type="dxa"/>
            </w:tcMar>
          </w:tcPr>
          <w:p w14:paraId="1F1A3381"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0.6423</w:t>
            </w:r>
          </w:p>
        </w:tc>
        <w:tc>
          <w:tcPr>
            <w:tcW w:w="567" w:type="dxa"/>
            <w:tcBorders>
              <w:top w:val="nil"/>
              <w:left w:val="nil"/>
              <w:bottom w:val="nil"/>
              <w:right w:val="single" w:sz="4" w:space="0" w:color="auto"/>
            </w:tcBorders>
            <w:shd w:val="clear" w:color="auto" w:fill="FFFFFF"/>
            <w:tcMar>
              <w:left w:w="67" w:type="dxa"/>
              <w:right w:w="67" w:type="dxa"/>
            </w:tcMar>
          </w:tcPr>
          <w:p w14:paraId="4B36A2BF"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675</w:t>
            </w:r>
          </w:p>
        </w:tc>
      </w:tr>
      <w:tr w:rsidR="00E07CDE" w:rsidRPr="00563AD3" w14:paraId="2DC8D83B" w14:textId="77777777" w:rsidTr="000D3E11">
        <w:trPr>
          <w:cantSplit/>
          <w:jc w:val="center"/>
        </w:trPr>
        <w:tc>
          <w:tcPr>
            <w:tcW w:w="2836" w:type="dxa"/>
            <w:tcBorders>
              <w:top w:val="nil"/>
              <w:left w:val="single" w:sz="4" w:space="0" w:color="auto"/>
              <w:bottom w:val="nil"/>
              <w:right w:val="nil"/>
            </w:tcBorders>
            <w:shd w:val="clear" w:color="auto" w:fill="FFFFFF"/>
            <w:tcMar>
              <w:left w:w="67" w:type="dxa"/>
              <w:right w:w="67" w:type="dxa"/>
            </w:tcMar>
          </w:tcPr>
          <w:p w14:paraId="61A474DD"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Apathy/indifference</w:t>
            </w:r>
          </w:p>
        </w:tc>
        <w:tc>
          <w:tcPr>
            <w:tcW w:w="3963" w:type="dxa"/>
            <w:tcBorders>
              <w:top w:val="nil"/>
              <w:left w:val="nil"/>
              <w:bottom w:val="nil"/>
              <w:right w:val="nil"/>
            </w:tcBorders>
            <w:shd w:val="clear" w:color="auto" w:fill="FFFFFF"/>
          </w:tcPr>
          <w:p w14:paraId="7D2424D0"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Complete cases only</w:t>
            </w:r>
          </w:p>
        </w:tc>
        <w:tc>
          <w:tcPr>
            <w:tcW w:w="993" w:type="dxa"/>
            <w:tcBorders>
              <w:top w:val="nil"/>
              <w:left w:val="nil"/>
              <w:bottom w:val="nil"/>
              <w:right w:val="nil"/>
            </w:tcBorders>
            <w:shd w:val="clear" w:color="auto" w:fill="FFFFFF"/>
            <w:tcMar>
              <w:left w:w="67" w:type="dxa"/>
              <w:right w:w="67" w:type="dxa"/>
            </w:tcMar>
          </w:tcPr>
          <w:p w14:paraId="6EA53A4B"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0.81</w:t>
            </w:r>
          </w:p>
        </w:tc>
        <w:tc>
          <w:tcPr>
            <w:tcW w:w="1134" w:type="dxa"/>
            <w:tcBorders>
              <w:top w:val="nil"/>
              <w:left w:val="nil"/>
              <w:bottom w:val="nil"/>
              <w:right w:val="nil"/>
            </w:tcBorders>
            <w:shd w:val="clear" w:color="auto" w:fill="FFFFFF"/>
            <w:tcMar>
              <w:left w:w="67" w:type="dxa"/>
              <w:right w:w="67" w:type="dxa"/>
            </w:tcMar>
          </w:tcPr>
          <w:p w14:paraId="53BA3D77"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0.525</w:t>
            </w:r>
          </w:p>
        </w:tc>
        <w:tc>
          <w:tcPr>
            <w:tcW w:w="992" w:type="dxa"/>
            <w:tcBorders>
              <w:top w:val="nil"/>
              <w:left w:val="nil"/>
              <w:bottom w:val="nil"/>
              <w:right w:val="nil"/>
            </w:tcBorders>
            <w:shd w:val="clear" w:color="auto" w:fill="FFFFFF"/>
            <w:tcMar>
              <w:left w:w="67" w:type="dxa"/>
              <w:right w:w="67" w:type="dxa"/>
            </w:tcMar>
          </w:tcPr>
          <w:p w14:paraId="2AD4DF90"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1.249</w:t>
            </w:r>
          </w:p>
        </w:tc>
        <w:tc>
          <w:tcPr>
            <w:tcW w:w="850" w:type="dxa"/>
            <w:tcBorders>
              <w:top w:val="nil"/>
              <w:left w:val="nil"/>
              <w:bottom w:val="nil"/>
              <w:right w:val="nil"/>
            </w:tcBorders>
            <w:shd w:val="clear" w:color="auto" w:fill="FFFFFF"/>
            <w:tcMar>
              <w:left w:w="67" w:type="dxa"/>
              <w:right w:w="67" w:type="dxa"/>
            </w:tcMar>
          </w:tcPr>
          <w:p w14:paraId="43916F47"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0.3402</w:t>
            </w:r>
          </w:p>
        </w:tc>
        <w:tc>
          <w:tcPr>
            <w:tcW w:w="567" w:type="dxa"/>
            <w:tcBorders>
              <w:top w:val="nil"/>
              <w:left w:val="nil"/>
              <w:bottom w:val="nil"/>
              <w:right w:val="single" w:sz="4" w:space="0" w:color="auto"/>
            </w:tcBorders>
            <w:shd w:val="clear" w:color="auto" w:fill="FFFFFF"/>
            <w:tcMar>
              <w:left w:w="67" w:type="dxa"/>
              <w:right w:w="67" w:type="dxa"/>
            </w:tcMar>
          </w:tcPr>
          <w:p w14:paraId="3D66DA13"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668</w:t>
            </w:r>
          </w:p>
        </w:tc>
      </w:tr>
      <w:tr w:rsidR="00E07CDE" w:rsidRPr="00563AD3" w14:paraId="5DD707AD" w14:textId="77777777" w:rsidTr="000D3E11">
        <w:trPr>
          <w:cantSplit/>
          <w:jc w:val="center"/>
        </w:trPr>
        <w:tc>
          <w:tcPr>
            <w:tcW w:w="2836" w:type="dxa"/>
            <w:tcBorders>
              <w:top w:val="nil"/>
              <w:left w:val="single" w:sz="4" w:space="0" w:color="auto"/>
              <w:bottom w:val="single" w:sz="4" w:space="0" w:color="auto"/>
              <w:right w:val="nil"/>
            </w:tcBorders>
            <w:shd w:val="clear" w:color="auto" w:fill="FFFFFF"/>
            <w:tcMar>
              <w:left w:w="67" w:type="dxa"/>
              <w:right w:w="67" w:type="dxa"/>
            </w:tcMar>
          </w:tcPr>
          <w:p w14:paraId="0D1C144C" w14:textId="77777777" w:rsidR="00E07CDE" w:rsidRPr="000D3E11" w:rsidRDefault="00E07CDE" w:rsidP="006C0B32">
            <w:pPr>
              <w:spacing w:before="67" w:after="67" w:line="240" w:lineRule="auto"/>
              <w:rPr>
                <w:rFonts w:eastAsia="Times New Roman"/>
                <w:color w:val="000000"/>
                <w:sz w:val="18"/>
                <w:szCs w:val="18"/>
              </w:rPr>
            </w:pPr>
          </w:p>
        </w:tc>
        <w:tc>
          <w:tcPr>
            <w:tcW w:w="3963" w:type="dxa"/>
            <w:tcBorders>
              <w:top w:val="nil"/>
              <w:left w:val="nil"/>
              <w:bottom w:val="single" w:sz="4" w:space="0" w:color="auto"/>
              <w:right w:val="nil"/>
            </w:tcBorders>
            <w:shd w:val="clear" w:color="auto" w:fill="FFFFFF"/>
          </w:tcPr>
          <w:p w14:paraId="09435851" w14:textId="77777777" w:rsidR="00E07CDE" w:rsidRPr="000D3E11" w:rsidRDefault="00E07CDE" w:rsidP="006C0B32">
            <w:pPr>
              <w:spacing w:before="67" w:after="67" w:line="240" w:lineRule="auto"/>
              <w:rPr>
                <w:rFonts w:eastAsia="Times New Roman"/>
                <w:color w:val="000000"/>
                <w:sz w:val="18"/>
                <w:szCs w:val="18"/>
              </w:rPr>
            </w:pPr>
            <w:r w:rsidRPr="000D3E11">
              <w:rPr>
                <w:rFonts w:eastAsia="Times New Roman"/>
                <w:color w:val="000000"/>
                <w:sz w:val="18"/>
                <w:szCs w:val="18"/>
              </w:rPr>
              <w:t>Missing data imputed assuming MAR</w:t>
            </w:r>
          </w:p>
        </w:tc>
        <w:tc>
          <w:tcPr>
            <w:tcW w:w="993" w:type="dxa"/>
            <w:tcBorders>
              <w:top w:val="nil"/>
              <w:left w:val="nil"/>
              <w:bottom w:val="single" w:sz="4" w:space="0" w:color="auto"/>
              <w:right w:val="nil"/>
            </w:tcBorders>
            <w:shd w:val="clear" w:color="auto" w:fill="FFFFFF"/>
            <w:tcMar>
              <w:left w:w="67" w:type="dxa"/>
              <w:right w:w="67" w:type="dxa"/>
            </w:tcMar>
          </w:tcPr>
          <w:p w14:paraId="779FD172"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0.81</w:t>
            </w:r>
          </w:p>
        </w:tc>
        <w:tc>
          <w:tcPr>
            <w:tcW w:w="1134" w:type="dxa"/>
            <w:tcBorders>
              <w:top w:val="nil"/>
              <w:left w:val="nil"/>
              <w:bottom w:val="single" w:sz="4" w:space="0" w:color="auto"/>
              <w:right w:val="nil"/>
            </w:tcBorders>
            <w:shd w:val="clear" w:color="auto" w:fill="FFFFFF"/>
            <w:tcMar>
              <w:left w:w="67" w:type="dxa"/>
              <w:right w:w="67" w:type="dxa"/>
            </w:tcMar>
          </w:tcPr>
          <w:p w14:paraId="49330131"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0.525</w:t>
            </w:r>
          </w:p>
        </w:tc>
        <w:tc>
          <w:tcPr>
            <w:tcW w:w="992" w:type="dxa"/>
            <w:tcBorders>
              <w:top w:val="nil"/>
              <w:left w:val="nil"/>
              <w:bottom w:val="single" w:sz="4" w:space="0" w:color="auto"/>
              <w:right w:val="nil"/>
            </w:tcBorders>
            <w:shd w:val="clear" w:color="auto" w:fill="FFFFFF"/>
            <w:tcMar>
              <w:left w:w="67" w:type="dxa"/>
              <w:right w:w="67" w:type="dxa"/>
            </w:tcMar>
          </w:tcPr>
          <w:p w14:paraId="44C19B87"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1.249</w:t>
            </w:r>
          </w:p>
        </w:tc>
        <w:tc>
          <w:tcPr>
            <w:tcW w:w="850" w:type="dxa"/>
            <w:tcBorders>
              <w:top w:val="nil"/>
              <w:left w:val="nil"/>
              <w:bottom w:val="single" w:sz="4" w:space="0" w:color="auto"/>
              <w:right w:val="nil"/>
            </w:tcBorders>
            <w:shd w:val="clear" w:color="auto" w:fill="FFFFFF"/>
            <w:tcMar>
              <w:left w:w="67" w:type="dxa"/>
              <w:right w:w="67" w:type="dxa"/>
            </w:tcMar>
          </w:tcPr>
          <w:p w14:paraId="52786501"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0.3403</w:t>
            </w:r>
          </w:p>
        </w:tc>
        <w:tc>
          <w:tcPr>
            <w:tcW w:w="567" w:type="dxa"/>
            <w:tcBorders>
              <w:top w:val="nil"/>
              <w:left w:val="nil"/>
              <w:bottom w:val="single" w:sz="4" w:space="0" w:color="auto"/>
              <w:right w:val="single" w:sz="4" w:space="0" w:color="auto"/>
            </w:tcBorders>
            <w:shd w:val="clear" w:color="auto" w:fill="FFFFFF"/>
            <w:tcMar>
              <w:left w:w="67" w:type="dxa"/>
              <w:right w:w="67" w:type="dxa"/>
            </w:tcMar>
          </w:tcPr>
          <w:p w14:paraId="6FC7C4D5" w14:textId="77777777" w:rsidR="00E07CDE" w:rsidRPr="000D3E11" w:rsidRDefault="00E07CDE" w:rsidP="006C0B32">
            <w:pPr>
              <w:spacing w:before="67" w:after="67" w:line="240" w:lineRule="auto"/>
              <w:jc w:val="right"/>
              <w:rPr>
                <w:rFonts w:eastAsia="Times New Roman"/>
                <w:color w:val="000000"/>
                <w:sz w:val="18"/>
                <w:szCs w:val="18"/>
              </w:rPr>
            </w:pPr>
            <w:r w:rsidRPr="000D3E11">
              <w:rPr>
                <w:rFonts w:eastAsia="Times New Roman"/>
                <w:color w:val="000000"/>
                <w:sz w:val="18"/>
                <w:szCs w:val="18"/>
              </w:rPr>
              <w:t>675</w:t>
            </w:r>
          </w:p>
        </w:tc>
      </w:tr>
    </w:tbl>
    <w:p w14:paraId="1D4E720F" w14:textId="77777777" w:rsidR="00E07CDE" w:rsidRPr="00563AD3" w:rsidRDefault="00E07CDE" w:rsidP="009B13F3">
      <w:pPr>
        <w:autoSpaceDE/>
        <w:autoSpaceDN/>
        <w:adjustRightInd/>
        <w:spacing w:before="120" w:after="0"/>
        <w:rPr>
          <w:rFonts w:eastAsia="Calibri"/>
          <w:sz w:val="24"/>
          <w:szCs w:val="24"/>
          <w:lang w:eastAsia="en-US"/>
        </w:rPr>
      </w:pPr>
    </w:p>
    <w:p w14:paraId="657A66BD" w14:textId="77777777" w:rsidR="00E07CDE" w:rsidRPr="00563AD3" w:rsidRDefault="00E07CDE" w:rsidP="009B13F3">
      <w:pPr>
        <w:autoSpaceDE/>
        <w:autoSpaceDN/>
        <w:adjustRightInd/>
        <w:spacing w:before="120" w:after="0"/>
        <w:rPr>
          <w:rFonts w:eastAsia="Calibri"/>
          <w:sz w:val="24"/>
          <w:szCs w:val="24"/>
          <w:lang w:eastAsia="en-US"/>
        </w:rPr>
      </w:pPr>
    </w:p>
    <w:p w14:paraId="23C450D4" w14:textId="77777777" w:rsidR="00E07CDE" w:rsidRPr="00563AD3" w:rsidRDefault="00E07CDE" w:rsidP="009B13F3">
      <w:pPr>
        <w:autoSpaceDE/>
        <w:autoSpaceDN/>
        <w:adjustRightInd/>
        <w:spacing w:before="120" w:after="0"/>
        <w:rPr>
          <w:rFonts w:eastAsia="Calibri"/>
          <w:sz w:val="24"/>
          <w:szCs w:val="24"/>
          <w:lang w:eastAsia="en-US"/>
        </w:rPr>
      </w:pPr>
    </w:p>
    <w:p w14:paraId="11870E16" w14:textId="77777777" w:rsidR="006C0B32" w:rsidRDefault="006C0B32">
      <w:pPr>
        <w:autoSpaceDE/>
        <w:autoSpaceDN/>
        <w:adjustRightInd/>
        <w:spacing w:line="259" w:lineRule="auto"/>
        <w:rPr>
          <w:rFonts w:eastAsia="Calibri"/>
          <w:b/>
          <w:lang w:eastAsia="en-US"/>
        </w:rPr>
      </w:pPr>
      <w:bookmarkStart w:id="341" w:name="_Toc500102592"/>
      <w:bookmarkStart w:id="342" w:name="_Toc500935029"/>
      <w:r>
        <w:rPr>
          <w:rFonts w:eastAsia="Calibri"/>
          <w:lang w:eastAsia="en-US"/>
        </w:rPr>
        <w:br w:type="page"/>
      </w:r>
    </w:p>
    <w:p w14:paraId="3D5DABA2" w14:textId="01FD23C9" w:rsidR="00E07CDE" w:rsidRPr="00563AD3" w:rsidRDefault="00E07CDE" w:rsidP="006C0B32">
      <w:pPr>
        <w:pStyle w:val="Tableheading"/>
        <w:rPr>
          <w:rFonts w:eastAsia="Calibri"/>
          <w:lang w:eastAsia="en-US"/>
        </w:rPr>
      </w:pPr>
      <w:bookmarkStart w:id="343" w:name="_Toc948253"/>
      <w:r w:rsidRPr="00563AD3">
        <w:rPr>
          <w:rFonts w:eastAsia="Calibri"/>
          <w:lang w:eastAsia="en-US"/>
        </w:rPr>
        <w:t xml:space="preserve">Table </w:t>
      </w:r>
      <w:r w:rsidR="005B29F6">
        <w:rPr>
          <w:rFonts w:eastAsia="Calibri"/>
          <w:lang w:eastAsia="en-US"/>
        </w:rPr>
        <w:t>56</w:t>
      </w:r>
      <w:r w:rsidR="005B29F6" w:rsidRPr="00563AD3">
        <w:rPr>
          <w:rFonts w:eastAsia="Calibri"/>
          <w:lang w:eastAsia="en-US"/>
        </w:rPr>
        <w:t xml:space="preserve"> </w:t>
      </w:r>
      <w:r w:rsidRPr="00563AD3">
        <w:rPr>
          <w:rFonts w:eastAsia="Calibri"/>
          <w:lang w:eastAsia="en-US"/>
        </w:rPr>
        <w:t>Quality of life analysis – QUALID (relative/ friend and staff)</w:t>
      </w:r>
      <w:bookmarkEnd w:id="341"/>
      <w:bookmarkEnd w:id="342"/>
      <w:bookmarkEnd w:id="343"/>
    </w:p>
    <w:tbl>
      <w:tblPr>
        <w:tblW w:w="13569" w:type="dxa"/>
        <w:jc w:val="center"/>
        <w:tblLayout w:type="fixed"/>
        <w:tblCellMar>
          <w:left w:w="0" w:type="dxa"/>
          <w:right w:w="0" w:type="dxa"/>
        </w:tblCellMar>
        <w:tblLook w:val="0000" w:firstRow="0" w:lastRow="0" w:firstColumn="0" w:lastColumn="0" w:noHBand="0" w:noVBand="0"/>
      </w:tblPr>
      <w:tblGrid>
        <w:gridCol w:w="4961"/>
        <w:gridCol w:w="1010"/>
        <w:gridCol w:w="1010"/>
        <w:gridCol w:w="1010"/>
        <w:gridCol w:w="935"/>
        <w:gridCol w:w="1085"/>
        <w:gridCol w:w="1010"/>
        <w:gridCol w:w="1165"/>
        <w:gridCol w:w="855"/>
        <w:gridCol w:w="528"/>
      </w:tblGrid>
      <w:tr w:rsidR="00E07CDE" w:rsidRPr="000D3E11" w14:paraId="650BBC86" w14:textId="77777777" w:rsidTr="00C163F3">
        <w:trPr>
          <w:cantSplit/>
          <w:tblHeader/>
          <w:jc w:val="center"/>
        </w:trPr>
        <w:tc>
          <w:tcPr>
            <w:tcW w:w="13569" w:type="dxa"/>
            <w:gridSpan w:val="10"/>
            <w:tcBorders>
              <w:top w:val="single" w:sz="4" w:space="0" w:color="auto"/>
              <w:left w:val="single" w:sz="4" w:space="0" w:color="auto"/>
              <w:right w:val="single" w:sz="4" w:space="0" w:color="auto"/>
            </w:tcBorders>
            <w:shd w:val="clear" w:color="auto" w:fill="FFFFFF"/>
            <w:tcMar>
              <w:left w:w="67" w:type="dxa"/>
              <w:right w:w="67" w:type="dxa"/>
            </w:tcMar>
            <w:vAlign w:val="bottom"/>
          </w:tcPr>
          <w:p w14:paraId="4D8E3ECA" w14:textId="77777777" w:rsidR="00E07CDE" w:rsidRPr="000D3E11" w:rsidRDefault="00E07CDE" w:rsidP="006C0B32">
            <w:pPr>
              <w:keepNext/>
              <w:autoSpaceDE/>
              <w:autoSpaceDN/>
              <w:spacing w:before="67" w:after="67" w:line="240" w:lineRule="auto"/>
              <w:jc w:val="center"/>
              <w:rPr>
                <w:rFonts w:eastAsia="Calibri"/>
                <w:b/>
                <w:bCs/>
                <w:color w:val="000000"/>
                <w:sz w:val="18"/>
                <w:szCs w:val="18"/>
                <w:lang w:eastAsia="en-US"/>
              </w:rPr>
            </w:pPr>
            <w:r w:rsidRPr="000D3E11">
              <w:rPr>
                <w:rFonts w:eastAsia="Calibri"/>
                <w:b/>
                <w:sz w:val="18"/>
                <w:szCs w:val="18"/>
                <w:lang w:eastAsia="en-US"/>
              </w:rPr>
              <w:t>Quality of life analysis – closed-cohort QUALID (relative/ friend and staff)</w:t>
            </w:r>
          </w:p>
        </w:tc>
      </w:tr>
      <w:tr w:rsidR="00E07CDE" w:rsidRPr="000D3E11" w14:paraId="6E4D2C2A" w14:textId="77777777" w:rsidTr="000D3E11">
        <w:trPr>
          <w:cantSplit/>
          <w:tblHeader/>
          <w:jc w:val="center"/>
        </w:trPr>
        <w:tc>
          <w:tcPr>
            <w:tcW w:w="4961" w:type="dxa"/>
            <w:tcBorders>
              <w:left w:val="single" w:sz="4" w:space="0" w:color="auto"/>
              <w:bottom w:val="single" w:sz="4" w:space="0" w:color="000000"/>
              <w:right w:val="nil"/>
            </w:tcBorders>
            <w:shd w:val="clear" w:color="auto" w:fill="FFFFFF"/>
            <w:tcMar>
              <w:left w:w="67" w:type="dxa"/>
              <w:right w:w="67" w:type="dxa"/>
            </w:tcMar>
            <w:vAlign w:val="bottom"/>
          </w:tcPr>
          <w:p w14:paraId="0E4C4529" w14:textId="77777777" w:rsidR="00E07CDE" w:rsidRPr="000D3E11" w:rsidRDefault="00E07CDE" w:rsidP="006C0B32">
            <w:pPr>
              <w:keepNext/>
              <w:autoSpaceDE/>
              <w:autoSpaceDN/>
              <w:spacing w:before="67" w:after="67" w:line="240" w:lineRule="auto"/>
              <w:rPr>
                <w:rFonts w:eastAsia="Calibri"/>
                <w:b/>
                <w:bCs/>
                <w:color w:val="000000"/>
                <w:sz w:val="16"/>
                <w:szCs w:val="16"/>
                <w:lang w:eastAsia="en-US"/>
              </w:rPr>
            </w:pPr>
            <w:r w:rsidRPr="000D3E11">
              <w:rPr>
                <w:rFonts w:eastAsia="Calibri"/>
                <w:b/>
                <w:bCs/>
                <w:color w:val="000000"/>
                <w:sz w:val="16"/>
                <w:szCs w:val="16"/>
                <w:lang w:eastAsia="en-US"/>
              </w:rPr>
              <w:t>Analysis</w:t>
            </w:r>
          </w:p>
        </w:tc>
        <w:tc>
          <w:tcPr>
            <w:tcW w:w="1010" w:type="dxa"/>
            <w:tcBorders>
              <w:left w:val="nil"/>
              <w:bottom w:val="single" w:sz="4" w:space="0" w:color="000000"/>
              <w:right w:val="nil"/>
            </w:tcBorders>
            <w:shd w:val="clear" w:color="auto" w:fill="FFFFFF"/>
            <w:tcMar>
              <w:left w:w="67" w:type="dxa"/>
              <w:right w:w="67" w:type="dxa"/>
            </w:tcMar>
            <w:vAlign w:val="bottom"/>
          </w:tcPr>
          <w:p w14:paraId="1F05FFA0"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Estimated Mean Difference</w:t>
            </w:r>
          </w:p>
        </w:tc>
        <w:tc>
          <w:tcPr>
            <w:tcW w:w="1010" w:type="dxa"/>
            <w:tcBorders>
              <w:left w:val="nil"/>
              <w:bottom w:val="single" w:sz="4" w:space="0" w:color="000000"/>
              <w:right w:val="nil"/>
            </w:tcBorders>
            <w:shd w:val="clear" w:color="auto" w:fill="FFFFFF"/>
            <w:tcMar>
              <w:left w:w="67" w:type="dxa"/>
              <w:right w:w="67" w:type="dxa"/>
            </w:tcMar>
            <w:vAlign w:val="bottom"/>
          </w:tcPr>
          <w:p w14:paraId="442C6CC6"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Lower 95% Confidence Limit</w:t>
            </w:r>
          </w:p>
        </w:tc>
        <w:tc>
          <w:tcPr>
            <w:tcW w:w="1010" w:type="dxa"/>
            <w:tcBorders>
              <w:left w:val="nil"/>
              <w:bottom w:val="single" w:sz="4" w:space="0" w:color="000000"/>
              <w:right w:val="nil"/>
            </w:tcBorders>
            <w:shd w:val="clear" w:color="auto" w:fill="FFFFFF"/>
            <w:tcMar>
              <w:left w:w="67" w:type="dxa"/>
              <w:right w:w="67" w:type="dxa"/>
            </w:tcMar>
            <w:vAlign w:val="bottom"/>
          </w:tcPr>
          <w:p w14:paraId="7755C4FD"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Upper 95% Confidence Limit</w:t>
            </w:r>
          </w:p>
        </w:tc>
        <w:tc>
          <w:tcPr>
            <w:tcW w:w="935" w:type="dxa"/>
            <w:tcBorders>
              <w:left w:val="nil"/>
              <w:bottom w:val="single" w:sz="4" w:space="0" w:color="000000"/>
              <w:right w:val="nil"/>
            </w:tcBorders>
            <w:shd w:val="clear" w:color="auto" w:fill="FFFFFF"/>
            <w:tcMar>
              <w:left w:w="67" w:type="dxa"/>
              <w:right w:w="67" w:type="dxa"/>
            </w:tcMar>
            <w:vAlign w:val="bottom"/>
          </w:tcPr>
          <w:p w14:paraId="30730EAE"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p-value</w:t>
            </w:r>
          </w:p>
        </w:tc>
        <w:tc>
          <w:tcPr>
            <w:tcW w:w="1085" w:type="dxa"/>
            <w:tcBorders>
              <w:left w:val="nil"/>
              <w:bottom w:val="single" w:sz="4" w:space="0" w:color="000000"/>
              <w:right w:val="nil"/>
            </w:tcBorders>
            <w:shd w:val="clear" w:color="auto" w:fill="FFFFFF"/>
            <w:tcMar>
              <w:left w:w="67" w:type="dxa"/>
              <w:right w:w="67" w:type="dxa"/>
            </w:tcMar>
            <w:vAlign w:val="bottom"/>
          </w:tcPr>
          <w:p w14:paraId="4906EAEC"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 xml:space="preserve">Unadjusted ICC for Intervention </w:t>
            </w:r>
          </w:p>
        </w:tc>
        <w:tc>
          <w:tcPr>
            <w:tcW w:w="1010" w:type="dxa"/>
            <w:tcBorders>
              <w:left w:val="nil"/>
              <w:bottom w:val="single" w:sz="4" w:space="0" w:color="000000"/>
              <w:right w:val="nil"/>
            </w:tcBorders>
            <w:shd w:val="clear" w:color="auto" w:fill="FFFFFF"/>
            <w:tcMar>
              <w:left w:w="67" w:type="dxa"/>
              <w:right w:w="67" w:type="dxa"/>
            </w:tcMar>
            <w:vAlign w:val="bottom"/>
          </w:tcPr>
          <w:p w14:paraId="296F450A"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 xml:space="preserve">Unadjusted ICC for Control </w:t>
            </w:r>
          </w:p>
        </w:tc>
        <w:tc>
          <w:tcPr>
            <w:tcW w:w="1165" w:type="dxa"/>
            <w:tcBorders>
              <w:left w:val="nil"/>
              <w:bottom w:val="single" w:sz="4" w:space="0" w:color="000000"/>
              <w:right w:val="nil"/>
            </w:tcBorders>
            <w:shd w:val="clear" w:color="auto" w:fill="FFFFFF"/>
            <w:tcMar>
              <w:left w:w="67" w:type="dxa"/>
              <w:right w:w="67" w:type="dxa"/>
            </w:tcMar>
            <w:vAlign w:val="bottom"/>
          </w:tcPr>
          <w:p w14:paraId="2CB85A4A"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 xml:space="preserve">Adjusted ICC for Intervention </w:t>
            </w:r>
          </w:p>
        </w:tc>
        <w:tc>
          <w:tcPr>
            <w:tcW w:w="855" w:type="dxa"/>
            <w:tcBorders>
              <w:left w:val="nil"/>
              <w:bottom w:val="single" w:sz="4" w:space="0" w:color="000000"/>
              <w:right w:val="nil"/>
            </w:tcBorders>
            <w:shd w:val="clear" w:color="auto" w:fill="FFFFFF"/>
            <w:tcMar>
              <w:left w:w="67" w:type="dxa"/>
              <w:right w:w="67" w:type="dxa"/>
            </w:tcMar>
            <w:vAlign w:val="bottom"/>
          </w:tcPr>
          <w:p w14:paraId="376C9190"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 xml:space="preserve">Adjusted ICC for Control </w:t>
            </w:r>
          </w:p>
        </w:tc>
        <w:tc>
          <w:tcPr>
            <w:tcW w:w="528" w:type="dxa"/>
            <w:tcBorders>
              <w:left w:val="nil"/>
              <w:bottom w:val="single" w:sz="4" w:space="0" w:color="000000"/>
              <w:right w:val="single" w:sz="4" w:space="0" w:color="auto"/>
            </w:tcBorders>
            <w:shd w:val="clear" w:color="auto" w:fill="FFFFFF"/>
            <w:tcMar>
              <w:left w:w="67" w:type="dxa"/>
              <w:right w:w="67" w:type="dxa"/>
            </w:tcMar>
            <w:vAlign w:val="bottom"/>
          </w:tcPr>
          <w:p w14:paraId="5B19227E"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N</w:t>
            </w:r>
          </w:p>
        </w:tc>
      </w:tr>
      <w:tr w:rsidR="00E07CDE" w:rsidRPr="000D3E11" w14:paraId="41697304" w14:textId="77777777" w:rsidTr="000D3E11">
        <w:trPr>
          <w:cantSplit/>
          <w:jc w:val="center"/>
        </w:trPr>
        <w:tc>
          <w:tcPr>
            <w:tcW w:w="4961" w:type="dxa"/>
            <w:tcBorders>
              <w:top w:val="nil"/>
              <w:left w:val="single" w:sz="4" w:space="0" w:color="auto"/>
              <w:bottom w:val="nil"/>
              <w:right w:val="nil"/>
            </w:tcBorders>
            <w:shd w:val="clear" w:color="auto" w:fill="FFFFFF"/>
            <w:tcMar>
              <w:left w:w="67" w:type="dxa"/>
              <w:right w:w="67" w:type="dxa"/>
            </w:tcMar>
          </w:tcPr>
          <w:p w14:paraId="21A432C8" w14:textId="241FA8B9" w:rsidR="00E07CDE" w:rsidRPr="000D3E11" w:rsidRDefault="00E07CDE" w:rsidP="006C0B32">
            <w:pPr>
              <w:autoSpaceDE/>
              <w:autoSpaceDN/>
              <w:spacing w:before="67" w:after="67" w:line="240" w:lineRule="auto"/>
              <w:rPr>
                <w:rFonts w:eastAsia="Calibri"/>
                <w:b/>
                <w:color w:val="000000"/>
                <w:sz w:val="18"/>
                <w:szCs w:val="18"/>
                <w:lang w:eastAsia="en-US"/>
              </w:rPr>
            </w:pPr>
            <w:r w:rsidRPr="000D3E11">
              <w:rPr>
                <w:rFonts w:eastAsia="Calibri"/>
                <w:b/>
                <w:color w:val="000000"/>
                <w:sz w:val="18"/>
                <w:szCs w:val="18"/>
                <w:lang w:eastAsia="en-US"/>
              </w:rPr>
              <w:t>6</w:t>
            </w:r>
            <w:r w:rsidR="00B80810">
              <w:rPr>
                <w:rFonts w:eastAsia="Calibri"/>
                <w:b/>
                <w:color w:val="000000"/>
                <w:sz w:val="18"/>
                <w:szCs w:val="18"/>
                <w:lang w:eastAsia="en-US"/>
              </w:rPr>
              <w:t>-months</w:t>
            </w:r>
          </w:p>
        </w:tc>
        <w:tc>
          <w:tcPr>
            <w:tcW w:w="1010" w:type="dxa"/>
            <w:tcBorders>
              <w:top w:val="nil"/>
              <w:left w:val="nil"/>
              <w:bottom w:val="nil"/>
              <w:right w:val="nil"/>
            </w:tcBorders>
            <w:shd w:val="clear" w:color="auto" w:fill="FFFFFF"/>
            <w:tcMar>
              <w:left w:w="67" w:type="dxa"/>
              <w:right w:w="67" w:type="dxa"/>
            </w:tcMar>
          </w:tcPr>
          <w:p w14:paraId="333CEF4F"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p>
        </w:tc>
        <w:tc>
          <w:tcPr>
            <w:tcW w:w="1010" w:type="dxa"/>
            <w:tcBorders>
              <w:top w:val="nil"/>
              <w:left w:val="nil"/>
              <w:bottom w:val="nil"/>
              <w:right w:val="nil"/>
            </w:tcBorders>
            <w:shd w:val="clear" w:color="auto" w:fill="FFFFFF"/>
            <w:tcMar>
              <w:left w:w="67" w:type="dxa"/>
              <w:right w:w="67" w:type="dxa"/>
            </w:tcMar>
          </w:tcPr>
          <w:p w14:paraId="43B57C92"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p>
        </w:tc>
        <w:tc>
          <w:tcPr>
            <w:tcW w:w="1010" w:type="dxa"/>
            <w:tcBorders>
              <w:top w:val="nil"/>
              <w:left w:val="nil"/>
              <w:bottom w:val="nil"/>
              <w:right w:val="nil"/>
            </w:tcBorders>
            <w:shd w:val="clear" w:color="auto" w:fill="FFFFFF"/>
            <w:tcMar>
              <w:left w:w="67" w:type="dxa"/>
              <w:right w:w="67" w:type="dxa"/>
            </w:tcMar>
          </w:tcPr>
          <w:p w14:paraId="2478C2D5"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p>
        </w:tc>
        <w:tc>
          <w:tcPr>
            <w:tcW w:w="935" w:type="dxa"/>
            <w:tcBorders>
              <w:top w:val="nil"/>
              <w:left w:val="nil"/>
              <w:bottom w:val="nil"/>
              <w:right w:val="nil"/>
            </w:tcBorders>
            <w:shd w:val="clear" w:color="auto" w:fill="FFFFFF"/>
            <w:tcMar>
              <w:left w:w="67" w:type="dxa"/>
              <w:right w:w="67" w:type="dxa"/>
            </w:tcMar>
          </w:tcPr>
          <w:p w14:paraId="47D73E65"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p>
        </w:tc>
        <w:tc>
          <w:tcPr>
            <w:tcW w:w="1085" w:type="dxa"/>
            <w:tcBorders>
              <w:top w:val="nil"/>
              <w:left w:val="nil"/>
              <w:bottom w:val="nil"/>
              <w:right w:val="nil"/>
            </w:tcBorders>
            <w:shd w:val="clear" w:color="auto" w:fill="FFFFFF"/>
            <w:tcMar>
              <w:left w:w="67" w:type="dxa"/>
              <w:right w:w="67" w:type="dxa"/>
            </w:tcMar>
          </w:tcPr>
          <w:p w14:paraId="27817A71"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p>
        </w:tc>
        <w:tc>
          <w:tcPr>
            <w:tcW w:w="1010" w:type="dxa"/>
            <w:tcBorders>
              <w:top w:val="nil"/>
              <w:left w:val="nil"/>
              <w:bottom w:val="nil"/>
              <w:right w:val="nil"/>
            </w:tcBorders>
            <w:shd w:val="clear" w:color="auto" w:fill="FFFFFF"/>
            <w:tcMar>
              <w:left w:w="67" w:type="dxa"/>
              <w:right w:w="67" w:type="dxa"/>
            </w:tcMar>
          </w:tcPr>
          <w:p w14:paraId="2D42FB0C"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p>
        </w:tc>
        <w:tc>
          <w:tcPr>
            <w:tcW w:w="1165" w:type="dxa"/>
            <w:tcBorders>
              <w:top w:val="nil"/>
              <w:left w:val="nil"/>
              <w:bottom w:val="nil"/>
              <w:right w:val="nil"/>
            </w:tcBorders>
            <w:shd w:val="clear" w:color="auto" w:fill="FFFFFF"/>
            <w:tcMar>
              <w:left w:w="67" w:type="dxa"/>
              <w:right w:w="67" w:type="dxa"/>
            </w:tcMar>
          </w:tcPr>
          <w:p w14:paraId="7DA5C576"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p>
        </w:tc>
        <w:tc>
          <w:tcPr>
            <w:tcW w:w="855" w:type="dxa"/>
            <w:tcBorders>
              <w:top w:val="nil"/>
              <w:left w:val="nil"/>
              <w:bottom w:val="nil"/>
              <w:right w:val="nil"/>
            </w:tcBorders>
            <w:shd w:val="clear" w:color="auto" w:fill="FFFFFF"/>
            <w:tcMar>
              <w:left w:w="67" w:type="dxa"/>
              <w:right w:w="67" w:type="dxa"/>
            </w:tcMar>
          </w:tcPr>
          <w:p w14:paraId="5B95325B"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p>
        </w:tc>
        <w:tc>
          <w:tcPr>
            <w:tcW w:w="528" w:type="dxa"/>
            <w:tcBorders>
              <w:top w:val="nil"/>
              <w:left w:val="nil"/>
              <w:bottom w:val="nil"/>
              <w:right w:val="single" w:sz="4" w:space="0" w:color="auto"/>
            </w:tcBorders>
            <w:shd w:val="clear" w:color="auto" w:fill="FFFFFF"/>
            <w:tcMar>
              <w:left w:w="67" w:type="dxa"/>
              <w:right w:w="67" w:type="dxa"/>
            </w:tcMar>
          </w:tcPr>
          <w:p w14:paraId="05B9BBE2"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p>
        </w:tc>
      </w:tr>
      <w:tr w:rsidR="00E07CDE" w:rsidRPr="000D3E11" w14:paraId="318C2A3E" w14:textId="77777777" w:rsidTr="000D3E11">
        <w:trPr>
          <w:cantSplit/>
          <w:jc w:val="center"/>
        </w:trPr>
        <w:tc>
          <w:tcPr>
            <w:tcW w:w="4961" w:type="dxa"/>
            <w:tcBorders>
              <w:top w:val="nil"/>
              <w:left w:val="single" w:sz="4" w:space="0" w:color="auto"/>
              <w:bottom w:val="nil"/>
              <w:right w:val="nil"/>
            </w:tcBorders>
            <w:shd w:val="clear" w:color="auto" w:fill="FFFFFF"/>
            <w:tcMar>
              <w:left w:w="67" w:type="dxa"/>
              <w:right w:w="67" w:type="dxa"/>
            </w:tcMar>
          </w:tcPr>
          <w:p w14:paraId="056E36D9" w14:textId="77777777" w:rsidR="00E07CDE" w:rsidRPr="000D3E11" w:rsidRDefault="00E07CDE" w:rsidP="006C0B32">
            <w:pPr>
              <w:tabs>
                <w:tab w:val="right" w:pos="6807"/>
              </w:tabs>
              <w:autoSpaceDE/>
              <w:autoSpaceDN/>
              <w:spacing w:before="67" w:after="67" w:line="240" w:lineRule="auto"/>
              <w:rPr>
                <w:rFonts w:eastAsia="Calibri"/>
                <w:color w:val="000000"/>
                <w:sz w:val="18"/>
                <w:szCs w:val="18"/>
                <w:lang w:eastAsia="en-US"/>
              </w:rPr>
            </w:pPr>
            <w:r w:rsidRPr="000D3E11">
              <w:rPr>
                <w:rFonts w:eastAsia="Calibri"/>
                <w:color w:val="000000"/>
                <w:sz w:val="18"/>
                <w:szCs w:val="18"/>
                <w:lang w:eastAsia="en-US"/>
              </w:rPr>
              <w:t>QUALID (staff) - complete cases only</w:t>
            </w:r>
            <w:r w:rsidRPr="000D3E11">
              <w:rPr>
                <w:rFonts w:eastAsia="Calibri"/>
                <w:color w:val="000000"/>
                <w:sz w:val="18"/>
                <w:szCs w:val="18"/>
                <w:lang w:eastAsia="en-US"/>
              </w:rPr>
              <w:tab/>
            </w:r>
          </w:p>
        </w:tc>
        <w:tc>
          <w:tcPr>
            <w:tcW w:w="1010" w:type="dxa"/>
            <w:tcBorders>
              <w:top w:val="nil"/>
              <w:left w:val="nil"/>
              <w:bottom w:val="nil"/>
              <w:right w:val="nil"/>
            </w:tcBorders>
            <w:shd w:val="clear" w:color="auto" w:fill="FFFFFF"/>
            <w:tcMar>
              <w:left w:w="67" w:type="dxa"/>
              <w:right w:w="67" w:type="dxa"/>
            </w:tcMar>
          </w:tcPr>
          <w:p w14:paraId="703AE6DD"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-0.62</w:t>
            </w:r>
          </w:p>
        </w:tc>
        <w:tc>
          <w:tcPr>
            <w:tcW w:w="1010" w:type="dxa"/>
            <w:tcBorders>
              <w:top w:val="nil"/>
              <w:left w:val="nil"/>
              <w:bottom w:val="nil"/>
              <w:right w:val="nil"/>
            </w:tcBorders>
            <w:shd w:val="clear" w:color="auto" w:fill="FFFFFF"/>
            <w:tcMar>
              <w:left w:w="67" w:type="dxa"/>
              <w:right w:w="67" w:type="dxa"/>
            </w:tcMar>
          </w:tcPr>
          <w:p w14:paraId="1EB7A9CB"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-1.91</w:t>
            </w:r>
          </w:p>
        </w:tc>
        <w:tc>
          <w:tcPr>
            <w:tcW w:w="1010" w:type="dxa"/>
            <w:tcBorders>
              <w:top w:val="nil"/>
              <w:left w:val="nil"/>
              <w:bottom w:val="nil"/>
              <w:right w:val="nil"/>
            </w:tcBorders>
            <w:shd w:val="clear" w:color="auto" w:fill="FFFFFF"/>
            <w:tcMar>
              <w:left w:w="67" w:type="dxa"/>
              <w:right w:w="67" w:type="dxa"/>
            </w:tcMar>
          </w:tcPr>
          <w:p w14:paraId="06F98DD1"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0.67</w:t>
            </w:r>
          </w:p>
        </w:tc>
        <w:tc>
          <w:tcPr>
            <w:tcW w:w="935" w:type="dxa"/>
            <w:tcBorders>
              <w:top w:val="nil"/>
              <w:left w:val="nil"/>
              <w:bottom w:val="nil"/>
              <w:right w:val="nil"/>
            </w:tcBorders>
            <w:shd w:val="clear" w:color="auto" w:fill="FFFFFF"/>
            <w:tcMar>
              <w:left w:w="67" w:type="dxa"/>
              <w:right w:w="67" w:type="dxa"/>
            </w:tcMar>
          </w:tcPr>
          <w:p w14:paraId="2EC23FD4"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0.334</w:t>
            </w:r>
          </w:p>
        </w:tc>
        <w:tc>
          <w:tcPr>
            <w:tcW w:w="1085" w:type="dxa"/>
            <w:tcBorders>
              <w:top w:val="nil"/>
              <w:left w:val="nil"/>
              <w:bottom w:val="nil"/>
              <w:right w:val="nil"/>
            </w:tcBorders>
            <w:shd w:val="clear" w:color="auto" w:fill="FFFFFF"/>
            <w:tcMar>
              <w:left w:w="67" w:type="dxa"/>
              <w:right w:w="67" w:type="dxa"/>
            </w:tcMar>
          </w:tcPr>
          <w:p w14:paraId="6D1764A1"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0.1357</w:t>
            </w:r>
          </w:p>
        </w:tc>
        <w:tc>
          <w:tcPr>
            <w:tcW w:w="1010" w:type="dxa"/>
            <w:tcBorders>
              <w:top w:val="nil"/>
              <w:left w:val="nil"/>
              <w:bottom w:val="nil"/>
              <w:right w:val="nil"/>
            </w:tcBorders>
            <w:shd w:val="clear" w:color="auto" w:fill="FFFFFF"/>
            <w:tcMar>
              <w:left w:w="67" w:type="dxa"/>
              <w:right w:w="67" w:type="dxa"/>
            </w:tcMar>
          </w:tcPr>
          <w:p w14:paraId="357C72AB"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0.0173</w:t>
            </w:r>
          </w:p>
        </w:tc>
        <w:tc>
          <w:tcPr>
            <w:tcW w:w="1165" w:type="dxa"/>
            <w:tcBorders>
              <w:top w:val="nil"/>
              <w:left w:val="nil"/>
              <w:bottom w:val="nil"/>
              <w:right w:val="nil"/>
            </w:tcBorders>
            <w:shd w:val="clear" w:color="auto" w:fill="FFFFFF"/>
            <w:tcMar>
              <w:left w:w="67" w:type="dxa"/>
              <w:right w:w="67" w:type="dxa"/>
            </w:tcMar>
          </w:tcPr>
          <w:p w14:paraId="0247DF78"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0.0627</w:t>
            </w:r>
          </w:p>
        </w:tc>
        <w:tc>
          <w:tcPr>
            <w:tcW w:w="855" w:type="dxa"/>
            <w:tcBorders>
              <w:top w:val="nil"/>
              <w:left w:val="nil"/>
              <w:bottom w:val="nil"/>
              <w:right w:val="nil"/>
            </w:tcBorders>
            <w:shd w:val="clear" w:color="auto" w:fill="FFFFFF"/>
            <w:tcMar>
              <w:left w:w="67" w:type="dxa"/>
              <w:right w:w="67" w:type="dxa"/>
            </w:tcMar>
          </w:tcPr>
          <w:p w14:paraId="1A54ADCD"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0.0001</w:t>
            </w:r>
          </w:p>
        </w:tc>
        <w:tc>
          <w:tcPr>
            <w:tcW w:w="528" w:type="dxa"/>
            <w:tcBorders>
              <w:top w:val="nil"/>
              <w:left w:val="nil"/>
              <w:bottom w:val="nil"/>
              <w:right w:val="single" w:sz="4" w:space="0" w:color="auto"/>
            </w:tcBorders>
            <w:shd w:val="clear" w:color="auto" w:fill="FFFFFF"/>
            <w:tcMar>
              <w:left w:w="67" w:type="dxa"/>
              <w:right w:w="67" w:type="dxa"/>
            </w:tcMar>
          </w:tcPr>
          <w:p w14:paraId="3D9C5596"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560</w:t>
            </w:r>
          </w:p>
        </w:tc>
      </w:tr>
      <w:tr w:rsidR="00E07CDE" w:rsidRPr="000D3E11" w14:paraId="212D15FF" w14:textId="77777777" w:rsidTr="000D3E11">
        <w:trPr>
          <w:cantSplit/>
          <w:jc w:val="center"/>
        </w:trPr>
        <w:tc>
          <w:tcPr>
            <w:tcW w:w="4961" w:type="dxa"/>
            <w:tcBorders>
              <w:top w:val="nil"/>
              <w:left w:val="single" w:sz="4" w:space="0" w:color="auto"/>
              <w:bottom w:val="nil"/>
              <w:right w:val="nil"/>
            </w:tcBorders>
            <w:shd w:val="clear" w:color="auto" w:fill="FFFFFF"/>
            <w:tcMar>
              <w:left w:w="67" w:type="dxa"/>
              <w:right w:w="67" w:type="dxa"/>
            </w:tcMar>
          </w:tcPr>
          <w:p w14:paraId="693D62B0" w14:textId="77777777" w:rsidR="00E07CDE" w:rsidRPr="000D3E11" w:rsidRDefault="00E07CDE" w:rsidP="006C0B32">
            <w:pPr>
              <w:autoSpaceDE/>
              <w:autoSpaceDN/>
              <w:spacing w:before="67" w:after="67" w:line="240" w:lineRule="auto"/>
              <w:rPr>
                <w:rFonts w:eastAsia="Calibri"/>
                <w:color w:val="000000"/>
                <w:sz w:val="18"/>
                <w:szCs w:val="18"/>
                <w:lang w:eastAsia="en-US"/>
              </w:rPr>
            </w:pPr>
            <w:r w:rsidRPr="000D3E11">
              <w:rPr>
                <w:rFonts w:eastAsia="Calibri"/>
                <w:color w:val="000000"/>
                <w:sz w:val="18"/>
                <w:szCs w:val="18"/>
                <w:lang w:eastAsia="en-US"/>
              </w:rPr>
              <w:t>QUALID (staff) - missing data imputed assuming MAR</w:t>
            </w:r>
          </w:p>
        </w:tc>
        <w:tc>
          <w:tcPr>
            <w:tcW w:w="1010" w:type="dxa"/>
            <w:tcBorders>
              <w:top w:val="nil"/>
              <w:left w:val="nil"/>
              <w:bottom w:val="nil"/>
              <w:right w:val="nil"/>
            </w:tcBorders>
            <w:shd w:val="clear" w:color="auto" w:fill="FFFFFF"/>
            <w:tcMar>
              <w:left w:w="67" w:type="dxa"/>
              <w:right w:w="67" w:type="dxa"/>
            </w:tcMar>
          </w:tcPr>
          <w:p w14:paraId="72FFF5CB"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-0.74</w:t>
            </w:r>
          </w:p>
        </w:tc>
        <w:tc>
          <w:tcPr>
            <w:tcW w:w="1010" w:type="dxa"/>
            <w:tcBorders>
              <w:top w:val="nil"/>
              <w:left w:val="nil"/>
              <w:bottom w:val="nil"/>
              <w:right w:val="nil"/>
            </w:tcBorders>
            <w:shd w:val="clear" w:color="auto" w:fill="FFFFFF"/>
            <w:tcMar>
              <w:left w:w="67" w:type="dxa"/>
              <w:right w:w="67" w:type="dxa"/>
            </w:tcMar>
          </w:tcPr>
          <w:p w14:paraId="60855040"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-1.91</w:t>
            </w:r>
          </w:p>
        </w:tc>
        <w:tc>
          <w:tcPr>
            <w:tcW w:w="1010" w:type="dxa"/>
            <w:tcBorders>
              <w:top w:val="nil"/>
              <w:left w:val="nil"/>
              <w:bottom w:val="nil"/>
              <w:right w:val="nil"/>
            </w:tcBorders>
            <w:shd w:val="clear" w:color="auto" w:fill="FFFFFF"/>
            <w:tcMar>
              <w:left w:w="67" w:type="dxa"/>
              <w:right w:w="67" w:type="dxa"/>
            </w:tcMar>
          </w:tcPr>
          <w:p w14:paraId="7564897A"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0.43</w:t>
            </w:r>
          </w:p>
        </w:tc>
        <w:tc>
          <w:tcPr>
            <w:tcW w:w="935" w:type="dxa"/>
            <w:tcBorders>
              <w:top w:val="nil"/>
              <w:left w:val="nil"/>
              <w:bottom w:val="nil"/>
              <w:right w:val="nil"/>
            </w:tcBorders>
            <w:shd w:val="clear" w:color="auto" w:fill="FFFFFF"/>
            <w:tcMar>
              <w:left w:w="67" w:type="dxa"/>
              <w:right w:w="67" w:type="dxa"/>
            </w:tcMar>
          </w:tcPr>
          <w:p w14:paraId="2CFB128B"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0.214</w:t>
            </w:r>
          </w:p>
        </w:tc>
        <w:tc>
          <w:tcPr>
            <w:tcW w:w="1085" w:type="dxa"/>
            <w:tcBorders>
              <w:top w:val="nil"/>
              <w:left w:val="nil"/>
              <w:bottom w:val="nil"/>
              <w:right w:val="nil"/>
            </w:tcBorders>
            <w:shd w:val="clear" w:color="auto" w:fill="FFFFFF"/>
            <w:tcMar>
              <w:left w:w="67" w:type="dxa"/>
              <w:right w:w="67" w:type="dxa"/>
            </w:tcMar>
          </w:tcPr>
          <w:p w14:paraId="370336D6"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0.129</w:t>
            </w:r>
          </w:p>
        </w:tc>
        <w:tc>
          <w:tcPr>
            <w:tcW w:w="1010" w:type="dxa"/>
            <w:tcBorders>
              <w:top w:val="nil"/>
              <w:left w:val="nil"/>
              <w:bottom w:val="nil"/>
              <w:right w:val="nil"/>
            </w:tcBorders>
            <w:shd w:val="clear" w:color="auto" w:fill="FFFFFF"/>
            <w:tcMar>
              <w:left w:w="67" w:type="dxa"/>
              <w:right w:w="67" w:type="dxa"/>
            </w:tcMar>
          </w:tcPr>
          <w:p w14:paraId="115B8F81"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0.005</w:t>
            </w:r>
          </w:p>
        </w:tc>
        <w:tc>
          <w:tcPr>
            <w:tcW w:w="1165" w:type="dxa"/>
            <w:tcBorders>
              <w:top w:val="nil"/>
              <w:left w:val="nil"/>
              <w:bottom w:val="nil"/>
              <w:right w:val="nil"/>
            </w:tcBorders>
            <w:shd w:val="clear" w:color="auto" w:fill="FFFFFF"/>
            <w:tcMar>
              <w:left w:w="67" w:type="dxa"/>
              <w:right w:w="67" w:type="dxa"/>
            </w:tcMar>
          </w:tcPr>
          <w:p w14:paraId="009D0097"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0.035</w:t>
            </w:r>
          </w:p>
        </w:tc>
        <w:tc>
          <w:tcPr>
            <w:tcW w:w="855" w:type="dxa"/>
            <w:tcBorders>
              <w:top w:val="nil"/>
              <w:left w:val="nil"/>
              <w:bottom w:val="nil"/>
              <w:right w:val="nil"/>
            </w:tcBorders>
            <w:shd w:val="clear" w:color="auto" w:fill="FFFFFF"/>
            <w:tcMar>
              <w:left w:w="67" w:type="dxa"/>
              <w:right w:w="67" w:type="dxa"/>
            </w:tcMar>
          </w:tcPr>
          <w:p w14:paraId="222C413A"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0.001</w:t>
            </w:r>
          </w:p>
        </w:tc>
        <w:tc>
          <w:tcPr>
            <w:tcW w:w="528" w:type="dxa"/>
            <w:tcBorders>
              <w:top w:val="nil"/>
              <w:left w:val="nil"/>
              <w:bottom w:val="nil"/>
              <w:right w:val="single" w:sz="4" w:space="0" w:color="auto"/>
            </w:tcBorders>
            <w:shd w:val="clear" w:color="auto" w:fill="FFFFFF"/>
            <w:tcMar>
              <w:left w:w="67" w:type="dxa"/>
              <w:right w:w="67" w:type="dxa"/>
            </w:tcMar>
          </w:tcPr>
          <w:p w14:paraId="16CF1388"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726</w:t>
            </w:r>
          </w:p>
        </w:tc>
      </w:tr>
      <w:tr w:rsidR="00E07CDE" w:rsidRPr="000D3E11" w14:paraId="23F739A2" w14:textId="77777777" w:rsidTr="000D3E11">
        <w:trPr>
          <w:cantSplit/>
          <w:jc w:val="center"/>
        </w:trPr>
        <w:tc>
          <w:tcPr>
            <w:tcW w:w="4961" w:type="dxa"/>
            <w:tcBorders>
              <w:top w:val="nil"/>
              <w:left w:val="single" w:sz="4" w:space="0" w:color="auto"/>
              <w:bottom w:val="nil"/>
              <w:right w:val="nil"/>
            </w:tcBorders>
            <w:shd w:val="clear" w:color="auto" w:fill="FFFFFF"/>
            <w:tcMar>
              <w:left w:w="67" w:type="dxa"/>
              <w:right w:w="67" w:type="dxa"/>
            </w:tcMar>
          </w:tcPr>
          <w:p w14:paraId="59B1A1B4" w14:textId="22330BD9" w:rsidR="00E07CDE" w:rsidRPr="000D3E11" w:rsidRDefault="00E07CDE" w:rsidP="006C0B32">
            <w:pPr>
              <w:autoSpaceDE/>
              <w:autoSpaceDN/>
              <w:spacing w:before="67" w:after="67" w:line="240" w:lineRule="auto"/>
              <w:rPr>
                <w:rFonts w:eastAsia="Calibri"/>
                <w:b/>
                <w:color w:val="000000"/>
                <w:sz w:val="18"/>
                <w:szCs w:val="18"/>
                <w:lang w:eastAsia="en-US"/>
              </w:rPr>
            </w:pPr>
            <w:r w:rsidRPr="000D3E11">
              <w:rPr>
                <w:rFonts w:eastAsia="Calibri"/>
                <w:b/>
                <w:color w:val="000000"/>
                <w:sz w:val="18"/>
                <w:szCs w:val="18"/>
                <w:lang w:eastAsia="en-US"/>
              </w:rPr>
              <w:t>16</w:t>
            </w:r>
            <w:r w:rsidR="00B80810">
              <w:rPr>
                <w:rFonts w:eastAsia="Calibri"/>
                <w:b/>
                <w:color w:val="000000"/>
                <w:sz w:val="18"/>
                <w:szCs w:val="18"/>
                <w:lang w:eastAsia="en-US"/>
              </w:rPr>
              <w:t>-months</w:t>
            </w:r>
          </w:p>
        </w:tc>
        <w:tc>
          <w:tcPr>
            <w:tcW w:w="1010" w:type="dxa"/>
            <w:tcBorders>
              <w:top w:val="nil"/>
              <w:left w:val="nil"/>
              <w:bottom w:val="nil"/>
              <w:right w:val="nil"/>
            </w:tcBorders>
            <w:shd w:val="clear" w:color="auto" w:fill="FFFFFF"/>
            <w:tcMar>
              <w:left w:w="67" w:type="dxa"/>
              <w:right w:w="67" w:type="dxa"/>
            </w:tcMar>
          </w:tcPr>
          <w:p w14:paraId="0E955238"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p>
        </w:tc>
        <w:tc>
          <w:tcPr>
            <w:tcW w:w="1010" w:type="dxa"/>
            <w:tcBorders>
              <w:top w:val="nil"/>
              <w:left w:val="nil"/>
              <w:bottom w:val="nil"/>
              <w:right w:val="nil"/>
            </w:tcBorders>
            <w:shd w:val="clear" w:color="auto" w:fill="FFFFFF"/>
            <w:tcMar>
              <w:left w:w="67" w:type="dxa"/>
              <w:right w:w="67" w:type="dxa"/>
            </w:tcMar>
          </w:tcPr>
          <w:p w14:paraId="117FE5A5"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p>
        </w:tc>
        <w:tc>
          <w:tcPr>
            <w:tcW w:w="1010" w:type="dxa"/>
            <w:tcBorders>
              <w:top w:val="nil"/>
              <w:left w:val="nil"/>
              <w:bottom w:val="nil"/>
              <w:right w:val="nil"/>
            </w:tcBorders>
            <w:shd w:val="clear" w:color="auto" w:fill="FFFFFF"/>
            <w:tcMar>
              <w:left w:w="67" w:type="dxa"/>
              <w:right w:w="67" w:type="dxa"/>
            </w:tcMar>
          </w:tcPr>
          <w:p w14:paraId="7299A05D"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p>
        </w:tc>
        <w:tc>
          <w:tcPr>
            <w:tcW w:w="935" w:type="dxa"/>
            <w:tcBorders>
              <w:top w:val="nil"/>
              <w:left w:val="nil"/>
              <w:bottom w:val="nil"/>
              <w:right w:val="nil"/>
            </w:tcBorders>
            <w:shd w:val="clear" w:color="auto" w:fill="FFFFFF"/>
            <w:tcMar>
              <w:left w:w="67" w:type="dxa"/>
              <w:right w:w="67" w:type="dxa"/>
            </w:tcMar>
          </w:tcPr>
          <w:p w14:paraId="0AA9FD2F"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p>
        </w:tc>
        <w:tc>
          <w:tcPr>
            <w:tcW w:w="1085" w:type="dxa"/>
            <w:tcBorders>
              <w:top w:val="nil"/>
              <w:left w:val="nil"/>
              <w:bottom w:val="nil"/>
              <w:right w:val="nil"/>
            </w:tcBorders>
            <w:shd w:val="clear" w:color="auto" w:fill="FFFFFF"/>
            <w:tcMar>
              <w:left w:w="67" w:type="dxa"/>
              <w:right w:w="67" w:type="dxa"/>
            </w:tcMar>
          </w:tcPr>
          <w:p w14:paraId="3662AF0B"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p>
        </w:tc>
        <w:tc>
          <w:tcPr>
            <w:tcW w:w="1010" w:type="dxa"/>
            <w:tcBorders>
              <w:top w:val="nil"/>
              <w:left w:val="nil"/>
              <w:bottom w:val="nil"/>
              <w:right w:val="nil"/>
            </w:tcBorders>
            <w:shd w:val="clear" w:color="auto" w:fill="FFFFFF"/>
            <w:tcMar>
              <w:left w:w="67" w:type="dxa"/>
              <w:right w:w="67" w:type="dxa"/>
            </w:tcMar>
          </w:tcPr>
          <w:p w14:paraId="02E210F7"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p>
        </w:tc>
        <w:tc>
          <w:tcPr>
            <w:tcW w:w="1165" w:type="dxa"/>
            <w:tcBorders>
              <w:top w:val="nil"/>
              <w:left w:val="nil"/>
              <w:bottom w:val="nil"/>
              <w:right w:val="nil"/>
            </w:tcBorders>
            <w:shd w:val="clear" w:color="auto" w:fill="FFFFFF"/>
            <w:tcMar>
              <w:left w:w="67" w:type="dxa"/>
              <w:right w:w="67" w:type="dxa"/>
            </w:tcMar>
          </w:tcPr>
          <w:p w14:paraId="35B190A6"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p>
        </w:tc>
        <w:tc>
          <w:tcPr>
            <w:tcW w:w="855" w:type="dxa"/>
            <w:tcBorders>
              <w:top w:val="nil"/>
              <w:left w:val="nil"/>
              <w:bottom w:val="nil"/>
              <w:right w:val="nil"/>
            </w:tcBorders>
            <w:shd w:val="clear" w:color="auto" w:fill="FFFFFF"/>
            <w:tcMar>
              <w:left w:w="67" w:type="dxa"/>
              <w:right w:w="67" w:type="dxa"/>
            </w:tcMar>
          </w:tcPr>
          <w:p w14:paraId="7806FDA1"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p>
        </w:tc>
        <w:tc>
          <w:tcPr>
            <w:tcW w:w="528" w:type="dxa"/>
            <w:tcBorders>
              <w:top w:val="nil"/>
              <w:left w:val="nil"/>
              <w:bottom w:val="nil"/>
              <w:right w:val="single" w:sz="4" w:space="0" w:color="auto"/>
            </w:tcBorders>
            <w:shd w:val="clear" w:color="auto" w:fill="FFFFFF"/>
            <w:tcMar>
              <w:left w:w="67" w:type="dxa"/>
              <w:right w:w="67" w:type="dxa"/>
            </w:tcMar>
          </w:tcPr>
          <w:p w14:paraId="3F3D0BB7"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p>
        </w:tc>
      </w:tr>
      <w:tr w:rsidR="00E07CDE" w:rsidRPr="000D3E11" w14:paraId="776C6700" w14:textId="77777777" w:rsidTr="000D3E11">
        <w:trPr>
          <w:cantSplit/>
          <w:jc w:val="center"/>
        </w:trPr>
        <w:tc>
          <w:tcPr>
            <w:tcW w:w="4961" w:type="dxa"/>
            <w:tcBorders>
              <w:top w:val="nil"/>
              <w:left w:val="single" w:sz="4" w:space="0" w:color="auto"/>
              <w:bottom w:val="nil"/>
              <w:right w:val="nil"/>
            </w:tcBorders>
            <w:shd w:val="clear" w:color="auto" w:fill="FFFFFF"/>
            <w:tcMar>
              <w:left w:w="67" w:type="dxa"/>
              <w:right w:w="67" w:type="dxa"/>
            </w:tcMar>
          </w:tcPr>
          <w:p w14:paraId="5E6AC0A2" w14:textId="77777777" w:rsidR="00E07CDE" w:rsidRPr="000D3E11" w:rsidRDefault="00E07CDE" w:rsidP="006C0B32">
            <w:pPr>
              <w:keepNext/>
              <w:autoSpaceDE/>
              <w:autoSpaceDN/>
              <w:spacing w:before="67" w:after="67" w:line="240" w:lineRule="auto"/>
              <w:rPr>
                <w:rFonts w:eastAsia="Calibri"/>
                <w:color w:val="000000"/>
                <w:sz w:val="18"/>
                <w:szCs w:val="18"/>
                <w:lang w:eastAsia="en-US"/>
              </w:rPr>
            </w:pPr>
            <w:r w:rsidRPr="000D3E11">
              <w:rPr>
                <w:rFonts w:eastAsia="Calibri"/>
                <w:color w:val="000000"/>
                <w:sz w:val="18"/>
                <w:szCs w:val="18"/>
                <w:lang w:eastAsia="en-US"/>
              </w:rPr>
              <w:t>QUALID (staff) - complete cases only</w:t>
            </w:r>
          </w:p>
        </w:tc>
        <w:tc>
          <w:tcPr>
            <w:tcW w:w="1010" w:type="dxa"/>
            <w:tcBorders>
              <w:top w:val="nil"/>
              <w:left w:val="nil"/>
              <w:bottom w:val="nil"/>
              <w:right w:val="nil"/>
            </w:tcBorders>
            <w:shd w:val="clear" w:color="auto" w:fill="FFFFFF"/>
            <w:tcMar>
              <w:left w:w="67" w:type="dxa"/>
              <w:right w:w="67" w:type="dxa"/>
            </w:tcMar>
          </w:tcPr>
          <w:p w14:paraId="406CFD50" w14:textId="77777777" w:rsidR="00E07CDE" w:rsidRPr="000D3E11" w:rsidRDefault="00E07CDE" w:rsidP="006C0B32">
            <w:pPr>
              <w:keepNext/>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-0.04</w:t>
            </w:r>
          </w:p>
        </w:tc>
        <w:tc>
          <w:tcPr>
            <w:tcW w:w="1010" w:type="dxa"/>
            <w:tcBorders>
              <w:top w:val="nil"/>
              <w:left w:val="nil"/>
              <w:bottom w:val="nil"/>
              <w:right w:val="nil"/>
            </w:tcBorders>
            <w:shd w:val="clear" w:color="auto" w:fill="FFFFFF"/>
            <w:tcMar>
              <w:left w:w="67" w:type="dxa"/>
              <w:right w:w="67" w:type="dxa"/>
            </w:tcMar>
          </w:tcPr>
          <w:p w14:paraId="303EC692" w14:textId="77777777" w:rsidR="00E07CDE" w:rsidRPr="000D3E11" w:rsidRDefault="00E07CDE" w:rsidP="006C0B32">
            <w:pPr>
              <w:keepNext/>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-1.24</w:t>
            </w:r>
          </w:p>
        </w:tc>
        <w:tc>
          <w:tcPr>
            <w:tcW w:w="1010" w:type="dxa"/>
            <w:tcBorders>
              <w:top w:val="nil"/>
              <w:left w:val="nil"/>
              <w:bottom w:val="nil"/>
              <w:right w:val="nil"/>
            </w:tcBorders>
            <w:shd w:val="clear" w:color="auto" w:fill="FFFFFF"/>
            <w:tcMar>
              <w:left w:w="67" w:type="dxa"/>
              <w:right w:w="67" w:type="dxa"/>
            </w:tcMar>
          </w:tcPr>
          <w:p w14:paraId="7354A714" w14:textId="77777777" w:rsidR="00E07CDE" w:rsidRPr="000D3E11" w:rsidRDefault="00E07CDE" w:rsidP="006C0B32">
            <w:pPr>
              <w:keepNext/>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1.16</w:t>
            </w:r>
          </w:p>
        </w:tc>
        <w:tc>
          <w:tcPr>
            <w:tcW w:w="935" w:type="dxa"/>
            <w:tcBorders>
              <w:top w:val="nil"/>
              <w:left w:val="nil"/>
              <w:bottom w:val="nil"/>
              <w:right w:val="nil"/>
            </w:tcBorders>
            <w:shd w:val="clear" w:color="auto" w:fill="FFFFFF"/>
            <w:tcMar>
              <w:left w:w="67" w:type="dxa"/>
              <w:right w:w="67" w:type="dxa"/>
            </w:tcMar>
          </w:tcPr>
          <w:p w14:paraId="119A9484" w14:textId="77777777" w:rsidR="00E07CDE" w:rsidRPr="000D3E11" w:rsidRDefault="00E07CDE" w:rsidP="006C0B32">
            <w:pPr>
              <w:keepNext/>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0.948</w:t>
            </w:r>
          </w:p>
        </w:tc>
        <w:tc>
          <w:tcPr>
            <w:tcW w:w="1085" w:type="dxa"/>
            <w:tcBorders>
              <w:top w:val="nil"/>
              <w:left w:val="nil"/>
              <w:bottom w:val="nil"/>
              <w:right w:val="nil"/>
            </w:tcBorders>
            <w:shd w:val="clear" w:color="auto" w:fill="FFFFFF"/>
            <w:tcMar>
              <w:left w:w="67" w:type="dxa"/>
              <w:right w:w="67" w:type="dxa"/>
            </w:tcMar>
          </w:tcPr>
          <w:p w14:paraId="7240554E" w14:textId="77777777" w:rsidR="00E07CDE" w:rsidRPr="000D3E11" w:rsidRDefault="00E07CDE" w:rsidP="006C0B32">
            <w:pPr>
              <w:keepNext/>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0.0838</w:t>
            </w:r>
          </w:p>
        </w:tc>
        <w:tc>
          <w:tcPr>
            <w:tcW w:w="1010" w:type="dxa"/>
            <w:tcBorders>
              <w:top w:val="nil"/>
              <w:left w:val="nil"/>
              <w:bottom w:val="nil"/>
              <w:right w:val="nil"/>
            </w:tcBorders>
            <w:shd w:val="clear" w:color="auto" w:fill="FFFFFF"/>
            <w:tcMar>
              <w:left w:w="67" w:type="dxa"/>
              <w:right w:w="67" w:type="dxa"/>
            </w:tcMar>
          </w:tcPr>
          <w:p w14:paraId="29158ADF" w14:textId="77777777" w:rsidR="00E07CDE" w:rsidRPr="000D3E11" w:rsidRDefault="00E07CDE" w:rsidP="006C0B32">
            <w:pPr>
              <w:keepNext/>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0.0064</w:t>
            </w:r>
          </w:p>
        </w:tc>
        <w:tc>
          <w:tcPr>
            <w:tcW w:w="1165" w:type="dxa"/>
            <w:tcBorders>
              <w:top w:val="nil"/>
              <w:left w:val="nil"/>
              <w:bottom w:val="nil"/>
              <w:right w:val="nil"/>
            </w:tcBorders>
            <w:shd w:val="clear" w:color="auto" w:fill="FFFFFF"/>
            <w:tcMar>
              <w:left w:w="67" w:type="dxa"/>
              <w:right w:w="67" w:type="dxa"/>
            </w:tcMar>
          </w:tcPr>
          <w:p w14:paraId="3A7D5877" w14:textId="77777777" w:rsidR="00E07CDE" w:rsidRPr="000D3E11" w:rsidRDefault="00E07CDE" w:rsidP="006C0B32">
            <w:pPr>
              <w:keepNext/>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w:t>
            </w:r>
          </w:p>
        </w:tc>
        <w:tc>
          <w:tcPr>
            <w:tcW w:w="855" w:type="dxa"/>
            <w:tcBorders>
              <w:top w:val="nil"/>
              <w:left w:val="nil"/>
              <w:bottom w:val="nil"/>
              <w:right w:val="nil"/>
            </w:tcBorders>
            <w:shd w:val="clear" w:color="auto" w:fill="FFFFFF"/>
            <w:tcMar>
              <w:left w:w="67" w:type="dxa"/>
              <w:right w:w="67" w:type="dxa"/>
            </w:tcMar>
          </w:tcPr>
          <w:p w14:paraId="75B7A3B2" w14:textId="77777777" w:rsidR="00E07CDE" w:rsidRPr="000D3E11" w:rsidRDefault="00E07CDE" w:rsidP="006C0B32">
            <w:pPr>
              <w:keepNext/>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w:t>
            </w:r>
          </w:p>
        </w:tc>
        <w:tc>
          <w:tcPr>
            <w:tcW w:w="528" w:type="dxa"/>
            <w:tcBorders>
              <w:top w:val="nil"/>
              <w:left w:val="nil"/>
              <w:bottom w:val="nil"/>
              <w:right w:val="single" w:sz="4" w:space="0" w:color="auto"/>
            </w:tcBorders>
            <w:shd w:val="clear" w:color="auto" w:fill="FFFFFF"/>
            <w:tcMar>
              <w:left w:w="67" w:type="dxa"/>
              <w:right w:w="67" w:type="dxa"/>
            </w:tcMar>
          </w:tcPr>
          <w:p w14:paraId="210FD508" w14:textId="77777777" w:rsidR="00E07CDE" w:rsidRPr="000D3E11" w:rsidRDefault="00E07CDE" w:rsidP="006C0B32">
            <w:pPr>
              <w:keepNext/>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404</w:t>
            </w:r>
          </w:p>
        </w:tc>
      </w:tr>
      <w:tr w:rsidR="00E07CDE" w:rsidRPr="000D3E11" w14:paraId="7144B60F" w14:textId="77777777" w:rsidTr="000D3E11">
        <w:trPr>
          <w:cantSplit/>
          <w:jc w:val="center"/>
        </w:trPr>
        <w:tc>
          <w:tcPr>
            <w:tcW w:w="4961" w:type="dxa"/>
            <w:tcBorders>
              <w:top w:val="nil"/>
              <w:left w:val="single" w:sz="4" w:space="0" w:color="auto"/>
              <w:bottom w:val="single" w:sz="4" w:space="0" w:color="auto"/>
              <w:right w:val="nil"/>
            </w:tcBorders>
            <w:shd w:val="clear" w:color="auto" w:fill="FFFFFF"/>
            <w:tcMar>
              <w:left w:w="67" w:type="dxa"/>
              <w:right w:w="67" w:type="dxa"/>
            </w:tcMar>
          </w:tcPr>
          <w:p w14:paraId="14B855B3" w14:textId="77777777" w:rsidR="00E07CDE" w:rsidRPr="000D3E11" w:rsidRDefault="00E07CDE" w:rsidP="006C0B32">
            <w:pPr>
              <w:autoSpaceDE/>
              <w:autoSpaceDN/>
              <w:spacing w:before="67" w:after="67" w:line="240" w:lineRule="auto"/>
              <w:rPr>
                <w:rFonts w:eastAsia="Calibri"/>
                <w:color w:val="000000"/>
                <w:sz w:val="18"/>
                <w:szCs w:val="18"/>
                <w:lang w:eastAsia="en-US"/>
              </w:rPr>
            </w:pPr>
            <w:r w:rsidRPr="000D3E11">
              <w:rPr>
                <w:rFonts w:eastAsia="Calibri"/>
                <w:color w:val="000000"/>
                <w:sz w:val="18"/>
                <w:szCs w:val="18"/>
                <w:lang w:eastAsia="en-US"/>
              </w:rPr>
              <w:t>QUALID (staff) - missing data imputed assuming MAR</w:t>
            </w:r>
          </w:p>
        </w:tc>
        <w:tc>
          <w:tcPr>
            <w:tcW w:w="1010" w:type="dxa"/>
            <w:tcBorders>
              <w:top w:val="nil"/>
              <w:left w:val="nil"/>
              <w:bottom w:val="single" w:sz="4" w:space="0" w:color="auto"/>
              <w:right w:val="nil"/>
            </w:tcBorders>
            <w:shd w:val="clear" w:color="auto" w:fill="FFFFFF"/>
            <w:tcMar>
              <w:left w:w="67" w:type="dxa"/>
              <w:right w:w="67" w:type="dxa"/>
            </w:tcMar>
          </w:tcPr>
          <w:p w14:paraId="7EBC80AD"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-0.07</w:t>
            </w:r>
          </w:p>
        </w:tc>
        <w:tc>
          <w:tcPr>
            <w:tcW w:w="1010" w:type="dxa"/>
            <w:tcBorders>
              <w:top w:val="nil"/>
              <w:left w:val="nil"/>
              <w:bottom w:val="single" w:sz="4" w:space="0" w:color="auto"/>
              <w:right w:val="nil"/>
            </w:tcBorders>
            <w:shd w:val="clear" w:color="auto" w:fill="FFFFFF"/>
            <w:tcMar>
              <w:left w:w="67" w:type="dxa"/>
              <w:right w:w="67" w:type="dxa"/>
            </w:tcMar>
          </w:tcPr>
          <w:p w14:paraId="20A16615"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-1.26</w:t>
            </w:r>
          </w:p>
        </w:tc>
        <w:tc>
          <w:tcPr>
            <w:tcW w:w="1010" w:type="dxa"/>
            <w:tcBorders>
              <w:top w:val="nil"/>
              <w:left w:val="nil"/>
              <w:bottom w:val="single" w:sz="4" w:space="0" w:color="auto"/>
              <w:right w:val="nil"/>
            </w:tcBorders>
            <w:shd w:val="clear" w:color="auto" w:fill="FFFFFF"/>
            <w:tcMar>
              <w:left w:w="67" w:type="dxa"/>
              <w:right w:w="67" w:type="dxa"/>
            </w:tcMar>
          </w:tcPr>
          <w:p w14:paraId="6AD60992"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1.11</w:t>
            </w:r>
          </w:p>
        </w:tc>
        <w:tc>
          <w:tcPr>
            <w:tcW w:w="935" w:type="dxa"/>
            <w:tcBorders>
              <w:top w:val="nil"/>
              <w:left w:val="nil"/>
              <w:bottom w:val="single" w:sz="4" w:space="0" w:color="auto"/>
              <w:right w:val="nil"/>
            </w:tcBorders>
            <w:shd w:val="clear" w:color="auto" w:fill="FFFFFF"/>
            <w:tcMar>
              <w:left w:w="67" w:type="dxa"/>
              <w:right w:w="67" w:type="dxa"/>
            </w:tcMar>
          </w:tcPr>
          <w:p w14:paraId="303A0CFE"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0.902</w:t>
            </w:r>
          </w:p>
        </w:tc>
        <w:tc>
          <w:tcPr>
            <w:tcW w:w="1085" w:type="dxa"/>
            <w:tcBorders>
              <w:top w:val="nil"/>
              <w:left w:val="nil"/>
              <w:bottom w:val="single" w:sz="4" w:space="0" w:color="auto"/>
              <w:right w:val="nil"/>
            </w:tcBorders>
            <w:shd w:val="clear" w:color="auto" w:fill="FFFFFF"/>
            <w:tcMar>
              <w:left w:w="67" w:type="dxa"/>
              <w:right w:w="67" w:type="dxa"/>
            </w:tcMar>
          </w:tcPr>
          <w:p w14:paraId="3E1135EE"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0.07</w:t>
            </w:r>
          </w:p>
        </w:tc>
        <w:tc>
          <w:tcPr>
            <w:tcW w:w="1010" w:type="dxa"/>
            <w:tcBorders>
              <w:top w:val="nil"/>
              <w:left w:val="nil"/>
              <w:bottom w:val="single" w:sz="4" w:space="0" w:color="auto"/>
              <w:right w:val="nil"/>
            </w:tcBorders>
            <w:shd w:val="clear" w:color="auto" w:fill="FFFFFF"/>
            <w:tcMar>
              <w:left w:w="67" w:type="dxa"/>
              <w:right w:w="67" w:type="dxa"/>
            </w:tcMar>
          </w:tcPr>
          <w:p w14:paraId="354EB424"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0.004</w:t>
            </w:r>
          </w:p>
        </w:tc>
        <w:tc>
          <w:tcPr>
            <w:tcW w:w="1165" w:type="dxa"/>
            <w:tcBorders>
              <w:top w:val="nil"/>
              <w:left w:val="nil"/>
              <w:bottom w:val="single" w:sz="4" w:space="0" w:color="auto"/>
              <w:right w:val="nil"/>
            </w:tcBorders>
            <w:shd w:val="clear" w:color="auto" w:fill="FFFFFF"/>
            <w:tcMar>
              <w:left w:w="67" w:type="dxa"/>
              <w:right w:w="67" w:type="dxa"/>
            </w:tcMar>
          </w:tcPr>
          <w:p w14:paraId="2761AA43"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0.004</w:t>
            </w:r>
          </w:p>
        </w:tc>
        <w:tc>
          <w:tcPr>
            <w:tcW w:w="855" w:type="dxa"/>
            <w:tcBorders>
              <w:top w:val="nil"/>
              <w:left w:val="nil"/>
              <w:bottom w:val="single" w:sz="4" w:space="0" w:color="auto"/>
              <w:right w:val="nil"/>
            </w:tcBorders>
            <w:shd w:val="clear" w:color="auto" w:fill="FFFFFF"/>
            <w:tcMar>
              <w:left w:w="67" w:type="dxa"/>
              <w:right w:w="67" w:type="dxa"/>
            </w:tcMar>
          </w:tcPr>
          <w:p w14:paraId="68CD965E"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0</w:t>
            </w:r>
          </w:p>
        </w:tc>
        <w:tc>
          <w:tcPr>
            <w:tcW w:w="528" w:type="dxa"/>
            <w:tcBorders>
              <w:top w:val="nil"/>
              <w:left w:val="nil"/>
              <w:bottom w:val="single" w:sz="4" w:space="0" w:color="auto"/>
              <w:right w:val="single" w:sz="4" w:space="0" w:color="auto"/>
            </w:tcBorders>
            <w:shd w:val="clear" w:color="auto" w:fill="FFFFFF"/>
            <w:tcMar>
              <w:left w:w="67" w:type="dxa"/>
              <w:right w:w="67" w:type="dxa"/>
            </w:tcMar>
          </w:tcPr>
          <w:p w14:paraId="320E7FAC" w14:textId="77777777" w:rsidR="00E07CDE" w:rsidRPr="000D3E11" w:rsidRDefault="00E07CDE" w:rsidP="006C0B32">
            <w:pPr>
              <w:autoSpaceDE/>
              <w:autoSpaceDN/>
              <w:spacing w:before="67" w:after="67" w:line="240" w:lineRule="auto"/>
              <w:jc w:val="right"/>
              <w:rPr>
                <w:rFonts w:eastAsia="Calibri"/>
                <w:color w:val="000000"/>
                <w:sz w:val="18"/>
                <w:szCs w:val="18"/>
                <w:highlight w:val="yellow"/>
                <w:lang w:eastAsia="en-US"/>
              </w:rPr>
            </w:pPr>
            <w:r w:rsidRPr="000D3E11">
              <w:rPr>
                <w:rFonts w:eastAsia="Calibri"/>
                <w:color w:val="000000"/>
                <w:sz w:val="18"/>
                <w:szCs w:val="18"/>
                <w:lang w:eastAsia="en-US"/>
              </w:rPr>
              <w:t>726</w:t>
            </w:r>
          </w:p>
        </w:tc>
      </w:tr>
    </w:tbl>
    <w:p w14:paraId="74094FB6" w14:textId="77777777" w:rsidR="00E07CDE" w:rsidRPr="00563AD3" w:rsidRDefault="00E07CDE" w:rsidP="009B13F3">
      <w:pPr>
        <w:keepNext/>
        <w:autoSpaceDE/>
        <w:autoSpaceDN/>
        <w:adjustRightInd/>
        <w:spacing w:before="120" w:after="0"/>
        <w:rPr>
          <w:rFonts w:eastAsia="Calibri"/>
          <w:sz w:val="24"/>
          <w:szCs w:val="24"/>
          <w:lang w:eastAsia="en-US"/>
        </w:rPr>
      </w:pPr>
      <w:bookmarkStart w:id="344" w:name="_Toc500102595"/>
    </w:p>
    <w:p w14:paraId="2443F979" w14:textId="66A22597" w:rsidR="00E07CDE" w:rsidRPr="00563AD3" w:rsidRDefault="00E07CDE" w:rsidP="006C0B32">
      <w:pPr>
        <w:pStyle w:val="Tableheading"/>
        <w:rPr>
          <w:rFonts w:eastAsia="Calibri"/>
          <w:lang w:eastAsia="en-US"/>
        </w:rPr>
      </w:pPr>
      <w:bookmarkStart w:id="345" w:name="_Toc500935030"/>
      <w:bookmarkStart w:id="346" w:name="_Toc948254"/>
      <w:r w:rsidRPr="00563AD3">
        <w:rPr>
          <w:rFonts w:eastAsia="Calibri"/>
          <w:lang w:eastAsia="en-US"/>
        </w:rPr>
        <w:t xml:space="preserve">Table </w:t>
      </w:r>
      <w:r w:rsidR="005B29F6">
        <w:rPr>
          <w:rFonts w:eastAsia="Calibri"/>
          <w:lang w:eastAsia="en-US"/>
        </w:rPr>
        <w:t>57</w:t>
      </w:r>
      <w:r w:rsidR="005B29F6" w:rsidRPr="00563AD3">
        <w:rPr>
          <w:rFonts w:eastAsia="Calibri"/>
          <w:lang w:eastAsia="en-US"/>
        </w:rPr>
        <w:t xml:space="preserve"> </w:t>
      </w:r>
      <w:r w:rsidRPr="00563AD3">
        <w:rPr>
          <w:rFonts w:eastAsia="Calibri"/>
          <w:lang w:eastAsia="en-US"/>
        </w:rPr>
        <w:t>Quality of life analysis – cross-sectional sample QUALID (relative/ friend and staff)</w:t>
      </w:r>
      <w:bookmarkEnd w:id="344"/>
      <w:bookmarkEnd w:id="345"/>
      <w:bookmarkEnd w:id="346"/>
    </w:p>
    <w:tbl>
      <w:tblPr>
        <w:tblW w:w="13711" w:type="dxa"/>
        <w:jc w:val="center"/>
        <w:tblLayout w:type="fixed"/>
        <w:tblCellMar>
          <w:left w:w="0" w:type="dxa"/>
          <w:right w:w="0" w:type="dxa"/>
        </w:tblCellMar>
        <w:tblLook w:val="0000" w:firstRow="0" w:lastRow="0" w:firstColumn="0" w:lastColumn="0" w:noHBand="0" w:noVBand="0"/>
      </w:tblPr>
      <w:tblGrid>
        <w:gridCol w:w="4531"/>
        <w:gridCol w:w="993"/>
        <w:gridCol w:w="1134"/>
        <w:gridCol w:w="1134"/>
        <w:gridCol w:w="708"/>
        <w:gridCol w:w="1134"/>
        <w:gridCol w:w="1134"/>
        <w:gridCol w:w="1134"/>
        <w:gridCol w:w="993"/>
        <w:gridCol w:w="816"/>
      </w:tblGrid>
      <w:tr w:rsidR="00E07CDE" w:rsidRPr="000D3E11" w14:paraId="79028BE8" w14:textId="77777777" w:rsidTr="00C163F3">
        <w:trPr>
          <w:cantSplit/>
          <w:tblHeader/>
          <w:jc w:val="center"/>
        </w:trPr>
        <w:tc>
          <w:tcPr>
            <w:tcW w:w="13711" w:type="dxa"/>
            <w:gridSpan w:val="10"/>
            <w:tcBorders>
              <w:top w:val="single" w:sz="4" w:space="0" w:color="auto"/>
              <w:left w:val="single" w:sz="4" w:space="0" w:color="auto"/>
              <w:right w:val="single" w:sz="4" w:space="0" w:color="auto"/>
            </w:tcBorders>
            <w:shd w:val="clear" w:color="auto" w:fill="FFFFFF"/>
            <w:tcMar>
              <w:left w:w="67" w:type="dxa"/>
              <w:right w:w="67" w:type="dxa"/>
            </w:tcMar>
            <w:vAlign w:val="bottom"/>
          </w:tcPr>
          <w:p w14:paraId="5EC65047" w14:textId="77777777" w:rsidR="00E07CDE" w:rsidRPr="000D3E11" w:rsidRDefault="00E07CDE" w:rsidP="006C0B32">
            <w:pPr>
              <w:keepNext/>
              <w:autoSpaceDE/>
              <w:autoSpaceDN/>
              <w:spacing w:before="67" w:after="67" w:line="240" w:lineRule="auto"/>
              <w:jc w:val="center"/>
              <w:rPr>
                <w:rFonts w:eastAsia="Calibri"/>
                <w:b/>
                <w:bCs/>
                <w:color w:val="000000"/>
                <w:sz w:val="18"/>
                <w:szCs w:val="18"/>
                <w:lang w:eastAsia="en-US"/>
              </w:rPr>
            </w:pPr>
            <w:r w:rsidRPr="000D3E11">
              <w:rPr>
                <w:rFonts w:eastAsia="Calibri"/>
                <w:b/>
                <w:sz w:val="18"/>
                <w:szCs w:val="18"/>
                <w:lang w:eastAsia="en-US"/>
              </w:rPr>
              <w:t>Quality of life analysis – cross-sectional cohort QUALID (relative/ friend and staff)</w:t>
            </w:r>
          </w:p>
        </w:tc>
      </w:tr>
      <w:tr w:rsidR="00E07CDE" w:rsidRPr="000D3E11" w14:paraId="37DD18A6" w14:textId="77777777" w:rsidTr="000D3E11">
        <w:trPr>
          <w:cantSplit/>
          <w:tblHeader/>
          <w:jc w:val="center"/>
        </w:trPr>
        <w:tc>
          <w:tcPr>
            <w:tcW w:w="4531" w:type="dxa"/>
            <w:tcBorders>
              <w:left w:val="single" w:sz="4" w:space="0" w:color="auto"/>
              <w:bottom w:val="single" w:sz="4" w:space="0" w:color="000000"/>
              <w:right w:val="nil"/>
            </w:tcBorders>
            <w:shd w:val="clear" w:color="auto" w:fill="FFFFFF"/>
            <w:tcMar>
              <w:left w:w="67" w:type="dxa"/>
              <w:right w:w="67" w:type="dxa"/>
            </w:tcMar>
            <w:vAlign w:val="bottom"/>
          </w:tcPr>
          <w:p w14:paraId="71BE347F" w14:textId="7D45A1B9" w:rsidR="00E07CDE" w:rsidRPr="000D3E11" w:rsidRDefault="00E07CDE" w:rsidP="006C0B32">
            <w:pPr>
              <w:keepNext/>
              <w:autoSpaceDE/>
              <w:autoSpaceDN/>
              <w:spacing w:before="67" w:after="67" w:line="240" w:lineRule="auto"/>
              <w:rPr>
                <w:rFonts w:eastAsia="Calibri"/>
                <w:b/>
                <w:bCs/>
                <w:color w:val="000000"/>
                <w:sz w:val="16"/>
                <w:szCs w:val="16"/>
                <w:lang w:eastAsia="en-US"/>
              </w:rPr>
            </w:pPr>
            <w:r w:rsidRPr="000D3E11">
              <w:rPr>
                <w:rFonts w:eastAsia="Calibri"/>
                <w:b/>
                <w:bCs/>
                <w:color w:val="000000"/>
                <w:sz w:val="16"/>
                <w:szCs w:val="16"/>
                <w:lang w:eastAsia="en-US"/>
              </w:rPr>
              <w:t>Analysis at 16</w:t>
            </w:r>
            <w:r w:rsidR="00B80810">
              <w:rPr>
                <w:rFonts w:eastAsia="Calibri"/>
                <w:b/>
                <w:bCs/>
                <w:color w:val="000000"/>
                <w:sz w:val="16"/>
                <w:szCs w:val="16"/>
                <w:lang w:eastAsia="en-US"/>
              </w:rPr>
              <w:t>-months</w:t>
            </w:r>
          </w:p>
        </w:tc>
        <w:tc>
          <w:tcPr>
            <w:tcW w:w="993" w:type="dxa"/>
            <w:tcBorders>
              <w:left w:val="nil"/>
              <w:bottom w:val="single" w:sz="4" w:space="0" w:color="000000"/>
              <w:right w:val="nil"/>
            </w:tcBorders>
            <w:shd w:val="clear" w:color="auto" w:fill="FFFFFF"/>
            <w:tcMar>
              <w:left w:w="67" w:type="dxa"/>
              <w:right w:w="67" w:type="dxa"/>
            </w:tcMar>
            <w:vAlign w:val="bottom"/>
          </w:tcPr>
          <w:p w14:paraId="28F0D7A9"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Estimated Mean Difference</w:t>
            </w:r>
          </w:p>
        </w:tc>
        <w:tc>
          <w:tcPr>
            <w:tcW w:w="1134" w:type="dxa"/>
            <w:tcBorders>
              <w:left w:val="nil"/>
              <w:bottom w:val="single" w:sz="4" w:space="0" w:color="000000"/>
              <w:right w:val="nil"/>
            </w:tcBorders>
            <w:shd w:val="clear" w:color="auto" w:fill="FFFFFF"/>
            <w:tcMar>
              <w:left w:w="67" w:type="dxa"/>
              <w:right w:w="67" w:type="dxa"/>
            </w:tcMar>
            <w:vAlign w:val="bottom"/>
          </w:tcPr>
          <w:p w14:paraId="3A8E3B0C"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Lower 95% Confidence Limit</w:t>
            </w:r>
          </w:p>
        </w:tc>
        <w:tc>
          <w:tcPr>
            <w:tcW w:w="1134" w:type="dxa"/>
            <w:tcBorders>
              <w:left w:val="nil"/>
              <w:bottom w:val="single" w:sz="4" w:space="0" w:color="000000"/>
              <w:right w:val="nil"/>
            </w:tcBorders>
            <w:shd w:val="clear" w:color="auto" w:fill="FFFFFF"/>
            <w:tcMar>
              <w:left w:w="67" w:type="dxa"/>
              <w:right w:w="67" w:type="dxa"/>
            </w:tcMar>
            <w:vAlign w:val="bottom"/>
          </w:tcPr>
          <w:p w14:paraId="7D7C0E3A"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Upper 95% Confidence Limit</w:t>
            </w:r>
          </w:p>
        </w:tc>
        <w:tc>
          <w:tcPr>
            <w:tcW w:w="708" w:type="dxa"/>
            <w:tcBorders>
              <w:left w:val="nil"/>
              <w:bottom w:val="single" w:sz="4" w:space="0" w:color="000000"/>
              <w:right w:val="nil"/>
            </w:tcBorders>
            <w:shd w:val="clear" w:color="auto" w:fill="FFFFFF"/>
            <w:tcMar>
              <w:left w:w="67" w:type="dxa"/>
              <w:right w:w="67" w:type="dxa"/>
            </w:tcMar>
            <w:vAlign w:val="bottom"/>
          </w:tcPr>
          <w:p w14:paraId="1B3AC33B"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p-value</w:t>
            </w:r>
          </w:p>
        </w:tc>
        <w:tc>
          <w:tcPr>
            <w:tcW w:w="1134" w:type="dxa"/>
            <w:tcBorders>
              <w:left w:val="nil"/>
              <w:bottom w:val="single" w:sz="4" w:space="0" w:color="000000"/>
              <w:right w:val="nil"/>
            </w:tcBorders>
            <w:shd w:val="clear" w:color="auto" w:fill="FFFFFF"/>
            <w:tcMar>
              <w:left w:w="67" w:type="dxa"/>
              <w:right w:w="67" w:type="dxa"/>
            </w:tcMar>
            <w:vAlign w:val="bottom"/>
          </w:tcPr>
          <w:p w14:paraId="38606129"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 xml:space="preserve">Unadjusted ICC for Intervention </w:t>
            </w:r>
          </w:p>
        </w:tc>
        <w:tc>
          <w:tcPr>
            <w:tcW w:w="1134" w:type="dxa"/>
            <w:tcBorders>
              <w:left w:val="nil"/>
              <w:bottom w:val="single" w:sz="4" w:space="0" w:color="000000"/>
              <w:right w:val="nil"/>
            </w:tcBorders>
            <w:shd w:val="clear" w:color="auto" w:fill="FFFFFF"/>
            <w:tcMar>
              <w:left w:w="67" w:type="dxa"/>
              <w:right w:w="67" w:type="dxa"/>
            </w:tcMar>
            <w:vAlign w:val="bottom"/>
          </w:tcPr>
          <w:p w14:paraId="647C3A9C"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 xml:space="preserve">Unadjusted ICC for Control </w:t>
            </w:r>
          </w:p>
        </w:tc>
        <w:tc>
          <w:tcPr>
            <w:tcW w:w="1134" w:type="dxa"/>
            <w:tcBorders>
              <w:left w:val="nil"/>
              <w:bottom w:val="single" w:sz="4" w:space="0" w:color="000000"/>
              <w:right w:val="nil"/>
            </w:tcBorders>
            <w:shd w:val="clear" w:color="auto" w:fill="FFFFFF"/>
            <w:tcMar>
              <w:left w:w="67" w:type="dxa"/>
              <w:right w:w="67" w:type="dxa"/>
            </w:tcMar>
            <w:vAlign w:val="bottom"/>
          </w:tcPr>
          <w:p w14:paraId="0CE14EE9"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 xml:space="preserve">Adjusted ICC for Intervention </w:t>
            </w:r>
          </w:p>
        </w:tc>
        <w:tc>
          <w:tcPr>
            <w:tcW w:w="993" w:type="dxa"/>
            <w:tcBorders>
              <w:left w:val="nil"/>
              <w:bottom w:val="single" w:sz="4" w:space="0" w:color="000000"/>
              <w:right w:val="nil"/>
            </w:tcBorders>
            <w:shd w:val="clear" w:color="auto" w:fill="FFFFFF"/>
            <w:tcMar>
              <w:left w:w="67" w:type="dxa"/>
              <w:right w:w="67" w:type="dxa"/>
            </w:tcMar>
            <w:vAlign w:val="bottom"/>
          </w:tcPr>
          <w:p w14:paraId="3A9D0B20"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 xml:space="preserve">Adjusted ICC for Control </w:t>
            </w:r>
          </w:p>
        </w:tc>
        <w:tc>
          <w:tcPr>
            <w:tcW w:w="816" w:type="dxa"/>
            <w:tcBorders>
              <w:left w:val="nil"/>
              <w:bottom w:val="single" w:sz="4" w:space="0" w:color="000000"/>
              <w:right w:val="single" w:sz="4" w:space="0" w:color="auto"/>
            </w:tcBorders>
            <w:shd w:val="clear" w:color="auto" w:fill="FFFFFF"/>
            <w:tcMar>
              <w:left w:w="67" w:type="dxa"/>
              <w:right w:w="67" w:type="dxa"/>
            </w:tcMar>
            <w:vAlign w:val="bottom"/>
          </w:tcPr>
          <w:p w14:paraId="35C0933B" w14:textId="77777777" w:rsidR="00E07CDE" w:rsidRPr="000D3E11" w:rsidRDefault="00E07CDE" w:rsidP="006C0B32">
            <w:pPr>
              <w:keepNext/>
              <w:autoSpaceDE/>
              <w:autoSpaceDN/>
              <w:spacing w:before="67" w:after="67" w:line="240" w:lineRule="auto"/>
              <w:jc w:val="center"/>
              <w:rPr>
                <w:rFonts w:eastAsia="Calibri"/>
                <w:b/>
                <w:bCs/>
                <w:color w:val="000000"/>
                <w:sz w:val="16"/>
                <w:szCs w:val="16"/>
                <w:lang w:eastAsia="en-US"/>
              </w:rPr>
            </w:pPr>
            <w:r w:rsidRPr="000D3E11">
              <w:rPr>
                <w:rFonts w:eastAsia="Calibri"/>
                <w:b/>
                <w:bCs/>
                <w:color w:val="000000"/>
                <w:sz w:val="16"/>
                <w:szCs w:val="16"/>
                <w:lang w:eastAsia="en-US"/>
              </w:rPr>
              <w:t>N</w:t>
            </w:r>
          </w:p>
        </w:tc>
      </w:tr>
      <w:tr w:rsidR="00E07CDE" w:rsidRPr="000D3E11" w14:paraId="7FA0A438" w14:textId="77777777" w:rsidTr="000D3E11">
        <w:trPr>
          <w:cantSplit/>
          <w:jc w:val="center"/>
        </w:trPr>
        <w:tc>
          <w:tcPr>
            <w:tcW w:w="4531" w:type="dxa"/>
            <w:tcBorders>
              <w:top w:val="nil"/>
              <w:left w:val="single" w:sz="4" w:space="0" w:color="auto"/>
              <w:bottom w:val="nil"/>
              <w:right w:val="nil"/>
            </w:tcBorders>
            <w:shd w:val="clear" w:color="auto" w:fill="FFFFFF"/>
            <w:tcMar>
              <w:left w:w="67" w:type="dxa"/>
              <w:right w:w="67" w:type="dxa"/>
            </w:tcMar>
          </w:tcPr>
          <w:p w14:paraId="38076675" w14:textId="77777777" w:rsidR="00E07CDE" w:rsidRPr="000D3E11" w:rsidRDefault="00E07CDE" w:rsidP="006C0B32">
            <w:pPr>
              <w:autoSpaceDE/>
              <w:autoSpaceDN/>
              <w:spacing w:before="67" w:after="67" w:line="240" w:lineRule="auto"/>
              <w:rPr>
                <w:rFonts w:eastAsia="Calibri"/>
                <w:color w:val="000000"/>
                <w:sz w:val="18"/>
                <w:szCs w:val="18"/>
                <w:lang w:eastAsia="en-US"/>
              </w:rPr>
            </w:pPr>
            <w:r w:rsidRPr="000D3E11">
              <w:rPr>
                <w:rFonts w:eastAsia="Calibri"/>
                <w:color w:val="000000"/>
                <w:sz w:val="18"/>
                <w:szCs w:val="18"/>
                <w:lang w:eastAsia="en-US"/>
              </w:rPr>
              <w:t>QUALID (staff) - complete cases only</w:t>
            </w:r>
          </w:p>
        </w:tc>
        <w:tc>
          <w:tcPr>
            <w:tcW w:w="993" w:type="dxa"/>
            <w:tcBorders>
              <w:top w:val="nil"/>
              <w:left w:val="nil"/>
              <w:bottom w:val="nil"/>
              <w:right w:val="nil"/>
            </w:tcBorders>
            <w:shd w:val="clear" w:color="auto" w:fill="FFFFFF"/>
            <w:tcMar>
              <w:left w:w="67" w:type="dxa"/>
              <w:right w:w="67" w:type="dxa"/>
            </w:tcMar>
          </w:tcPr>
          <w:p w14:paraId="0EF25B4B"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-0.06</w:t>
            </w:r>
          </w:p>
        </w:tc>
        <w:tc>
          <w:tcPr>
            <w:tcW w:w="1134" w:type="dxa"/>
            <w:tcBorders>
              <w:top w:val="nil"/>
              <w:left w:val="nil"/>
              <w:bottom w:val="nil"/>
              <w:right w:val="nil"/>
            </w:tcBorders>
            <w:shd w:val="clear" w:color="auto" w:fill="FFFFFF"/>
            <w:tcMar>
              <w:left w:w="67" w:type="dxa"/>
              <w:right w:w="67" w:type="dxa"/>
            </w:tcMar>
          </w:tcPr>
          <w:p w14:paraId="02A4F5FC"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-1.14</w:t>
            </w:r>
          </w:p>
        </w:tc>
        <w:tc>
          <w:tcPr>
            <w:tcW w:w="1134" w:type="dxa"/>
            <w:tcBorders>
              <w:top w:val="nil"/>
              <w:left w:val="nil"/>
              <w:bottom w:val="nil"/>
              <w:right w:val="nil"/>
            </w:tcBorders>
            <w:shd w:val="clear" w:color="auto" w:fill="FFFFFF"/>
            <w:tcMar>
              <w:left w:w="67" w:type="dxa"/>
              <w:right w:w="67" w:type="dxa"/>
            </w:tcMar>
          </w:tcPr>
          <w:p w14:paraId="0D7D7EB2"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1.02</w:t>
            </w:r>
          </w:p>
        </w:tc>
        <w:tc>
          <w:tcPr>
            <w:tcW w:w="708" w:type="dxa"/>
            <w:tcBorders>
              <w:top w:val="nil"/>
              <w:left w:val="nil"/>
              <w:bottom w:val="nil"/>
              <w:right w:val="nil"/>
            </w:tcBorders>
            <w:shd w:val="clear" w:color="auto" w:fill="FFFFFF"/>
            <w:tcMar>
              <w:left w:w="67" w:type="dxa"/>
              <w:right w:w="67" w:type="dxa"/>
            </w:tcMar>
          </w:tcPr>
          <w:p w14:paraId="22722459"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0.910</w:t>
            </w:r>
          </w:p>
        </w:tc>
        <w:tc>
          <w:tcPr>
            <w:tcW w:w="1134" w:type="dxa"/>
            <w:tcBorders>
              <w:top w:val="nil"/>
              <w:left w:val="nil"/>
              <w:bottom w:val="nil"/>
              <w:right w:val="nil"/>
            </w:tcBorders>
            <w:shd w:val="clear" w:color="auto" w:fill="FFFFFF"/>
            <w:tcMar>
              <w:left w:w="67" w:type="dxa"/>
              <w:right w:w="67" w:type="dxa"/>
            </w:tcMar>
          </w:tcPr>
          <w:p w14:paraId="0FE91EDC"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0.0788</w:t>
            </w:r>
          </w:p>
        </w:tc>
        <w:tc>
          <w:tcPr>
            <w:tcW w:w="1134" w:type="dxa"/>
            <w:tcBorders>
              <w:top w:val="nil"/>
              <w:left w:val="nil"/>
              <w:bottom w:val="nil"/>
              <w:right w:val="nil"/>
            </w:tcBorders>
            <w:shd w:val="clear" w:color="auto" w:fill="FFFFFF"/>
            <w:tcMar>
              <w:left w:w="67" w:type="dxa"/>
              <w:right w:w="67" w:type="dxa"/>
            </w:tcMar>
          </w:tcPr>
          <w:p w14:paraId="7D519E0F"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0.0089</w:t>
            </w:r>
          </w:p>
        </w:tc>
        <w:tc>
          <w:tcPr>
            <w:tcW w:w="1134" w:type="dxa"/>
            <w:tcBorders>
              <w:top w:val="nil"/>
              <w:left w:val="nil"/>
              <w:bottom w:val="nil"/>
              <w:right w:val="nil"/>
            </w:tcBorders>
            <w:shd w:val="clear" w:color="auto" w:fill="FFFFFF"/>
            <w:tcMar>
              <w:left w:w="67" w:type="dxa"/>
              <w:right w:w="67" w:type="dxa"/>
            </w:tcMar>
          </w:tcPr>
          <w:p w14:paraId="3F2991DF"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0.0119</w:t>
            </w:r>
          </w:p>
        </w:tc>
        <w:tc>
          <w:tcPr>
            <w:tcW w:w="993" w:type="dxa"/>
            <w:tcBorders>
              <w:top w:val="nil"/>
              <w:left w:val="nil"/>
              <w:bottom w:val="nil"/>
              <w:right w:val="nil"/>
            </w:tcBorders>
            <w:shd w:val="clear" w:color="auto" w:fill="FFFFFF"/>
            <w:tcMar>
              <w:left w:w="67" w:type="dxa"/>
              <w:right w:w="67" w:type="dxa"/>
            </w:tcMar>
          </w:tcPr>
          <w:p w14:paraId="38CDEB8F"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0.0015</w:t>
            </w:r>
          </w:p>
        </w:tc>
        <w:tc>
          <w:tcPr>
            <w:tcW w:w="816" w:type="dxa"/>
            <w:tcBorders>
              <w:top w:val="nil"/>
              <w:left w:val="nil"/>
              <w:bottom w:val="nil"/>
              <w:right w:val="single" w:sz="4" w:space="0" w:color="auto"/>
            </w:tcBorders>
            <w:shd w:val="clear" w:color="auto" w:fill="FFFFFF"/>
            <w:tcMar>
              <w:left w:w="67" w:type="dxa"/>
              <w:right w:w="67" w:type="dxa"/>
            </w:tcMar>
          </w:tcPr>
          <w:p w14:paraId="4ED294BB"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668</w:t>
            </w:r>
          </w:p>
        </w:tc>
      </w:tr>
      <w:tr w:rsidR="00E07CDE" w:rsidRPr="000D3E11" w14:paraId="447B38DF" w14:textId="77777777" w:rsidTr="000D3E11">
        <w:trPr>
          <w:cantSplit/>
          <w:jc w:val="center"/>
        </w:trPr>
        <w:tc>
          <w:tcPr>
            <w:tcW w:w="4531" w:type="dxa"/>
            <w:tcBorders>
              <w:top w:val="nil"/>
              <w:left w:val="single" w:sz="4" w:space="0" w:color="auto"/>
              <w:bottom w:val="single" w:sz="4" w:space="0" w:color="auto"/>
              <w:right w:val="nil"/>
            </w:tcBorders>
            <w:shd w:val="clear" w:color="auto" w:fill="FFFFFF"/>
            <w:tcMar>
              <w:left w:w="67" w:type="dxa"/>
              <w:right w:w="67" w:type="dxa"/>
            </w:tcMar>
          </w:tcPr>
          <w:p w14:paraId="50C8F3D3" w14:textId="77777777" w:rsidR="00E07CDE" w:rsidRPr="000D3E11" w:rsidRDefault="00E07CDE" w:rsidP="006C0B32">
            <w:pPr>
              <w:autoSpaceDE/>
              <w:autoSpaceDN/>
              <w:spacing w:before="67" w:after="67" w:line="240" w:lineRule="auto"/>
              <w:rPr>
                <w:rFonts w:eastAsia="Calibri"/>
                <w:color w:val="000000"/>
                <w:sz w:val="18"/>
                <w:szCs w:val="18"/>
                <w:lang w:eastAsia="en-US"/>
              </w:rPr>
            </w:pPr>
            <w:r w:rsidRPr="000D3E11">
              <w:rPr>
                <w:rFonts w:eastAsia="Calibri"/>
                <w:color w:val="000000"/>
                <w:sz w:val="18"/>
                <w:szCs w:val="18"/>
                <w:lang w:eastAsia="en-US"/>
              </w:rPr>
              <w:t>QUALID (staff) - missing data imputed assuming MAR</w:t>
            </w:r>
          </w:p>
        </w:tc>
        <w:tc>
          <w:tcPr>
            <w:tcW w:w="993" w:type="dxa"/>
            <w:tcBorders>
              <w:top w:val="nil"/>
              <w:left w:val="nil"/>
              <w:bottom w:val="single" w:sz="4" w:space="0" w:color="auto"/>
              <w:right w:val="nil"/>
            </w:tcBorders>
            <w:shd w:val="clear" w:color="auto" w:fill="FFFFFF"/>
            <w:tcMar>
              <w:left w:w="67" w:type="dxa"/>
              <w:right w:w="67" w:type="dxa"/>
            </w:tcMar>
          </w:tcPr>
          <w:p w14:paraId="483ECCAE"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-0.05</w:t>
            </w:r>
          </w:p>
        </w:tc>
        <w:tc>
          <w:tcPr>
            <w:tcW w:w="1134" w:type="dxa"/>
            <w:tcBorders>
              <w:top w:val="nil"/>
              <w:left w:val="nil"/>
              <w:bottom w:val="single" w:sz="4" w:space="0" w:color="auto"/>
              <w:right w:val="nil"/>
            </w:tcBorders>
            <w:shd w:val="clear" w:color="auto" w:fill="FFFFFF"/>
            <w:tcMar>
              <w:left w:w="67" w:type="dxa"/>
              <w:right w:w="67" w:type="dxa"/>
            </w:tcMar>
          </w:tcPr>
          <w:p w14:paraId="2C3EFFAF"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-1.12</w:t>
            </w:r>
          </w:p>
        </w:tc>
        <w:tc>
          <w:tcPr>
            <w:tcW w:w="1134" w:type="dxa"/>
            <w:tcBorders>
              <w:top w:val="nil"/>
              <w:left w:val="nil"/>
              <w:bottom w:val="single" w:sz="4" w:space="0" w:color="auto"/>
              <w:right w:val="nil"/>
            </w:tcBorders>
            <w:shd w:val="clear" w:color="auto" w:fill="FFFFFF"/>
            <w:tcMar>
              <w:left w:w="67" w:type="dxa"/>
              <w:right w:w="67" w:type="dxa"/>
            </w:tcMar>
          </w:tcPr>
          <w:p w14:paraId="07E3B990"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1.02</w:t>
            </w:r>
          </w:p>
        </w:tc>
        <w:tc>
          <w:tcPr>
            <w:tcW w:w="708" w:type="dxa"/>
            <w:tcBorders>
              <w:top w:val="nil"/>
              <w:left w:val="nil"/>
              <w:bottom w:val="single" w:sz="4" w:space="0" w:color="auto"/>
              <w:right w:val="nil"/>
            </w:tcBorders>
            <w:shd w:val="clear" w:color="auto" w:fill="FFFFFF"/>
            <w:tcMar>
              <w:left w:w="67" w:type="dxa"/>
              <w:right w:w="67" w:type="dxa"/>
            </w:tcMar>
          </w:tcPr>
          <w:p w14:paraId="46528CBF"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0.922</w:t>
            </w:r>
          </w:p>
        </w:tc>
        <w:tc>
          <w:tcPr>
            <w:tcW w:w="1134" w:type="dxa"/>
            <w:tcBorders>
              <w:top w:val="nil"/>
              <w:left w:val="nil"/>
              <w:bottom w:val="single" w:sz="4" w:space="0" w:color="auto"/>
              <w:right w:val="nil"/>
            </w:tcBorders>
            <w:shd w:val="clear" w:color="auto" w:fill="FFFFFF"/>
            <w:tcMar>
              <w:left w:w="67" w:type="dxa"/>
              <w:right w:w="67" w:type="dxa"/>
            </w:tcMar>
          </w:tcPr>
          <w:p w14:paraId="67EE6782"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0.082</w:t>
            </w:r>
          </w:p>
        </w:tc>
        <w:tc>
          <w:tcPr>
            <w:tcW w:w="1134" w:type="dxa"/>
            <w:tcBorders>
              <w:top w:val="nil"/>
              <w:left w:val="nil"/>
              <w:bottom w:val="single" w:sz="4" w:space="0" w:color="auto"/>
              <w:right w:val="nil"/>
            </w:tcBorders>
            <w:shd w:val="clear" w:color="auto" w:fill="FFFFFF"/>
            <w:tcMar>
              <w:left w:w="67" w:type="dxa"/>
              <w:right w:w="67" w:type="dxa"/>
            </w:tcMar>
          </w:tcPr>
          <w:p w14:paraId="4005C430"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0.01</w:t>
            </w:r>
          </w:p>
        </w:tc>
        <w:tc>
          <w:tcPr>
            <w:tcW w:w="1134" w:type="dxa"/>
            <w:tcBorders>
              <w:top w:val="nil"/>
              <w:left w:val="nil"/>
              <w:bottom w:val="single" w:sz="4" w:space="0" w:color="auto"/>
              <w:right w:val="nil"/>
            </w:tcBorders>
            <w:shd w:val="clear" w:color="auto" w:fill="FFFFFF"/>
            <w:tcMar>
              <w:left w:w="67" w:type="dxa"/>
              <w:right w:w="67" w:type="dxa"/>
            </w:tcMar>
          </w:tcPr>
          <w:p w14:paraId="384436BC"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0.015</w:t>
            </w:r>
          </w:p>
        </w:tc>
        <w:tc>
          <w:tcPr>
            <w:tcW w:w="993" w:type="dxa"/>
            <w:tcBorders>
              <w:top w:val="nil"/>
              <w:left w:val="nil"/>
              <w:bottom w:val="single" w:sz="4" w:space="0" w:color="auto"/>
              <w:right w:val="nil"/>
            </w:tcBorders>
            <w:shd w:val="clear" w:color="auto" w:fill="FFFFFF"/>
            <w:tcMar>
              <w:left w:w="67" w:type="dxa"/>
              <w:right w:w="67" w:type="dxa"/>
            </w:tcMar>
          </w:tcPr>
          <w:p w14:paraId="2BF4A736"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0.002</w:t>
            </w:r>
          </w:p>
        </w:tc>
        <w:tc>
          <w:tcPr>
            <w:tcW w:w="816" w:type="dxa"/>
            <w:tcBorders>
              <w:top w:val="nil"/>
              <w:left w:val="nil"/>
              <w:bottom w:val="single" w:sz="4" w:space="0" w:color="auto"/>
              <w:right w:val="single" w:sz="4" w:space="0" w:color="auto"/>
            </w:tcBorders>
            <w:shd w:val="clear" w:color="auto" w:fill="FFFFFF"/>
            <w:tcMar>
              <w:left w:w="67" w:type="dxa"/>
              <w:right w:w="67" w:type="dxa"/>
            </w:tcMar>
          </w:tcPr>
          <w:p w14:paraId="63BF7F15" w14:textId="77777777" w:rsidR="00E07CDE" w:rsidRPr="000D3E11" w:rsidRDefault="00E07CDE" w:rsidP="006C0B32">
            <w:pPr>
              <w:autoSpaceDE/>
              <w:autoSpaceDN/>
              <w:spacing w:before="67" w:after="67" w:line="240" w:lineRule="auto"/>
              <w:jc w:val="right"/>
              <w:rPr>
                <w:rFonts w:eastAsia="Calibri"/>
                <w:color w:val="000000"/>
                <w:sz w:val="18"/>
                <w:szCs w:val="18"/>
                <w:lang w:eastAsia="en-US"/>
              </w:rPr>
            </w:pPr>
            <w:r w:rsidRPr="000D3E11">
              <w:rPr>
                <w:rFonts w:eastAsia="Calibri"/>
                <w:color w:val="000000"/>
                <w:sz w:val="18"/>
                <w:szCs w:val="18"/>
                <w:lang w:eastAsia="en-US"/>
              </w:rPr>
              <w:t>675</w:t>
            </w:r>
          </w:p>
        </w:tc>
      </w:tr>
    </w:tbl>
    <w:p w14:paraId="4641A099" w14:textId="77777777" w:rsidR="00E07CDE" w:rsidRPr="00563AD3" w:rsidRDefault="00E07CDE" w:rsidP="009B13F3">
      <w:pPr>
        <w:autoSpaceDE/>
        <w:autoSpaceDN/>
        <w:adjustRightInd/>
        <w:spacing w:before="120" w:after="0"/>
        <w:rPr>
          <w:rFonts w:eastAsia="Calibri"/>
          <w:sz w:val="24"/>
          <w:szCs w:val="24"/>
          <w:lang w:eastAsia="en-US"/>
        </w:rPr>
      </w:pPr>
    </w:p>
    <w:p w14:paraId="5EBAE266" w14:textId="77777777" w:rsidR="00E07CDE" w:rsidRPr="00563AD3" w:rsidRDefault="00E07CDE" w:rsidP="009B13F3">
      <w:pPr>
        <w:autoSpaceDE/>
        <w:autoSpaceDN/>
        <w:adjustRightInd/>
        <w:spacing w:before="120" w:after="0"/>
        <w:rPr>
          <w:rFonts w:eastAsia="Calibri"/>
          <w:sz w:val="24"/>
          <w:szCs w:val="24"/>
          <w:lang w:eastAsia="en-US"/>
        </w:rPr>
      </w:pPr>
    </w:p>
    <w:p w14:paraId="428C5492" w14:textId="77777777" w:rsidR="00E07CDE" w:rsidRPr="00563AD3" w:rsidRDefault="00E07CDE" w:rsidP="009B13F3">
      <w:pPr>
        <w:keepNext/>
        <w:autoSpaceDE/>
        <w:autoSpaceDN/>
        <w:adjustRightInd/>
        <w:spacing w:before="120" w:after="0"/>
        <w:rPr>
          <w:rFonts w:eastAsia="Calibri"/>
          <w:b/>
          <w:bCs/>
          <w:sz w:val="24"/>
          <w:szCs w:val="18"/>
          <w:lang w:eastAsia="en-US"/>
        </w:rPr>
      </w:pPr>
    </w:p>
    <w:p w14:paraId="3CFE1BD2" w14:textId="77777777" w:rsidR="006C0B32" w:rsidRDefault="006C0B32">
      <w:pPr>
        <w:autoSpaceDE/>
        <w:autoSpaceDN/>
        <w:adjustRightInd/>
        <w:spacing w:line="259" w:lineRule="auto"/>
        <w:rPr>
          <w:rFonts w:eastAsia="Calibri"/>
          <w:b/>
          <w:lang w:eastAsia="en-US"/>
        </w:rPr>
      </w:pPr>
      <w:r>
        <w:rPr>
          <w:rFonts w:eastAsia="Calibri"/>
          <w:lang w:eastAsia="en-US"/>
        </w:rPr>
        <w:br w:type="page"/>
      </w:r>
    </w:p>
    <w:p w14:paraId="1C954600" w14:textId="2475B2EB" w:rsidR="00E07CDE" w:rsidRPr="00563AD3" w:rsidRDefault="00E07CDE" w:rsidP="006C0B32">
      <w:pPr>
        <w:pStyle w:val="Tableheading"/>
        <w:rPr>
          <w:rFonts w:eastAsia="Calibri"/>
          <w:lang w:eastAsia="en-US"/>
        </w:rPr>
      </w:pPr>
      <w:bookmarkStart w:id="347" w:name="_Toc948255"/>
      <w:r w:rsidRPr="00063B4B">
        <w:rPr>
          <w:rFonts w:eastAsia="Calibri"/>
          <w:lang w:eastAsia="en-US"/>
        </w:rPr>
        <w:t xml:space="preserve">Table </w:t>
      </w:r>
      <w:bookmarkEnd w:id="331"/>
      <w:r w:rsidR="005B29F6" w:rsidRPr="00063B4B">
        <w:rPr>
          <w:rFonts w:eastAsia="Calibri"/>
          <w:lang w:eastAsia="en-US"/>
        </w:rPr>
        <w:t>58</w:t>
      </w:r>
      <w:r w:rsidR="005B29F6" w:rsidRPr="00563AD3">
        <w:rPr>
          <w:rFonts w:eastAsia="Calibri"/>
          <w:lang w:eastAsia="en-US"/>
        </w:rPr>
        <w:t xml:space="preserve"> </w:t>
      </w:r>
      <w:r w:rsidRPr="00563AD3">
        <w:rPr>
          <w:rFonts w:eastAsia="Calibri"/>
          <w:lang w:eastAsia="en-US"/>
        </w:rPr>
        <w:t xml:space="preserve">Prescription of regular medications – </w:t>
      </w:r>
      <w:r w:rsidR="000D3E11">
        <w:rPr>
          <w:rFonts w:eastAsia="Calibri"/>
          <w:lang w:eastAsia="en-US"/>
        </w:rPr>
        <w:t>closed-cohort at baseline and 6-</w:t>
      </w:r>
      <w:r w:rsidRPr="00563AD3">
        <w:rPr>
          <w:rFonts w:eastAsia="Calibri"/>
          <w:lang w:eastAsia="en-US"/>
        </w:rPr>
        <w:t>months</w:t>
      </w:r>
      <w:bookmarkEnd w:id="332"/>
      <w:bookmarkEnd w:id="347"/>
    </w:p>
    <w:tbl>
      <w:tblPr>
        <w:tblW w:w="5191"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832"/>
        <w:gridCol w:w="1549"/>
        <w:gridCol w:w="1683"/>
        <w:gridCol w:w="1686"/>
        <w:gridCol w:w="1686"/>
        <w:gridCol w:w="162"/>
        <w:gridCol w:w="1523"/>
        <w:gridCol w:w="1686"/>
        <w:gridCol w:w="1674"/>
      </w:tblGrid>
      <w:tr w:rsidR="00E07CDE" w:rsidRPr="000D3E11" w14:paraId="316F5426" w14:textId="77777777" w:rsidTr="00C163F3">
        <w:trPr>
          <w:cantSplit/>
          <w:tblHeader/>
          <w:jc w:val="center"/>
        </w:trPr>
        <w:tc>
          <w:tcPr>
            <w:tcW w:w="5000" w:type="pct"/>
            <w:gridSpan w:val="9"/>
            <w:shd w:val="clear" w:color="auto" w:fill="FFFFFF"/>
            <w:tcMar>
              <w:left w:w="67" w:type="dxa"/>
              <w:right w:w="67" w:type="dxa"/>
            </w:tcMar>
            <w:vAlign w:val="bottom"/>
          </w:tcPr>
          <w:p w14:paraId="25AB2320" w14:textId="101D6C7F" w:rsidR="00E07CDE" w:rsidRPr="000D3E11" w:rsidRDefault="00E07CDE" w:rsidP="006C0B32">
            <w:pPr>
              <w:keepNext/>
              <w:spacing w:before="67" w:after="67" w:line="240" w:lineRule="auto"/>
              <w:jc w:val="center"/>
              <w:rPr>
                <w:rFonts w:eastAsia="Times New Roman"/>
                <w:b/>
                <w:bCs/>
                <w:color w:val="000000"/>
                <w:sz w:val="20"/>
                <w:szCs w:val="20"/>
              </w:rPr>
            </w:pPr>
            <w:r w:rsidRPr="000D3E11">
              <w:rPr>
                <w:rFonts w:eastAsia="Times New Roman"/>
                <w:b/>
                <w:bCs/>
                <w:color w:val="000000"/>
                <w:sz w:val="20"/>
                <w:szCs w:val="20"/>
              </w:rPr>
              <w:t xml:space="preserve">Prescription of regular medications – </w:t>
            </w:r>
            <w:r w:rsidR="000D3E11">
              <w:rPr>
                <w:rFonts w:eastAsia="Times New Roman"/>
                <w:b/>
                <w:bCs/>
                <w:color w:val="000000"/>
                <w:sz w:val="20"/>
                <w:szCs w:val="20"/>
              </w:rPr>
              <w:t>closed-cohort at baseline and 6-</w:t>
            </w:r>
            <w:r w:rsidRPr="000D3E11">
              <w:rPr>
                <w:rFonts w:eastAsia="Times New Roman"/>
                <w:b/>
                <w:bCs/>
                <w:color w:val="000000"/>
                <w:sz w:val="20"/>
                <w:szCs w:val="20"/>
              </w:rPr>
              <w:t>months</w:t>
            </w:r>
          </w:p>
        </w:tc>
      </w:tr>
      <w:tr w:rsidR="00E07CDE" w:rsidRPr="000D3E11" w14:paraId="5D154AE4" w14:textId="77777777" w:rsidTr="00C163F3">
        <w:trPr>
          <w:cantSplit/>
          <w:tblHeader/>
          <w:jc w:val="center"/>
        </w:trPr>
        <w:tc>
          <w:tcPr>
            <w:tcW w:w="1513" w:type="pct"/>
            <w:gridSpan w:val="2"/>
            <w:tcBorders>
              <w:bottom w:val="nil"/>
            </w:tcBorders>
            <w:shd w:val="clear" w:color="auto" w:fill="FFFFFF"/>
            <w:tcMar>
              <w:left w:w="67" w:type="dxa"/>
              <w:right w:w="67" w:type="dxa"/>
            </w:tcMar>
            <w:vAlign w:val="bottom"/>
          </w:tcPr>
          <w:p w14:paraId="16FC0143" w14:textId="77777777" w:rsidR="00E07CDE" w:rsidRPr="000D3E11" w:rsidRDefault="00E07CDE" w:rsidP="006C0B32">
            <w:pPr>
              <w:keepNext/>
              <w:spacing w:before="67" w:after="67" w:line="240" w:lineRule="auto"/>
              <w:jc w:val="center"/>
              <w:rPr>
                <w:rFonts w:eastAsia="Times New Roman"/>
                <w:b/>
                <w:bCs/>
                <w:color w:val="000000"/>
                <w:sz w:val="20"/>
                <w:szCs w:val="20"/>
              </w:rPr>
            </w:pPr>
          </w:p>
        </w:tc>
        <w:tc>
          <w:tcPr>
            <w:tcW w:w="1801" w:type="pct"/>
            <w:gridSpan w:val="4"/>
            <w:tcBorders>
              <w:bottom w:val="nil"/>
            </w:tcBorders>
            <w:shd w:val="clear" w:color="auto" w:fill="FFFFFF"/>
            <w:tcMar>
              <w:left w:w="67" w:type="dxa"/>
              <w:right w:w="67" w:type="dxa"/>
            </w:tcMar>
            <w:vAlign w:val="bottom"/>
          </w:tcPr>
          <w:p w14:paraId="5CC91771" w14:textId="77777777" w:rsidR="00E07CDE" w:rsidRPr="000D3E11" w:rsidRDefault="00E07CDE" w:rsidP="006C0B32">
            <w:pPr>
              <w:keepNext/>
              <w:spacing w:before="67" w:after="67" w:line="240" w:lineRule="auto"/>
              <w:jc w:val="center"/>
              <w:rPr>
                <w:rFonts w:eastAsia="Times New Roman"/>
                <w:b/>
                <w:bCs/>
                <w:color w:val="000000"/>
                <w:sz w:val="20"/>
                <w:szCs w:val="20"/>
              </w:rPr>
            </w:pPr>
            <w:r w:rsidRPr="000D3E11">
              <w:rPr>
                <w:rFonts w:eastAsia="Times New Roman"/>
                <w:b/>
                <w:bCs/>
                <w:color w:val="000000"/>
                <w:sz w:val="20"/>
                <w:szCs w:val="20"/>
              </w:rPr>
              <w:t>Baseline</w:t>
            </w:r>
          </w:p>
        </w:tc>
        <w:tc>
          <w:tcPr>
            <w:tcW w:w="1686" w:type="pct"/>
            <w:gridSpan w:val="3"/>
            <w:tcBorders>
              <w:bottom w:val="nil"/>
            </w:tcBorders>
            <w:shd w:val="clear" w:color="auto" w:fill="FFFFFF"/>
            <w:tcMar>
              <w:left w:w="67" w:type="dxa"/>
              <w:right w:w="67" w:type="dxa"/>
            </w:tcMar>
            <w:vAlign w:val="bottom"/>
          </w:tcPr>
          <w:p w14:paraId="29953B6B" w14:textId="54C6BFF3" w:rsidR="00E07CDE" w:rsidRPr="000D3E11" w:rsidRDefault="000D3E11" w:rsidP="006C0B32">
            <w:pPr>
              <w:keepNext/>
              <w:spacing w:before="67" w:after="67" w:line="240" w:lineRule="auto"/>
              <w:jc w:val="center"/>
              <w:rPr>
                <w:rFonts w:eastAsia="Times New Roman"/>
                <w:b/>
                <w:bCs/>
                <w:color w:val="000000"/>
                <w:sz w:val="20"/>
                <w:szCs w:val="20"/>
              </w:rPr>
            </w:pPr>
            <w:r>
              <w:rPr>
                <w:rFonts w:eastAsia="Times New Roman"/>
                <w:b/>
                <w:bCs/>
                <w:color w:val="000000"/>
                <w:sz w:val="20"/>
                <w:szCs w:val="20"/>
              </w:rPr>
              <w:t>6-</w:t>
            </w:r>
            <w:r w:rsidR="00E07CDE" w:rsidRPr="000D3E11">
              <w:rPr>
                <w:rFonts w:eastAsia="Times New Roman"/>
                <w:b/>
                <w:bCs/>
                <w:color w:val="000000"/>
                <w:sz w:val="20"/>
                <w:szCs w:val="20"/>
              </w:rPr>
              <w:t>months</w:t>
            </w:r>
          </w:p>
        </w:tc>
      </w:tr>
      <w:tr w:rsidR="00E07CDE" w:rsidRPr="000D3E11" w14:paraId="4545DFA7" w14:textId="77777777" w:rsidTr="00C163F3">
        <w:trPr>
          <w:cantSplit/>
          <w:tblHeader/>
          <w:jc w:val="center"/>
        </w:trPr>
        <w:tc>
          <w:tcPr>
            <w:tcW w:w="1513" w:type="pct"/>
            <w:gridSpan w:val="2"/>
            <w:tcBorders>
              <w:top w:val="nil"/>
              <w:bottom w:val="single" w:sz="4" w:space="0" w:color="auto"/>
            </w:tcBorders>
            <w:shd w:val="clear" w:color="auto" w:fill="FFFFFF"/>
            <w:tcMar>
              <w:left w:w="67" w:type="dxa"/>
              <w:right w:w="67" w:type="dxa"/>
            </w:tcMar>
            <w:vAlign w:val="bottom"/>
          </w:tcPr>
          <w:p w14:paraId="14E6F090" w14:textId="2F4AC0A1" w:rsidR="00E07CDE" w:rsidRPr="000D3E11" w:rsidRDefault="00E07CDE" w:rsidP="00951B6E">
            <w:pPr>
              <w:keepNext/>
              <w:spacing w:before="67" w:after="67" w:line="240" w:lineRule="auto"/>
              <w:rPr>
                <w:rFonts w:eastAsia="Times New Roman"/>
                <w:b/>
                <w:bCs/>
                <w:color w:val="000000"/>
                <w:sz w:val="20"/>
                <w:szCs w:val="20"/>
              </w:rPr>
            </w:pPr>
            <w:r w:rsidRPr="000D3E11">
              <w:rPr>
                <w:rFonts w:eastAsia="Times New Roman"/>
                <w:b/>
                <w:bCs/>
                <w:color w:val="000000"/>
                <w:sz w:val="20"/>
                <w:szCs w:val="20"/>
              </w:rPr>
              <w:t>N prescribed (%</w:t>
            </w:r>
            <w:r w:rsidR="00907D13">
              <w:rPr>
                <w:rFonts w:eastAsia="Times New Roman"/>
                <w:b/>
                <w:bCs/>
                <w:color w:val="000000"/>
                <w:sz w:val="20"/>
                <w:szCs w:val="20"/>
              </w:rPr>
              <w:t xml:space="preserve"> </w:t>
            </w:r>
            <w:r w:rsidR="00951B6E">
              <w:rPr>
                <w:rFonts w:eastAsia="Times New Roman"/>
                <w:b/>
                <w:bCs/>
                <w:color w:val="000000"/>
                <w:sz w:val="20"/>
                <w:szCs w:val="20"/>
              </w:rPr>
              <w:t>sample</w:t>
            </w:r>
            <w:r w:rsidRPr="000D3E11">
              <w:rPr>
                <w:rFonts w:eastAsia="Times New Roman"/>
                <w:b/>
                <w:bCs/>
                <w:color w:val="000000"/>
                <w:sz w:val="20"/>
                <w:szCs w:val="20"/>
              </w:rPr>
              <w:t>)</w:t>
            </w:r>
          </w:p>
        </w:tc>
        <w:tc>
          <w:tcPr>
            <w:tcW w:w="581" w:type="pct"/>
            <w:tcBorders>
              <w:top w:val="nil"/>
              <w:bottom w:val="single" w:sz="4" w:space="0" w:color="auto"/>
            </w:tcBorders>
            <w:shd w:val="clear" w:color="auto" w:fill="FFFFFF"/>
            <w:tcMar>
              <w:left w:w="67" w:type="dxa"/>
              <w:right w:w="67" w:type="dxa"/>
            </w:tcMar>
            <w:vAlign w:val="bottom"/>
          </w:tcPr>
          <w:p w14:paraId="7AA76EB8" w14:textId="77777777" w:rsidR="00E07CDE" w:rsidRPr="000D3E11" w:rsidRDefault="00E07CDE" w:rsidP="006C0B32">
            <w:pPr>
              <w:keepNext/>
              <w:spacing w:before="67" w:after="67" w:line="240" w:lineRule="auto"/>
              <w:jc w:val="right"/>
              <w:rPr>
                <w:rFonts w:eastAsia="Times New Roman"/>
                <w:b/>
                <w:bCs/>
                <w:color w:val="000000"/>
                <w:sz w:val="20"/>
                <w:szCs w:val="20"/>
              </w:rPr>
            </w:pPr>
            <w:r w:rsidRPr="000D3E11">
              <w:rPr>
                <w:rFonts w:eastAsia="Times New Roman"/>
                <w:b/>
                <w:bCs/>
                <w:color w:val="000000"/>
                <w:sz w:val="20"/>
                <w:szCs w:val="20"/>
              </w:rPr>
              <w:t>Control</w:t>
            </w:r>
            <w:r w:rsidRPr="000D3E11">
              <w:rPr>
                <w:rFonts w:eastAsia="Times New Roman"/>
                <w:b/>
                <w:bCs/>
                <w:color w:val="000000"/>
                <w:sz w:val="20"/>
                <w:szCs w:val="20"/>
              </w:rPr>
              <w:br/>
              <w:t>(n = 308)</w:t>
            </w:r>
          </w:p>
        </w:tc>
        <w:tc>
          <w:tcPr>
            <w:tcW w:w="582" w:type="pct"/>
            <w:tcBorders>
              <w:top w:val="nil"/>
              <w:bottom w:val="single" w:sz="4" w:space="0" w:color="auto"/>
            </w:tcBorders>
            <w:shd w:val="clear" w:color="auto" w:fill="FFFFFF"/>
            <w:tcMar>
              <w:left w:w="67" w:type="dxa"/>
              <w:right w:w="67" w:type="dxa"/>
            </w:tcMar>
            <w:vAlign w:val="bottom"/>
          </w:tcPr>
          <w:p w14:paraId="044F81B5" w14:textId="77777777" w:rsidR="00E07CDE" w:rsidRPr="000D3E11" w:rsidRDefault="00E07CDE" w:rsidP="006C0B32">
            <w:pPr>
              <w:keepNext/>
              <w:spacing w:before="67" w:after="67" w:line="240" w:lineRule="auto"/>
              <w:jc w:val="right"/>
              <w:rPr>
                <w:rFonts w:eastAsia="Times New Roman"/>
                <w:b/>
                <w:bCs/>
                <w:color w:val="000000"/>
                <w:sz w:val="20"/>
                <w:szCs w:val="20"/>
              </w:rPr>
            </w:pPr>
            <w:r w:rsidRPr="000D3E11">
              <w:rPr>
                <w:rFonts w:eastAsia="Times New Roman"/>
                <w:b/>
                <w:bCs/>
                <w:color w:val="000000"/>
                <w:sz w:val="20"/>
                <w:szCs w:val="20"/>
              </w:rPr>
              <w:t>Intervention</w:t>
            </w:r>
            <w:r w:rsidRPr="000D3E11">
              <w:rPr>
                <w:rFonts w:eastAsia="Times New Roman"/>
                <w:b/>
                <w:bCs/>
                <w:color w:val="000000"/>
                <w:sz w:val="20"/>
                <w:szCs w:val="20"/>
              </w:rPr>
              <w:br/>
              <w:t>(n = 418)</w:t>
            </w:r>
          </w:p>
        </w:tc>
        <w:tc>
          <w:tcPr>
            <w:tcW w:w="582" w:type="pct"/>
            <w:tcBorders>
              <w:top w:val="nil"/>
              <w:bottom w:val="single" w:sz="4" w:space="0" w:color="auto"/>
            </w:tcBorders>
            <w:shd w:val="clear" w:color="auto" w:fill="FFFFFF"/>
            <w:tcMar>
              <w:left w:w="67" w:type="dxa"/>
              <w:right w:w="67" w:type="dxa"/>
            </w:tcMar>
            <w:vAlign w:val="bottom"/>
          </w:tcPr>
          <w:p w14:paraId="792FAFC7" w14:textId="77777777" w:rsidR="00E07CDE" w:rsidRPr="000D3E11" w:rsidRDefault="00E07CDE" w:rsidP="006C0B32">
            <w:pPr>
              <w:keepNext/>
              <w:spacing w:before="67" w:after="67" w:line="240" w:lineRule="auto"/>
              <w:jc w:val="right"/>
              <w:rPr>
                <w:rFonts w:eastAsia="Times New Roman"/>
                <w:b/>
                <w:bCs/>
                <w:color w:val="000000"/>
                <w:sz w:val="20"/>
                <w:szCs w:val="20"/>
              </w:rPr>
            </w:pPr>
            <w:r w:rsidRPr="000D3E11">
              <w:rPr>
                <w:rFonts w:eastAsia="Times New Roman"/>
                <w:b/>
                <w:bCs/>
                <w:color w:val="000000"/>
                <w:sz w:val="20"/>
                <w:szCs w:val="20"/>
              </w:rPr>
              <w:t>Total</w:t>
            </w:r>
            <w:r w:rsidRPr="000D3E11">
              <w:rPr>
                <w:rFonts w:eastAsia="Times New Roman"/>
                <w:b/>
                <w:bCs/>
                <w:color w:val="000000"/>
                <w:sz w:val="20"/>
                <w:szCs w:val="20"/>
              </w:rPr>
              <w:br/>
              <w:t>(n = 726)</w:t>
            </w:r>
          </w:p>
        </w:tc>
        <w:tc>
          <w:tcPr>
            <w:tcW w:w="582" w:type="pct"/>
            <w:gridSpan w:val="2"/>
            <w:tcBorders>
              <w:top w:val="nil"/>
              <w:bottom w:val="single" w:sz="4" w:space="0" w:color="auto"/>
            </w:tcBorders>
            <w:shd w:val="clear" w:color="auto" w:fill="FFFFFF"/>
            <w:tcMar>
              <w:left w:w="67" w:type="dxa"/>
              <w:right w:w="67" w:type="dxa"/>
            </w:tcMar>
            <w:vAlign w:val="bottom"/>
          </w:tcPr>
          <w:p w14:paraId="357759E2" w14:textId="77777777" w:rsidR="00E07CDE" w:rsidRPr="000D3E11" w:rsidRDefault="00E07CDE" w:rsidP="006C0B32">
            <w:pPr>
              <w:keepNext/>
              <w:spacing w:before="67" w:after="67" w:line="240" w:lineRule="auto"/>
              <w:jc w:val="right"/>
              <w:rPr>
                <w:rFonts w:eastAsia="Times New Roman"/>
                <w:b/>
                <w:bCs/>
                <w:color w:val="000000"/>
                <w:sz w:val="20"/>
                <w:szCs w:val="20"/>
              </w:rPr>
            </w:pPr>
            <w:r w:rsidRPr="000D3E11">
              <w:rPr>
                <w:rFonts w:eastAsia="Times New Roman"/>
                <w:b/>
                <w:bCs/>
                <w:color w:val="000000"/>
                <w:sz w:val="20"/>
                <w:szCs w:val="20"/>
              </w:rPr>
              <w:t>Control</w:t>
            </w:r>
            <w:r w:rsidRPr="000D3E11">
              <w:rPr>
                <w:rFonts w:eastAsia="Times New Roman"/>
                <w:b/>
                <w:bCs/>
                <w:color w:val="000000"/>
                <w:sz w:val="20"/>
                <w:szCs w:val="20"/>
              </w:rPr>
              <w:br/>
              <w:t>(n = 308)</w:t>
            </w:r>
          </w:p>
        </w:tc>
        <w:tc>
          <w:tcPr>
            <w:tcW w:w="582" w:type="pct"/>
            <w:tcBorders>
              <w:top w:val="nil"/>
              <w:bottom w:val="single" w:sz="4" w:space="0" w:color="auto"/>
            </w:tcBorders>
            <w:shd w:val="clear" w:color="auto" w:fill="FFFFFF"/>
            <w:tcMar>
              <w:left w:w="67" w:type="dxa"/>
              <w:right w:w="67" w:type="dxa"/>
            </w:tcMar>
            <w:vAlign w:val="bottom"/>
          </w:tcPr>
          <w:p w14:paraId="3EBFFEDB" w14:textId="77777777" w:rsidR="00E07CDE" w:rsidRPr="000D3E11" w:rsidRDefault="00E07CDE" w:rsidP="006C0B32">
            <w:pPr>
              <w:keepNext/>
              <w:spacing w:before="67" w:after="67" w:line="240" w:lineRule="auto"/>
              <w:jc w:val="right"/>
              <w:rPr>
                <w:rFonts w:eastAsia="Times New Roman"/>
                <w:b/>
                <w:bCs/>
                <w:color w:val="000000"/>
                <w:sz w:val="20"/>
                <w:szCs w:val="20"/>
              </w:rPr>
            </w:pPr>
            <w:r w:rsidRPr="000D3E11">
              <w:rPr>
                <w:rFonts w:eastAsia="Times New Roman"/>
                <w:b/>
                <w:bCs/>
                <w:color w:val="000000"/>
                <w:sz w:val="20"/>
                <w:szCs w:val="20"/>
              </w:rPr>
              <w:t>Intervention</w:t>
            </w:r>
            <w:r w:rsidRPr="000D3E11">
              <w:rPr>
                <w:rFonts w:eastAsia="Times New Roman"/>
                <w:b/>
                <w:bCs/>
                <w:color w:val="000000"/>
                <w:sz w:val="20"/>
                <w:szCs w:val="20"/>
              </w:rPr>
              <w:br/>
              <w:t>(n = 418)</w:t>
            </w:r>
          </w:p>
        </w:tc>
        <w:tc>
          <w:tcPr>
            <w:tcW w:w="578" w:type="pct"/>
            <w:tcBorders>
              <w:top w:val="nil"/>
              <w:bottom w:val="single" w:sz="4" w:space="0" w:color="auto"/>
            </w:tcBorders>
            <w:shd w:val="clear" w:color="auto" w:fill="FFFFFF"/>
            <w:tcMar>
              <w:left w:w="67" w:type="dxa"/>
              <w:right w:w="67" w:type="dxa"/>
            </w:tcMar>
            <w:vAlign w:val="bottom"/>
          </w:tcPr>
          <w:p w14:paraId="66A0E389" w14:textId="77777777" w:rsidR="00E07CDE" w:rsidRPr="000D3E11" w:rsidRDefault="00E07CDE" w:rsidP="006C0B32">
            <w:pPr>
              <w:keepNext/>
              <w:spacing w:before="67" w:after="67" w:line="240" w:lineRule="auto"/>
              <w:jc w:val="right"/>
              <w:rPr>
                <w:rFonts w:eastAsia="Times New Roman"/>
                <w:b/>
                <w:bCs/>
                <w:color w:val="000000"/>
                <w:sz w:val="20"/>
                <w:szCs w:val="20"/>
              </w:rPr>
            </w:pPr>
            <w:r w:rsidRPr="000D3E11">
              <w:rPr>
                <w:rFonts w:eastAsia="Times New Roman"/>
                <w:b/>
                <w:bCs/>
                <w:color w:val="000000"/>
                <w:sz w:val="20"/>
                <w:szCs w:val="20"/>
              </w:rPr>
              <w:t>Total</w:t>
            </w:r>
            <w:r w:rsidRPr="000D3E11">
              <w:rPr>
                <w:rFonts w:eastAsia="Times New Roman"/>
                <w:b/>
                <w:bCs/>
                <w:color w:val="000000"/>
                <w:sz w:val="20"/>
                <w:szCs w:val="20"/>
              </w:rPr>
              <w:br/>
              <w:t>(n = 726)</w:t>
            </w:r>
          </w:p>
        </w:tc>
      </w:tr>
      <w:tr w:rsidR="00E07CDE" w:rsidRPr="000D3E11" w14:paraId="350B536D" w14:textId="77777777" w:rsidTr="00C163F3">
        <w:trPr>
          <w:cantSplit/>
          <w:jc w:val="center"/>
        </w:trPr>
        <w:tc>
          <w:tcPr>
            <w:tcW w:w="978" w:type="pct"/>
            <w:tcBorders>
              <w:top w:val="single" w:sz="4" w:space="0" w:color="auto"/>
            </w:tcBorders>
            <w:shd w:val="clear" w:color="auto" w:fill="FFFFFF"/>
            <w:tcMar>
              <w:left w:w="67" w:type="dxa"/>
              <w:right w:w="67" w:type="dxa"/>
            </w:tcMar>
          </w:tcPr>
          <w:p w14:paraId="24A1DE30" w14:textId="77777777" w:rsidR="00E07CDE" w:rsidRPr="000D3E11" w:rsidRDefault="00E07CDE" w:rsidP="006C0B32">
            <w:pPr>
              <w:spacing w:before="67" w:after="67" w:line="240" w:lineRule="auto"/>
              <w:rPr>
                <w:rFonts w:eastAsia="Times New Roman"/>
                <w:b/>
                <w:bCs/>
                <w:color w:val="000000"/>
                <w:sz w:val="20"/>
                <w:szCs w:val="20"/>
              </w:rPr>
            </w:pPr>
            <w:r w:rsidRPr="000D3E11">
              <w:rPr>
                <w:rFonts w:eastAsia="Times New Roman"/>
                <w:b/>
                <w:bCs/>
                <w:color w:val="000000"/>
                <w:sz w:val="20"/>
                <w:szCs w:val="20"/>
              </w:rPr>
              <w:t>Antipsychotic</w:t>
            </w:r>
          </w:p>
        </w:tc>
        <w:tc>
          <w:tcPr>
            <w:tcW w:w="535" w:type="pct"/>
            <w:tcBorders>
              <w:top w:val="single" w:sz="4" w:space="0" w:color="auto"/>
            </w:tcBorders>
            <w:shd w:val="clear" w:color="auto" w:fill="FFFFFF"/>
            <w:tcMar>
              <w:left w:w="67" w:type="dxa"/>
              <w:right w:w="67" w:type="dxa"/>
            </w:tcMar>
          </w:tcPr>
          <w:p w14:paraId="70D5AD14" w14:textId="77777777" w:rsidR="00E07CDE" w:rsidRPr="000D3E11" w:rsidRDefault="00E07CDE" w:rsidP="006C0B32">
            <w:pPr>
              <w:spacing w:before="67" w:after="67" w:line="240" w:lineRule="auto"/>
              <w:rPr>
                <w:rFonts w:eastAsia="Times New Roman"/>
                <w:b/>
                <w:bCs/>
                <w:color w:val="000000"/>
                <w:sz w:val="20"/>
                <w:szCs w:val="20"/>
              </w:rPr>
            </w:pPr>
          </w:p>
        </w:tc>
        <w:tc>
          <w:tcPr>
            <w:tcW w:w="581" w:type="pct"/>
            <w:tcBorders>
              <w:top w:val="single" w:sz="4" w:space="0" w:color="auto"/>
            </w:tcBorders>
            <w:shd w:val="clear" w:color="auto" w:fill="FFFFFF"/>
            <w:tcMar>
              <w:left w:w="67" w:type="dxa"/>
              <w:right w:w="67" w:type="dxa"/>
            </w:tcMar>
          </w:tcPr>
          <w:p w14:paraId="505DC9B5" w14:textId="409B0213" w:rsidR="00E07CDE" w:rsidRPr="000D3E11" w:rsidRDefault="00E07CDE" w:rsidP="006C0B32">
            <w:pPr>
              <w:spacing w:before="67" w:after="67" w:line="240" w:lineRule="auto"/>
              <w:jc w:val="right"/>
              <w:rPr>
                <w:rFonts w:eastAsia="Times New Roman"/>
                <w:color w:val="000000"/>
                <w:sz w:val="20"/>
                <w:szCs w:val="20"/>
              </w:rPr>
            </w:pPr>
            <w:r w:rsidRPr="000D3E11">
              <w:rPr>
                <w:rFonts w:eastAsia="Times New Roman"/>
                <w:color w:val="000000"/>
                <w:sz w:val="20"/>
                <w:szCs w:val="20"/>
              </w:rPr>
              <w:t>4</w:t>
            </w:r>
            <w:r w:rsidR="00907D13">
              <w:rPr>
                <w:rFonts w:eastAsia="Times New Roman"/>
                <w:color w:val="000000"/>
                <w:sz w:val="20"/>
                <w:szCs w:val="20"/>
              </w:rPr>
              <w:t>4</w:t>
            </w:r>
            <w:r w:rsidRPr="000D3E11">
              <w:rPr>
                <w:rFonts w:eastAsia="Times New Roman"/>
                <w:color w:val="000000"/>
                <w:sz w:val="20"/>
                <w:szCs w:val="20"/>
              </w:rPr>
              <w:t xml:space="preserve"> (14.</w:t>
            </w:r>
            <w:r w:rsidR="00907D13">
              <w:rPr>
                <w:rFonts w:eastAsia="Times New Roman"/>
                <w:color w:val="000000"/>
                <w:sz w:val="20"/>
                <w:szCs w:val="20"/>
              </w:rPr>
              <w:t>3</w:t>
            </w:r>
            <w:r w:rsidRPr="000D3E11">
              <w:rPr>
                <w:rFonts w:eastAsia="Times New Roman"/>
                <w:color w:val="000000"/>
                <w:sz w:val="20"/>
                <w:szCs w:val="20"/>
              </w:rPr>
              <w:t>%)</w:t>
            </w:r>
          </w:p>
        </w:tc>
        <w:tc>
          <w:tcPr>
            <w:tcW w:w="582" w:type="pct"/>
            <w:tcBorders>
              <w:top w:val="single" w:sz="4" w:space="0" w:color="auto"/>
            </w:tcBorders>
            <w:shd w:val="clear" w:color="auto" w:fill="FFFFFF"/>
            <w:tcMar>
              <w:left w:w="67" w:type="dxa"/>
              <w:right w:w="67" w:type="dxa"/>
            </w:tcMar>
          </w:tcPr>
          <w:p w14:paraId="390FFEE5" w14:textId="26A59943" w:rsidR="00E07CDE" w:rsidRPr="000D3E11" w:rsidRDefault="00E07CDE" w:rsidP="006C0B32">
            <w:pPr>
              <w:spacing w:before="67" w:after="67" w:line="240" w:lineRule="auto"/>
              <w:jc w:val="right"/>
              <w:rPr>
                <w:rFonts w:eastAsia="Times New Roman"/>
                <w:color w:val="000000"/>
                <w:sz w:val="20"/>
                <w:szCs w:val="20"/>
              </w:rPr>
            </w:pPr>
            <w:r w:rsidRPr="000D3E11">
              <w:rPr>
                <w:rFonts w:eastAsia="Times New Roman"/>
                <w:color w:val="000000"/>
                <w:sz w:val="20"/>
                <w:szCs w:val="20"/>
              </w:rPr>
              <w:t>5</w:t>
            </w:r>
            <w:r w:rsidR="00907D13">
              <w:rPr>
                <w:rFonts w:eastAsia="Times New Roman"/>
                <w:color w:val="000000"/>
                <w:sz w:val="20"/>
                <w:szCs w:val="20"/>
              </w:rPr>
              <w:t>1</w:t>
            </w:r>
            <w:r w:rsidRPr="000D3E11">
              <w:rPr>
                <w:rFonts w:eastAsia="Times New Roman"/>
                <w:color w:val="000000"/>
                <w:sz w:val="20"/>
                <w:szCs w:val="20"/>
              </w:rPr>
              <w:t xml:space="preserve"> (12.</w:t>
            </w:r>
            <w:r w:rsidR="00907D13">
              <w:rPr>
                <w:rFonts w:eastAsia="Times New Roman"/>
                <w:color w:val="000000"/>
                <w:sz w:val="20"/>
                <w:szCs w:val="20"/>
              </w:rPr>
              <w:t>2</w:t>
            </w:r>
            <w:r w:rsidRPr="000D3E11">
              <w:rPr>
                <w:rFonts w:eastAsia="Times New Roman"/>
                <w:color w:val="000000"/>
                <w:sz w:val="20"/>
                <w:szCs w:val="20"/>
              </w:rPr>
              <w:t>%)</w:t>
            </w:r>
          </w:p>
        </w:tc>
        <w:tc>
          <w:tcPr>
            <w:tcW w:w="582" w:type="pct"/>
            <w:tcBorders>
              <w:top w:val="single" w:sz="4" w:space="0" w:color="auto"/>
            </w:tcBorders>
            <w:shd w:val="clear" w:color="auto" w:fill="FFFFFF"/>
            <w:tcMar>
              <w:left w:w="67" w:type="dxa"/>
              <w:right w:w="67" w:type="dxa"/>
            </w:tcMar>
          </w:tcPr>
          <w:p w14:paraId="35B25E60" w14:textId="6B5890BC"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9</w:t>
            </w:r>
            <w:r w:rsidR="00907D13">
              <w:rPr>
                <w:rFonts w:eastAsia="Times New Roman"/>
                <w:color w:val="000000"/>
                <w:sz w:val="20"/>
                <w:szCs w:val="20"/>
              </w:rPr>
              <w:t>5</w:t>
            </w:r>
            <w:r w:rsidRPr="000D3E11">
              <w:rPr>
                <w:rFonts w:eastAsia="Times New Roman"/>
                <w:color w:val="000000"/>
                <w:sz w:val="20"/>
                <w:szCs w:val="20"/>
              </w:rPr>
              <w:t xml:space="preserve"> (13.</w:t>
            </w:r>
            <w:r w:rsidR="00907D13">
              <w:rPr>
                <w:rFonts w:eastAsia="Times New Roman"/>
                <w:color w:val="000000"/>
                <w:sz w:val="20"/>
                <w:szCs w:val="20"/>
              </w:rPr>
              <w:t>1</w:t>
            </w:r>
            <w:r w:rsidRPr="000D3E11">
              <w:rPr>
                <w:rFonts w:eastAsia="Times New Roman"/>
                <w:color w:val="000000"/>
                <w:sz w:val="20"/>
                <w:szCs w:val="20"/>
              </w:rPr>
              <w:t>%)</w:t>
            </w:r>
          </w:p>
        </w:tc>
        <w:tc>
          <w:tcPr>
            <w:tcW w:w="582" w:type="pct"/>
            <w:gridSpan w:val="2"/>
            <w:tcBorders>
              <w:top w:val="single" w:sz="4" w:space="0" w:color="auto"/>
            </w:tcBorders>
            <w:shd w:val="clear" w:color="auto" w:fill="FFFFFF"/>
            <w:tcMar>
              <w:left w:w="67" w:type="dxa"/>
              <w:right w:w="67" w:type="dxa"/>
            </w:tcMar>
          </w:tcPr>
          <w:p w14:paraId="16DB51C8" w14:textId="2FFA71BC"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35 (1</w:t>
            </w:r>
            <w:r w:rsidR="00907D13">
              <w:rPr>
                <w:rFonts w:eastAsia="Times New Roman"/>
                <w:color w:val="000000"/>
                <w:sz w:val="20"/>
                <w:szCs w:val="20"/>
              </w:rPr>
              <w:t>1.4</w:t>
            </w:r>
            <w:r w:rsidRPr="000D3E11">
              <w:rPr>
                <w:rFonts w:eastAsia="Times New Roman"/>
                <w:color w:val="000000"/>
                <w:sz w:val="20"/>
                <w:szCs w:val="20"/>
              </w:rPr>
              <w:t>%)</w:t>
            </w:r>
          </w:p>
        </w:tc>
        <w:tc>
          <w:tcPr>
            <w:tcW w:w="582" w:type="pct"/>
            <w:tcBorders>
              <w:top w:val="single" w:sz="4" w:space="0" w:color="auto"/>
            </w:tcBorders>
            <w:shd w:val="clear" w:color="auto" w:fill="FFFFFF"/>
            <w:tcMar>
              <w:left w:w="67" w:type="dxa"/>
              <w:right w:w="67" w:type="dxa"/>
            </w:tcMar>
          </w:tcPr>
          <w:p w14:paraId="76DD3560" w14:textId="5B924654"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3</w:t>
            </w:r>
            <w:r w:rsidR="00907D13">
              <w:rPr>
                <w:rFonts w:eastAsia="Times New Roman"/>
                <w:color w:val="000000"/>
                <w:sz w:val="20"/>
                <w:szCs w:val="20"/>
              </w:rPr>
              <w:t>7</w:t>
            </w:r>
            <w:r w:rsidRPr="000D3E11">
              <w:rPr>
                <w:rFonts w:eastAsia="Times New Roman"/>
                <w:color w:val="000000"/>
                <w:sz w:val="20"/>
                <w:szCs w:val="20"/>
              </w:rPr>
              <w:t xml:space="preserve"> (</w:t>
            </w:r>
            <w:r w:rsidR="00907D13">
              <w:rPr>
                <w:rFonts w:eastAsia="Times New Roman"/>
                <w:color w:val="000000"/>
                <w:sz w:val="20"/>
                <w:szCs w:val="20"/>
              </w:rPr>
              <w:t>8.9</w:t>
            </w:r>
            <w:r w:rsidRPr="000D3E11">
              <w:rPr>
                <w:rFonts w:eastAsia="Times New Roman"/>
                <w:color w:val="000000"/>
                <w:sz w:val="20"/>
                <w:szCs w:val="20"/>
              </w:rPr>
              <w:t>%)</w:t>
            </w:r>
          </w:p>
        </w:tc>
        <w:tc>
          <w:tcPr>
            <w:tcW w:w="578" w:type="pct"/>
            <w:tcBorders>
              <w:top w:val="single" w:sz="4" w:space="0" w:color="auto"/>
            </w:tcBorders>
            <w:shd w:val="clear" w:color="auto" w:fill="FFFFFF"/>
            <w:tcMar>
              <w:left w:w="67" w:type="dxa"/>
              <w:right w:w="67" w:type="dxa"/>
            </w:tcMar>
          </w:tcPr>
          <w:p w14:paraId="1F55AE45" w14:textId="399CD837"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7</w:t>
            </w:r>
            <w:r w:rsidR="00907D13">
              <w:rPr>
                <w:rFonts w:eastAsia="Times New Roman"/>
                <w:color w:val="000000"/>
                <w:sz w:val="20"/>
                <w:szCs w:val="20"/>
              </w:rPr>
              <w:t>2</w:t>
            </w:r>
            <w:r w:rsidRPr="000D3E11">
              <w:rPr>
                <w:rFonts w:eastAsia="Times New Roman"/>
                <w:color w:val="000000"/>
                <w:sz w:val="20"/>
                <w:szCs w:val="20"/>
              </w:rPr>
              <w:t xml:space="preserve"> (</w:t>
            </w:r>
            <w:r w:rsidR="00907D13">
              <w:rPr>
                <w:rFonts w:eastAsia="Times New Roman"/>
                <w:color w:val="000000"/>
                <w:sz w:val="20"/>
                <w:szCs w:val="20"/>
              </w:rPr>
              <w:t>9.9</w:t>
            </w:r>
            <w:r w:rsidRPr="000D3E11">
              <w:rPr>
                <w:rFonts w:eastAsia="Times New Roman"/>
                <w:color w:val="000000"/>
                <w:sz w:val="20"/>
                <w:szCs w:val="20"/>
              </w:rPr>
              <w:t>%)</w:t>
            </w:r>
          </w:p>
        </w:tc>
      </w:tr>
      <w:tr w:rsidR="00E07CDE" w:rsidRPr="000D3E11" w14:paraId="3085A85A" w14:textId="77777777" w:rsidTr="00C163F3">
        <w:trPr>
          <w:cantSplit/>
          <w:jc w:val="center"/>
        </w:trPr>
        <w:tc>
          <w:tcPr>
            <w:tcW w:w="978" w:type="pct"/>
            <w:shd w:val="clear" w:color="auto" w:fill="FFFFFF"/>
            <w:tcMar>
              <w:left w:w="67" w:type="dxa"/>
              <w:right w:w="67" w:type="dxa"/>
            </w:tcMar>
          </w:tcPr>
          <w:p w14:paraId="0E8C4595" w14:textId="77777777" w:rsidR="00E07CDE" w:rsidRPr="000D3E11" w:rsidRDefault="00E07CDE" w:rsidP="006C0B32">
            <w:pPr>
              <w:spacing w:before="67" w:after="67" w:line="240" w:lineRule="auto"/>
              <w:rPr>
                <w:rFonts w:eastAsia="Times New Roman"/>
                <w:b/>
                <w:bCs/>
                <w:color w:val="000000"/>
                <w:sz w:val="20"/>
                <w:szCs w:val="20"/>
              </w:rPr>
            </w:pPr>
            <w:r w:rsidRPr="000D3E11">
              <w:rPr>
                <w:rFonts w:eastAsia="Times New Roman"/>
                <w:b/>
                <w:bCs/>
                <w:color w:val="000000"/>
                <w:sz w:val="20"/>
                <w:szCs w:val="20"/>
              </w:rPr>
              <w:t>Benzodiazepine</w:t>
            </w:r>
          </w:p>
        </w:tc>
        <w:tc>
          <w:tcPr>
            <w:tcW w:w="535" w:type="pct"/>
            <w:shd w:val="clear" w:color="auto" w:fill="FFFFFF"/>
            <w:tcMar>
              <w:left w:w="67" w:type="dxa"/>
              <w:right w:w="67" w:type="dxa"/>
            </w:tcMar>
          </w:tcPr>
          <w:p w14:paraId="36561575" w14:textId="77777777" w:rsidR="00E07CDE" w:rsidRPr="000D3E11" w:rsidRDefault="00E07CDE" w:rsidP="006C0B32">
            <w:pPr>
              <w:spacing w:before="67" w:after="67" w:line="240" w:lineRule="auto"/>
              <w:rPr>
                <w:rFonts w:eastAsia="Times New Roman"/>
                <w:b/>
                <w:bCs/>
                <w:color w:val="000000"/>
                <w:sz w:val="20"/>
                <w:szCs w:val="20"/>
              </w:rPr>
            </w:pPr>
          </w:p>
        </w:tc>
        <w:tc>
          <w:tcPr>
            <w:tcW w:w="581" w:type="pct"/>
            <w:shd w:val="clear" w:color="auto" w:fill="FFFFFF"/>
            <w:tcMar>
              <w:left w:w="67" w:type="dxa"/>
              <w:right w:w="67" w:type="dxa"/>
            </w:tcMar>
          </w:tcPr>
          <w:p w14:paraId="1F82096A" w14:textId="19A0E813"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2</w:t>
            </w:r>
            <w:r w:rsidR="00907D13">
              <w:rPr>
                <w:rFonts w:eastAsia="Times New Roman"/>
                <w:color w:val="000000"/>
                <w:sz w:val="20"/>
                <w:szCs w:val="20"/>
              </w:rPr>
              <w:t>0</w:t>
            </w:r>
            <w:r w:rsidRPr="000D3E11">
              <w:rPr>
                <w:rFonts w:eastAsia="Times New Roman"/>
                <w:color w:val="000000"/>
                <w:sz w:val="20"/>
                <w:szCs w:val="20"/>
              </w:rPr>
              <w:t xml:space="preserve"> (6.</w:t>
            </w:r>
            <w:r w:rsidR="00907D13">
              <w:rPr>
                <w:rFonts w:eastAsia="Times New Roman"/>
                <w:color w:val="000000"/>
                <w:sz w:val="20"/>
                <w:szCs w:val="20"/>
              </w:rPr>
              <w:t>5</w:t>
            </w:r>
            <w:r w:rsidRPr="000D3E11">
              <w:rPr>
                <w:rFonts w:eastAsia="Times New Roman"/>
                <w:color w:val="000000"/>
                <w:sz w:val="20"/>
                <w:szCs w:val="20"/>
              </w:rPr>
              <w:t>%)</w:t>
            </w:r>
          </w:p>
        </w:tc>
        <w:tc>
          <w:tcPr>
            <w:tcW w:w="582" w:type="pct"/>
            <w:shd w:val="clear" w:color="auto" w:fill="FFFFFF"/>
            <w:tcMar>
              <w:left w:w="67" w:type="dxa"/>
              <w:right w:w="67" w:type="dxa"/>
            </w:tcMar>
          </w:tcPr>
          <w:p w14:paraId="5AAFEE2A" w14:textId="5EE7E7A3"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2</w:t>
            </w:r>
            <w:r w:rsidR="00907D13">
              <w:rPr>
                <w:rFonts w:eastAsia="Times New Roman"/>
                <w:color w:val="000000"/>
                <w:sz w:val="20"/>
                <w:szCs w:val="20"/>
              </w:rPr>
              <w:t>1</w:t>
            </w:r>
            <w:r w:rsidRPr="000D3E11">
              <w:rPr>
                <w:rFonts w:eastAsia="Times New Roman"/>
                <w:color w:val="000000"/>
                <w:sz w:val="20"/>
                <w:szCs w:val="20"/>
              </w:rPr>
              <w:t xml:space="preserve"> (5.</w:t>
            </w:r>
            <w:r w:rsidR="00907D13">
              <w:rPr>
                <w:rFonts w:eastAsia="Times New Roman"/>
                <w:color w:val="000000"/>
                <w:sz w:val="20"/>
                <w:szCs w:val="20"/>
              </w:rPr>
              <w:t>0</w:t>
            </w:r>
            <w:r w:rsidRPr="000D3E11">
              <w:rPr>
                <w:rFonts w:eastAsia="Times New Roman"/>
                <w:color w:val="000000"/>
                <w:sz w:val="20"/>
                <w:szCs w:val="20"/>
              </w:rPr>
              <w:t>%)</w:t>
            </w:r>
          </w:p>
        </w:tc>
        <w:tc>
          <w:tcPr>
            <w:tcW w:w="582" w:type="pct"/>
            <w:shd w:val="clear" w:color="auto" w:fill="FFFFFF"/>
            <w:tcMar>
              <w:left w:w="67" w:type="dxa"/>
              <w:right w:w="67" w:type="dxa"/>
            </w:tcMar>
          </w:tcPr>
          <w:p w14:paraId="2A50A61D" w14:textId="450976CC"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4</w:t>
            </w:r>
            <w:r w:rsidR="00907D13">
              <w:rPr>
                <w:rFonts w:eastAsia="Times New Roman"/>
                <w:color w:val="000000"/>
                <w:sz w:val="20"/>
                <w:szCs w:val="20"/>
              </w:rPr>
              <w:t>1</w:t>
            </w:r>
            <w:r w:rsidRPr="000D3E11">
              <w:rPr>
                <w:rFonts w:eastAsia="Times New Roman"/>
                <w:color w:val="000000"/>
                <w:sz w:val="20"/>
                <w:szCs w:val="20"/>
              </w:rPr>
              <w:t xml:space="preserve"> (</w:t>
            </w:r>
            <w:r w:rsidR="00907D13">
              <w:rPr>
                <w:rFonts w:eastAsia="Times New Roman"/>
                <w:color w:val="000000"/>
                <w:sz w:val="20"/>
                <w:szCs w:val="20"/>
              </w:rPr>
              <w:t>5.6</w:t>
            </w:r>
            <w:r w:rsidRPr="000D3E11">
              <w:rPr>
                <w:rFonts w:eastAsia="Times New Roman"/>
                <w:color w:val="000000"/>
                <w:sz w:val="20"/>
                <w:szCs w:val="20"/>
              </w:rPr>
              <w:t>%)</w:t>
            </w:r>
          </w:p>
        </w:tc>
        <w:tc>
          <w:tcPr>
            <w:tcW w:w="582" w:type="pct"/>
            <w:gridSpan w:val="2"/>
            <w:shd w:val="clear" w:color="auto" w:fill="FFFFFF"/>
            <w:tcMar>
              <w:left w:w="67" w:type="dxa"/>
              <w:right w:w="67" w:type="dxa"/>
            </w:tcMar>
          </w:tcPr>
          <w:p w14:paraId="73016CBD" w14:textId="56A0B5A8"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w:t>
            </w:r>
            <w:r w:rsidR="00907D13">
              <w:rPr>
                <w:rFonts w:eastAsia="Times New Roman"/>
                <w:color w:val="000000"/>
                <w:sz w:val="20"/>
                <w:szCs w:val="20"/>
              </w:rPr>
              <w:t>4</w:t>
            </w:r>
            <w:r w:rsidRPr="000D3E11">
              <w:rPr>
                <w:rFonts w:eastAsia="Times New Roman"/>
                <w:color w:val="000000"/>
                <w:sz w:val="20"/>
                <w:szCs w:val="20"/>
              </w:rPr>
              <w:t xml:space="preserve"> (</w:t>
            </w:r>
            <w:r w:rsidR="00907D13">
              <w:rPr>
                <w:rFonts w:eastAsia="Times New Roman"/>
                <w:color w:val="000000"/>
                <w:sz w:val="20"/>
                <w:szCs w:val="20"/>
              </w:rPr>
              <w:t>4.5</w:t>
            </w:r>
            <w:r w:rsidRPr="000D3E11">
              <w:rPr>
                <w:rFonts w:eastAsia="Times New Roman"/>
                <w:color w:val="000000"/>
                <w:sz w:val="20"/>
                <w:szCs w:val="20"/>
              </w:rPr>
              <w:t>%)</w:t>
            </w:r>
          </w:p>
        </w:tc>
        <w:tc>
          <w:tcPr>
            <w:tcW w:w="582" w:type="pct"/>
            <w:shd w:val="clear" w:color="auto" w:fill="FFFFFF"/>
            <w:tcMar>
              <w:left w:w="67" w:type="dxa"/>
              <w:right w:w="67" w:type="dxa"/>
            </w:tcMar>
          </w:tcPr>
          <w:p w14:paraId="18B5966F" w14:textId="547A679C"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14 (</w:t>
            </w:r>
            <w:r w:rsidR="00907D13">
              <w:rPr>
                <w:rFonts w:eastAsia="Times New Roman"/>
                <w:color w:val="000000"/>
                <w:sz w:val="20"/>
                <w:szCs w:val="20"/>
              </w:rPr>
              <w:t>3.3</w:t>
            </w:r>
            <w:r w:rsidRPr="000D3E11">
              <w:rPr>
                <w:rFonts w:eastAsia="Times New Roman"/>
                <w:color w:val="000000"/>
                <w:sz w:val="20"/>
                <w:szCs w:val="20"/>
              </w:rPr>
              <w:t>%)</w:t>
            </w:r>
          </w:p>
        </w:tc>
        <w:tc>
          <w:tcPr>
            <w:tcW w:w="578" w:type="pct"/>
            <w:shd w:val="clear" w:color="auto" w:fill="FFFFFF"/>
            <w:tcMar>
              <w:left w:w="67" w:type="dxa"/>
              <w:right w:w="67" w:type="dxa"/>
            </w:tcMar>
          </w:tcPr>
          <w:p w14:paraId="0958D8E6" w14:textId="5094AC33"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2</w:t>
            </w:r>
            <w:r w:rsidR="00907D13">
              <w:rPr>
                <w:rFonts w:eastAsia="Times New Roman"/>
                <w:color w:val="000000"/>
                <w:sz w:val="20"/>
                <w:szCs w:val="20"/>
              </w:rPr>
              <w:t>8</w:t>
            </w:r>
            <w:r w:rsidRPr="000D3E11">
              <w:rPr>
                <w:rFonts w:eastAsia="Times New Roman"/>
                <w:color w:val="000000"/>
                <w:sz w:val="20"/>
                <w:szCs w:val="20"/>
              </w:rPr>
              <w:t xml:space="preserve"> (</w:t>
            </w:r>
            <w:r w:rsidR="00907D13">
              <w:rPr>
                <w:rFonts w:eastAsia="Times New Roman"/>
                <w:color w:val="000000"/>
                <w:sz w:val="20"/>
                <w:szCs w:val="20"/>
              </w:rPr>
              <w:t>3.9</w:t>
            </w:r>
            <w:r w:rsidRPr="000D3E11">
              <w:rPr>
                <w:rFonts w:eastAsia="Times New Roman"/>
                <w:color w:val="000000"/>
                <w:sz w:val="20"/>
                <w:szCs w:val="20"/>
              </w:rPr>
              <w:t>%)</w:t>
            </w:r>
          </w:p>
        </w:tc>
      </w:tr>
      <w:tr w:rsidR="00E07CDE" w:rsidRPr="000D3E11" w14:paraId="087848A7" w14:textId="77777777" w:rsidTr="00C163F3">
        <w:trPr>
          <w:cantSplit/>
          <w:jc w:val="center"/>
        </w:trPr>
        <w:tc>
          <w:tcPr>
            <w:tcW w:w="978" w:type="pct"/>
            <w:shd w:val="clear" w:color="auto" w:fill="FFFFFF"/>
            <w:tcMar>
              <w:left w:w="67" w:type="dxa"/>
              <w:right w:w="67" w:type="dxa"/>
            </w:tcMar>
          </w:tcPr>
          <w:p w14:paraId="12985266" w14:textId="77777777" w:rsidR="00E07CDE" w:rsidRPr="000D3E11" w:rsidRDefault="00E07CDE" w:rsidP="006C0B32">
            <w:pPr>
              <w:spacing w:before="67" w:after="67" w:line="240" w:lineRule="auto"/>
              <w:rPr>
                <w:rFonts w:eastAsia="Times New Roman"/>
                <w:b/>
                <w:bCs/>
                <w:color w:val="000000"/>
                <w:sz w:val="20"/>
                <w:szCs w:val="20"/>
              </w:rPr>
            </w:pPr>
            <w:r w:rsidRPr="000D3E11">
              <w:rPr>
                <w:rFonts w:eastAsia="Times New Roman"/>
                <w:b/>
                <w:bCs/>
                <w:color w:val="000000"/>
                <w:sz w:val="20"/>
                <w:szCs w:val="20"/>
              </w:rPr>
              <w:t>Non-benzodiazepine anxiolytic</w:t>
            </w:r>
          </w:p>
        </w:tc>
        <w:tc>
          <w:tcPr>
            <w:tcW w:w="535" w:type="pct"/>
            <w:shd w:val="clear" w:color="auto" w:fill="FFFFFF"/>
            <w:tcMar>
              <w:left w:w="67" w:type="dxa"/>
              <w:right w:w="67" w:type="dxa"/>
            </w:tcMar>
          </w:tcPr>
          <w:p w14:paraId="789DD464" w14:textId="77777777" w:rsidR="00E07CDE" w:rsidRPr="000D3E11" w:rsidRDefault="00E07CDE" w:rsidP="006C0B32">
            <w:pPr>
              <w:spacing w:before="67" w:after="67" w:line="240" w:lineRule="auto"/>
              <w:rPr>
                <w:rFonts w:eastAsia="Times New Roman"/>
                <w:b/>
                <w:bCs/>
                <w:color w:val="000000"/>
                <w:sz w:val="20"/>
                <w:szCs w:val="20"/>
              </w:rPr>
            </w:pPr>
          </w:p>
        </w:tc>
        <w:tc>
          <w:tcPr>
            <w:tcW w:w="581" w:type="pct"/>
            <w:shd w:val="clear" w:color="auto" w:fill="FFFFFF"/>
            <w:tcMar>
              <w:left w:w="67" w:type="dxa"/>
              <w:right w:w="67" w:type="dxa"/>
            </w:tcMar>
          </w:tcPr>
          <w:p w14:paraId="59E9E927" w14:textId="729EF365"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0 (0%)</w:t>
            </w:r>
          </w:p>
        </w:tc>
        <w:tc>
          <w:tcPr>
            <w:tcW w:w="582" w:type="pct"/>
            <w:shd w:val="clear" w:color="auto" w:fill="FFFFFF"/>
            <w:tcMar>
              <w:left w:w="67" w:type="dxa"/>
              <w:right w:w="67" w:type="dxa"/>
            </w:tcMar>
          </w:tcPr>
          <w:p w14:paraId="7DA25B80" w14:textId="57A54C73" w:rsidR="00E07CDE" w:rsidRPr="000D3E11" w:rsidRDefault="00907D13" w:rsidP="00907D13">
            <w:pPr>
              <w:spacing w:before="67" w:after="67" w:line="240" w:lineRule="auto"/>
              <w:jc w:val="right"/>
              <w:rPr>
                <w:rFonts w:eastAsia="Times New Roman"/>
                <w:color w:val="000000"/>
                <w:sz w:val="20"/>
                <w:szCs w:val="20"/>
              </w:rPr>
            </w:pPr>
            <w:r>
              <w:rPr>
                <w:rFonts w:eastAsia="Times New Roman"/>
                <w:color w:val="000000"/>
                <w:sz w:val="20"/>
                <w:szCs w:val="20"/>
              </w:rPr>
              <w:t>4</w:t>
            </w:r>
            <w:r w:rsidR="00E07CDE" w:rsidRPr="000D3E11">
              <w:rPr>
                <w:rFonts w:eastAsia="Times New Roman"/>
                <w:color w:val="000000"/>
                <w:sz w:val="20"/>
                <w:szCs w:val="20"/>
              </w:rPr>
              <w:t xml:space="preserve"> (1.</w:t>
            </w:r>
            <w:r>
              <w:rPr>
                <w:rFonts w:eastAsia="Times New Roman"/>
                <w:color w:val="000000"/>
                <w:sz w:val="20"/>
                <w:szCs w:val="20"/>
              </w:rPr>
              <w:t>0</w:t>
            </w:r>
            <w:r w:rsidR="00E07CDE" w:rsidRPr="000D3E11">
              <w:rPr>
                <w:rFonts w:eastAsia="Times New Roman"/>
                <w:color w:val="000000"/>
                <w:sz w:val="20"/>
                <w:szCs w:val="20"/>
              </w:rPr>
              <w:t>%)</w:t>
            </w:r>
          </w:p>
        </w:tc>
        <w:tc>
          <w:tcPr>
            <w:tcW w:w="582" w:type="pct"/>
            <w:shd w:val="clear" w:color="auto" w:fill="FFFFFF"/>
            <w:tcMar>
              <w:left w:w="67" w:type="dxa"/>
              <w:right w:w="67" w:type="dxa"/>
            </w:tcMar>
          </w:tcPr>
          <w:p w14:paraId="589D31A3" w14:textId="53B2E494" w:rsidR="00E07CDE" w:rsidRPr="000D3E11" w:rsidRDefault="00907D13" w:rsidP="00907D13">
            <w:pPr>
              <w:spacing w:before="67" w:after="67" w:line="240" w:lineRule="auto"/>
              <w:jc w:val="right"/>
              <w:rPr>
                <w:rFonts w:eastAsia="Times New Roman"/>
                <w:color w:val="000000"/>
                <w:sz w:val="20"/>
                <w:szCs w:val="20"/>
              </w:rPr>
            </w:pPr>
            <w:r>
              <w:rPr>
                <w:rFonts w:eastAsia="Times New Roman"/>
                <w:color w:val="000000"/>
                <w:sz w:val="20"/>
                <w:szCs w:val="20"/>
              </w:rPr>
              <w:t>4</w:t>
            </w:r>
            <w:r w:rsidR="00E07CDE" w:rsidRPr="000D3E11">
              <w:rPr>
                <w:rFonts w:eastAsia="Times New Roman"/>
                <w:color w:val="000000"/>
                <w:sz w:val="20"/>
                <w:szCs w:val="20"/>
              </w:rPr>
              <w:t xml:space="preserve"> (</w:t>
            </w:r>
            <w:r>
              <w:rPr>
                <w:rFonts w:eastAsia="Times New Roman"/>
                <w:color w:val="000000"/>
                <w:sz w:val="20"/>
                <w:szCs w:val="20"/>
              </w:rPr>
              <w:t>0.6</w:t>
            </w:r>
            <w:r w:rsidR="00E07CDE" w:rsidRPr="000D3E11">
              <w:rPr>
                <w:rFonts w:eastAsia="Times New Roman"/>
                <w:color w:val="000000"/>
                <w:sz w:val="20"/>
                <w:szCs w:val="20"/>
              </w:rPr>
              <w:t>%)</w:t>
            </w:r>
          </w:p>
        </w:tc>
        <w:tc>
          <w:tcPr>
            <w:tcW w:w="582" w:type="pct"/>
            <w:gridSpan w:val="2"/>
            <w:shd w:val="clear" w:color="auto" w:fill="FFFFFF"/>
            <w:tcMar>
              <w:left w:w="67" w:type="dxa"/>
              <w:right w:w="67" w:type="dxa"/>
            </w:tcMar>
          </w:tcPr>
          <w:p w14:paraId="21862909" w14:textId="10F7E9FE"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0 (0</w:t>
            </w:r>
            <w:r w:rsidR="00907D13">
              <w:rPr>
                <w:rFonts w:eastAsia="Times New Roman"/>
                <w:color w:val="000000"/>
                <w:sz w:val="20"/>
                <w:szCs w:val="20"/>
              </w:rPr>
              <w:t>.0</w:t>
            </w:r>
            <w:r w:rsidRPr="000D3E11">
              <w:rPr>
                <w:rFonts w:eastAsia="Times New Roman"/>
                <w:color w:val="000000"/>
                <w:sz w:val="20"/>
                <w:szCs w:val="20"/>
              </w:rPr>
              <w:t>%)</w:t>
            </w:r>
          </w:p>
        </w:tc>
        <w:tc>
          <w:tcPr>
            <w:tcW w:w="582" w:type="pct"/>
            <w:shd w:val="clear" w:color="auto" w:fill="FFFFFF"/>
            <w:tcMar>
              <w:left w:w="67" w:type="dxa"/>
              <w:right w:w="67" w:type="dxa"/>
            </w:tcMar>
          </w:tcPr>
          <w:p w14:paraId="32E10A8C" w14:textId="11D88227"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0 (0</w:t>
            </w:r>
            <w:r w:rsidR="00907D13">
              <w:rPr>
                <w:rFonts w:eastAsia="Times New Roman"/>
                <w:color w:val="000000"/>
                <w:sz w:val="20"/>
                <w:szCs w:val="20"/>
              </w:rPr>
              <w:t>.0</w:t>
            </w:r>
            <w:r w:rsidRPr="000D3E11">
              <w:rPr>
                <w:rFonts w:eastAsia="Times New Roman"/>
                <w:color w:val="000000"/>
                <w:sz w:val="20"/>
                <w:szCs w:val="20"/>
              </w:rPr>
              <w:t>%)</w:t>
            </w:r>
          </w:p>
        </w:tc>
        <w:tc>
          <w:tcPr>
            <w:tcW w:w="578" w:type="pct"/>
            <w:shd w:val="clear" w:color="auto" w:fill="FFFFFF"/>
            <w:tcMar>
              <w:left w:w="67" w:type="dxa"/>
              <w:right w:w="67" w:type="dxa"/>
            </w:tcMar>
          </w:tcPr>
          <w:p w14:paraId="7E5E7340" w14:textId="3A05D395"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0 (0</w:t>
            </w:r>
            <w:r w:rsidR="00907D13">
              <w:rPr>
                <w:rFonts w:eastAsia="Times New Roman"/>
                <w:color w:val="000000"/>
                <w:sz w:val="20"/>
                <w:szCs w:val="20"/>
              </w:rPr>
              <w:t>.0</w:t>
            </w:r>
            <w:r w:rsidRPr="000D3E11">
              <w:rPr>
                <w:rFonts w:eastAsia="Times New Roman"/>
                <w:color w:val="000000"/>
                <w:sz w:val="20"/>
                <w:szCs w:val="20"/>
              </w:rPr>
              <w:t>%)</w:t>
            </w:r>
          </w:p>
        </w:tc>
      </w:tr>
      <w:tr w:rsidR="00E07CDE" w:rsidRPr="000D3E11" w14:paraId="1CA8B8C1" w14:textId="77777777" w:rsidTr="00C163F3">
        <w:trPr>
          <w:cantSplit/>
          <w:jc w:val="center"/>
        </w:trPr>
        <w:tc>
          <w:tcPr>
            <w:tcW w:w="978" w:type="pct"/>
            <w:shd w:val="clear" w:color="auto" w:fill="FFFFFF"/>
            <w:tcMar>
              <w:left w:w="67" w:type="dxa"/>
              <w:right w:w="67" w:type="dxa"/>
            </w:tcMar>
          </w:tcPr>
          <w:p w14:paraId="0987DF73" w14:textId="77777777" w:rsidR="00E07CDE" w:rsidRPr="000D3E11" w:rsidRDefault="00E07CDE" w:rsidP="006C0B32">
            <w:pPr>
              <w:spacing w:before="67" w:after="67" w:line="240" w:lineRule="auto"/>
              <w:rPr>
                <w:rFonts w:eastAsia="Times New Roman"/>
                <w:b/>
                <w:bCs/>
                <w:color w:val="000000"/>
                <w:sz w:val="20"/>
                <w:szCs w:val="20"/>
              </w:rPr>
            </w:pPr>
            <w:r w:rsidRPr="000D3E11">
              <w:rPr>
                <w:rFonts w:eastAsia="Times New Roman"/>
                <w:b/>
                <w:bCs/>
                <w:color w:val="000000"/>
                <w:sz w:val="20"/>
                <w:szCs w:val="20"/>
              </w:rPr>
              <w:t>Non-benzodiazepine hypnotic</w:t>
            </w:r>
          </w:p>
        </w:tc>
        <w:tc>
          <w:tcPr>
            <w:tcW w:w="535" w:type="pct"/>
            <w:shd w:val="clear" w:color="auto" w:fill="FFFFFF"/>
            <w:tcMar>
              <w:left w:w="67" w:type="dxa"/>
              <w:right w:w="67" w:type="dxa"/>
            </w:tcMar>
          </w:tcPr>
          <w:p w14:paraId="3C93FBC5" w14:textId="77777777" w:rsidR="00E07CDE" w:rsidRPr="000D3E11" w:rsidRDefault="00E07CDE" w:rsidP="006C0B32">
            <w:pPr>
              <w:spacing w:before="67" w:after="67" w:line="240" w:lineRule="auto"/>
              <w:rPr>
                <w:rFonts w:eastAsia="Times New Roman"/>
                <w:b/>
                <w:bCs/>
                <w:color w:val="000000"/>
                <w:sz w:val="20"/>
                <w:szCs w:val="20"/>
              </w:rPr>
            </w:pPr>
          </w:p>
        </w:tc>
        <w:tc>
          <w:tcPr>
            <w:tcW w:w="581" w:type="pct"/>
            <w:shd w:val="clear" w:color="auto" w:fill="FFFFFF"/>
            <w:tcMar>
              <w:left w:w="67" w:type="dxa"/>
              <w:right w:w="67" w:type="dxa"/>
            </w:tcMar>
          </w:tcPr>
          <w:p w14:paraId="142E88DD" w14:textId="0324458B"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2</w:t>
            </w:r>
            <w:r w:rsidR="00907D13">
              <w:rPr>
                <w:rFonts w:eastAsia="Times New Roman"/>
                <w:color w:val="000000"/>
                <w:sz w:val="20"/>
                <w:szCs w:val="20"/>
              </w:rPr>
              <w:t>2</w:t>
            </w:r>
            <w:r w:rsidRPr="000D3E11">
              <w:rPr>
                <w:rFonts w:eastAsia="Times New Roman"/>
                <w:color w:val="000000"/>
                <w:sz w:val="20"/>
                <w:szCs w:val="20"/>
              </w:rPr>
              <w:t xml:space="preserve"> (7.</w:t>
            </w:r>
            <w:r w:rsidR="00907D13">
              <w:rPr>
                <w:rFonts w:eastAsia="Times New Roman"/>
                <w:color w:val="000000"/>
                <w:sz w:val="20"/>
                <w:szCs w:val="20"/>
              </w:rPr>
              <w:t>1</w:t>
            </w:r>
            <w:r w:rsidRPr="000D3E11">
              <w:rPr>
                <w:rFonts w:eastAsia="Times New Roman"/>
                <w:color w:val="000000"/>
                <w:sz w:val="20"/>
                <w:szCs w:val="20"/>
              </w:rPr>
              <w:t>%)</w:t>
            </w:r>
          </w:p>
        </w:tc>
        <w:tc>
          <w:tcPr>
            <w:tcW w:w="582" w:type="pct"/>
            <w:shd w:val="clear" w:color="auto" w:fill="FFFFFF"/>
            <w:tcMar>
              <w:left w:w="67" w:type="dxa"/>
              <w:right w:w="67" w:type="dxa"/>
            </w:tcMar>
          </w:tcPr>
          <w:p w14:paraId="58454706" w14:textId="2751771A"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14 (3.</w:t>
            </w:r>
            <w:r w:rsidR="00907D13">
              <w:rPr>
                <w:rFonts w:eastAsia="Times New Roman"/>
                <w:color w:val="000000"/>
                <w:sz w:val="20"/>
                <w:szCs w:val="20"/>
              </w:rPr>
              <w:t>3</w:t>
            </w:r>
            <w:r w:rsidRPr="000D3E11">
              <w:rPr>
                <w:rFonts w:eastAsia="Times New Roman"/>
                <w:color w:val="000000"/>
                <w:sz w:val="20"/>
                <w:szCs w:val="20"/>
              </w:rPr>
              <w:t>%)</w:t>
            </w:r>
          </w:p>
        </w:tc>
        <w:tc>
          <w:tcPr>
            <w:tcW w:w="582" w:type="pct"/>
            <w:shd w:val="clear" w:color="auto" w:fill="FFFFFF"/>
            <w:tcMar>
              <w:left w:w="67" w:type="dxa"/>
              <w:right w:w="67" w:type="dxa"/>
            </w:tcMar>
          </w:tcPr>
          <w:p w14:paraId="74C2889E" w14:textId="37560B57"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37 (5.</w:t>
            </w:r>
            <w:r w:rsidR="00907D13">
              <w:rPr>
                <w:rFonts w:eastAsia="Times New Roman"/>
                <w:color w:val="000000"/>
                <w:sz w:val="20"/>
                <w:szCs w:val="20"/>
              </w:rPr>
              <w:t>1</w:t>
            </w:r>
            <w:r w:rsidRPr="000D3E11">
              <w:rPr>
                <w:rFonts w:eastAsia="Times New Roman"/>
                <w:color w:val="000000"/>
                <w:sz w:val="20"/>
                <w:szCs w:val="20"/>
              </w:rPr>
              <w:t>%)</w:t>
            </w:r>
          </w:p>
        </w:tc>
        <w:tc>
          <w:tcPr>
            <w:tcW w:w="582" w:type="pct"/>
            <w:gridSpan w:val="2"/>
            <w:shd w:val="clear" w:color="auto" w:fill="FFFFFF"/>
            <w:tcMar>
              <w:left w:w="67" w:type="dxa"/>
              <w:right w:w="67" w:type="dxa"/>
            </w:tcMar>
          </w:tcPr>
          <w:p w14:paraId="660014A0" w14:textId="4335D649"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2</w:t>
            </w:r>
            <w:r w:rsidR="009A6337">
              <w:rPr>
                <w:rFonts w:eastAsia="Times New Roman"/>
                <w:color w:val="000000"/>
                <w:sz w:val="20"/>
                <w:szCs w:val="20"/>
              </w:rPr>
              <w:t>0</w:t>
            </w:r>
            <w:r w:rsidRPr="000D3E11">
              <w:rPr>
                <w:rFonts w:eastAsia="Times New Roman"/>
                <w:color w:val="000000"/>
                <w:sz w:val="20"/>
                <w:szCs w:val="20"/>
              </w:rPr>
              <w:t xml:space="preserve"> (</w:t>
            </w:r>
            <w:r w:rsidR="009A6337">
              <w:rPr>
                <w:rFonts w:eastAsia="Times New Roman"/>
                <w:color w:val="000000"/>
                <w:sz w:val="20"/>
                <w:szCs w:val="20"/>
              </w:rPr>
              <w:t>6.5</w:t>
            </w:r>
            <w:r w:rsidRPr="000D3E11">
              <w:rPr>
                <w:rFonts w:eastAsia="Times New Roman"/>
                <w:color w:val="000000"/>
                <w:sz w:val="20"/>
                <w:szCs w:val="20"/>
              </w:rPr>
              <w:t>%)</w:t>
            </w:r>
          </w:p>
        </w:tc>
        <w:tc>
          <w:tcPr>
            <w:tcW w:w="582" w:type="pct"/>
            <w:shd w:val="clear" w:color="auto" w:fill="FFFFFF"/>
            <w:tcMar>
              <w:left w:w="67" w:type="dxa"/>
              <w:right w:w="67" w:type="dxa"/>
            </w:tcMar>
          </w:tcPr>
          <w:p w14:paraId="2C242873" w14:textId="29CAA05D"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w:t>
            </w:r>
            <w:r w:rsidR="009A6337">
              <w:rPr>
                <w:rFonts w:eastAsia="Times New Roman"/>
                <w:color w:val="000000"/>
                <w:sz w:val="20"/>
                <w:szCs w:val="20"/>
              </w:rPr>
              <w:t>5</w:t>
            </w:r>
            <w:r w:rsidRPr="000D3E11">
              <w:rPr>
                <w:rFonts w:eastAsia="Times New Roman"/>
                <w:color w:val="000000"/>
                <w:sz w:val="20"/>
                <w:szCs w:val="20"/>
              </w:rPr>
              <w:t xml:space="preserve"> (</w:t>
            </w:r>
            <w:r w:rsidR="009A6337">
              <w:rPr>
                <w:rFonts w:eastAsia="Times New Roman"/>
                <w:color w:val="000000"/>
                <w:sz w:val="20"/>
                <w:szCs w:val="20"/>
              </w:rPr>
              <w:t>3.6</w:t>
            </w:r>
            <w:r w:rsidRPr="000D3E11">
              <w:rPr>
                <w:rFonts w:eastAsia="Times New Roman"/>
                <w:color w:val="000000"/>
                <w:sz w:val="20"/>
                <w:szCs w:val="20"/>
              </w:rPr>
              <w:t>%)</w:t>
            </w:r>
          </w:p>
        </w:tc>
        <w:tc>
          <w:tcPr>
            <w:tcW w:w="578" w:type="pct"/>
            <w:shd w:val="clear" w:color="auto" w:fill="FFFFFF"/>
            <w:tcMar>
              <w:left w:w="67" w:type="dxa"/>
              <w:right w:w="67" w:type="dxa"/>
            </w:tcMar>
          </w:tcPr>
          <w:p w14:paraId="023093F4" w14:textId="6D9CAAB0"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3</w:t>
            </w:r>
            <w:r w:rsidR="009A6337">
              <w:rPr>
                <w:rFonts w:eastAsia="Times New Roman"/>
                <w:color w:val="000000"/>
                <w:sz w:val="20"/>
                <w:szCs w:val="20"/>
              </w:rPr>
              <w:t>5</w:t>
            </w:r>
            <w:r w:rsidRPr="000D3E11">
              <w:rPr>
                <w:rFonts w:eastAsia="Times New Roman"/>
                <w:color w:val="000000"/>
                <w:sz w:val="20"/>
                <w:szCs w:val="20"/>
              </w:rPr>
              <w:t xml:space="preserve"> (</w:t>
            </w:r>
            <w:r w:rsidR="009A6337">
              <w:rPr>
                <w:rFonts w:eastAsia="Times New Roman"/>
                <w:color w:val="000000"/>
                <w:sz w:val="20"/>
                <w:szCs w:val="20"/>
              </w:rPr>
              <w:t>4.8</w:t>
            </w:r>
            <w:r w:rsidRPr="000D3E11">
              <w:rPr>
                <w:rFonts w:eastAsia="Times New Roman"/>
                <w:color w:val="000000"/>
                <w:sz w:val="20"/>
                <w:szCs w:val="20"/>
              </w:rPr>
              <w:t>%)</w:t>
            </w:r>
          </w:p>
        </w:tc>
      </w:tr>
      <w:tr w:rsidR="00E07CDE" w:rsidRPr="000D3E11" w14:paraId="32ED703E" w14:textId="77777777" w:rsidTr="00C163F3">
        <w:trPr>
          <w:cantSplit/>
          <w:jc w:val="center"/>
        </w:trPr>
        <w:tc>
          <w:tcPr>
            <w:tcW w:w="978" w:type="pct"/>
            <w:shd w:val="clear" w:color="auto" w:fill="FFFFFF"/>
            <w:tcMar>
              <w:left w:w="67" w:type="dxa"/>
              <w:right w:w="67" w:type="dxa"/>
            </w:tcMar>
          </w:tcPr>
          <w:p w14:paraId="0FC4980A" w14:textId="77777777" w:rsidR="00E07CDE" w:rsidRPr="000D3E11" w:rsidRDefault="00E07CDE" w:rsidP="006C0B32">
            <w:pPr>
              <w:spacing w:before="67" w:after="67" w:line="240" w:lineRule="auto"/>
              <w:rPr>
                <w:rFonts w:eastAsia="Times New Roman"/>
                <w:b/>
                <w:bCs/>
                <w:color w:val="000000"/>
                <w:sz w:val="20"/>
                <w:szCs w:val="20"/>
              </w:rPr>
            </w:pPr>
            <w:r w:rsidRPr="000D3E11">
              <w:rPr>
                <w:rFonts w:eastAsia="Times New Roman"/>
                <w:b/>
                <w:bCs/>
                <w:color w:val="000000"/>
                <w:sz w:val="20"/>
                <w:szCs w:val="20"/>
              </w:rPr>
              <w:t>Memantine</w:t>
            </w:r>
          </w:p>
        </w:tc>
        <w:tc>
          <w:tcPr>
            <w:tcW w:w="535" w:type="pct"/>
            <w:shd w:val="clear" w:color="auto" w:fill="FFFFFF"/>
            <w:tcMar>
              <w:left w:w="67" w:type="dxa"/>
              <w:right w:w="67" w:type="dxa"/>
            </w:tcMar>
          </w:tcPr>
          <w:p w14:paraId="04096C89" w14:textId="77777777" w:rsidR="00E07CDE" w:rsidRPr="000D3E11" w:rsidRDefault="00E07CDE" w:rsidP="006C0B32">
            <w:pPr>
              <w:spacing w:before="67" w:after="67" w:line="240" w:lineRule="auto"/>
              <w:rPr>
                <w:rFonts w:eastAsia="Times New Roman"/>
                <w:b/>
                <w:bCs/>
                <w:color w:val="000000"/>
                <w:sz w:val="20"/>
                <w:szCs w:val="20"/>
              </w:rPr>
            </w:pPr>
          </w:p>
        </w:tc>
        <w:tc>
          <w:tcPr>
            <w:tcW w:w="581" w:type="pct"/>
            <w:shd w:val="clear" w:color="auto" w:fill="FFFFFF"/>
            <w:tcMar>
              <w:left w:w="67" w:type="dxa"/>
              <w:right w:w="67" w:type="dxa"/>
            </w:tcMar>
          </w:tcPr>
          <w:p w14:paraId="78958062" w14:textId="201ED5FC" w:rsidR="00E07CDE" w:rsidRPr="000D3E11" w:rsidRDefault="00E07CDE" w:rsidP="009A6337">
            <w:pPr>
              <w:spacing w:before="67" w:after="67" w:line="240" w:lineRule="auto"/>
              <w:jc w:val="right"/>
              <w:rPr>
                <w:rFonts w:eastAsia="Times New Roman"/>
                <w:color w:val="000000"/>
                <w:sz w:val="20"/>
                <w:szCs w:val="20"/>
              </w:rPr>
            </w:pPr>
            <w:r w:rsidRPr="000D3E11">
              <w:rPr>
                <w:rFonts w:eastAsia="Times New Roman"/>
                <w:color w:val="000000"/>
                <w:sz w:val="20"/>
                <w:szCs w:val="20"/>
              </w:rPr>
              <w:t>2</w:t>
            </w:r>
            <w:r w:rsidR="009A6337">
              <w:rPr>
                <w:rFonts w:eastAsia="Times New Roman"/>
                <w:color w:val="000000"/>
                <w:sz w:val="20"/>
                <w:szCs w:val="20"/>
              </w:rPr>
              <w:t>6</w:t>
            </w:r>
            <w:r w:rsidRPr="000D3E11">
              <w:rPr>
                <w:rFonts w:eastAsia="Times New Roman"/>
                <w:color w:val="000000"/>
                <w:sz w:val="20"/>
                <w:szCs w:val="20"/>
              </w:rPr>
              <w:t xml:space="preserve"> (</w:t>
            </w:r>
            <w:r w:rsidR="009A6337">
              <w:rPr>
                <w:rFonts w:eastAsia="Times New Roman"/>
                <w:color w:val="000000"/>
                <w:sz w:val="20"/>
                <w:szCs w:val="20"/>
              </w:rPr>
              <w:t>8.4</w:t>
            </w:r>
            <w:r w:rsidRPr="000D3E11">
              <w:rPr>
                <w:rFonts w:eastAsia="Times New Roman"/>
                <w:color w:val="000000"/>
                <w:sz w:val="20"/>
                <w:szCs w:val="20"/>
              </w:rPr>
              <w:t>%)</w:t>
            </w:r>
          </w:p>
        </w:tc>
        <w:tc>
          <w:tcPr>
            <w:tcW w:w="582" w:type="pct"/>
            <w:shd w:val="clear" w:color="auto" w:fill="FFFFFF"/>
            <w:tcMar>
              <w:left w:w="67" w:type="dxa"/>
              <w:right w:w="67" w:type="dxa"/>
            </w:tcMar>
          </w:tcPr>
          <w:p w14:paraId="1A6B2DC9" w14:textId="414FDD66" w:rsidR="00E07CDE" w:rsidRPr="000D3E11" w:rsidRDefault="009A6337" w:rsidP="00907D13">
            <w:pPr>
              <w:spacing w:before="67" w:after="67" w:line="240" w:lineRule="auto"/>
              <w:jc w:val="right"/>
              <w:rPr>
                <w:rFonts w:eastAsia="Times New Roman"/>
                <w:color w:val="000000"/>
                <w:sz w:val="20"/>
                <w:szCs w:val="20"/>
              </w:rPr>
            </w:pPr>
            <w:r>
              <w:rPr>
                <w:rFonts w:eastAsia="Times New Roman"/>
                <w:color w:val="000000"/>
                <w:sz w:val="20"/>
                <w:szCs w:val="20"/>
              </w:rPr>
              <w:t>28</w:t>
            </w:r>
            <w:r w:rsidR="00E07CDE" w:rsidRPr="000D3E11">
              <w:rPr>
                <w:rFonts w:eastAsia="Times New Roman"/>
                <w:color w:val="000000"/>
                <w:sz w:val="20"/>
                <w:szCs w:val="20"/>
              </w:rPr>
              <w:t xml:space="preserve"> (</w:t>
            </w:r>
            <w:r>
              <w:rPr>
                <w:rFonts w:eastAsia="Times New Roman"/>
                <w:color w:val="000000"/>
                <w:sz w:val="20"/>
                <w:szCs w:val="20"/>
              </w:rPr>
              <w:t>6.7</w:t>
            </w:r>
            <w:r w:rsidR="00E07CDE" w:rsidRPr="000D3E11">
              <w:rPr>
                <w:rFonts w:eastAsia="Times New Roman"/>
                <w:color w:val="000000"/>
                <w:sz w:val="20"/>
                <w:szCs w:val="20"/>
              </w:rPr>
              <w:t>%)</w:t>
            </w:r>
          </w:p>
        </w:tc>
        <w:tc>
          <w:tcPr>
            <w:tcW w:w="582" w:type="pct"/>
            <w:shd w:val="clear" w:color="auto" w:fill="FFFFFF"/>
            <w:tcMar>
              <w:left w:w="67" w:type="dxa"/>
              <w:right w:w="67" w:type="dxa"/>
            </w:tcMar>
          </w:tcPr>
          <w:p w14:paraId="1CC82701" w14:textId="07A094B1" w:rsidR="00E07CDE" w:rsidRPr="000D3E11" w:rsidRDefault="009A6337" w:rsidP="00907D13">
            <w:pPr>
              <w:spacing w:before="67" w:after="67" w:line="240" w:lineRule="auto"/>
              <w:jc w:val="right"/>
              <w:rPr>
                <w:rFonts w:eastAsia="Times New Roman"/>
                <w:color w:val="000000"/>
                <w:sz w:val="20"/>
                <w:szCs w:val="20"/>
              </w:rPr>
            </w:pPr>
            <w:r>
              <w:rPr>
                <w:rFonts w:eastAsia="Times New Roman"/>
                <w:color w:val="000000"/>
                <w:sz w:val="20"/>
                <w:szCs w:val="20"/>
              </w:rPr>
              <w:t>54</w:t>
            </w:r>
            <w:r w:rsidR="00E07CDE" w:rsidRPr="000D3E11">
              <w:rPr>
                <w:rFonts w:eastAsia="Times New Roman"/>
                <w:color w:val="000000"/>
                <w:sz w:val="20"/>
                <w:szCs w:val="20"/>
              </w:rPr>
              <w:t xml:space="preserve"> (</w:t>
            </w:r>
            <w:r>
              <w:rPr>
                <w:rFonts w:eastAsia="Times New Roman"/>
                <w:color w:val="000000"/>
                <w:sz w:val="20"/>
                <w:szCs w:val="20"/>
              </w:rPr>
              <w:t>7.4</w:t>
            </w:r>
            <w:r w:rsidR="00E07CDE" w:rsidRPr="000D3E11">
              <w:rPr>
                <w:rFonts w:eastAsia="Times New Roman"/>
                <w:color w:val="000000"/>
                <w:sz w:val="20"/>
                <w:szCs w:val="20"/>
              </w:rPr>
              <w:t>%)</w:t>
            </w:r>
          </w:p>
        </w:tc>
        <w:tc>
          <w:tcPr>
            <w:tcW w:w="582" w:type="pct"/>
            <w:gridSpan w:val="2"/>
            <w:shd w:val="clear" w:color="auto" w:fill="FFFFFF"/>
            <w:tcMar>
              <w:left w:w="67" w:type="dxa"/>
              <w:right w:w="67" w:type="dxa"/>
            </w:tcMar>
          </w:tcPr>
          <w:p w14:paraId="458D0091" w14:textId="0412A429"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2</w:t>
            </w:r>
            <w:r w:rsidR="009A6337">
              <w:rPr>
                <w:rFonts w:eastAsia="Times New Roman"/>
                <w:color w:val="000000"/>
                <w:sz w:val="20"/>
                <w:szCs w:val="20"/>
              </w:rPr>
              <w:t>1</w:t>
            </w:r>
            <w:r w:rsidRPr="000D3E11">
              <w:rPr>
                <w:rFonts w:eastAsia="Times New Roman"/>
                <w:color w:val="000000"/>
                <w:sz w:val="20"/>
                <w:szCs w:val="20"/>
              </w:rPr>
              <w:t xml:space="preserve"> (</w:t>
            </w:r>
            <w:r w:rsidR="009A6337">
              <w:rPr>
                <w:rFonts w:eastAsia="Times New Roman"/>
                <w:color w:val="000000"/>
                <w:sz w:val="20"/>
                <w:szCs w:val="20"/>
              </w:rPr>
              <w:t>6.8</w:t>
            </w:r>
            <w:r w:rsidRPr="000D3E11">
              <w:rPr>
                <w:rFonts w:eastAsia="Times New Roman"/>
                <w:color w:val="000000"/>
                <w:sz w:val="20"/>
                <w:szCs w:val="20"/>
              </w:rPr>
              <w:t>%)</w:t>
            </w:r>
          </w:p>
        </w:tc>
        <w:tc>
          <w:tcPr>
            <w:tcW w:w="582" w:type="pct"/>
            <w:shd w:val="clear" w:color="auto" w:fill="FFFFFF"/>
            <w:tcMar>
              <w:left w:w="67" w:type="dxa"/>
              <w:right w:w="67" w:type="dxa"/>
            </w:tcMar>
          </w:tcPr>
          <w:p w14:paraId="4D5BA526" w14:textId="670C7890"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2</w:t>
            </w:r>
            <w:r w:rsidR="009A6337">
              <w:rPr>
                <w:rFonts w:eastAsia="Times New Roman"/>
                <w:color w:val="000000"/>
                <w:sz w:val="20"/>
                <w:szCs w:val="20"/>
              </w:rPr>
              <w:t>7</w:t>
            </w:r>
            <w:r w:rsidRPr="000D3E11">
              <w:rPr>
                <w:rFonts w:eastAsia="Times New Roman"/>
                <w:color w:val="000000"/>
                <w:sz w:val="20"/>
                <w:szCs w:val="20"/>
              </w:rPr>
              <w:t xml:space="preserve"> (</w:t>
            </w:r>
            <w:r w:rsidR="009A6337">
              <w:rPr>
                <w:rFonts w:eastAsia="Times New Roman"/>
                <w:color w:val="000000"/>
                <w:sz w:val="20"/>
                <w:szCs w:val="20"/>
              </w:rPr>
              <w:t>6.5</w:t>
            </w:r>
            <w:r w:rsidRPr="000D3E11">
              <w:rPr>
                <w:rFonts w:eastAsia="Times New Roman"/>
                <w:color w:val="000000"/>
                <w:sz w:val="20"/>
                <w:szCs w:val="20"/>
              </w:rPr>
              <w:t>%)</w:t>
            </w:r>
          </w:p>
        </w:tc>
        <w:tc>
          <w:tcPr>
            <w:tcW w:w="578" w:type="pct"/>
            <w:shd w:val="clear" w:color="auto" w:fill="FFFFFF"/>
            <w:tcMar>
              <w:left w:w="67" w:type="dxa"/>
              <w:right w:w="67" w:type="dxa"/>
            </w:tcMar>
          </w:tcPr>
          <w:p w14:paraId="4FDB80EA" w14:textId="04AEE201" w:rsidR="00E07CDE" w:rsidRPr="000D3E11" w:rsidRDefault="009A6337" w:rsidP="00907D13">
            <w:pPr>
              <w:spacing w:before="67" w:after="67" w:line="240" w:lineRule="auto"/>
              <w:jc w:val="right"/>
              <w:rPr>
                <w:rFonts w:eastAsia="Times New Roman"/>
                <w:color w:val="000000"/>
                <w:sz w:val="20"/>
                <w:szCs w:val="20"/>
              </w:rPr>
            </w:pPr>
            <w:r>
              <w:rPr>
                <w:rFonts w:eastAsia="Times New Roman"/>
                <w:color w:val="000000"/>
                <w:sz w:val="20"/>
                <w:szCs w:val="20"/>
              </w:rPr>
              <w:t>48</w:t>
            </w:r>
            <w:r w:rsidR="00E07CDE" w:rsidRPr="000D3E11">
              <w:rPr>
                <w:rFonts w:eastAsia="Times New Roman"/>
                <w:color w:val="000000"/>
                <w:sz w:val="20"/>
                <w:szCs w:val="20"/>
              </w:rPr>
              <w:t xml:space="preserve"> (</w:t>
            </w:r>
            <w:r>
              <w:rPr>
                <w:rFonts w:eastAsia="Times New Roman"/>
                <w:color w:val="000000"/>
                <w:sz w:val="20"/>
                <w:szCs w:val="20"/>
              </w:rPr>
              <w:t>6.6</w:t>
            </w:r>
            <w:r w:rsidR="00E07CDE" w:rsidRPr="000D3E11">
              <w:rPr>
                <w:rFonts w:eastAsia="Times New Roman"/>
                <w:color w:val="000000"/>
                <w:sz w:val="20"/>
                <w:szCs w:val="20"/>
              </w:rPr>
              <w:t>%)</w:t>
            </w:r>
          </w:p>
        </w:tc>
      </w:tr>
      <w:tr w:rsidR="00E07CDE" w:rsidRPr="000D3E11" w14:paraId="078E8604" w14:textId="77777777" w:rsidTr="00C163F3">
        <w:trPr>
          <w:cantSplit/>
          <w:jc w:val="center"/>
        </w:trPr>
        <w:tc>
          <w:tcPr>
            <w:tcW w:w="978" w:type="pct"/>
            <w:shd w:val="clear" w:color="auto" w:fill="FFFFFF"/>
            <w:tcMar>
              <w:left w:w="67" w:type="dxa"/>
              <w:right w:w="67" w:type="dxa"/>
            </w:tcMar>
          </w:tcPr>
          <w:p w14:paraId="59F7CF31" w14:textId="77777777" w:rsidR="00E07CDE" w:rsidRPr="000D3E11" w:rsidRDefault="00E07CDE" w:rsidP="006C0B32">
            <w:pPr>
              <w:spacing w:before="67" w:after="67" w:line="240" w:lineRule="auto"/>
              <w:rPr>
                <w:rFonts w:eastAsia="Times New Roman"/>
                <w:b/>
                <w:bCs/>
                <w:color w:val="000000"/>
                <w:sz w:val="20"/>
                <w:szCs w:val="20"/>
              </w:rPr>
            </w:pPr>
            <w:r w:rsidRPr="000D3E11">
              <w:rPr>
                <w:rFonts w:eastAsia="Times New Roman"/>
                <w:b/>
                <w:bCs/>
                <w:color w:val="000000"/>
                <w:sz w:val="20"/>
                <w:szCs w:val="20"/>
              </w:rPr>
              <w:t>Antidepressant</w:t>
            </w:r>
          </w:p>
        </w:tc>
        <w:tc>
          <w:tcPr>
            <w:tcW w:w="535" w:type="pct"/>
            <w:shd w:val="clear" w:color="auto" w:fill="FFFFFF"/>
            <w:tcMar>
              <w:left w:w="67" w:type="dxa"/>
              <w:right w:w="67" w:type="dxa"/>
            </w:tcMar>
          </w:tcPr>
          <w:p w14:paraId="12D46E62" w14:textId="77777777" w:rsidR="00E07CDE" w:rsidRPr="000D3E11" w:rsidRDefault="00E07CDE" w:rsidP="006C0B32">
            <w:pPr>
              <w:spacing w:before="67" w:after="67" w:line="240" w:lineRule="auto"/>
              <w:rPr>
                <w:rFonts w:eastAsia="Times New Roman"/>
                <w:b/>
                <w:bCs/>
                <w:color w:val="000000"/>
                <w:sz w:val="20"/>
                <w:szCs w:val="20"/>
              </w:rPr>
            </w:pPr>
          </w:p>
        </w:tc>
        <w:tc>
          <w:tcPr>
            <w:tcW w:w="581" w:type="pct"/>
            <w:shd w:val="clear" w:color="auto" w:fill="FFFFFF"/>
            <w:tcMar>
              <w:left w:w="67" w:type="dxa"/>
              <w:right w:w="67" w:type="dxa"/>
            </w:tcMar>
          </w:tcPr>
          <w:p w14:paraId="7A9B686F" w14:textId="3AB36221"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12</w:t>
            </w:r>
            <w:r w:rsidR="009A6337">
              <w:rPr>
                <w:rFonts w:eastAsia="Times New Roman"/>
                <w:color w:val="000000"/>
                <w:sz w:val="20"/>
                <w:szCs w:val="20"/>
              </w:rPr>
              <w:t>7</w:t>
            </w:r>
            <w:r w:rsidRPr="000D3E11">
              <w:rPr>
                <w:rFonts w:eastAsia="Times New Roman"/>
                <w:color w:val="000000"/>
                <w:sz w:val="20"/>
                <w:szCs w:val="20"/>
              </w:rPr>
              <w:t xml:space="preserve"> (4</w:t>
            </w:r>
            <w:r w:rsidR="009A6337">
              <w:rPr>
                <w:rFonts w:eastAsia="Times New Roman"/>
                <w:color w:val="000000"/>
                <w:sz w:val="20"/>
                <w:szCs w:val="20"/>
              </w:rPr>
              <w:t>1.2</w:t>
            </w:r>
            <w:r w:rsidRPr="000D3E11">
              <w:rPr>
                <w:rFonts w:eastAsia="Times New Roman"/>
                <w:color w:val="000000"/>
                <w:sz w:val="20"/>
                <w:szCs w:val="20"/>
              </w:rPr>
              <w:t>%)</w:t>
            </w:r>
          </w:p>
        </w:tc>
        <w:tc>
          <w:tcPr>
            <w:tcW w:w="582" w:type="pct"/>
            <w:shd w:val="clear" w:color="auto" w:fill="FFFFFF"/>
            <w:tcMar>
              <w:left w:w="67" w:type="dxa"/>
              <w:right w:w="67" w:type="dxa"/>
            </w:tcMar>
          </w:tcPr>
          <w:p w14:paraId="37026B6D" w14:textId="135EB78C"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13</w:t>
            </w:r>
            <w:r w:rsidR="009A6337">
              <w:rPr>
                <w:rFonts w:eastAsia="Times New Roman"/>
                <w:color w:val="000000"/>
                <w:sz w:val="20"/>
                <w:szCs w:val="20"/>
              </w:rPr>
              <w:t>5</w:t>
            </w:r>
            <w:r w:rsidRPr="000D3E11">
              <w:rPr>
                <w:rFonts w:eastAsia="Times New Roman"/>
                <w:color w:val="000000"/>
                <w:sz w:val="20"/>
                <w:szCs w:val="20"/>
              </w:rPr>
              <w:t xml:space="preserve"> (3</w:t>
            </w:r>
            <w:r w:rsidR="009A6337">
              <w:rPr>
                <w:rFonts w:eastAsia="Times New Roman"/>
                <w:color w:val="000000"/>
                <w:sz w:val="20"/>
                <w:szCs w:val="20"/>
              </w:rPr>
              <w:t>2.3</w:t>
            </w:r>
            <w:r w:rsidRPr="000D3E11">
              <w:rPr>
                <w:rFonts w:eastAsia="Times New Roman"/>
                <w:color w:val="000000"/>
                <w:sz w:val="20"/>
                <w:szCs w:val="20"/>
              </w:rPr>
              <w:t>%)</w:t>
            </w:r>
          </w:p>
        </w:tc>
        <w:tc>
          <w:tcPr>
            <w:tcW w:w="582" w:type="pct"/>
            <w:shd w:val="clear" w:color="auto" w:fill="FFFFFF"/>
            <w:tcMar>
              <w:left w:w="67" w:type="dxa"/>
              <w:right w:w="67" w:type="dxa"/>
            </w:tcMar>
          </w:tcPr>
          <w:p w14:paraId="72E00D3C" w14:textId="1764AA73"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26</w:t>
            </w:r>
            <w:r w:rsidR="009A6337">
              <w:rPr>
                <w:rFonts w:eastAsia="Times New Roman"/>
                <w:color w:val="000000"/>
                <w:sz w:val="20"/>
                <w:szCs w:val="20"/>
              </w:rPr>
              <w:t>2</w:t>
            </w:r>
            <w:r w:rsidRPr="000D3E11">
              <w:rPr>
                <w:rFonts w:eastAsia="Times New Roman"/>
                <w:color w:val="000000"/>
                <w:sz w:val="20"/>
                <w:szCs w:val="20"/>
              </w:rPr>
              <w:t xml:space="preserve"> (3</w:t>
            </w:r>
            <w:r w:rsidR="009A6337">
              <w:rPr>
                <w:rFonts w:eastAsia="Times New Roman"/>
                <w:color w:val="000000"/>
                <w:sz w:val="20"/>
                <w:szCs w:val="20"/>
              </w:rPr>
              <w:t>6.1</w:t>
            </w:r>
            <w:r w:rsidRPr="000D3E11">
              <w:rPr>
                <w:rFonts w:eastAsia="Times New Roman"/>
                <w:color w:val="000000"/>
                <w:sz w:val="20"/>
                <w:szCs w:val="20"/>
              </w:rPr>
              <w:t>%)</w:t>
            </w:r>
          </w:p>
        </w:tc>
        <w:tc>
          <w:tcPr>
            <w:tcW w:w="582" w:type="pct"/>
            <w:gridSpan w:val="2"/>
            <w:shd w:val="clear" w:color="auto" w:fill="FFFFFF"/>
            <w:tcMar>
              <w:left w:w="67" w:type="dxa"/>
              <w:right w:w="67" w:type="dxa"/>
            </w:tcMar>
          </w:tcPr>
          <w:p w14:paraId="1868B26E" w14:textId="6BC25EDF"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107 (</w:t>
            </w:r>
            <w:r w:rsidR="009A6337">
              <w:rPr>
                <w:rFonts w:eastAsia="Times New Roman"/>
                <w:color w:val="000000"/>
                <w:sz w:val="20"/>
                <w:szCs w:val="20"/>
              </w:rPr>
              <w:t>34.7</w:t>
            </w:r>
            <w:r w:rsidRPr="000D3E11">
              <w:rPr>
                <w:rFonts w:eastAsia="Times New Roman"/>
                <w:color w:val="000000"/>
                <w:sz w:val="20"/>
                <w:szCs w:val="20"/>
              </w:rPr>
              <w:t>%)</w:t>
            </w:r>
          </w:p>
        </w:tc>
        <w:tc>
          <w:tcPr>
            <w:tcW w:w="582" w:type="pct"/>
            <w:shd w:val="clear" w:color="auto" w:fill="FFFFFF"/>
            <w:tcMar>
              <w:left w:w="67" w:type="dxa"/>
              <w:right w:w="67" w:type="dxa"/>
            </w:tcMar>
          </w:tcPr>
          <w:p w14:paraId="0391F4B7" w14:textId="16DF35E4"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113 (</w:t>
            </w:r>
            <w:r w:rsidR="009A6337">
              <w:rPr>
                <w:rFonts w:eastAsia="Times New Roman"/>
                <w:color w:val="000000"/>
                <w:sz w:val="20"/>
                <w:szCs w:val="20"/>
              </w:rPr>
              <w:t>27.0</w:t>
            </w:r>
            <w:r w:rsidRPr="000D3E11">
              <w:rPr>
                <w:rFonts w:eastAsia="Times New Roman"/>
                <w:color w:val="000000"/>
                <w:sz w:val="20"/>
                <w:szCs w:val="20"/>
              </w:rPr>
              <w:t>%)</w:t>
            </w:r>
          </w:p>
        </w:tc>
        <w:tc>
          <w:tcPr>
            <w:tcW w:w="578" w:type="pct"/>
            <w:shd w:val="clear" w:color="auto" w:fill="FFFFFF"/>
            <w:tcMar>
              <w:left w:w="67" w:type="dxa"/>
              <w:right w:w="67" w:type="dxa"/>
            </w:tcMar>
          </w:tcPr>
          <w:p w14:paraId="1165C04A" w14:textId="3E31F9F1"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220 (3</w:t>
            </w:r>
            <w:r w:rsidR="009A6337">
              <w:rPr>
                <w:rFonts w:eastAsia="Times New Roman"/>
                <w:color w:val="000000"/>
                <w:sz w:val="20"/>
                <w:szCs w:val="20"/>
              </w:rPr>
              <w:t>0.3</w:t>
            </w:r>
            <w:r w:rsidRPr="000D3E11">
              <w:rPr>
                <w:rFonts w:eastAsia="Times New Roman"/>
                <w:color w:val="000000"/>
                <w:sz w:val="20"/>
                <w:szCs w:val="20"/>
              </w:rPr>
              <w:t>%)</w:t>
            </w:r>
          </w:p>
        </w:tc>
      </w:tr>
      <w:tr w:rsidR="00E07CDE" w:rsidRPr="000D3E11" w14:paraId="286101EA" w14:textId="77777777" w:rsidTr="00C163F3">
        <w:trPr>
          <w:cantSplit/>
          <w:jc w:val="center"/>
        </w:trPr>
        <w:tc>
          <w:tcPr>
            <w:tcW w:w="978" w:type="pct"/>
            <w:shd w:val="clear" w:color="auto" w:fill="FFFFFF"/>
            <w:tcMar>
              <w:left w:w="67" w:type="dxa"/>
              <w:right w:w="67" w:type="dxa"/>
            </w:tcMar>
          </w:tcPr>
          <w:p w14:paraId="01B80499" w14:textId="77777777" w:rsidR="00E07CDE" w:rsidRPr="000D3E11" w:rsidRDefault="00E07CDE" w:rsidP="006C0B32">
            <w:pPr>
              <w:spacing w:before="67" w:after="67" w:line="240" w:lineRule="auto"/>
              <w:rPr>
                <w:rFonts w:eastAsia="Times New Roman"/>
                <w:b/>
                <w:bCs/>
                <w:color w:val="000000"/>
                <w:sz w:val="20"/>
                <w:szCs w:val="20"/>
              </w:rPr>
            </w:pPr>
            <w:r w:rsidRPr="00451434">
              <w:rPr>
                <w:rFonts w:eastAsia="Times New Roman"/>
                <w:b/>
                <w:bCs/>
                <w:color w:val="000000"/>
                <w:sz w:val="20"/>
                <w:szCs w:val="20"/>
              </w:rPr>
              <w:t>Cholinesterase inhibitor</w:t>
            </w:r>
          </w:p>
        </w:tc>
        <w:tc>
          <w:tcPr>
            <w:tcW w:w="535" w:type="pct"/>
            <w:shd w:val="clear" w:color="auto" w:fill="FFFFFF"/>
            <w:tcMar>
              <w:left w:w="67" w:type="dxa"/>
              <w:right w:w="67" w:type="dxa"/>
            </w:tcMar>
          </w:tcPr>
          <w:p w14:paraId="0B951D74" w14:textId="77777777" w:rsidR="00E07CDE" w:rsidRPr="000D3E11" w:rsidRDefault="00E07CDE" w:rsidP="006C0B32">
            <w:pPr>
              <w:spacing w:before="67" w:after="67" w:line="240" w:lineRule="auto"/>
              <w:rPr>
                <w:rFonts w:eastAsia="Times New Roman"/>
                <w:b/>
                <w:bCs/>
                <w:color w:val="000000"/>
                <w:sz w:val="20"/>
                <w:szCs w:val="20"/>
              </w:rPr>
            </w:pPr>
          </w:p>
        </w:tc>
        <w:tc>
          <w:tcPr>
            <w:tcW w:w="581" w:type="pct"/>
            <w:shd w:val="clear" w:color="auto" w:fill="FFFFFF"/>
            <w:tcMar>
              <w:left w:w="67" w:type="dxa"/>
              <w:right w:w="67" w:type="dxa"/>
            </w:tcMar>
          </w:tcPr>
          <w:p w14:paraId="7297A3A3" w14:textId="42E01BA5"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47 (15.</w:t>
            </w:r>
            <w:r w:rsidR="00451434">
              <w:rPr>
                <w:rFonts w:eastAsia="Times New Roman"/>
                <w:color w:val="000000"/>
                <w:sz w:val="20"/>
                <w:szCs w:val="20"/>
              </w:rPr>
              <w:t>3</w:t>
            </w:r>
            <w:r w:rsidRPr="000D3E11">
              <w:rPr>
                <w:rFonts w:eastAsia="Times New Roman"/>
                <w:color w:val="000000"/>
                <w:sz w:val="20"/>
                <w:szCs w:val="20"/>
              </w:rPr>
              <w:t>%)</w:t>
            </w:r>
          </w:p>
        </w:tc>
        <w:tc>
          <w:tcPr>
            <w:tcW w:w="582" w:type="pct"/>
            <w:shd w:val="clear" w:color="auto" w:fill="FFFFFF"/>
            <w:tcMar>
              <w:left w:w="67" w:type="dxa"/>
              <w:right w:w="67" w:type="dxa"/>
            </w:tcMar>
          </w:tcPr>
          <w:p w14:paraId="3E6D9366" w14:textId="6A346A4B"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6</w:t>
            </w:r>
            <w:r w:rsidR="00451434">
              <w:rPr>
                <w:rFonts w:eastAsia="Times New Roman"/>
                <w:color w:val="000000"/>
                <w:sz w:val="20"/>
                <w:szCs w:val="20"/>
              </w:rPr>
              <w:t>1</w:t>
            </w:r>
            <w:r w:rsidRPr="000D3E11">
              <w:rPr>
                <w:rFonts w:eastAsia="Times New Roman"/>
                <w:color w:val="000000"/>
                <w:sz w:val="20"/>
                <w:szCs w:val="20"/>
              </w:rPr>
              <w:t xml:space="preserve"> (1</w:t>
            </w:r>
            <w:r w:rsidR="00451434">
              <w:rPr>
                <w:rFonts w:eastAsia="Times New Roman"/>
                <w:color w:val="000000"/>
                <w:sz w:val="20"/>
                <w:szCs w:val="20"/>
              </w:rPr>
              <w:t>4.6</w:t>
            </w:r>
            <w:r w:rsidRPr="000D3E11">
              <w:rPr>
                <w:rFonts w:eastAsia="Times New Roman"/>
                <w:color w:val="000000"/>
                <w:sz w:val="20"/>
                <w:szCs w:val="20"/>
              </w:rPr>
              <w:t>%)</w:t>
            </w:r>
          </w:p>
        </w:tc>
        <w:tc>
          <w:tcPr>
            <w:tcW w:w="582" w:type="pct"/>
            <w:shd w:val="clear" w:color="auto" w:fill="FFFFFF"/>
            <w:tcMar>
              <w:left w:w="67" w:type="dxa"/>
              <w:right w:w="67" w:type="dxa"/>
            </w:tcMar>
          </w:tcPr>
          <w:p w14:paraId="0CBC900B" w14:textId="4B9DE813"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10</w:t>
            </w:r>
            <w:r w:rsidR="00451434">
              <w:rPr>
                <w:rFonts w:eastAsia="Times New Roman"/>
                <w:color w:val="000000"/>
                <w:sz w:val="20"/>
                <w:szCs w:val="20"/>
              </w:rPr>
              <w:t>8</w:t>
            </w:r>
            <w:r w:rsidRPr="000D3E11">
              <w:rPr>
                <w:rFonts w:eastAsia="Times New Roman"/>
                <w:color w:val="000000"/>
                <w:sz w:val="20"/>
                <w:szCs w:val="20"/>
              </w:rPr>
              <w:t xml:space="preserve"> (1</w:t>
            </w:r>
            <w:r w:rsidR="00451434">
              <w:rPr>
                <w:rFonts w:eastAsia="Times New Roman"/>
                <w:color w:val="000000"/>
                <w:sz w:val="20"/>
                <w:szCs w:val="20"/>
              </w:rPr>
              <w:t>4.9</w:t>
            </w:r>
            <w:r w:rsidRPr="000D3E11">
              <w:rPr>
                <w:rFonts w:eastAsia="Times New Roman"/>
                <w:color w:val="000000"/>
                <w:sz w:val="20"/>
                <w:szCs w:val="20"/>
              </w:rPr>
              <w:t>%)</w:t>
            </w:r>
          </w:p>
        </w:tc>
        <w:tc>
          <w:tcPr>
            <w:tcW w:w="582" w:type="pct"/>
            <w:gridSpan w:val="2"/>
            <w:shd w:val="clear" w:color="auto" w:fill="FFFFFF"/>
            <w:tcMar>
              <w:left w:w="67" w:type="dxa"/>
              <w:right w:w="67" w:type="dxa"/>
            </w:tcMar>
          </w:tcPr>
          <w:p w14:paraId="38EE9D42" w14:textId="12544389"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4</w:t>
            </w:r>
            <w:r w:rsidR="00451434">
              <w:rPr>
                <w:rFonts w:eastAsia="Times New Roman"/>
                <w:color w:val="000000"/>
                <w:sz w:val="20"/>
                <w:szCs w:val="20"/>
              </w:rPr>
              <w:t>0</w:t>
            </w:r>
            <w:r w:rsidRPr="000D3E11">
              <w:rPr>
                <w:rFonts w:eastAsia="Times New Roman"/>
                <w:color w:val="000000"/>
                <w:sz w:val="20"/>
                <w:szCs w:val="20"/>
              </w:rPr>
              <w:t xml:space="preserve"> (1</w:t>
            </w:r>
            <w:r w:rsidR="00451434">
              <w:rPr>
                <w:rFonts w:eastAsia="Times New Roman"/>
                <w:color w:val="000000"/>
                <w:sz w:val="20"/>
                <w:szCs w:val="20"/>
              </w:rPr>
              <w:t>3.0</w:t>
            </w:r>
            <w:r w:rsidRPr="000D3E11">
              <w:rPr>
                <w:rFonts w:eastAsia="Times New Roman"/>
                <w:color w:val="000000"/>
                <w:sz w:val="20"/>
                <w:szCs w:val="20"/>
              </w:rPr>
              <w:t>%)</w:t>
            </w:r>
          </w:p>
        </w:tc>
        <w:tc>
          <w:tcPr>
            <w:tcW w:w="582" w:type="pct"/>
            <w:shd w:val="clear" w:color="auto" w:fill="FFFFFF"/>
            <w:tcMar>
              <w:left w:w="67" w:type="dxa"/>
              <w:right w:w="67" w:type="dxa"/>
            </w:tcMar>
          </w:tcPr>
          <w:p w14:paraId="3513CDB6" w14:textId="32462DBA"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5</w:t>
            </w:r>
            <w:r w:rsidR="00451434">
              <w:rPr>
                <w:rFonts w:eastAsia="Times New Roman"/>
                <w:color w:val="000000"/>
                <w:sz w:val="20"/>
                <w:szCs w:val="20"/>
              </w:rPr>
              <w:t>4</w:t>
            </w:r>
            <w:r w:rsidRPr="000D3E11">
              <w:rPr>
                <w:rFonts w:eastAsia="Times New Roman"/>
                <w:color w:val="000000"/>
                <w:sz w:val="20"/>
                <w:szCs w:val="20"/>
              </w:rPr>
              <w:t xml:space="preserve"> (1</w:t>
            </w:r>
            <w:r w:rsidR="00451434">
              <w:rPr>
                <w:rFonts w:eastAsia="Times New Roman"/>
                <w:color w:val="000000"/>
                <w:sz w:val="20"/>
                <w:szCs w:val="20"/>
              </w:rPr>
              <w:t>2.9</w:t>
            </w:r>
            <w:r w:rsidRPr="000D3E11">
              <w:rPr>
                <w:rFonts w:eastAsia="Times New Roman"/>
                <w:color w:val="000000"/>
                <w:sz w:val="20"/>
                <w:szCs w:val="20"/>
              </w:rPr>
              <w:t>%)</w:t>
            </w:r>
          </w:p>
        </w:tc>
        <w:tc>
          <w:tcPr>
            <w:tcW w:w="578" w:type="pct"/>
            <w:shd w:val="clear" w:color="auto" w:fill="FFFFFF"/>
            <w:tcMar>
              <w:left w:w="67" w:type="dxa"/>
              <w:right w:w="67" w:type="dxa"/>
            </w:tcMar>
          </w:tcPr>
          <w:p w14:paraId="53C785B3" w14:textId="6DCEEF08"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9</w:t>
            </w:r>
            <w:r w:rsidR="00451434">
              <w:rPr>
                <w:rFonts w:eastAsia="Times New Roman"/>
                <w:color w:val="000000"/>
                <w:sz w:val="20"/>
                <w:szCs w:val="20"/>
              </w:rPr>
              <w:t>4</w:t>
            </w:r>
            <w:r w:rsidRPr="000D3E11">
              <w:rPr>
                <w:rFonts w:eastAsia="Times New Roman"/>
                <w:color w:val="000000"/>
                <w:sz w:val="20"/>
                <w:szCs w:val="20"/>
              </w:rPr>
              <w:t xml:space="preserve"> (1</w:t>
            </w:r>
            <w:r w:rsidR="00451434">
              <w:rPr>
                <w:rFonts w:eastAsia="Times New Roman"/>
                <w:color w:val="000000"/>
                <w:sz w:val="20"/>
                <w:szCs w:val="20"/>
              </w:rPr>
              <w:t>2.9</w:t>
            </w:r>
            <w:r w:rsidRPr="000D3E11">
              <w:rPr>
                <w:rFonts w:eastAsia="Times New Roman"/>
                <w:color w:val="000000"/>
                <w:sz w:val="20"/>
                <w:szCs w:val="20"/>
              </w:rPr>
              <w:t>%)</w:t>
            </w:r>
          </w:p>
        </w:tc>
      </w:tr>
      <w:tr w:rsidR="00E07CDE" w:rsidRPr="000D3E11" w14:paraId="499D3BBF" w14:textId="77777777" w:rsidTr="00C163F3">
        <w:trPr>
          <w:cantSplit/>
          <w:jc w:val="center"/>
        </w:trPr>
        <w:tc>
          <w:tcPr>
            <w:tcW w:w="978" w:type="pct"/>
            <w:shd w:val="clear" w:color="auto" w:fill="FFFFFF"/>
            <w:tcMar>
              <w:left w:w="67" w:type="dxa"/>
              <w:right w:w="67" w:type="dxa"/>
            </w:tcMar>
          </w:tcPr>
          <w:p w14:paraId="2C933857" w14:textId="77777777" w:rsidR="00E07CDE" w:rsidRPr="000D3E11" w:rsidRDefault="00E07CDE" w:rsidP="006C0B32">
            <w:pPr>
              <w:spacing w:before="67" w:after="67" w:line="240" w:lineRule="auto"/>
              <w:rPr>
                <w:rFonts w:eastAsia="Times New Roman"/>
                <w:b/>
                <w:bCs/>
                <w:color w:val="000000"/>
                <w:sz w:val="20"/>
                <w:szCs w:val="20"/>
              </w:rPr>
            </w:pPr>
            <w:r w:rsidRPr="00D84FE7">
              <w:rPr>
                <w:rFonts w:eastAsia="Times New Roman"/>
                <w:b/>
                <w:bCs/>
                <w:color w:val="000000"/>
                <w:sz w:val="20"/>
                <w:szCs w:val="20"/>
              </w:rPr>
              <w:t>Anticonvulsant</w:t>
            </w:r>
          </w:p>
        </w:tc>
        <w:tc>
          <w:tcPr>
            <w:tcW w:w="535" w:type="pct"/>
            <w:shd w:val="clear" w:color="auto" w:fill="FFFFFF"/>
            <w:tcMar>
              <w:left w:w="67" w:type="dxa"/>
              <w:right w:w="67" w:type="dxa"/>
            </w:tcMar>
          </w:tcPr>
          <w:p w14:paraId="26E51C47" w14:textId="77777777" w:rsidR="00E07CDE" w:rsidRPr="000D3E11" w:rsidRDefault="00E07CDE" w:rsidP="006C0B32">
            <w:pPr>
              <w:spacing w:before="67" w:after="67" w:line="240" w:lineRule="auto"/>
              <w:rPr>
                <w:rFonts w:eastAsia="Times New Roman"/>
                <w:b/>
                <w:bCs/>
                <w:color w:val="000000"/>
                <w:sz w:val="20"/>
                <w:szCs w:val="20"/>
              </w:rPr>
            </w:pPr>
          </w:p>
        </w:tc>
        <w:tc>
          <w:tcPr>
            <w:tcW w:w="581" w:type="pct"/>
            <w:shd w:val="clear" w:color="auto" w:fill="FFFFFF"/>
            <w:tcMar>
              <w:left w:w="67" w:type="dxa"/>
              <w:right w:w="67" w:type="dxa"/>
            </w:tcMar>
          </w:tcPr>
          <w:p w14:paraId="3E7A8BE3" w14:textId="6302B325"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w:t>
            </w:r>
            <w:r w:rsidR="00817F2A">
              <w:rPr>
                <w:rFonts w:eastAsia="Times New Roman"/>
                <w:color w:val="000000"/>
                <w:sz w:val="20"/>
                <w:szCs w:val="20"/>
              </w:rPr>
              <w:t>4</w:t>
            </w:r>
            <w:r w:rsidRPr="000D3E11">
              <w:rPr>
                <w:rFonts w:eastAsia="Times New Roman"/>
                <w:color w:val="000000"/>
                <w:sz w:val="20"/>
                <w:szCs w:val="20"/>
              </w:rPr>
              <w:t xml:space="preserve"> (4.</w:t>
            </w:r>
            <w:r w:rsidR="00817F2A">
              <w:rPr>
                <w:rFonts w:eastAsia="Times New Roman"/>
                <w:color w:val="000000"/>
                <w:sz w:val="20"/>
                <w:szCs w:val="20"/>
              </w:rPr>
              <w:t>5</w:t>
            </w:r>
            <w:r w:rsidRPr="000D3E11">
              <w:rPr>
                <w:rFonts w:eastAsia="Times New Roman"/>
                <w:color w:val="000000"/>
                <w:sz w:val="20"/>
                <w:szCs w:val="20"/>
              </w:rPr>
              <w:t>%)</w:t>
            </w:r>
          </w:p>
        </w:tc>
        <w:tc>
          <w:tcPr>
            <w:tcW w:w="582" w:type="pct"/>
            <w:shd w:val="clear" w:color="auto" w:fill="FFFFFF"/>
            <w:tcMar>
              <w:left w:w="67" w:type="dxa"/>
              <w:right w:w="67" w:type="dxa"/>
            </w:tcMar>
          </w:tcPr>
          <w:p w14:paraId="7E5550DD" w14:textId="59B98D22"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2</w:t>
            </w:r>
            <w:r w:rsidR="00817F2A">
              <w:rPr>
                <w:rFonts w:eastAsia="Times New Roman"/>
                <w:color w:val="000000"/>
                <w:sz w:val="20"/>
                <w:szCs w:val="20"/>
              </w:rPr>
              <w:t>0</w:t>
            </w:r>
            <w:r w:rsidRPr="000D3E11">
              <w:rPr>
                <w:rFonts w:eastAsia="Times New Roman"/>
                <w:color w:val="000000"/>
                <w:sz w:val="20"/>
                <w:szCs w:val="20"/>
              </w:rPr>
              <w:t xml:space="preserve"> (</w:t>
            </w:r>
            <w:r w:rsidR="00D84FE7">
              <w:rPr>
                <w:rFonts w:eastAsia="Times New Roman"/>
                <w:color w:val="000000"/>
                <w:sz w:val="20"/>
                <w:szCs w:val="20"/>
              </w:rPr>
              <w:t>4.8</w:t>
            </w:r>
            <w:r w:rsidRPr="000D3E11">
              <w:rPr>
                <w:rFonts w:eastAsia="Times New Roman"/>
                <w:color w:val="000000"/>
                <w:sz w:val="20"/>
                <w:szCs w:val="20"/>
              </w:rPr>
              <w:t>%)</w:t>
            </w:r>
          </w:p>
        </w:tc>
        <w:tc>
          <w:tcPr>
            <w:tcW w:w="582" w:type="pct"/>
            <w:shd w:val="clear" w:color="auto" w:fill="FFFFFF"/>
            <w:tcMar>
              <w:left w:w="67" w:type="dxa"/>
              <w:right w:w="67" w:type="dxa"/>
            </w:tcMar>
          </w:tcPr>
          <w:p w14:paraId="2A0C207A" w14:textId="215C82C9"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3</w:t>
            </w:r>
            <w:r w:rsidR="00D84FE7">
              <w:rPr>
                <w:rFonts w:eastAsia="Times New Roman"/>
                <w:color w:val="000000"/>
                <w:sz w:val="20"/>
                <w:szCs w:val="20"/>
              </w:rPr>
              <w:t>4</w:t>
            </w:r>
            <w:r w:rsidRPr="000D3E11">
              <w:rPr>
                <w:rFonts w:eastAsia="Times New Roman"/>
                <w:color w:val="000000"/>
                <w:sz w:val="20"/>
                <w:szCs w:val="20"/>
              </w:rPr>
              <w:t xml:space="preserve"> (</w:t>
            </w:r>
            <w:r w:rsidR="00D84FE7">
              <w:rPr>
                <w:rFonts w:eastAsia="Times New Roman"/>
                <w:color w:val="000000"/>
                <w:sz w:val="20"/>
                <w:szCs w:val="20"/>
              </w:rPr>
              <w:t>4.6</w:t>
            </w:r>
            <w:r w:rsidRPr="000D3E11">
              <w:rPr>
                <w:rFonts w:eastAsia="Times New Roman"/>
                <w:color w:val="000000"/>
                <w:sz w:val="20"/>
                <w:szCs w:val="20"/>
              </w:rPr>
              <w:t>%)</w:t>
            </w:r>
          </w:p>
        </w:tc>
        <w:tc>
          <w:tcPr>
            <w:tcW w:w="582" w:type="pct"/>
            <w:gridSpan w:val="2"/>
            <w:shd w:val="clear" w:color="auto" w:fill="FFFFFF"/>
            <w:tcMar>
              <w:left w:w="67" w:type="dxa"/>
              <w:right w:w="67" w:type="dxa"/>
            </w:tcMar>
          </w:tcPr>
          <w:p w14:paraId="2E46BB44" w14:textId="34A827CE"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w:t>
            </w:r>
            <w:r w:rsidR="00D84FE7">
              <w:rPr>
                <w:rFonts w:eastAsia="Times New Roman"/>
                <w:color w:val="000000"/>
                <w:sz w:val="20"/>
                <w:szCs w:val="20"/>
              </w:rPr>
              <w:t>3</w:t>
            </w:r>
            <w:r w:rsidRPr="000D3E11">
              <w:rPr>
                <w:rFonts w:eastAsia="Times New Roman"/>
                <w:color w:val="000000"/>
                <w:sz w:val="20"/>
                <w:szCs w:val="20"/>
              </w:rPr>
              <w:t xml:space="preserve"> (</w:t>
            </w:r>
            <w:r w:rsidR="00D84FE7">
              <w:rPr>
                <w:rFonts w:eastAsia="Times New Roman"/>
                <w:color w:val="000000"/>
                <w:sz w:val="20"/>
                <w:szCs w:val="20"/>
              </w:rPr>
              <w:t>4.2</w:t>
            </w:r>
            <w:r w:rsidRPr="000D3E11">
              <w:rPr>
                <w:rFonts w:eastAsia="Times New Roman"/>
                <w:color w:val="000000"/>
                <w:sz w:val="20"/>
                <w:szCs w:val="20"/>
              </w:rPr>
              <w:t>%)</w:t>
            </w:r>
          </w:p>
        </w:tc>
        <w:tc>
          <w:tcPr>
            <w:tcW w:w="582" w:type="pct"/>
            <w:shd w:val="clear" w:color="auto" w:fill="FFFFFF"/>
            <w:tcMar>
              <w:left w:w="67" w:type="dxa"/>
              <w:right w:w="67" w:type="dxa"/>
            </w:tcMar>
          </w:tcPr>
          <w:p w14:paraId="6A8AFC76" w14:textId="0FA78C32"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w:t>
            </w:r>
            <w:r w:rsidR="00D84FE7">
              <w:rPr>
                <w:rFonts w:eastAsia="Times New Roman"/>
                <w:color w:val="000000"/>
                <w:sz w:val="20"/>
                <w:szCs w:val="20"/>
              </w:rPr>
              <w:t>7</w:t>
            </w:r>
            <w:r w:rsidRPr="000D3E11">
              <w:rPr>
                <w:rFonts w:eastAsia="Times New Roman"/>
                <w:color w:val="000000"/>
                <w:sz w:val="20"/>
                <w:szCs w:val="20"/>
              </w:rPr>
              <w:t xml:space="preserve"> (</w:t>
            </w:r>
            <w:r w:rsidR="00D84FE7">
              <w:rPr>
                <w:rFonts w:eastAsia="Times New Roman"/>
                <w:color w:val="000000"/>
                <w:sz w:val="20"/>
                <w:szCs w:val="20"/>
              </w:rPr>
              <w:t>4.1</w:t>
            </w:r>
            <w:r w:rsidRPr="000D3E11">
              <w:rPr>
                <w:rFonts w:eastAsia="Times New Roman"/>
                <w:color w:val="000000"/>
                <w:sz w:val="20"/>
                <w:szCs w:val="20"/>
              </w:rPr>
              <w:t>%)</w:t>
            </w:r>
          </w:p>
        </w:tc>
        <w:tc>
          <w:tcPr>
            <w:tcW w:w="578" w:type="pct"/>
            <w:shd w:val="clear" w:color="auto" w:fill="FFFFFF"/>
            <w:tcMar>
              <w:left w:w="67" w:type="dxa"/>
              <w:right w:w="67" w:type="dxa"/>
            </w:tcMar>
          </w:tcPr>
          <w:p w14:paraId="7104361F" w14:textId="1B56CB04"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3</w:t>
            </w:r>
            <w:r w:rsidR="00D84FE7">
              <w:rPr>
                <w:rFonts w:eastAsia="Times New Roman"/>
                <w:color w:val="000000"/>
                <w:sz w:val="20"/>
                <w:szCs w:val="20"/>
              </w:rPr>
              <w:t>0</w:t>
            </w:r>
            <w:r w:rsidRPr="000D3E11">
              <w:rPr>
                <w:rFonts w:eastAsia="Times New Roman"/>
                <w:color w:val="000000"/>
                <w:sz w:val="20"/>
                <w:szCs w:val="20"/>
              </w:rPr>
              <w:t xml:space="preserve"> (</w:t>
            </w:r>
            <w:r w:rsidR="00D84FE7">
              <w:rPr>
                <w:rFonts w:eastAsia="Times New Roman"/>
                <w:color w:val="000000"/>
                <w:sz w:val="20"/>
                <w:szCs w:val="20"/>
              </w:rPr>
              <w:t>4.1</w:t>
            </w:r>
            <w:r w:rsidRPr="000D3E11">
              <w:rPr>
                <w:rFonts w:eastAsia="Times New Roman"/>
                <w:color w:val="000000"/>
                <w:sz w:val="20"/>
                <w:szCs w:val="20"/>
              </w:rPr>
              <w:t>%)</w:t>
            </w:r>
          </w:p>
        </w:tc>
      </w:tr>
      <w:tr w:rsidR="00E07CDE" w:rsidRPr="000D3E11" w14:paraId="6D745C77" w14:textId="77777777" w:rsidTr="00C163F3">
        <w:trPr>
          <w:cantSplit/>
          <w:jc w:val="center"/>
        </w:trPr>
        <w:tc>
          <w:tcPr>
            <w:tcW w:w="978" w:type="pct"/>
            <w:shd w:val="clear" w:color="auto" w:fill="FFFFFF"/>
            <w:tcMar>
              <w:left w:w="67" w:type="dxa"/>
              <w:right w:w="67" w:type="dxa"/>
            </w:tcMar>
          </w:tcPr>
          <w:p w14:paraId="3009EB39" w14:textId="77777777" w:rsidR="00E07CDE" w:rsidRPr="000D3E11" w:rsidRDefault="00E07CDE" w:rsidP="006C0B32">
            <w:pPr>
              <w:spacing w:before="67" w:after="67" w:line="240" w:lineRule="auto"/>
              <w:rPr>
                <w:rFonts w:eastAsia="Times New Roman"/>
                <w:b/>
                <w:bCs/>
                <w:color w:val="000000"/>
                <w:sz w:val="20"/>
                <w:szCs w:val="20"/>
              </w:rPr>
            </w:pPr>
            <w:r w:rsidRPr="000D3E11">
              <w:rPr>
                <w:rFonts w:eastAsia="Times New Roman"/>
                <w:b/>
                <w:bCs/>
                <w:color w:val="000000"/>
                <w:sz w:val="20"/>
                <w:szCs w:val="20"/>
              </w:rPr>
              <w:t>Mood stabiliser</w:t>
            </w:r>
          </w:p>
        </w:tc>
        <w:tc>
          <w:tcPr>
            <w:tcW w:w="535" w:type="pct"/>
            <w:shd w:val="clear" w:color="auto" w:fill="FFFFFF"/>
            <w:tcMar>
              <w:left w:w="67" w:type="dxa"/>
              <w:right w:w="67" w:type="dxa"/>
            </w:tcMar>
          </w:tcPr>
          <w:p w14:paraId="0791C593" w14:textId="77777777" w:rsidR="00E07CDE" w:rsidRPr="000D3E11" w:rsidRDefault="00E07CDE" w:rsidP="006C0B32">
            <w:pPr>
              <w:spacing w:before="67" w:after="67" w:line="240" w:lineRule="auto"/>
              <w:rPr>
                <w:rFonts w:eastAsia="Times New Roman"/>
                <w:b/>
                <w:bCs/>
                <w:color w:val="000000"/>
                <w:sz w:val="20"/>
                <w:szCs w:val="20"/>
              </w:rPr>
            </w:pPr>
          </w:p>
        </w:tc>
        <w:tc>
          <w:tcPr>
            <w:tcW w:w="581" w:type="pct"/>
            <w:shd w:val="clear" w:color="auto" w:fill="FFFFFF"/>
            <w:tcMar>
              <w:left w:w="67" w:type="dxa"/>
              <w:right w:w="67" w:type="dxa"/>
            </w:tcMar>
          </w:tcPr>
          <w:p w14:paraId="7E554009" w14:textId="6BB717B1"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 (0.3%)</w:t>
            </w:r>
          </w:p>
        </w:tc>
        <w:tc>
          <w:tcPr>
            <w:tcW w:w="582" w:type="pct"/>
            <w:shd w:val="clear" w:color="auto" w:fill="FFFFFF"/>
            <w:tcMar>
              <w:left w:w="67" w:type="dxa"/>
              <w:right w:w="67" w:type="dxa"/>
            </w:tcMar>
          </w:tcPr>
          <w:p w14:paraId="27869CD8" w14:textId="750C76F3" w:rsidR="00E07CDE" w:rsidRPr="000D3E11" w:rsidRDefault="00F85B84" w:rsidP="00907D13">
            <w:pPr>
              <w:spacing w:before="67" w:after="67" w:line="240" w:lineRule="auto"/>
              <w:jc w:val="right"/>
              <w:rPr>
                <w:rFonts w:eastAsia="Times New Roman"/>
                <w:color w:val="000000"/>
                <w:sz w:val="20"/>
                <w:szCs w:val="20"/>
              </w:rPr>
            </w:pPr>
            <w:r>
              <w:rPr>
                <w:rFonts w:eastAsia="Times New Roman"/>
                <w:color w:val="000000"/>
                <w:sz w:val="20"/>
                <w:szCs w:val="20"/>
              </w:rPr>
              <w:t>2</w:t>
            </w:r>
            <w:r w:rsidR="00E07CDE" w:rsidRPr="000D3E11">
              <w:rPr>
                <w:rFonts w:eastAsia="Times New Roman"/>
                <w:color w:val="000000"/>
                <w:sz w:val="20"/>
                <w:szCs w:val="20"/>
              </w:rPr>
              <w:t xml:space="preserve"> (</w:t>
            </w:r>
            <w:r>
              <w:rPr>
                <w:rFonts w:eastAsia="Times New Roman"/>
                <w:color w:val="000000"/>
                <w:sz w:val="20"/>
                <w:szCs w:val="20"/>
              </w:rPr>
              <w:t>0.5</w:t>
            </w:r>
            <w:r w:rsidR="00E07CDE" w:rsidRPr="000D3E11">
              <w:rPr>
                <w:rFonts w:eastAsia="Times New Roman"/>
                <w:color w:val="000000"/>
                <w:sz w:val="20"/>
                <w:szCs w:val="20"/>
              </w:rPr>
              <w:t>%)</w:t>
            </w:r>
          </w:p>
        </w:tc>
        <w:tc>
          <w:tcPr>
            <w:tcW w:w="582" w:type="pct"/>
            <w:shd w:val="clear" w:color="auto" w:fill="FFFFFF"/>
            <w:tcMar>
              <w:left w:w="67" w:type="dxa"/>
              <w:right w:w="67" w:type="dxa"/>
            </w:tcMar>
          </w:tcPr>
          <w:p w14:paraId="723BE2CE" w14:textId="4768220D" w:rsidR="00E07CDE" w:rsidRPr="000D3E11" w:rsidRDefault="00F85B84" w:rsidP="00907D13">
            <w:pPr>
              <w:spacing w:before="67" w:after="67" w:line="240" w:lineRule="auto"/>
              <w:jc w:val="right"/>
              <w:rPr>
                <w:rFonts w:eastAsia="Times New Roman"/>
                <w:color w:val="000000"/>
                <w:sz w:val="20"/>
                <w:szCs w:val="20"/>
              </w:rPr>
            </w:pPr>
            <w:r>
              <w:rPr>
                <w:rFonts w:eastAsia="Times New Roman"/>
                <w:color w:val="000000"/>
                <w:sz w:val="20"/>
                <w:szCs w:val="20"/>
              </w:rPr>
              <w:t>3</w:t>
            </w:r>
            <w:r w:rsidR="00E07CDE" w:rsidRPr="000D3E11">
              <w:rPr>
                <w:rFonts w:eastAsia="Times New Roman"/>
                <w:color w:val="000000"/>
                <w:sz w:val="20"/>
                <w:szCs w:val="20"/>
              </w:rPr>
              <w:t xml:space="preserve"> (</w:t>
            </w:r>
            <w:r>
              <w:rPr>
                <w:rFonts w:eastAsia="Times New Roman"/>
                <w:color w:val="000000"/>
                <w:sz w:val="20"/>
                <w:szCs w:val="20"/>
              </w:rPr>
              <w:t>0.4</w:t>
            </w:r>
            <w:r w:rsidR="00E07CDE" w:rsidRPr="000D3E11">
              <w:rPr>
                <w:rFonts w:eastAsia="Times New Roman"/>
                <w:color w:val="000000"/>
                <w:sz w:val="20"/>
                <w:szCs w:val="20"/>
              </w:rPr>
              <w:t>%)</w:t>
            </w:r>
          </w:p>
        </w:tc>
        <w:tc>
          <w:tcPr>
            <w:tcW w:w="582" w:type="pct"/>
            <w:gridSpan w:val="2"/>
            <w:shd w:val="clear" w:color="auto" w:fill="FFFFFF"/>
            <w:tcMar>
              <w:left w:w="67" w:type="dxa"/>
              <w:right w:w="67" w:type="dxa"/>
            </w:tcMar>
          </w:tcPr>
          <w:p w14:paraId="7E78FEF4" w14:textId="739B5D7B"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 (0.</w:t>
            </w:r>
            <w:r w:rsidR="00F85B84">
              <w:rPr>
                <w:rFonts w:eastAsia="Times New Roman"/>
                <w:color w:val="000000"/>
                <w:sz w:val="20"/>
                <w:szCs w:val="20"/>
              </w:rPr>
              <w:t>3</w:t>
            </w:r>
            <w:r w:rsidRPr="000D3E11">
              <w:rPr>
                <w:rFonts w:eastAsia="Times New Roman"/>
                <w:color w:val="000000"/>
                <w:sz w:val="20"/>
                <w:szCs w:val="20"/>
              </w:rPr>
              <w:t>%)</w:t>
            </w:r>
          </w:p>
        </w:tc>
        <w:tc>
          <w:tcPr>
            <w:tcW w:w="582" w:type="pct"/>
            <w:shd w:val="clear" w:color="auto" w:fill="FFFFFF"/>
            <w:tcMar>
              <w:left w:w="67" w:type="dxa"/>
              <w:right w:w="67" w:type="dxa"/>
            </w:tcMar>
          </w:tcPr>
          <w:p w14:paraId="02D9DC3E" w14:textId="3926A86C" w:rsidR="00E07CDE" w:rsidRPr="000D3E11" w:rsidRDefault="00F85B84" w:rsidP="00907D13">
            <w:pPr>
              <w:spacing w:before="67" w:after="67" w:line="240" w:lineRule="auto"/>
              <w:jc w:val="right"/>
              <w:rPr>
                <w:rFonts w:eastAsia="Times New Roman"/>
                <w:color w:val="000000"/>
                <w:sz w:val="20"/>
                <w:szCs w:val="20"/>
              </w:rPr>
            </w:pPr>
            <w:r>
              <w:rPr>
                <w:rFonts w:eastAsia="Times New Roman"/>
                <w:color w:val="000000"/>
                <w:sz w:val="20"/>
                <w:szCs w:val="20"/>
              </w:rPr>
              <w:t>4</w:t>
            </w:r>
            <w:r w:rsidR="00E07CDE" w:rsidRPr="000D3E11">
              <w:rPr>
                <w:rFonts w:eastAsia="Times New Roman"/>
                <w:color w:val="000000"/>
                <w:sz w:val="20"/>
                <w:szCs w:val="20"/>
              </w:rPr>
              <w:t xml:space="preserve"> (1.</w:t>
            </w:r>
            <w:r>
              <w:rPr>
                <w:rFonts w:eastAsia="Times New Roman"/>
                <w:color w:val="000000"/>
                <w:sz w:val="20"/>
                <w:szCs w:val="20"/>
              </w:rPr>
              <w:t>0</w:t>
            </w:r>
            <w:r w:rsidR="00E07CDE" w:rsidRPr="000D3E11">
              <w:rPr>
                <w:rFonts w:eastAsia="Times New Roman"/>
                <w:color w:val="000000"/>
                <w:sz w:val="20"/>
                <w:szCs w:val="20"/>
              </w:rPr>
              <w:t>%)</w:t>
            </w:r>
          </w:p>
        </w:tc>
        <w:tc>
          <w:tcPr>
            <w:tcW w:w="578" w:type="pct"/>
            <w:shd w:val="clear" w:color="auto" w:fill="FFFFFF"/>
            <w:tcMar>
              <w:left w:w="67" w:type="dxa"/>
              <w:right w:w="67" w:type="dxa"/>
            </w:tcMar>
          </w:tcPr>
          <w:p w14:paraId="7AE2E4E7" w14:textId="1A7EB609" w:rsidR="00E07CDE" w:rsidRPr="000D3E11" w:rsidRDefault="00F85B84" w:rsidP="00907D13">
            <w:pPr>
              <w:spacing w:before="67" w:after="67" w:line="240" w:lineRule="auto"/>
              <w:jc w:val="right"/>
              <w:rPr>
                <w:rFonts w:eastAsia="Times New Roman"/>
                <w:color w:val="000000"/>
                <w:sz w:val="20"/>
                <w:szCs w:val="20"/>
              </w:rPr>
            </w:pPr>
            <w:r>
              <w:rPr>
                <w:rFonts w:eastAsia="Times New Roman"/>
                <w:color w:val="000000"/>
                <w:sz w:val="20"/>
                <w:szCs w:val="20"/>
              </w:rPr>
              <w:t>5</w:t>
            </w:r>
            <w:r w:rsidR="00E07CDE" w:rsidRPr="000D3E11">
              <w:rPr>
                <w:rFonts w:eastAsia="Times New Roman"/>
                <w:color w:val="000000"/>
                <w:sz w:val="20"/>
                <w:szCs w:val="20"/>
              </w:rPr>
              <w:t xml:space="preserve"> (</w:t>
            </w:r>
            <w:r>
              <w:rPr>
                <w:rFonts w:eastAsia="Times New Roman"/>
                <w:color w:val="000000"/>
                <w:sz w:val="20"/>
                <w:szCs w:val="20"/>
              </w:rPr>
              <w:t>0.7</w:t>
            </w:r>
            <w:r w:rsidR="00E07CDE" w:rsidRPr="000D3E11">
              <w:rPr>
                <w:rFonts w:eastAsia="Times New Roman"/>
                <w:color w:val="000000"/>
                <w:sz w:val="20"/>
                <w:szCs w:val="20"/>
              </w:rPr>
              <w:t>%)</w:t>
            </w:r>
          </w:p>
        </w:tc>
      </w:tr>
      <w:tr w:rsidR="00E07CDE" w:rsidRPr="000D3E11" w14:paraId="4F9C678E" w14:textId="77777777" w:rsidTr="00C163F3">
        <w:trPr>
          <w:cantSplit/>
          <w:jc w:val="center"/>
        </w:trPr>
        <w:tc>
          <w:tcPr>
            <w:tcW w:w="978" w:type="pct"/>
            <w:shd w:val="clear" w:color="auto" w:fill="FFFFFF"/>
            <w:tcMar>
              <w:left w:w="67" w:type="dxa"/>
              <w:right w:w="67" w:type="dxa"/>
            </w:tcMar>
          </w:tcPr>
          <w:p w14:paraId="240C3D64" w14:textId="77777777" w:rsidR="00E07CDE" w:rsidRPr="000D3E11" w:rsidRDefault="00E07CDE" w:rsidP="006C0B32">
            <w:pPr>
              <w:spacing w:before="67" w:after="67" w:line="240" w:lineRule="auto"/>
              <w:rPr>
                <w:rFonts w:eastAsia="Times New Roman"/>
                <w:b/>
                <w:bCs/>
                <w:color w:val="000000"/>
                <w:sz w:val="20"/>
                <w:szCs w:val="20"/>
              </w:rPr>
            </w:pPr>
            <w:r w:rsidRPr="000D3E11">
              <w:rPr>
                <w:rFonts w:eastAsia="Times New Roman"/>
                <w:b/>
                <w:bCs/>
                <w:color w:val="000000"/>
                <w:sz w:val="20"/>
                <w:szCs w:val="20"/>
              </w:rPr>
              <w:t>Pain relief</w:t>
            </w:r>
          </w:p>
        </w:tc>
        <w:tc>
          <w:tcPr>
            <w:tcW w:w="535" w:type="pct"/>
            <w:shd w:val="clear" w:color="auto" w:fill="FFFFFF"/>
            <w:tcMar>
              <w:left w:w="67" w:type="dxa"/>
              <w:right w:w="67" w:type="dxa"/>
            </w:tcMar>
          </w:tcPr>
          <w:p w14:paraId="049BD80F" w14:textId="77777777" w:rsidR="00E07CDE" w:rsidRPr="000D3E11" w:rsidRDefault="00E07CDE" w:rsidP="006C0B32">
            <w:pPr>
              <w:spacing w:before="67" w:after="67" w:line="240" w:lineRule="auto"/>
              <w:rPr>
                <w:rFonts w:eastAsia="Times New Roman"/>
                <w:b/>
                <w:bCs/>
                <w:color w:val="000000"/>
                <w:sz w:val="20"/>
                <w:szCs w:val="20"/>
              </w:rPr>
            </w:pPr>
          </w:p>
        </w:tc>
        <w:tc>
          <w:tcPr>
            <w:tcW w:w="581" w:type="pct"/>
            <w:shd w:val="clear" w:color="auto" w:fill="FFFFFF"/>
            <w:tcMar>
              <w:left w:w="67" w:type="dxa"/>
              <w:right w:w="67" w:type="dxa"/>
            </w:tcMar>
          </w:tcPr>
          <w:p w14:paraId="69BC69CC" w14:textId="2AEF12A8"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143 (4</w:t>
            </w:r>
            <w:r w:rsidR="00063B4B">
              <w:rPr>
                <w:rFonts w:eastAsia="Times New Roman"/>
                <w:color w:val="000000"/>
                <w:sz w:val="20"/>
                <w:szCs w:val="20"/>
              </w:rPr>
              <w:t>6.4</w:t>
            </w:r>
            <w:r w:rsidRPr="000D3E11">
              <w:rPr>
                <w:rFonts w:eastAsia="Times New Roman"/>
                <w:color w:val="000000"/>
                <w:sz w:val="20"/>
                <w:szCs w:val="20"/>
              </w:rPr>
              <w:t>%)</w:t>
            </w:r>
          </w:p>
        </w:tc>
        <w:tc>
          <w:tcPr>
            <w:tcW w:w="582" w:type="pct"/>
            <w:shd w:val="clear" w:color="auto" w:fill="FFFFFF"/>
            <w:tcMar>
              <w:left w:w="67" w:type="dxa"/>
              <w:right w:w="67" w:type="dxa"/>
            </w:tcMar>
          </w:tcPr>
          <w:p w14:paraId="7C33B9B5" w14:textId="3CE7FA77"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213 (5</w:t>
            </w:r>
            <w:r w:rsidR="00063B4B">
              <w:rPr>
                <w:rFonts w:eastAsia="Times New Roman"/>
                <w:color w:val="000000"/>
                <w:sz w:val="20"/>
                <w:szCs w:val="20"/>
              </w:rPr>
              <w:t>1.0</w:t>
            </w:r>
            <w:r w:rsidRPr="000D3E11">
              <w:rPr>
                <w:rFonts w:eastAsia="Times New Roman"/>
                <w:color w:val="000000"/>
                <w:sz w:val="20"/>
                <w:szCs w:val="20"/>
              </w:rPr>
              <w:t>%)</w:t>
            </w:r>
          </w:p>
        </w:tc>
        <w:tc>
          <w:tcPr>
            <w:tcW w:w="582" w:type="pct"/>
            <w:shd w:val="clear" w:color="auto" w:fill="FFFFFF"/>
            <w:tcMar>
              <w:left w:w="67" w:type="dxa"/>
              <w:right w:w="67" w:type="dxa"/>
            </w:tcMar>
          </w:tcPr>
          <w:p w14:paraId="67684598" w14:textId="1EFB602E"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356 (</w:t>
            </w:r>
            <w:r w:rsidR="00063B4B">
              <w:rPr>
                <w:rFonts w:eastAsia="Times New Roman"/>
                <w:color w:val="000000"/>
                <w:sz w:val="20"/>
                <w:szCs w:val="20"/>
              </w:rPr>
              <w:t>49.0</w:t>
            </w:r>
            <w:r w:rsidRPr="000D3E11">
              <w:rPr>
                <w:rFonts w:eastAsia="Times New Roman"/>
                <w:color w:val="000000"/>
                <w:sz w:val="20"/>
                <w:szCs w:val="20"/>
              </w:rPr>
              <w:t>%)</w:t>
            </w:r>
          </w:p>
        </w:tc>
        <w:tc>
          <w:tcPr>
            <w:tcW w:w="582" w:type="pct"/>
            <w:gridSpan w:val="2"/>
            <w:shd w:val="clear" w:color="auto" w:fill="FFFFFF"/>
            <w:tcMar>
              <w:left w:w="67" w:type="dxa"/>
              <w:right w:w="67" w:type="dxa"/>
            </w:tcMar>
          </w:tcPr>
          <w:p w14:paraId="2642C757" w14:textId="63BE5292"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105 (</w:t>
            </w:r>
            <w:r w:rsidR="00063B4B">
              <w:rPr>
                <w:rFonts w:eastAsia="Times New Roman"/>
                <w:color w:val="000000"/>
                <w:sz w:val="20"/>
                <w:szCs w:val="20"/>
              </w:rPr>
              <w:t>34.1</w:t>
            </w:r>
            <w:r w:rsidRPr="000D3E11">
              <w:rPr>
                <w:rFonts w:eastAsia="Times New Roman"/>
                <w:color w:val="000000"/>
                <w:sz w:val="20"/>
                <w:szCs w:val="20"/>
              </w:rPr>
              <w:t>%)</w:t>
            </w:r>
          </w:p>
        </w:tc>
        <w:tc>
          <w:tcPr>
            <w:tcW w:w="582" w:type="pct"/>
            <w:shd w:val="clear" w:color="auto" w:fill="FFFFFF"/>
            <w:tcMar>
              <w:left w:w="67" w:type="dxa"/>
              <w:right w:w="67" w:type="dxa"/>
            </w:tcMar>
          </w:tcPr>
          <w:p w14:paraId="6AE61664" w14:textId="7A3E443C"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16</w:t>
            </w:r>
            <w:r w:rsidR="00063B4B">
              <w:rPr>
                <w:rFonts w:eastAsia="Times New Roman"/>
                <w:color w:val="000000"/>
                <w:sz w:val="20"/>
                <w:szCs w:val="20"/>
              </w:rPr>
              <w:t>0</w:t>
            </w:r>
            <w:r w:rsidRPr="000D3E11">
              <w:rPr>
                <w:rFonts w:eastAsia="Times New Roman"/>
                <w:color w:val="000000"/>
                <w:sz w:val="20"/>
                <w:szCs w:val="20"/>
              </w:rPr>
              <w:t xml:space="preserve"> (</w:t>
            </w:r>
            <w:r w:rsidR="00063B4B">
              <w:rPr>
                <w:rFonts w:eastAsia="Times New Roman"/>
                <w:color w:val="000000"/>
                <w:sz w:val="20"/>
                <w:szCs w:val="20"/>
              </w:rPr>
              <w:t>38.3</w:t>
            </w:r>
            <w:r w:rsidRPr="000D3E11">
              <w:rPr>
                <w:rFonts w:eastAsia="Times New Roman"/>
                <w:color w:val="000000"/>
                <w:sz w:val="20"/>
                <w:szCs w:val="20"/>
              </w:rPr>
              <w:t>%)</w:t>
            </w:r>
          </w:p>
        </w:tc>
        <w:tc>
          <w:tcPr>
            <w:tcW w:w="578" w:type="pct"/>
            <w:shd w:val="clear" w:color="auto" w:fill="FFFFFF"/>
            <w:tcMar>
              <w:left w:w="67" w:type="dxa"/>
              <w:right w:w="67" w:type="dxa"/>
            </w:tcMar>
          </w:tcPr>
          <w:p w14:paraId="17F5E69A" w14:textId="35A46E45" w:rsidR="00E07CDE" w:rsidRPr="000D3E11" w:rsidRDefault="00E07CDE" w:rsidP="00907D13">
            <w:pPr>
              <w:spacing w:before="67" w:after="67" w:line="240" w:lineRule="auto"/>
              <w:jc w:val="right"/>
              <w:rPr>
                <w:rFonts w:eastAsia="Times New Roman"/>
                <w:color w:val="000000"/>
                <w:sz w:val="20"/>
                <w:szCs w:val="20"/>
              </w:rPr>
            </w:pPr>
            <w:r w:rsidRPr="000D3E11">
              <w:rPr>
                <w:rFonts w:eastAsia="Times New Roman"/>
                <w:color w:val="000000"/>
                <w:sz w:val="20"/>
                <w:szCs w:val="20"/>
              </w:rPr>
              <w:t>26</w:t>
            </w:r>
            <w:r w:rsidR="00063B4B">
              <w:rPr>
                <w:rFonts w:eastAsia="Times New Roman"/>
                <w:color w:val="000000"/>
                <w:sz w:val="20"/>
                <w:szCs w:val="20"/>
              </w:rPr>
              <w:t>5</w:t>
            </w:r>
            <w:r w:rsidRPr="000D3E11">
              <w:rPr>
                <w:rFonts w:eastAsia="Times New Roman"/>
                <w:color w:val="000000"/>
                <w:sz w:val="20"/>
                <w:szCs w:val="20"/>
              </w:rPr>
              <w:t xml:space="preserve"> (</w:t>
            </w:r>
            <w:r w:rsidR="00063B4B">
              <w:rPr>
                <w:rFonts w:eastAsia="Times New Roman"/>
                <w:color w:val="000000"/>
                <w:sz w:val="20"/>
                <w:szCs w:val="20"/>
              </w:rPr>
              <w:t>36.5</w:t>
            </w:r>
            <w:r w:rsidRPr="000D3E11">
              <w:rPr>
                <w:rFonts w:eastAsia="Times New Roman"/>
                <w:color w:val="000000"/>
                <w:sz w:val="20"/>
                <w:szCs w:val="20"/>
              </w:rPr>
              <w:t>%)</w:t>
            </w:r>
          </w:p>
        </w:tc>
      </w:tr>
      <w:tr w:rsidR="00E07CDE" w:rsidRPr="000D3E11" w14:paraId="0E977576" w14:textId="77777777" w:rsidTr="00C163F3">
        <w:trPr>
          <w:cantSplit/>
          <w:jc w:val="center"/>
        </w:trPr>
        <w:tc>
          <w:tcPr>
            <w:tcW w:w="978" w:type="pct"/>
            <w:vMerge w:val="restart"/>
            <w:shd w:val="clear" w:color="auto" w:fill="FFFFFF"/>
            <w:tcMar>
              <w:left w:w="67" w:type="dxa"/>
              <w:right w:w="67" w:type="dxa"/>
            </w:tcMar>
          </w:tcPr>
          <w:p w14:paraId="3E3D829C" w14:textId="77777777" w:rsidR="00E07CDE" w:rsidRPr="000D3E11" w:rsidRDefault="00E07CDE" w:rsidP="006C0B32">
            <w:pPr>
              <w:keepNext/>
              <w:spacing w:before="67" w:after="67" w:line="240" w:lineRule="auto"/>
              <w:rPr>
                <w:rFonts w:eastAsia="Times New Roman"/>
                <w:b/>
                <w:bCs/>
                <w:color w:val="000000"/>
                <w:sz w:val="20"/>
                <w:szCs w:val="20"/>
              </w:rPr>
            </w:pPr>
            <w:r w:rsidRPr="000D3E11">
              <w:rPr>
                <w:rFonts w:eastAsia="Times New Roman"/>
                <w:b/>
                <w:bCs/>
                <w:color w:val="000000"/>
                <w:sz w:val="20"/>
                <w:szCs w:val="20"/>
              </w:rPr>
              <w:t>Total number of medications prescribed on the MAR over the reporting period</w:t>
            </w:r>
          </w:p>
        </w:tc>
        <w:tc>
          <w:tcPr>
            <w:tcW w:w="535" w:type="pct"/>
            <w:shd w:val="clear" w:color="auto" w:fill="FFFFFF"/>
            <w:tcMar>
              <w:left w:w="67" w:type="dxa"/>
              <w:right w:w="67" w:type="dxa"/>
            </w:tcMar>
          </w:tcPr>
          <w:p w14:paraId="58C87436" w14:textId="77777777" w:rsidR="00E07CDE" w:rsidRPr="000D3E11" w:rsidRDefault="00E07CDE" w:rsidP="006C0B32">
            <w:pPr>
              <w:keepNext/>
              <w:spacing w:before="67" w:after="67" w:line="240" w:lineRule="auto"/>
              <w:rPr>
                <w:rFonts w:eastAsia="Times New Roman"/>
                <w:b/>
                <w:bCs/>
                <w:color w:val="000000"/>
                <w:sz w:val="20"/>
                <w:szCs w:val="20"/>
              </w:rPr>
            </w:pPr>
            <w:r w:rsidRPr="000D3E11">
              <w:rPr>
                <w:rFonts w:eastAsia="Times New Roman"/>
                <w:b/>
                <w:bCs/>
                <w:color w:val="000000"/>
                <w:sz w:val="20"/>
                <w:szCs w:val="20"/>
              </w:rPr>
              <w:t>Mean (SD) N taken/ month</w:t>
            </w:r>
          </w:p>
        </w:tc>
        <w:tc>
          <w:tcPr>
            <w:tcW w:w="581" w:type="pct"/>
            <w:shd w:val="clear" w:color="auto" w:fill="FFFFFF"/>
            <w:tcMar>
              <w:left w:w="67" w:type="dxa"/>
              <w:right w:w="67" w:type="dxa"/>
            </w:tcMar>
          </w:tcPr>
          <w:p w14:paraId="1D1F17C8" w14:textId="563BE287" w:rsidR="00E07CDE" w:rsidRPr="000D3E11" w:rsidRDefault="00E07CDE" w:rsidP="00907D13">
            <w:pPr>
              <w:keepNext/>
              <w:spacing w:before="67" w:after="67" w:line="240" w:lineRule="auto"/>
              <w:jc w:val="right"/>
              <w:rPr>
                <w:rFonts w:eastAsia="Times New Roman"/>
                <w:color w:val="000000"/>
                <w:sz w:val="20"/>
                <w:szCs w:val="20"/>
              </w:rPr>
            </w:pPr>
            <w:r w:rsidRPr="000D3E11">
              <w:rPr>
                <w:rFonts w:eastAsia="Times New Roman"/>
                <w:color w:val="000000"/>
                <w:sz w:val="20"/>
                <w:szCs w:val="20"/>
              </w:rPr>
              <w:t>8.7 (4.3) 304</w:t>
            </w:r>
          </w:p>
        </w:tc>
        <w:tc>
          <w:tcPr>
            <w:tcW w:w="582" w:type="pct"/>
            <w:shd w:val="clear" w:color="auto" w:fill="FFFFFF"/>
            <w:tcMar>
              <w:left w:w="67" w:type="dxa"/>
              <w:right w:w="67" w:type="dxa"/>
            </w:tcMar>
          </w:tcPr>
          <w:p w14:paraId="4CE0172B" w14:textId="77777777" w:rsidR="00E07CDE" w:rsidRPr="000D3E11" w:rsidRDefault="00E07CDE" w:rsidP="006C0B32">
            <w:pPr>
              <w:keepNext/>
              <w:spacing w:before="67" w:after="67" w:line="240" w:lineRule="auto"/>
              <w:jc w:val="right"/>
              <w:rPr>
                <w:rFonts w:eastAsia="Times New Roman"/>
                <w:color w:val="000000"/>
                <w:sz w:val="20"/>
                <w:szCs w:val="20"/>
              </w:rPr>
            </w:pPr>
            <w:r w:rsidRPr="000D3E11">
              <w:rPr>
                <w:rFonts w:eastAsia="Times New Roman"/>
                <w:color w:val="000000"/>
                <w:sz w:val="20"/>
                <w:szCs w:val="20"/>
              </w:rPr>
              <w:t>8.7 (4.01) 414</w:t>
            </w:r>
          </w:p>
        </w:tc>
        <w:tc>
          <w:tcPr>
            <w:tcW w:w="582" w:type="pct"/>
            <w:shd w:val="clear" w:color="auto" w:fill="FFFFFF"/>
            <w:tcMar>
              <w:left w:w="67" w:type="dxa"/>
              <w:right w:w="67" w:type="dxa"/>
            </w:tcMar>
          </w:tcPr>
          <w:p w14:paraId="4BE59959" w14:textId="21A3F1F4" w:rsidR="00E07CDE" w:rsidRPr="000D3E11" w:rsidRDefault="00E07CDE" w:rsidP="006C0B32">
            <w:pPr>
              <w:keepNext/>
              <w:spacing w:before="67" w:after="67" w:line="240" w:lineRule="auto"/>
              <w:jc w:val="right"/>
              <w:rPr>
                <w:rFonts w:eastAsia="Times New Roman"/>
                <w:color w:val="000000"/>
                <w:sz w:val="20"/>
                <w:szCs w:val="20"/>
              </w:rPr>
            </w:pPr>
            <w:r w:rsidRPr="000D3E11">
              <w:rPr>
                <w:rFonts w:eastAsia="Times New Roman"/>
                <w:color w:val="000000"/>
                <w:sz w:val="20"/>
                <w:szCs w:val="20"/>
              </w:rPr>
              <w:t>8.7 (4.13) 718</w:t>
            </w:r>
          </w:p>
        </w:tc>
        <w:tc>
          <w:tcPr>
            <w:tcW w:w="582" w:type="pct"/>
            <w:gridSpan w:val="2"/>
            <w:shd w:val="clear" w:color="auto" w:fill="FFFFFF"/>
            <w:tcMar>
              <w:left w:w="67" w:type="dxa"/>
              <w:right w:w="67" w:type="dxa"/>
            </w:tcMar>
          </w:tcPr>
          <w:p w14:paraId="4238C52C" w14:textId="77777777" w:rsidR="00E07CDE" w:rsidRPr="000D3E11" w:rsidRDefault="00E07CDE" w:rsidP="006C0B32">
            <w:pPr>
              <w:keepNext/>
              <w:spacing w:before="67" w:after="67" w:line="240" w:lineRule="auto"/>
              <w:jc w:val="right"/>
              <w:rPr>
                <w:rFonts w:eastAsia="Times New Roman"/>
                <w:color w:val="000000"/>
                <w:sz w:val="20"/>
                <w:szCs w:val="20"/>
              </w:rPr>
            </w:pPr>
            <w:r w:rsidRPr="000D3E11">
              <w:rPr>
                <w:rFonts w:eastAsia="Times New Roman"/>
                <w:color w:val="000000"/>
                <w:sz w:val="20"/>
                <w:szCs w:val="20"/>
              </w:rPr>
              <w:t>8.5 (3.73) 240</w:t>
            </w:r>
          </w:p>
        </w:tc>
        <w:tc>
          <w:tcPr>
            <w:tcW w:w="582" w:type="pct"/>
            <w:shd w:val="clear" w:color="auto" w:fill="FFFFFF"/>
            <w:tcMar>
              <w:left w:w="67" w:type="dxa"/>
              <w:right w:w="67" w:type="dxa"/>
            </w:tcMar>
          </w:tcPr>
          <w:p w14:paraId="16F0FAA9" w14:textId="77777777" w:rsidR="00E07CDE" w:rsidRPr="000D3E11" w:rsidRDefault="00E07CDE" w:rsidP="006C0B32">
            <w:pPr>
              <w:keepNext/>
              <w:spacing w:before="67" w:after="67" w:line="240" w:lineRule="auto"/>
              <w:jc w:val="right"/>
              <w:rPr>
                <w:rFonts w:eastAsia="Times New Roman"/>
                <w:color w:val="000000"/>
                <w:sz w:val="20"/>
                <w:szCs w:val="20"/>
              </w:rPr>
            </w:pPr>
            <w:r w:rsidRPr="000D3E11">
              <w:rPr>
                <w:rFonts w:eastAsia="Times New Roman"/>
                <w:color w:val="000000"/>
                <w:sz w:val="20"/>
                <w:szCs w:val="20"/>
              </w:rPr>
              <w:t>9.2 (4.4) 336</w:t>
            </w:r>
          </w:p>
        </w:tc>
        <w:tc>
          <w:tcPr>
            <w:tcW w:w="578" w:type="pct"/>
            <w:shd w:val="clear" w:color="auto" w:fill="FFFFFF"/>
            <w:tcMar>
              <w:left w:w="67" w:type="dxa"/>
              <w:right w:w="67" w:type="dxa"/>
            </w:tcMar>
          </w:tcPr>
          <w:p w14:paraId="35CCD86C" w14:textId="77777777" w:rsidR="00E07CDE" w:rsidRPr="000D3E11" w:rsidRDefault="00E07CDE" w:rsidP="006C0B32">
            <w:pPr>
              <w:keepNext/>
              <w:spacing w:before="67" w:after="67" w:line="240" w:lineRule="auto"/>
              <w:jc w:val="right"/>
              <w:rPr>
                <w:rFonts w:eastAsia="Times New Roman"/>
                <w:color w:val="000000"/>
                <w:sz w:val="20"/>
                <w:szCs w:val="20"/>
              </w:rPr>
            </w:pPr>
            <w:r w:rsidRPr="000D3E11">
              <w:rPr>
                <w:rFonts w:eastAsia="Times New Roman"/>
                <w:color w:val="000000"/>
                <w:sz w:val="20"/>
                <w:szCs w:val="20"/>
              </w:rPr>
              <w:t>8.9 (4.15) 576</w:t>
            </w:r>
          </w:p>
        </w:tc>
      </w:tr>
      <w:tr w:rsidR="00E07CDE" w:rsidRPr="000D3E11" w14:paraId="2504258B" w14:textId="77777777" w:rsidTr="00C163F3">
        <w:trPr>
          <w:cantSplit/>
          <w:jc w:val="center"/>
        </w:trPr>
        <w:tc>
          <w:tcPr>
            <w:tcW w:w="978" w:type="pct"/>
            <w:vMerge/>
            <w:shd w:val="clear" w:color="auto" w:fill="FFFFFF"/>
            <w:tcMar>
              <w:left w:w="67" w:type="dxa"/>
              <w:right w:w="67" w:type="dxa"/>
            </w:tcMar>
          </w:tcPr>
          <w:p w14:paraId="6381FB9E" w14:textId="77777777" w:rsidR="00E07CDE" w:rsidRPr="000D3E11" w:rsidRDefault="00E07CDE" w:rsidP="006C0B32">
            <w:pPr>
              <w:spacing w:before="67" w:after="67" w:line="240" w:lineRule="auto"/>
              <w:jc w:val="center"/>
              <w:rPr>
                <w:rFonts w:eastAsia="Times New Roman"/>
                <w:color w:val="000000"/>
                <w:sz w:val="20"/>
                <w:szCs w:val="20"/>
              </w:rPr>
            </w:pPr>
          </w:p>
        </w:tc>
        <w:tc>
          <w:tcPr>
            <w:tcW w:w="535" w:type="pct"/>
            <w:shd w:val="clear" w:color="auto" w:fill="FFFFFF"/>
            <w:tcMar>
              <w:left w:w="67" w:type="dxa"/>
              <w:right w:w="67" w:type="dxa"/>
            </w:tcMar>
          </w:tcPr>
          <w:p w14:paraId="0C9ECEBE" w14:textId="77777777" w:rsidR="00E07CDE" w:rsidRPr="000D3E11" w:rsidRDefault="00E07CDE" w:rsidP="006C0B32">
            <w:pPr>
              <w:spacing w:before="67" w:after="67" w:line="240" w:lineRule="auto"/>
              <w:rPr>
                <w:rFonts w:eastAsia="Times New Roman"/>
                <w:b/>
                <w:bCs/>
                <w:color w:val="000000"/>
                <w:sz w:val="20"/>
                <w:szCs w:val="20"/>
              </w:rPr>
            </w:pPr>
            <w:r w:rsidRPr="000D3E11">
              <w:rPr>
                <w:rFonts w:eastAsia="Times New Roman"/>
                <w:b/>
                <w:bCs/>
                <w:color w:val="000000"/>
                <w:sz w:val="20"/>
                <w:szCs w:val="20"/>
              </w:rPr>
              <w:t>Median (Q1, Q3)</w:t>
            </w:r>
          </w:p>
        </w:tc>
        <w:tc>
          <w:tcPr>
            <w:tcW w:w="581" w:type="pct"/>
            <w:shd w:val="clear" w:color="auto" w:fill="FFFFFF"/>
            <w:tcMar>
              <w:left w:w="67" w:type="dxa"/>
              <w:right w:w="67" w:type="dxa"/>
            </w:tcMar>
          </w:tcPr>
          <w:p w14:paraId="436E098B" w14:textId="77777777" w:rsidR="00E07CDE" w:rsidRPr="000D3E11" w:rsidRDefault="00E07CDE" w:rsidP="006C0B32">
            <w:pPr>
              <w:spacing w:before="67" w:after="67" w:line="240" w:lineRule="auto"/>
              <w:jc w:val="right"/>
              <w:rPr>
                <w:rFonts w:eastAsia="Times New Roman"/>
                <w:color w:val="000000"/>
                <w:sz w:val="20"/>
                <w:szCs w:val="20"/>
              </w:rPr>
            </w:pPr>
            <w:r w:rsidRPr="000D3E11">
              <w:rPr>
                <w:rFonts w:eastAsia="Times New Roman"/>
                <w:color w:val="000000"/>
                <w:sz w:val="20"/>
                <w:szCs w:val="20"/>
              </w:rPr>
              <w:t>8 (6, 11)</w:t>
            </w:r>
          </w:p>
        </w:tc>
        <w:tc>
          <w:tcPr>
            <w:tcW w:w="582" w:type="pct"/>
            <w:shd w:val="clear" w:color="auto" w:fill="FFFFFF"/>
            <w:tcMar>
              <w:left w:w="67" w:type="dxa"/>
              <w:right w:w="67" w:type="dxa"/>
            </w:tcMar>
          </w:tcPr>
          <w:p w14:paraId="6F70EE03" w14:textId="77777777" w:rsidR="00E07CDE" w:rsidRPr="000D3E11" w:rsidRDefault="00E07CDE" w:rsidP="006C0B32">
            <w:pPr>
              <w:spacing w:before="67" w:after="67" w:line="240" w:lineRule="auto"/>
              <w:jc w:val="right"/>
              <w:rPr>
                <w:rFonts w:eastAsia="Times New Roman"/>
                <w:color w:val="000000"/>
                <w:sz w:val="20"/>
                <w:szCs w:val="20"/>
              </w:rPr>
            </w:pPr>
            <w:r w:rsidRPr="000D3E11">
              <w:rPr>
                <w:rFonts w:eastAsia="Times New Roman"/>
                <w:color w:val="000000"/>
                <w:sz w:val="20"/>
                <w:szCs w:val="20"/>
              </w:rPr>
              <w:t>8 (6, 11)</w:t>
            </w:r>
          </w:p>
        </w:tc>
        <w:tc>
          <w:tcPr>
            <w:tcW w:w="582" w:type="pct"/>
            <w:shd w:val="clear" w:color="auto" w:fill="FFFFFF"/>
            <w:tcMar>
              <w:left w:w="67" w:type="dxa"/>
              <w:right w:w="67" w:type="dxa"/>
            </w:tcMar>
          </w:tcPr>
          <w:p w14:paraId="5A67E518" w14:textId="77777777" w:rsidR="00E07CDE" w:rsidRPr="000D3E11" w:rsidRDefault="00E07CDE" w:rsidP="006C0B32">
            <w:pPr>
              <w:spacing w:before="67" w:after="67" w:line="240" w:lineRule="auto"/>
              <w:jc w:val="right"/>
              <w:rPr>
                <w:rFonts w:eastAsia="Times New Roman"/>
                <w:color w:val="000000"/>
                <w:sz w:val="20"/>
                <w:szCs w:val="20"/>
              </w:rPr>
            </w:pPr>
            <w:r w:rsidRPr="000D3E11">
              <w:rPr>
                <w:rFonts w:eastAsia="Times New Roman"/>
                <w:color w:val="000000"/>
                <w:sz w:val="20"/>
                <w:szCs w:val="20"/>
              </w:rPr>
              <w:t>8 (6, 11)</w:t>
            </w:r>
          </w:p>
        </w:tc>
        <w:tc>
          <w:tcPr>
            <w:tcW w:w="582" w:type="pct"/>
            <w:gridSpan w:val="2"/>
            <w:shd w:val="clear" w:color="auto" w:fill="FFFFFF"/>
            <w:tcMar>
              <w:left w:w="67" w:type="dxa"/>
              <w:right w:w="67" w:type="dxa"/>
            </w:tcMar>
          </w:tcPr>
          <w:p w14:paraId="5ECCBB3C" w14:textId="77777777" w:rsidR="00E07CDE" w:rsidRPr="000D3E11" w:rsidRDefault="00E07CDE" w:rsidP="006C0B32">
            <w:pPr>
              <w:spacing w:before="67" w:after="67" w:line="240" w:lineRule="auto"/>
              <w:jc w:val="right"/>
              <w:rPr>
                <w:rFonts w:eastAsia="Times New Roman"/>
                <w:color w:val="000000"/>
                <w:sz w:val="20"/>
                <w:szCs w:val="20"/>
              </w:rPr>
            </w:pPr>
            <w:r w:rsidRPr="000D3E11">
              <w:rPr>
                <w:rFonts w:eastAsia="Times New Roman"/>
                <w:color w:val="000000"/>
                <w:sz w:val="20"/>
                <w:szCs w:val="20"/>
              </w:rPr>
              <w:t>8.5 (6, 11)</w:t>
            </w:r>
          </w:p>
        </w:tc>
        <w:tc>
          <w:tcPr>
            <w:tcW w:w="582" w:type="pct"/>
            <w:shd w:val="clear" w:color="auto" w:fill="FFFFFF"/>
            <w:tcMar>
              <w:left w:w="67" w:type="dxa"/>
              <w:right w:w="67" w:type="dxa"/>
            </w:tcMar>
          </w:tcPr>
          <w:p w14:paraId="6F37CDC0" w14:textId="77777777" w:rsidR="00E07CDE" w:rsidRPr="000D3E11" w:rsidRDefault="00E07CDE" w:rsidP="006C0B32">
            <w:pPr>
              <w:spacing w:before="67" w:after="67" w:line="240" w:lineRule="auto"/>
              <w:jc w:val="right"/>
              <w:rPr>
                <w:rFonts w:eastAsia="Times New Roman"/>
                <w:color w:val="000000"/>
                <w:sz w:val="20"/>
                <w:szCs w:val="20"/>
              </w:rPr>
            </w:pPr>
            <w:r w:rsidRPr="000D3E11">
              <w:rPr>
                <w:rFonts w:eastAsia="Times New Roman"/>
                <w:color w:val="000000"/>
                <w:sz w:val="20"/>
                <w:szCs w:val="20"/>
              </w:rPr>
              <w:t>9 (6, 12)</w:t>
            </w:r>
          </w:p>
        </w:tc>
        <w:tc>
          <w:tcPr>
            <w:tcW w:w="578" w:type="pct"/>
            <w:shd w:val="clear" w:color="auto" w:fill="FFFFFF"/>
            <w:tcMar>
              <w:left w:w="67" w:type="dxa"/>
              <w:right w:w="67" w:type="dxa"/>
            </w:tcMar>
          </w:tcPr>
          <w:p w14:paraId="4ADD409A" w14:textId="77777777" w:rsidR="00E07CDE" w:rsidRPr="000D3E11" w:rsidRDefault="00E07CDE" w:rsidP="006C0B32">
            <w:pPr>
              <w:spacing w:before="67" w:after="67" w:line="240" w:lineRule="auto"/>
              <w:jc w:val="right"/>
              <w:rPr>
                <w:rFonts w:eastAsia="Times New Roman"/>
                <w:color w:val="000000"/>
                <w:sz w:val="20"/>
                <w:szCs w:val="20"/>
              </w:rPr>
            </w:pPr>
            <w:r w:rsidRPr="000D3E11">
              <w:rPr>
                <w:rFonts w:eastAsia="Times New Roman"/>
                <w:color w:val="000000"/>
                <w:sz w:val="20"/>
                <w:szCs w:val="20"/>
              </w:rPr>
              <w:t>9 (6, 12)</w:t>
            </w:r>
          </w:p>
        </w:tc>
      </w:tr>
    </w:tbl>
    <w:p w14:paraId="0EF348D6" w14:textId="2CF348FB" w:rsidR="006C0B32" w:rsidRDefault="003202D0" w:rsidP="00165F9D">
      <w:pPr>
        <w:autoSpaceDE/>
        <w:autoSpaceDN/>
        <w:adjustRightInd/>
        <w:spacing w:before="120" w:after="0"/>
        <w:rPr>
          <w:rFonts w:eastAsia="Calibri"/>
          <w:b/>
          <w:lang w:eastAsia="en-US"/>
        </w:rPr>
      </w:pPr>
      <w:r>
        <w:rPr>
          <w:rFonts w:eastAsia="Times New Roman"/>
          <w:bCs/>
          <w:color w:val="000000"/>
          <w:sz w:val="18"/>
          <w:szCs w:val="18"/>
        </w:rPr>
        <w:t>Frequencies are given out of those in the respective samples, assuming the missing data reflects no prescriptions.</w:t>
      </w:r>
      <w:bookmarkStart w:id="348" w:name="_Ref499122127"/>
      <w:bookmarkStart w:id="349" w:name="_Toc500935025"/>
    </w:p>
    <w:p w14:paraId="3E163953" w14:textId="4267BFF9" w:rsidR="00165F9D" w:rsidRPr="00563AD3" w:rsidRDefault="00E07CDE" w:rsidP="006C0B32">
      <w:pPr>
        <w:pStyle w:val="Tableheading"/>
        <w:rPr>
          <w:rFonts w:eastAsia="Calibri"/>
          <w:lang w:eastAsia="en-US"/>
        </w:rPr>
      </w:pPr>
      <w:bookmarkStart w:id="350" w:name="_Toc948256"/>
      <w:r w:rsidRPr="00FD3A24">
        <w:rPr>
          <w:rFonts w:eastAsia="Calibri"/>
          <w:lang w:eastAsia="en-US"/>
        </w:rPr>
        <w:t xml:space="preserve">Table </w:t>
      </w:r>
      <w:bookmarkEnd w:id="348"/>
      <w:r w:rsidR="005B29F6" w:rsidRPr="00FD3A24">
        <w:rPr>
          <w:rFonts w:eastAsia="Calibri"/>
          <w:lang w:eastAsia="en-US"/>
        </w:rPr>
        <w:t>59</w:t>
      </w:r>
      <w:r w:rsidR="005B29F6" w:rsidRPr="00563AD3">
        <w:rPr>
          <w:rFonts w:eastAsia="Calibri"/>
          <w:lang w:eastAsia="en-US"/>
        </w:rPr>
        <w:t xml:space="preserve"> </w:t>
      </w:r>
      <w:r w:rsidRPr="00563AD3">
        <w:rPr>
          <w:rFonts w:eastAsia="Calibri"/>
          <w:lang w:eastAsia="en-US"/>
        </w:rPr>
        <w:t>Number of closed-cohort and cross-sectional cohort residents presc</w:t>
      </w:r>
      <w:r w:rsidR="000D3E11">
        <w:rPr>
          <w:rFonts w:eastAsia="Calibri"/>
          <w:lang w:eastAsia="en-US"/>
        </w:rPr>
        <w:t>ribed regular medications at 16-</w:t>
      </w:r>
      <w:r w:rsidRPr="00563AD3">
        <w:rPr>
          <w:rFonts w:eastAsia="Calibri"/>
          <w:lang w:eastAsia="en-US"/>
        </w:rPr>
        <w:t>months</w:t>
      </w:r>
      <w:bookmarkEnd w:id="349"/>
      <w:bookmarkEnd w:id="35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88"/>
        <w:gridCol w:w="1343"/>
        <w:gridCol w:w="1569"/>
        <w:gridCol w:w="1570"/>
        <w:gridCol w:w="1569"/>
        <w:gridCol w:w="1570"/>
        <w:gridCol w:w="1569"/>
        <w:gridCol w:w="1570"/>
      </w:tblGrid>
      <w:tr w:rsidR="00E07CDE" w:rsidRPr="00EE49FD" w14:paraId="3F873461" w14:textId="77777777" w:rsidTr="00C163F3">
        <w:trPr>
          <w:cantSplit/>
          <w:tblHeader/>
        </w:trPr>
        <w:tc>
          <w:tcPr>
            <w:tcW w:w="4531" w:type="dxa"/>
            <w:gridSpan w:val="2"/>
            <w:shd w:val="clear" w:color="auto" w:fill="FFFFFF"/>
            <w:tcMar>
              <w:left w:w="67" w:type="dxa"/>
              <w:right w:w="67" w:type="dxa"/>
            </w:tcMar>
            <w:vAlign w:val="bottom"/>
          </w:tcPr>
          <w:p w14:paraId="10E7B23A" w14:textId="77777777" w:rsidR="00E07CDE" w:rsidRPr="00EE49FD" w:rsidRDefault="00E07CDE" w:rsidP="006C0B32">
            <w:pPr>
              <w:keepNext/>
              <w:spacing w:before="67" w:after="67" w:line="240" w:lineRule="auto"/>
              <w:jc w:val="center"/>
              <w:rPr>
                <w:rFonts w:eastAsia="Times New Roman"/>
                <w:b/>
                <w:bCs/>
                <w:color w:val="000000"/>
                <w:sz w:val="20"/>
                <w:szCs w:val="20"/>
              </w:rPr>
            </w:pPr>
          </w:p>
        </w:tc>
        <w:tc>
          <w:tcPr>
            <w:tcW w:w="9417" w:type="dxa"/>
            <w:gridSpan w:val="6"/>
            <w:shd w:val="clear" w:color="auto" w:fill="FFFFFF"/>
            <w:tcMar>
              <w:left w:w="67" w:type="dxa"/>
              <w:right w:w="67" w:type="dxa"/>
            </w:tcMar>
            <w:vAlign w:val="bottom"/>
          </w:tcPr>
          <w:p w14:paraId="23AD0435" w14:textId="2AE305A7" w:rsidR="00E07CDE" w:rsidRPr="00EE49FD" w:rsidRDefault="00E07CDE" w:rsidP="006C0B32">
            <w:pPr>
              <w:keepNext/>
              <w:spacing w:before="67" w:after="67" w:line="240" w:lineRule="auto"/>
              <w:jc w:val="center"/>
              <w:rPr>
                <w:rFonts w:eastAsia="Times New Roman"/>
                <w:b/>
                <w:bCs/>
                <w:color w:val="000000"/>
                <w:sz w:val="20"/>
                <w:szCs w:val="20"/>
              </w:rPr>
            </w:pPr>
            <w:r w:rsidRPr="00EE49FD">
              <w:rPr>
                <w:rFonts w:eastAsia="Times New Roman"/>
                <w:b/>
                <w:bCs/>
                <w:color w:val="000000"/>
                <w:sz w:val="20"/>
                <w:szCs w:val="20"/>
              </w:rPr>
              <w:t>Prescription of regular medications - 16</w:t>
            </w:r>
            <w:r w:rsidR="00B80810">
              <w:rPr>
                <w:rFonts w:eastAsia="Times New Roman"/>
                <w:b/>
                <w:bCs/>
                <w:color w:val="000000"/>
                <w:sz w:val="20"/>
                <w:szCs w:val="20"/>
              </w:rPr>
              <w:t>-months</w:t>
            </w:r>
            <w:r w:rsidRPr="00EE49FD">
              <w:rPr>
                <w:rFonts w:eastAsia="Times New Roman"/>
                <w:b/>
                <w:bCs/>
                <w:color w:val="000000"/>
                <w:sz w:val="20"/>
                <w:szCs w:val="20"/>
              </w:rPr>
              <w:t xml:space="preserve"> only</w:t>
            </w:r>
          </w:p>
        </w:tc>
      </w:tr>
      <w:tr w:rsidR="00E07CDE" w:rsidRPr="00EE49FD" w14:paraId="63492B87" w14:textId="77777777" w:rsidTr="00C163F3">
        <w:trPr>
          <w:cantSplit/>
          <w:tblHeader/>
        </w:trPr>
        <w:tc>
          <w:tcPr>
            <w:tcW w:w="4531" w:type="dxa"/>
            <w:gridSpan w:val="2"/>
            <w:tcBorders>
              <w:bottom w:val="nil"/>
            </w:tcBorders>
            <w:shd w:val="clear" w:color="auto" w:fill="FFFFFF"/>
            <w:tcMar>
              <w:left w:w="67" w:type="dxa"/>
              <w:right w:w="67" w:type="dxa"/>
            </w:tcMar>
            <w:vAlign w:val="bottom"/>
          </w:tcPr>
          <w:p w14:paraId="40F13FE2" w14:textId="77777777" w:rsidR="00E07CDE" w:rsidRPr="00EE49FD" w:rsidRDefault="00E07CDE" w:rsidP="006C0B32">
            <w:pPr>
              <w:keepNext/>
              <w:spacing w:before="67" w:after="67" w:line="240" w:lineRule="auto"/>
              <w:jc w:val="center"/>
              <w:rPr>
                <w:rFonts w:eastAsia="Times New Roman"/>
                <w:b/>
                <w:bCs/>
                <w:color w:val="000000"/>
                <w:sz w:val="20"/>
                <w:szCs w:val="20"/>
              </w:rPr>
            </w:pPr>
          </w:p>
        </w:tc>
        <w:tc>
          <w:tcPr>
            <w:tcW w:w="4708" w:type="dxa"/>
            <w:gridSpan w:val="3"/>
            <w:tcBorders>
              <w:bottom w:val="nil"/>
            </w:tcBorders>
            <w:shd w:val="clear" w:color="auto" w:fill="FFFFFF"/>
            <w:tcMar>
              <w:left w:w="67" w:type="dxa"/>
              <w:right w:w="67" w:type="dxa"/>
            </w:tcMar>
            <w:vAlign w:val="bottom"/>
          </w:tcPr>
          <w:p w14:paraId="022CA85B" w14:textId="6B444E6F" w:rsidR="00E07CDE" w:rsidRPr="00EE49FD" w:rsidRDefault="000D3E11" w:rsidP="006C0B32">
            <w:pPr>
              <w:keepNext/>
              <w:spacing w:before="67" w:after="67" w:line="240" w:lineRule="auto"/>
              <w:jc w:val="center"/>
              <w:rPr>
                <w:rFonts w:eastAsia="Times New Roman"/>
                <w:b/>
                <w:bCs/>
                <w:color w:val="000000"/>
                <w:sz w:val="20"/>
                <w:szCs w:val="20"/>
              </w:rPr>
            </w:pPr>
            <w:r>
              <w:rPr>
                <w:rFonts w:eastAsia="Times New Roman"/>
                <w:b/>
                <w:bCs/>
                <w:color w:val="000000"/>
                <w:sz w:val="20"/>
                <w:szCs w:val="20"/>
              </w:rPr>
              <w:t>16-</w:t>
            </w:r>
            <w:r w:rsidR="00E07CDE" w:rsidRPr="00EE49FD">
              <w:rPr>
                <w:rFonts w:eastAsia="Times New Roman"/>
                <w:b/>
                <w:bCs/>
                <w:color w:val="000000"/>
                <w:sz w:val="20"/>
                <w:szCs w:val="20"/>
              </w:rPr>
              <w:t>months</w:t>
            </w:r>
            <w:r w:rsidR="00E07CDE" w:rsidRPr="00EE49FD">
              <w:rPr>
                <w:rFonts w:eastAsia="Times New Roman"/>
                <w:b/>
                <w:bCs/>
                <w:color w:val="000000"/>
                <w:sz w:val="20"/>
                <w:szCs w:val="20"/>
              </w:rPr>
              <w:br/>
              <w:t>original cohort</w:t>
            </w:r>
          </w:p>
        </w:tc>
        <w:tc>
          <w:tcPr>
            <w:tcW w:w="4709" w:type="dxa"/>
            <w:gridSpan w:val="3"/>
            <w:tcBorders>
              <w:bottom w:val="nil"/>
            </w:tcBorders>
            <w:shd w:val="clear" w:color="auto" w:fill="FFFFFF"/>
            <w:tcMar>
              <w:left w:w="67" w:type="dxa"/>
              <w:right w:w="67" w:type="dxa"/>
            </w:tcMar>
            <w:vAlign w:val="bottom"/>
          </w:tcPr>
          <w:p w14:paraId="06436A14" w14:textId="1AB58611" w:rsidR="00E07CDE" w:rsidRPr="00EE49FD" w:rsidRDefault="000D3E11" w:rsidP="006C0B32">
            <w:pPr>
              <w:keepNext/>
              <w:spacing w:before="67" w:after="67" w:line="240" w:lineRule="auto"/>
              <w:jc w:val="center"/>
              <w:rPr>
                <w:rFonts w:eastAsia="Times New Roman"/>
                <w:b/>
                <w:bCs/>
                <w:color w:val="000000"/>
                <w:sz w:val="20"/>
                <w:szCs w:val="20"/>
              </w:rPr>
            </w:pPr>
            <w:r>
              <w:rPr>
                <w:rFonts w:eastAsia="Times New Roman"/>
                <w:b/>
                <w:bCs/>
                <w:color w:val="000000"/>
                <w:sz w:val="20"/>
                <w:szCs w:val="20"/>
              </w:rPr>
              <w:t>16-</w:t>
            </w:r>
            <w:r w:rsidR="00E07CDE" w:rsidRPr="00EE49FD">
              <w:rPr>
                <w:rFonts w:eastAsia="Times New Roman"/>
                <w:b/>
                <w:bCs/>
                <w:color w:val="000000"/>
                <w:sz w:val="20"/>
                <w:szCs w:val="20"/>
              </w:rPr>
              <w:t>months</w:t>
            </w:r>
            <w:r w:rsidR="00E07CDE" w:rsidRPr="00EE49FD">
              <w:rPr>
                <w:rFonts w:eastAsia="Times New Roman"/>
                <w:b/>
                <w:bCs/>
                <w:color w:val="000000"/>
                <w:sz w:val="20"/>
                <w:szCs w:val="20"/>
              </w:rPr>
              <w:br/>
              <w:t>cross-sectional cohort</w:t>
            </w:r>
          </w:p>
        </w:tc>
      </w:tr>
      <w:tr w:rsidR="00E07CDE" w:rsidRPr="00EE49FD" w14:paraId="66958872" w14:textId="77777777" w:rsidTr="00C163F3">
        <w:trPr>
          <w:cantSplit/>
          <w:tblHeader/>
        </w:trPr>
        <w:tc>
          <w:tcPr>
            <w:tcW w:w="4531" w:type="dxa"/>
            <w:gridSpan w:val="2"/>
            <w:tcBorders>
              <w:top w:val="nil"/>
              <w:bottom w:val="single" w:sz="4" w:space="0" w:color="auto"/>
            </w:tcBorders>
            <w:shd w:val="clear" w:color="auto" w:fill="FFFFFF"/>
            <w:tcMar>
              <w:left w:w="67" w:type="dxa"/>
              <w:right w:w="67" w:type="dxa"/>
            </w:tcMar>
            <w:vAlign w:val="bottom"/>
          </w:tcPr>
          <w:p w14:paraId="0917B59A" w14:textId="11922FED" w:rsidR="00E07CDE" w:rsidRPr="00EE49FD" w:rsidRDefault="00E07CDE" w:rsidP="00951B6E">
            <w:pPr>
              <w:keepNext/>
              <w:spacing w:before="67" w:after="67" w:line="240" w:lineRule="auto"/>
              <w:rPr>
                <w:rFonts w:eastAsia="Times New Roman"/>
                <w:b/>
                <w:bCs/>
                <w:color w:val="000000"/>
                <w:sz w:val="20"/>
                <w:szCs w:val="20"/>
              </w:rPr>
            </w:pPr>
            <w:r w:rsidRPr="00EE49FD">
              <w:rPr>
                <w:rFonts w:eastAsia="Times New Roman"/>
                <w:b/>
                <w:bCs/>
                <w:color w:val="000000"/>
                <w:sz w:val="20"/>
                <w:szCs w:val="20"/>
              </w:rPr>
              <w:t>N (%</w:t>
            </w:r>
            <w:r w:rsidR="00951B6E">
              <w:rPr>
                <w:rFonts w:eastAsia="Times New Roman"/>
                <w:b/>
                <w:bCs/>
                <w:color w:val="000000"/>
                <w:sz w:val="20"/>
                <w:szCs w:val="20"/>
              </w:rPr>
              <w:t xml:space="preserve"> sample</w:t>
            </w:r>
            <w:r w:rsidRPr="00EE49FD">
              <w:rPr>
                <w:rFonts w:eastAsia="Times New Roman"/>
                <w:b/>
                <w:bCs/>
                <w:color w:val="000000"/>
                <w:sz w:val="20"/>
                <w:szCs w:val="20"/>
              </w:rPr>
              <w:t>)</w:t>
            </w:r>
          </w:p>
        </w:tc>
        <w:tc>
          <w:tcPr>
            <w:tcW w:w="1569" w:type="dxa"/>
            <w:tcBorders>
              <w:top w:val="nil"/>
              <w:bottom w:val="single" w:sz="4" w:space="0" w:color="auto"/>
            </w:tcBorders>
            <w:shd w:val="clear" w:color="auto" w:fill="FFFFFF"/>
            <w:tcMar>
              <w:left w:w="67" w:type="dxa"/>
              <w:right w:w="67" w:type="dxa"/>
            </w:tcMar>
            <w:vAlign w:val="bottom"/>
          </w:tcPr>
          <w:p w14:paraId="6D9E77C9" w14:textId="77777777" w:rsidR="00E07CDE" w:rsidRPr="00EE49FD" w:rsidRDefault="00E07CDE" w:rsidP="006C0B32">
            <w:pPr>
              <w:keepNext/>
              <w:spacing w:before="67" w:after="67" w:line="240" w:lineRule="auto"/>
              <w:jc w:val="right"/>
              <w:rPr>
                <w:rFonts w:eastAsia="Times New Roman"/>
                <w:b/>
                <w:bCs/>
                <w:color w:val="000000"/>
                <w:sz w:val="20"/>
                <w:szCs w:val="20"/>
              </w:rPr>
            </w:pPr>
            <w:r w:rsidRPr="00EE49FD">
              <w:rPr>
                <w:rFonts w:eastAsia="Times New Roman"/>
                <w:b/>
                <w:bCs/>
                <w:color w:val="000000"/>
                <w:sz w:val="20"/>
                <w:szCs w:val="20"/>
              </w:rPr>
              <w:t>Control</w:t>
            </w:r>
            <w:r w:rsidRPr="00EE49FD">
              <w:rPr>
                <w:rFonts w:eastAsia="Times New Roman"/>
                <w:b/>
                <w:bCs/>
                <w:color w:val="000000"/>
                <w:sz w:val="20"/>
                <w:szCs w:val="20"/>
              </w:rPr>
              <w:br/>
              <w:t>(n = 308)</w:t>
            </w:r>
          </w:p>
        </w:tc>
        <w:tc>
          <w:tcPr>
            <w:tcW w:w="1570" w:type="dxa"/>
            <w:tcBorders>
              <w:top w:val="nil"/>
              <w:bottom w:val="single" w:sz="4" w:space="0" w:color="auto"/>
            </w:tcBorders>
            <w:shd w:val="clear" w:color="auto" w:fill="FFFFFF"/>
            <w:tcMar>
              <w:left w:w="67" w:type="dxa"/>
              <w:right w:w="67" w:type="dxa"/>
            </w:tcMar>
            <w:vAlign w:val="bottom"/>
          </w:tcPr>
          <w:p w14:paraId="7366459D" w14:textId="77777777" w:rsidR="00E07CDE" w:rsidRPr="00EE49FD" w:rsidRDefault="00E07CDE" w:rsidP="006C0B32">
            <w:pPr>
              <w:keepNext/>
              <w:spacing w:before="67" w:after="67" w:line="240" w:lineRule="auto"/>
              <w:jc w:val="right"/>
              <w:rPr>
                <w:rFonts w:eastAsia="Times New Roman"/>
                <w:b/>
                <w:bCs/>
                <w:color w:val="000000"/>
                <w:sz w:val="20"/>
                <w:szCs w:val="20"/>
              </w:rPr>
            </w:pPr>
            <w:r w:rsidRPr="00EE49FD">
              <w:rPr>
                <w:rFonts w:eastAsia="Times New Roman"/>
                <w:b/>
                <w:bCs/>
                <w:color w:val="000000"/>
                <w:sz w:val="20"/>
                <w:szCs w:val="20"/>
              </w:rPr>
              <w:t>Intervention</w:t>
            </w:r>
            <w:r w:rsidRPr="00EE49FD">
              <w:rPr>
                <w:rFonts w:eastAsia="Times New Roman"/>
                <w:b/>
                <w:bCs/>
                <w:color w:val="000000"/>
                <w:sz w:val="20"/>
                <w:szCs w:val="20"/>
              </w:rPr>
              <w:br/>
              <w:t>(n = 418)</w:t>
            </w:r>
          </w:p>
        </w:tc>
        <w:tc>
          <w:tcPr>
            <w:tcW w:w="1569" w:type="dxa"/>
            <w:tcBorders>
              <w:top w:val="nil"/>
              <w:bottom w:val="single" w:sz="4" w:space="0" w:color="auto"/>
            </w:tcBorders>
            <w:shd w:val="clear" w:color="auto" w:fill="FFFFFF"/>
            <w:tcMar>
              <w:left w:w="67" w:type="dxa"/>
              <w:right w:w="67" w:type="dxa"/>
            </w:tcMar>
            <w:vAlign w:val="bottom"/>
          </w:tcPr>
          <w:p w14:paraId="358991F2" w14:textId="77777777" w:rsidR="00E07CDE" w:rsidRPr="00EE49FD" w:rsidRDefault="00E07CDE" w:rsidP="006C0B32">
            <w:pPr>
              <w:keepNext/>
              <w:spacing w:before="67" w:after="67" w:line="240" w:lineRule="auto"/>
              <w:jc w:val="right"/>
              <w:rPr>
                <w:rFonts w:eastAsia="Times New Roman"/>
                <w:b/>
                <w:bCs/>
                <w:color w:val="000000"/>
                <w:sz w:val="20"/>
                <w:szCs w:val="20"/>
              </w:rPr>
            </w:pPr>
            <w:r w:rsidRPr="00EE49FD">
              <w:rPr>
                <w:rFonts w:eastAsia="Times New Roman"/>
                <w:b/>
                <w:bCs/>
                <w:color w:val="000000"/>
                <w:sz w:val="20"/>
                <w:szCs w:val="20"/>
              </w:rPr>
              <w:t>Total</w:t>
            </w:r>
            <w:r w:rsidRPr="00EE49FD">
              <w:rPr>
                <w:rFonts w:eastAsia="Times New Roman"/>
                <w:b/>
                <w:bCs/>
                <w:color w:val="000000"/>
                <w:sz w:val="20"/>
                <w:szCs w:val="20"/>
              </w:rPr>
              <w:br/>
              <w:t>(n = 726)</w:t>
            </w:r>
          </w:p>
        </w:tc>
        <w:tc>
          <w:tcPr>
            <w:tcW w:w="1570" w:type="dxa"/>
            <w:tcBorders>
              <w:top w:val="nil"/>
              <w:bottom w:val="single" w:sz="4" w:space="0" w:color="auto"/>
            </w:tcBorders>
            <w:shd w:val="clear" w:color="auto" w:fill="FFFFFF"/>
            <w:tcMar>
              <w:left w:w="67" w:type="dxa"/>
              <w:right w:w="67" w:type="dxa"/>
            </w:tcMar>
            <w:vAlign w:val="bottom"/>
          </w:tcPr>
          <w:p w14:paraId="79B0B8C4" w14:textId="77777777" w:rsidR="00E07CDE" w:rsidRPr="00EE49FD" w:rsidRDefault="00E07CDE" w:rsidP="006C0B32">
            <w:pPr>
              <w:keepNext/>
              <w:spacing w:before="67" w:after="67" w:line="240" w:lineRule="auto"/>
              <w:jc w:val="right"/>
              <w:rPr>
                <w:rFonts w:eastAsia="Times New Roman"/>
                <w:b/>
                <w:bCs/>
                <w:color w:val="000000"/>
                <w:sz w:val="20"/>
                <w:szCs w:val="20"/>
              </w:rPr>
            </w:pPr>
            <w:r w:rsidRPr="00EE49FD">
              <w:rPr>
                <w:rFonts w:eastAsia="Times New Roman"/>
                <w:b/>
                <w:bCs/>
                <w:color w:val="000000"/>
                <w:sz w:val="20"/>
                <w:szCs w:val="20"/>
              </w:rPr>
              <w:t>Control</w:t>
            </w:r>
            <w:r w:rsidRPr="00EE49FD">
              <w:rPr>
                <w:rFonts w:eastAsia="Times New Roman"/>
                <w:b/>
                <w:bCs/>
                <w:color w:val="000000"/>
                <w:sz w:val="20"/>
                <w:szCs w:val="20"/>
              </w:rPr>
              <w:br/>
              <w:t>(n = 287)</w:t>
            </w:r>
          </w:p>
        </w:tc>
        <w:tc>
          <w:tcPr>
            <w:tcW w:w="1569" w:type="dxa"/>
            <w:tcBorders>
              <w:top w:val="nil"/>
              <w:bottom w:val="single" w:sz="4" w:space="0" w:color="auto"/>
            </w:tcBorders>
            <w:shd w:val="clear" w:color="auto" w:fill="FFFFFF"/>
            <w:tcMar>
              <w:left w:w="67" w:type="dxa"/>
              <w:right w:w="67" w:type="dxa"/>
            </w:tcMar>
            <w:vAlign w:val="bottom"/>
          </w:tcPr>
          <w:p w14:paraId="0BAD3ED4" w14:textId="77777777" w:rsidR="00E07CDE" w:rsidRPr="00EE49FD" w:rsidRDefault="00E07CDE" w:rsidP="006C0B32">
            <w:pPr>
              <w:keepNext/>
              <w:spacing w:before="67" w:after="67" w:line="240" w:lineRule="auto"/>
              <w:jc w:val="right"/>
              <w:rPr>
                <w:rFonts w:eastAsia="Times New Roman"/>
                <w:b/>
                <w:bCs/>
                <w:color w:val="000000"/>
                <w:sz w:val="20"/>
                <w:szCs w:val="20"/>
              </w:rPr>
            </w:pPr>
            <w:r w:rsidRPr="00EE49FD">
              <w:rPr>
                <w:rFonts w:eastAsia="Times New Roman"/>
                <w:b/>
                <w:bCs/>
                <w:color w:val="000000"/>
                <w:sz w:val="20"/>
                <w:szCs w:val="20"/>
              </w:rPr>
              <w:t>Intervention</w:t>
            </w:r>
            <w:r w:rsidRPr="00EE49FD">
              <w:rPr>
                <w:rFonts w:eastAsia="Times New Roman"/>
                <w:b/>
                <w:bCs/>
                <w:color w:val="000000"/>
                <w:sz w:val="20"/>
                <w:szCs w:val="20"/>
              </w:rPr>
              <w:br/>
              <w:t>(n = 388)</w:t>
            </w:r>
          </w:p>
        </w:tc>
        <w:tc>
          <w:tcPr>
            <w:tcW w:w="1570" w:type="dxa"/>
            <w:tcBorders>
              <w:top w:val="nil"/>
              <w:bottom w:val="single" w:sz="4" w:space="0" w:color="auto"/>
            </w:tcBorders>
            <w:shd w:val="clear" w:color="auto" w:fill="FFFFFF"/>
            <w:tcMar>
              <w:left w:w="67" w:type="dxa"/>
              <w:right w:w="67" w:type="dxa"/>
            </w:tcMar>
            <w:vAlign w:val="bottom"/>
          </w:tcPr>
          <w:p w14:paraId="104FF5CE" w14:textId="77777777" w:rsidR="00E07CDE" w:rsidRPr="00EE49FD" w:rsidRDefault="00E07CDE" w:rsidP="006C0B32">
            <w:pPr>
              <w:keepNext/>
              <w:spacing w:before="67" w:after="67" w:line="240" w:lineRule="auto"/>
              <w:jc w:val="right"/>
              <w:rPr>
                <w:rFonts w:eastAsia="Times New Roman"/>
                <w:b/>
                <w:bCs/>
                <w:color w:val="000000"/>
                <w:sz w:val="20"/>
                <w:szCs w:val="20"/>
              </w:rPr>
            </w:pPr>
            <w:r w:rsidRPr="00EE49FD">
              <w:rPr>
                <w:rFonts w:eastAsia="Times New Roman"/>
                <w:b/>
                <w:bCs/>
                <w:color w:val="000000"/>
                <w:sz w:val="20"/>
                <w:szCs w:val="20"/>
              </w:rPr>
              <w:t>Total</w:t>
            </w:r>
            <w:r w:rsidRPr="00EE49FD">
              <w:rPr>
                <w:rFonts w:eastAsia="Times New Roman"/>
                <w:b/>
                <w:bCs/>
                <w:color w:val="000000"/>
                <w:sz w:val="20"/>
                <w:szCs w:val="20"/>
              </w:rPr>
              <w:br/>
              <w:t>(n = 675)</w:t>
            </w:r>
          </w:p>
        </w:tc>
      </w:tr>
      <w:tr w:rsidR="00E07CDE" w:rsidRPr="00EE49FD" w14:paraId="72D1A08A" w14:textId="77777777" w:rsidTr="00C163F3">
        <w:trPr>
          <w:cantSplit/>
        </w:trPr>
        <w:tc>
          <w:tcPr>
            <w:tcW w:w="0" w:type="auto"/>
            <w:tcBorders>
              <w:top w:val="single" w:sz="4" w:space="0" w:color="auto"/>
            </w:tcBorders>
            <w:shd w:val="clear" w:color="auto" w:fill="FFFFFF"/>
            <w:tcMar>
              <w:left w:w="67" w:type="dxa"/>
              <w:right w:w="67" w:type="dxa"/>
            </w:tcMar>
          </w:tcPr>
          <w:p w14:paraId="11A0687D" w14:textId="77777777" w:rsidR="00E07CDE" w:rsidRPr="00EE49FD" w:rsidRDefault="00E07CDE" w:rsidP="006C0B32">
            <w:pPr>
              <w:spacing w:before="67" w:after="67" w:line="240" w:lineRule="auto"/>
              <w:rPr>
                <w:rFonts w:eastAsia="Times New Roman"/>
                <w:b/>
                <w:bCs/>
                <w:color w:val="000000"/>
                <w:sz w:val="20"/>
                <w:szCs w:val="20"/>
              </w:rPr>
            </w:pPr>
            <w:r w:rsidRPr="00EE49FD">
              <w:rPr>
                <w:rFonts w:eastAsia="Times New Roman"/>
                <w:b/>
                <w:bCs/>
                <w:color w:val="000000"/>
                <w:sz w:val="20"/>
                <w:szCs w:val="20"/>
              </w:rPr>
              <w:t>Antipsychotic</w:t>
            </w:r>
          </w:p>
        </w:tc>
        <w:tc>
          <w:tcPr>
            <w:tcW w:w="1343" w:type="dxa"/>
            <w:tcBorders>
              <w:top w:val="single" w:sz="4" w:space="0" w:color="auto"/>
            </w:tcBorders>
            <w:shd w:val="clear" w:color="auto" w:fill="FFFFFF"/>
            <w:tcMar>
              <w:left w:w="67" w:type="dxa"/>
              <w:right w:w="67" w:type="dxa"/>
            </w:tcMar>
          </w:tcPr>
          <w:p w14:paraId="51D54C8A" w14:textId="77777777" w:rsidR="00E07CDE" w:rsidRPr="00EE49FD" w:rsidRDefault="00E07CDE" w:rsidP="006C0B32">
            <w:pPr>
              <w:spacing w:before="67" w:after="67" w:line="240" w:lineRule="auto"/>
              <w:rPr>
                <w:rFonts w:eastAsia="Times New Roman"/>
                <w:b/>
                <w:bCs/>
                <w:color w:val="000000"/>
                <w:sz w:val="20"/>
                <w:szCs w:val="20"/>
              </w:rPr>
            </w:pPr>
          </w:p>
        </w:tc>
        <w:tc>
          <w:tcPr>
            <w:tcW w:w="1569" w:type="dxa"/>
            <w:tcBorders>
              <w:top w:val="single" w:sz="4" w:space="0" w:color="auto"/>
            </w:tcBorders>
            <w:shd w:val="clear" w:color="auto" w:fill="FFFFFF"/>
            <w:tcMar>
              <w:left w:w="67" w:type="dxa"/>
              <w:right w:w="67" w:type="dxa"/>
            </w:tcMar>
          </w:tcPr>
          <w:p w14:paraId="7EE62EC2" w14:textId="4EAF933E" w:rsidR="00E07CDE" w:rsidRPr="00EE49FD" w:rsidRDefault="00951B6E" w:rsidP="006C0B32">
            <w:pPr>
              <w:spacing w:before="67" w:after="67" w:line="240" w:lineRule="auto"/>
              <w:jc w:val="right"/>
              <w:rPr>
                <w:rFonts w:eastAsia="Times New Roman"/>
                <w:color w:val="000000"/>
                <w:sz w:val="20"/>
                <w:szCs w:val="20"/>
              </w:rPr>
            </w:pPr>
            <w:r>
              <w:rPr>
                <w:rFonts w:eastAsia="Times New Roman"/>
                <w:color w:val="000000"/>
                <w:sz w:val="20"/>
                <w:szCs w:val="20"/>
              </w:rPr>
              <w:t>29</w:t>
            </w:r>
            <w:r w:rsidR="00E07CDE" w:rsidRPr="00EE49FD">
              <w:rPr>
                <w:rFonts w:eastAsia="Times New Roman"/>
                <w:color w:val="000000"/>
                <w:sz w:val="20"/>
                <w:szCs w:val="20"/>
              </w:rPr>
              <w:t xml:space="preserve"> (</w:t>
            </w:r>
            <w:r>
              <w:rPr>
                <w:rFonts w:eastAsia="Times New Roman"/>
                <w:color w:val="000000"/>
                <w:sz w:val="20"/>
                <w:szCs w:val="20"/>
              </w:rPr>
              <w:t>9.4</w:t>
            </w:r>
            <w:r w:rsidR="00E07CDE" w:rsidRPr="00EE49FD">
              <w:rPr>
                <w:rFonts w:eastAsia="Times New Roman"/>
                <w:color w:val="000000"/>
                <w:sz w:val="20"/>
                <w:szCs w:val="20"/>
              </w:rPr>
              <w:t>%)</w:t>
            </w:r>
          </w:p>
        </w:tc>
        <w:tc>
          <w:tcPr>
            <w:tcW w:w="1570" w:type="dxa"/>
            <w:tcBorders>
              <w:top w:val="single" w:sz="4" w:space="0" w:color="auto"/>
            </w:tcBorders>
            <w:shd w:val="clear" w:color="auto" w:fill="FFFFFF"/>
            <w:tcMar>
              <w:left w:w="67" w:type="dxa"/>
              <w:right w:w="67" w:type="dxa"/>
            </w:tcMar>
          </w:tcPr>
          <w:p w14:paraId="5F9CC681" w14:textId="506EF9FD"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27 (</w:t>
            </w:r>
            <w:r w:rsidR="00951B6E">
              <w:rPr>
                <w:rFonts w:eastAsia="Times New Roman"/>
                <w:color w:val="000000"/>
                <w:sz w:val="20"/>
                <w:szCs w:val="20"/>
              </w:rPr>
              <w:t>6.5</w:t>
            </w:r>
            <w:r w:rsidRPr="00EE49FD">
              <w:rPr>
                <w:rFonts w:eastAsia="Times New Roman"/>
                <w:color w:val="000000"/>
                <w:sz w:val="20"/>
                <w:szCs w:val="20"/>
              </w:rPr>
              <w:t>%)</w:t>
            </w:r>
          </w:p>
        </w:tc>
        <w:tc>
          <w:tcPr>
            <w:tcW w:w="1569" w:type="dxa"/>
            <w:tcBorders>
              <w:top w:val="single" w:sz="4" w:space="0" w:color="auto"/>
            </w:tcBorders>
            <w:shd w:val="clear" w:color="auto" w:fill="FFFFFF"/>
            <w:tcMar>
              <w:left w:w="67" w:type="dxa"/>
              <w:right w:w="67" w:type="dxa"/>
            </w:tcMar>
          </w:tcPr>
          <w:p w14:paraId="1C7830C9" w14:textId="16129114"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5</w:t>
            </w:r>
            <w:r w:rsidR="00951B6E">
              <w:rPr>
                <w:rFonts w:eastAsia="Times New Roman"/>
                <w:color w:val="000000"/>
                <w:sz w:val="20"/>
                <w:szCs w:val="20"/>
              </w:rPr>
              <w:t>6</w:t>
            </w:r>
            <w:r w:rsidRPr="00EE49FD">
              <w:rPr>
                <w:rFonts w:eastAsia="Times New Roman"/>
                <w:color w:val="000000"/>
                <w:sz w:val="20"/>
                <w:szCs w:val="20"/>
              </w:rPr>
              <w:t xml:space="preserve"> (</w:t>
            </w:r>
            <w:r w:rsidR="00951B6E">
              <w:rPr>
                <w:rFonts w:eastAsia="Times New Roman"/>
                <w:color w:val="000000"/>
                <w:sz w:val="20"/>
                <w:szCs w:val="20"/>
              </w:rPr>
              <w:t>7.7</w:t>
            </w:r>
            <w:r w:rsidRPr="00EE49FD">
              <w:rPr>
                <w:rFonts w:eastAsia="Times New Roman"/>
                <w:color w:val="000000"/>
                <w:sz w:val="20"/>
                <w:szCs w:val="20"/>
              </w:rPr>
              <w:t>%)</w:t>
            </w:r>
          </w:p>
        </w:tc>
        <w:tc>
          <w:tcPr>
            <w:tcW w:w="1570" w:type="dxa"/>
            <w:tcBorders>
              <w:top w:val="single" w:sz="4" w:space="0" w:color="auto"/>
            </w:tcBorders>
            <w:shd w:val="clear" w:color="auto" w:fill="FFFFFF"/>
            <w:tcMar>
              <w:left w:w="67" w:type="dxa"/>
              <w:right w:w="67" w:type="dxa"/>
            </w:tcMar>
          </w:tcPr>
          <w:p w14:paraId="49F45467" w14:textId="5FFD1530"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4</w:t>
            </w:r>
            <w:r w:rsidR="003F55E7">
              <w:rPr>
                <w:rFonts w:eastAsia="Times New Roman"/>
                <w:color w:val="000000"/>
                <w:sz w:val="20"/>
                <w:szCs w:val="20"/>
              </w:rPr>
              <w:t>1</w:t>
            </w:r>
            <w:r w:rsidRPr="00EE49FD">
              <w:rPr>
                <w:rFonts w:eastAsia="Times New Roman"/>
                <w:color w:val="000000"/>
                <w:sz w:val="20"/>
                <w:szCs w:val="20"/>
              </w:rPr>
              <w:t xml:space="preserve"> (1</w:t>
            </w:r>
            <w:r w:rsidR="003F55E7">
              <w:rPr>
                <w:rFonts w:eastAsia="Times New Roman"/>
                <w:color w:val="000000"/>
                <w:sz w:val="20"/>
                <w:szCs w:val="20"/>
              </w:rPr>
              <w:t>4.3</w:t>
            </w:r>
            <w:r w:rsidRPr="00EE49FD">
              <w:rPr>
                <w:rFonts w:eastAsia="Times New Roman"/>
                <w:color w:val="000000"/>
                <w:sz w:val="20"/>
                <w:szCs w:val="20"/>
              </w:rPr>
              <w:t>%)</w:t>
            </w:r>
          </w:p>
        </w:tc>
        <w:tc>
          <w:tcPr>
            <w:tcW w:w="1569" w:type="dxa"/>
            <w:tcBorders>
              <w:top w:val="single" w:sz="4" w:space="0" w:color="auto"/>
            </w:tcBorders>
            <w:shd w:val="clear" w:color="auto" w:fill="FFFFFF"/>
            <w:tcMar>
              <w:left w:w="67" w:type="dxa"/>
              <w:right w:w="67" w:type="dxa"/>
            </w:tcMar>
          </w:tcPr>
          <w:p w14:paraId="3D56D4E6" w14:textId="4FC44899"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46 (1</w:t>
            </w:r>
            <w:r w:rsidR="003F55E7">
              <w:rPr>
                <w:rFonts w:eastAsia="Times New Roman"/>
                <w:color w:val="000000"/>
                <w:sz w:val="20"/>
                <w:szCs w:val="20"/>
              </w:rPr>
              <w:t>1.9</w:t>
            </w:r>
            <w:r w:rsidRPr="00EE49FD">
              <w:rPr>
                <w:rFonts w:eastAsia="Times New Roman"/>
                <w:color w:val="000000"/>
                <w:sz w:val="20"/>
                <w:szCs w:val="20"/>
              </w:rPr>
              <w:t>%)</w:t>
            </w:r>
          </w:p>
        </w:tc>
        <w:tc>
          <w:tcPr>
            <w:tcW w:w="1570" w:type="dxa"/>
            <w:tcBorders>
              <w:top w:val="single" w:sz="4" w:space="0" w:color="auto"/>
            </w:tcBorders>
            <w:shd w:val="clear" w:color="auto" w:fill="FFFFFF"/>
            <w:tcMar>
              <w:left w:w="67" w:type="dxa"/>
              <w:right w:w="67" w:type="dxa"/>
            </w:tcMar>
          </w:tcPr>
          <w:p w14:paraId="47326175" w14:textId="2DDD5E44"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8</w:t>
            </w:r>
            <w:r w:rsidR="003F55E7">
              <w:rPr>
                <w:rFonts w:eastAsia="Times New Roman"/>
                <w:color w:val="000000"/>
                <w:sz w:val="20"/>
                <w:szCs w:val="20"/>
              </w:rPr>
              <w:t>7</w:t>
            </w:r>
            <w:r w:rsidRPr="00EE49FD">
              <w:rPr>
                <w:rFonts w:eastAsia="Times New Roman"/>
                <w:color w:val="000000"/>
                <w:sz w:val="20"/>
                <w:szCs w:val="20"/>
              </w:rPr>
              <w:t xml:space="preserve"> (1</w:t>
            </w:r>
            <w:r w:rsidR="003F55E7">
              <w:rPr>
                <w:rFonts w:eastAsia="Times New Roman"/>
                <w:color w:val="000000"/>
                <w:sz w:val="20"/>
                <w:szCs w:val="20"/>
              </w:rPr>
              <w:t>2.9</w:t>
            </w:r>
            <w:r w:rsidRPr="00EE49FD">
              <w:rPr>
                <w:rFonts w:eastAsia="Times New Roman"/>
                <w:color w:val="000000"/>
                <w:sz w:val="20"/>
                <w:szCs w:val="20"/>
              </w:rPr>
              <w:t>%)</w:t>
            </w:r>
          </w:p>
        </w:tc>
      </w:tr>
      <w:tr w:rsidR="00E07CDE" w:rsidRPr="00EE49FD" w14:paraId="6B527280" w14:textId="77777777" w:rsidTr="00C163F3">
        <w:trPr>
          <w:cantSplit/>
        </w:trPr>
        <w:tc>
          <w:tcPr>
            <w:tcW w:w="0" w:type="auto"/>
            <w:shd w:val="clear" w:color="auto" w:fill="FFFFFF"/>
            <w:tcMar>
              <w:left w:w="67" w:type="dxa"/>
              <w:right w:w="67" w:type="dxa"/>
            </w:tcMar>
          </w:tcPr>
          <w:p w14:paraId="6F08C292" w14:textId="77777777" w:rsidR="00E07CDE" w:rsidRPr="00EE49FD" w:rsidRDefault="00E07CDE" w:rsidP="006C0B32">
            <w:pPr>
              <w:spacing w:before="67" w:after="67" w:line="240" w:lineRule="auto"/>
              <w:rPr>
                <w:rFonts w:eastAsia="Times New Roman"/>
                <w:b/>
                <w:bCs/>
                <w:color w:val="000000"/>
                <w:sz w:val="20"/>
                <w:szCs w:val="20"/>
              </w:rPr>
            </w:pPr>
            <w:r w:rsidRPr="00EE49FD">
              <w:rPr>
                <w:rFonts w:eastAsia="Times New Roman"/>
                <w:b/>
                <w:bCs/>
                <w:color w:val="000000"/>
                <w:sz w:val="20"/>
                <w:szCs w:val="20"/>
              </w:rPr>
              <w:t>Benzodiazepine</w:t>
            </w:r>
          </w:p>
        </w:tc>
        <w:tc>
          <w:tcPr>
            <w:tcW w:w="1343" w:type="dxa"/>
            <w:shd w:val="clear" w:color="auto" w:fill="FFFFFF"/>
            <w:tcMar>
              <w:left w:w="67" w:type="dxa"/>
              <w:right w:w="67" w:type="dxa"/>
            </w:tcMar>
          </w:tcPr>
          <w:p w14:paraId="3E1D3F5E" w14:textId="77777777" w:rsidR="00E07CDE" w:rsidRPr="00EE49FD" w:rsidRDefault="00E07CDE" w:rsidP="006C0B32">
            <w:pPr>
              <w:spacing w:before="67" w:after="67" w:line="240" w:lineRule="auto"/>
              <w:rPr>
                <w:rFonts w:eastAsia="Times New Roman"/>
                <w:b/>
                <w:bCs/>
                <w:color w:val="000000"/>
                <w:sz w:val="20"/>
                <w:szCs w:val="20"/>
              </w:rPr>
            </w:pPr>
          </w:p>
        </w:tc>
        <w:tc>
          <w:tcPr>
            <w:tcW w:w="1569" w:type="dxa"/>
            <w:shd w:val="clear" w:color="auto" w:fill="FFFFFF"/>
            <w:tcMar>
              <w:left w:w="67" w:type="dxa"/>
              <w:right w:w="67" w:type="dxa"/>
            </w:tcMar>
          </w:tcPr>
          <w:p w14:paraId="0314DB62" w14:textId="70AFBBFC"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11 (</w:t>
            </w:r>
            <w:r w:rsidR="003F55E7">
              <w:rPr>
                <w:rFonts w:eastAsia="Times New Roman"/>
                <w:color w:val="000000"/>
                <w:sz w:val="20"/>
                <w:szCs w:val="20"/>
              </w:rPr>
              <w:t>3.6</w:t>
            </w:r>
            <w:r w:rsidRPr="00EE49FD">
              <w:rPr>
                <w:rFonts w:eastAsia="Times New Roman"/>
                <w:color w:val="000000"/>
                <w:sz w:val="20"/>
                <w:szCs w:val="20"/>
              </w:rPr>
              <w:t>%)</w:t>
            </w:r>
          </w:p>
        </w:tc>
        <w:tc>
          <w:tcPr>
            <w:tcW w:w="1570" w:type="dxa"/>
            <w:shd w:val="clear" w:color="auto" w:fill="FFFFFF"/>
            <w:tcMar>
              <w:left w:w="67" w:type="dxa"/>
              <w:right w:w="67" w:type="dxa"/>
            </w:tcMar>
          </w:tcPr>
          <w:p w14:paraId="5230F719" w14:textId="62F40192" w:rsidR="00E07CDE" w:rsidRPr="00EE49FD" w:rsidRDefault="003F55E7" w:rsidP="00FD3A24">
            <w:pPr>
              <w:spacing w:before="67" w:after="67" w:line="240" w:lineRule="auto"/>
              <w:jc w:val="right"/>
              <w:rPr>
                <w:rFonts w:eastAsia="Times New Roman"/>
                <w:color w:val="000000"/>
                <w:sz w:val="20"/>
                <w:szCs w:val="20"/>
              </w:rPr>
            </w:pPr>
            <w:r>
              <w:rPr>
                <w:rFonts w:eastAsia="Times New Roman"/>
                <w:color w:val="000000"/>
                <w:sz w:val="20"/>
                <w:szCs w:val="20"/>
              </w:rPr>
              <w:t>9</w:t>
            </w:r>
            <w:r w:rsidR="00E07CDE" w:rsidRPr="00EE49FD">
              <w:rPr>
                <w:rFonts w:eastAsia="Times New Roman"/>
                <w:color w:val="000000"/>
                <w:sz w:val="20"/>
                <w:szCs w:val="20"/>
              </w:rPr>
              <w:t xml:space="preserve"> (</w:t>
            </w:r>
            <w:r>
              <w:rPr>
                <w:rFonts w:eastAsia="Times New Roman"/>
                <w:color w:val="000000"/>
                <w:sz w:val="20"/>
                <w:szCs w:val="20"/>
              </w:rPr>
              <w:t>2.2</w:t>
            </w:r>
            <w:r w:rsidR="00E07CDE" w:rsidRPr="00EE49FD">
              <w:rPr>
                <w:rFonts w:eastAsia="Times New Roman"/>
                <w:color w:val="000000"/>
                <w:sz w:val="20"/>
                <w:szCs w:val="20"/>
              </w:rPr>
              <w:t>%)</w:t>
            </w:r>
          </w:p>
        </w:tc>
        <w:tc>
          <w:tcPr>
            <w:tcW w:w="1569" w:type="dxa"/>
            <w:shd w:val="clear" w:color="auto" w:fill="FFFFFF"/>
            <w:tcMar>
              <w:left w:w="67" w:type="dxa"/>
              <w:right w:w="67" w:type="dxa"/>
            </w:tcMar>
          </w:tcPr>
          <w:p w14:paraId="3B845247" w14:textId="535BA845"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2</w:t>
            </w:r>
            <w:r w:rsidR="003F55E7">
              <w:rPr>
                <w:rFonts w:eastAsia="Times New Roman"/>
                <w:color w:val="000000"/>
                <w:sz w:val="20"/>
                <w:szCs w:val="20"/>
              </w:rPr>
              <w:t>0</w:t>
            </w:r>
            <w:r w:rsidRPr="00EE49FD">
              <w:rPr>
                <w:rFonts w:eastAsia="Times New Roman"/>
                <w:color w:val="000000"/>
                <w:sz w:val="20"/>
                <w:szCs w:val="20"/>
              </w:rPr>
              <w:t xml:space="preserve"> (</w:t>
            </w:r>
            <w:r w:rsidR="003F55E7">
              <w:rPr>
                <w:rFonts w:eastAsia="Times New Roman"/>
                <w:color w:val="000000"/>
                <w:sz w:val="20"/>
                <w:szCs w:val="20"/>
              </w:rPr>
              <w:t>2.8</w:t>
            </w:r>
            <w:r w:rsidRPr="00EE49FD">
              <w:rPr>
                <w:rFonts w:eastAsia="Times New Roman"/>
                <w:color w:val="000000"/>
                <w:sz w:val="20"/>
                <w:szCs w:val="20"/>
              </w:rPr>
              <w:t>%)</w:t>
            </w:r>
          </w:p>
        </w:tc>
        <w:tc>
          <w:tcPr>
            <w:tcW w:w="1570" w:type="dxa"/>
            <w:shd w:val="clear" w:color="auto" w:fill="FFFFFF"/>
            <w:tcMar>
              <w:left w:w="67" w:type="dxa"/>
              <w:right w:w="67" w:type="dxa"/>
            </w:tcMar>
          </w:tcPr>
          <w:p w14:paraId="5E553041" w14:textId="583C9F27"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18 (6.</w:t>
            </w:r>
            <w:r w:rsidR="003F55E7">
              <w:rPr>
                <w:rFonts w:eastAsia="Times New Roman"/>
                <w:color w:val="000000"/>
                <w:sz w:val="20"/>
                <w:szCs w:val="20"/>
              </w:rPr>
              <w:t>3</w:t>
            </w:r>
            <w:r w:rsidRPr="00EE49FD">
              <w:rPr>
                <w:rFonts w:eastAsia="Times New Roman"/>
                <w:color w:val="000000"/>
                <w:sz w:val="20"/>
                <w:szCs w:val="20"/>
              </w:rPr>
              <w:t>%)</w:t>
            </w:r>
          </w:p>
        </w:tc>
        <w:tc>
          <w:tcPr>
            <w:tcW w:w="1569" w:type="dxa"/>
            <w:shd w:val="clear" w:color="auto" w:fill="FFFFFF"/>
            <w:tcMar>
              <w:left w:w="67" w:type="dxa"/>
              <w:right w:w="67" w:type="dxa"/>
            </w:tcMar>
          </w:tcPr>
          <w:p w14:paraId="05290BE1" w14:textId="0BE1A1EC"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w:t>
            </w:r>
            <w:r w:rsidR="003F55E7">
              <w:rPr>
                <w:rFonts w:eastAsia="Times New Roman"/>
                <w:color w:val="000000"/>
                <w:sz w:val="20"/>
                <w:szCs w:val="20"/>
              </w:rPr>
              <w:t>4</w:t>
            </w:r>
            <w:r w:rsidRPr="00EE49FD">
              <w:rPr>
                <w:rFonts w:eastAsia="Times New Roman"/>
                <w:color w:val="000000"/>
                <w:sz w:val="20"/>
                <w:szCs w:val="20"/>
              </w:rPr>
              <w:t xml:space="preserve"> (</w:t>
            </w:r>
            <w:r w:rsidR="003F55E7">
              <w:rPr>
                <w:rFonts w:eastAsia="Times New Roman"/>
                <w:color w:val="000000"/>
                <w:sz w:val="20"/>
                <w:szCs w:val="20"/>
              </w:rPr>
              <w:t>3.6</w:t>
            </w:r>
            <w:r w:rsidRPr="00EE49FD">
              <w:rPr>
                <w:rFonts w:eastAsia="Times New Roman"/>
                <w:color w:val="000000"/>
                <w:sz w:val="20"/>
                <w:szCs w:val="20"/>
              </w:rPr>
              <w:t>%)</w:t>
            </w:r>
          </w:p>
        </w:tc>
        <w:tc>
          <w:tcPr>
            <w:tcW w:w="1570" w:type="dxa"/>
            <w:shd w:val="clear" w:color="auto" w:fill="FFFFFF"/>
            <w:tcMar>
              <w:left w:w="67" w:type="dxa"/>
              <w:right w:w="67" w:type="dxa"/>
            </w:tcMar>
          </w:tcPr>
          <w:p w14:paraId="12B9572F" w14:textId="4A94DC92"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3</w:t>
            </w:r>
            <w:r w:rsidR="003F55E7">
              <w:rPr>
                <w:rFonts w:eastAsia="Times New Roman"/>
                <w:color w:val="000000"/>
                <w:sz w:val="20"/>
                <w:szCs w:val="20"/>
              </w:rPr>
              <w:t>2</w:t>
            </w:r>
            <w:r w:rsidRPr="00EE49FD">
              <w:rPr>
                <w:rFonts w:eastAsia="Times New Roman"/>
                <w:color w:val="000000"/>
                <w:sz w:val="20"/>
                <w:szCs w:val="20"/>
              </w:rPr>
              <w:t xml:space="preserve"> (</w:t>
            </w:r>
            <w:r w:rsidR="003F55E7">
              <w:rPr>
                <w:rFonts w:eastAsia="Times New Roman"/>
                <w:color w:val="000000"/>
                <w:sz w:val="20"/>
                <w:szCs w:val="20"/>
              </w:rPr>
              <w:t>4.7</w:t>
            </w:r>
            <w:r w:rsidRPr="00EE49FD">
              <w:rPr>
                <w:rFonts w:eastAsia="Times New Roman"/>
                <w:color w:val="000000"/>
                <w:sz w:val="20"/>
                <w:szCs w:val="20"/>
              </w:rPr>
              <w:t>%)</w:t>
            </w:r>
          </w:p>
        </w:tc>
      </w:tr>
      <w:tr w:rsidR="00E07CDE" w:rsidRPr="00EE49FD" w14:paraId="58E84520" w14:textId="77777777" w:rsidTr="00C163F3">
        <w:trPr>
          <w:cantSplit/>
        </w:trPr>
        <w:tc>
          <w:tcPr>
            <w:tcW w:w="0" w:type="auto"/>
            <w:shd w:val="clear" w:color="auto" w:fill="FFFFFF"/>
            <w:tcMar>
              <w:left w:w="67" w:type="dxa"/>
              <w:right w:w="67" w:type="dxa"/>
            </w:tcMar>
          </w:tcPr>
          <w:p w14:paraId="54FF7CD4" w14:textId="77777777" w:rsidR="00E07CDE" w:rsidRPr="00EE49FD" w:rsidRDefault="00E07CDE" w:rsidP="006C0B32">
            <w:pPr>
              <w:spacing w:before="67" w:after="67" w:line="240" w:lineRule="auto"/>
              <w:rPr>
                <w:rFonts w:eastAsia="Times New Roman"/>
                <w:b/>
                <w:bCs/>
                <w:color w:val="000000"/>
                <w:sz w:val="20"/>
                <w:szCs w:val="20"/>
              </w:rPr>
            </w:pPr>
            <w:r w:rsidRPr="00EE49FD">
              <w:rPr>
                <w:rFonts w:eastAsia="Times New Roman"/>
                <w:b/>
                <w:bCs/>
                <w:color w:val="000000"/>
                <w:sz w:val="20"/>
                <w:szCs w:val="20"/>
              </w:rPr>
              <w:t>Non-benzodiazepine anxiolytic</w:t>
            </w:r>
          </w:p>
        </w:tc>
        <w:tc>
          <w:tcPr>
            <w:tcW w:w="1343" w:type="dxa"/>
            <w:shd w:val="clear" w:color="auto" w:fill="FFFFFF"/>
            <w:tcMar>
              <w:left w:w="67" w:type="dxa"/>
              <w:right w:w="67" w:type="dxa"/>
            </w:tcMar>
          </w:tcPr>
          <w:p w14:paraId="6864B33F" w14:textId="77777777" w:rsidR="00E07CDE" w:rsidRPr="00EE49FD" w:rsidRDefault="00E07CDE" w:rsidP="006C0B32">
            <w:pPr>
              <w:spacing w:before="67" w:after="67" w:line="240" w:lineRule="auto"/>
              <w:rPr>
                <w:rFonts w:eastAsia="Times New Roman"/>
                <w:b/>
                <w:bCs/>
                <w:color w:val="000000"/>
                <w:sz w:val="20"/>
                <w:szCs w:val="20"/>
              </w:rPr>
            </w:pPr>
          </w:p>
        </w:tc>
        <w:tc>
          <w:tcPr>
            <w:tcW w:w="1569" w:type="dxa"/>
            <w:shd w:val="clear" w:color="auto" w:fill="FFFFFF"/>
            <w:tcMar>
              <w:left w:w="67" w:type="dxa"/>
              <w:right w:w="67" w:type="dxa"/>
            </w:tcMar>
          </w:tcPr>
          <w:p w14:paraId="7A3D56BE" w14:textId="4BDEAB60"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0 (0</w:t>
            </w:r>
            <w:r w:rsidR="00D211DD">
              <w:rPr>
                <w:rFonts w:eastAsia="Times New Roman"/>
                <w:color w:val="000000"/>
                <w:sz w:val="20"/>
                <w:szCs w:val="20"/>
              </w:rPr>
              <w:t>.0</w:t>
            </w:r>
            <w:r w:rsidRPr="00EE49FD">
              <w:rPr>
                <w:rFonts w:eastAsia="Times New Roman"/>
                <w:color w:val="000000"/>
                <w:sz w:val="20"/>
                <w:szCs w:val="20"/>
              </w:rPr>
              <w:t>%)</w:t>
            </w:r>
          </w:p>
        </w:tc>
        <w:tc>
          <w:tcPr>
            <w:tcW w:w="1570" w:type="dxa"/>
            <w:shd w:val="clear" w:color="auto" w:fill="FFFFFF"/>
            <w:tcMar>
              <w:left w:w="67" w:type="dxa"/>
              <w:right w:w="67" w:type="dxa"/>
            </w:tcMar>
          </w:tcPr>
          <w:p w14:paraId="1E35B594" w14:textId="083981FA"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 (0.</w:t>
            </w:r>
            <w:r w:rsidR="00D211DD">
              <w:rPr>
                <w:rFonts w:eastAsia="Times New Roman"/>
                <w:color w:val="000000"/>
                <w:sz w:val="20"/>
                <w:szCs w:val="20"/>
              </w:rPr>
              <w:t>2</w:t>
            </w:r>
            <w:r w:rsidRPr="00EE49FD">
              <w:rPr>
                <w:rFonts w:eastAsia="Times New Roman"/>
                <w:color w:val="000000"/>
                <w:sz w:val="20"/>
                <w:szCs w:val="20"/>
              </w:rPr>
              <w:t>%)</w:t>
            </w:r>
          </w:p>
        </w:tc>
        <w:tc>
          <w:tcPr>
            <w:tcW w:w="1569" w:type="dxa"/>
            <w:shd w:val="clear" w:color="auto" w:fill="FFFFFF"/>
            <w:tcMar>
              <w:left w:w="67" w:type="dxa"/>
              <w:right w:w="67" w:type="dxa"/>
            </w:tcMar>
          </w:tcPr>
          <w:p w14:paraId="0D83C0AA" w14:textId="18918D88"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 (0.</w:t>
            </w:r>
            <w:r w:rsidR="00D211DD">
              <w:rPr>
                <w:rFonts w:eastAsia="Times New Roman"/>
                <w:color w:val="000000"/>
                <w:sz w:val="20"/>
                <w:szCs w:val="20"/>
              </w:rPr>
              <w:t>1</w:t>
            </w:r>
            <w:r w:rsidRPr="00EE49FD">
              <w:rPr>
                <w:rFonts w:eastAsia="Times New Roman"/>
                <w:color w:val="000000"/>
                <w:sz w:val="20"/>
                <w:szCs w:val="20"/>
              </w:rPr>
              <w:t>%)</w:t>
            </w:r>
          </w:p>
        </w:tc>
        <w:tc>
          <w:tcPr>
            <w:tcW w:w="1570" w:type="dxa"/>
            <w:shd w:val="clear" w:color="auto" w:fill="FFFFFF"/>
            <w:tcMar>
              <w:left w:w="67" w:type="dxa"/>
              <w:right w:w="67" w:type="dxa"/>
            </w:tcMar>
          </w:tcPr>
          <w:p w14:paraId="128301B1" w14:textId="22EF5DB2"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0 (0</w:t>
            </w:r>
            <w:r w:rsidR="00D211DD">
              <w:rPr>
                <w:rFonts w:eastAsia="Times New Roman"/>
                <w:color w:val="000000"/>
                <w:sz w:val="20"/>
                <w:szCs w:val="20"/>
              </w:rPr>
              <w:t>.0</w:t>
            </w:r>
            <w:r w:rsidRPr="00EE49FD">
              <w:rPr>
                <w:rFonts w:eastAsia="Times New Roman"/>
                <w:color w:val="000000"/>
                <w:sz w:val="20"/>
                <w:szCs w:val="20"/>
              </w:rPr>
              <w:t>%)</w:t>
            </w:r>
          </w:p>
        </w:tc>
        <w:tc>
          <w:tcPr>
            <w:tcW w:w="1569" w:type="dxa"/>
            <w:shd w:val="clear" w:color="auto" w:fill="FFFFFF"/>
            <w:tcMar>
              <w:left w:w="67" w:type="dxa"/>
              <w:right w:w="67" w:type="dxa"/>
            </w:tcMar>
          </w:tcPr>
          <w:p w14:paraId="46E4A52A" w14:textId="53EA2D7C"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 (0.3%)</w:t>
            </w:r>
          </w:p>
        </w:tc>
        <w:tc>
          <w:tcPr>
            <w:tcW w:w="1570" w:type="dxa"/>
            <w:shd w:val="clear" w:color="auto" w:fill="FFFFFF"/>
            <w:tcMar>
              <w:left w:w="67" w:type="dxa"/>
              <w:right w:w="67" w:type="dxa"/>
            </w:tcMar>
          </w:tcPr>
          <w:p w14:paraId="4CA10922" w14:textId="7ADE6BCB"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 (0.</w:t>
            </w:r>
            <w:r w:rsidR="00D211DD">
              <w:rPr>
                <w:rFonts w:eastAsia="Times New Roman"/>
                <w:color w:val="000000"/>
                <w:sz w:val="20"/>
                <w:szCs w:val="20"/>
              </w:rPr>
              <w:t>1</w:t>
            </w:r>
            <w:r w:rsidRPr="00EE49FD">
              <w:rPr>
                <w:rFonts w:eastAsia="Times New Roman"/>
                <w:color w:val="000000"/>
                <w:sz w:val="20"/>
                <w:szCs w:val="20"/>
              </w:rPr>
              <w:t>%)</w:t>
            </w:r>
          </w:p>
        </w:tc>
      </w:tr>
      <w:tr w:rsidR="00E07CDE" w:rsidRPr="00EE49FD" w14:paraId="32D3F007" w14:textId="77777777" w:rsidTr="00C163F3">
        <w:trPr>
          <w:cantSplit/>
        </w:trPr>
        <w:tc>
          <w:tcPr>
            <w:tcW w:w="0" w:type="auto"/>
            <w:shd w:val="clear" w:color="auto" w:fill="FFFFFF"/>
            <w:tcMar>
              <w:left w:w="67" w:type="dxa"/>
              <w:right w:w="67" w:type="dxa"/>
            </w:tcMar>
          </w:tcPr>
          <w:p w14:paraId="61B0CC6B" w14:textId="77777777" w:rsidR="00E07CDE" w:rsidRPr="00EE49FD" w:rsidRDefault="00E07CDE" w:rsidP="006C0B32">
            <w:pPr>
              <w:spacing w:before="67" w:after="67" w:line="240" w:lineRule="auto"/>
              <w:rPr>
                <w:rFonts w:eastAsia="Times New Roman"/>
                <w:b/>
                <w:bCs/>
                <w:color w:val="000000"/>
                <w:sz w:val="20"/>
                <w:szCs w:val="20"/>
              </w:rPr>
            </w:pPr>
            <w:r w:rsidRPr="00EE49FD">
              <w:rPr>
                <w:rFonts w:eastAsia="Times New Roman"/>
                <w:b/>
                <w:bCs/>
                <w:color w:val="000000"/>
                <w:sz w:val="20"/>
                <w:szCs w:val="20"/>
              </w:rPr>
              <w:t>Non-benzodiazepine hypnotic</w:t>
            </w:r>
          </w:p>
        </w:tc>
        <w:tc>
          <w:tcPr>
            <w:tcW w:w="1343" w:type="dxa"/>
            <w:shd w:val="clear" w:color="auto" w:fill="FFFFFF"/>
            <w:tcMar>
              <w:left w:w="67" w:type="dxa"/>
              <w:right w:w="67" w:type="dxa"/>
            </w:tcMar>
          </w:tcPr>
          <w:p w14:paraId="569EFF02" w14:textId="77777777" w:rsidR="00E07CDE" w:rsidRPr="00EE49FD" w:rsidRDefault="00E07CDE" w:rsidP="006C0B32">
            <w:pPr>
              <w:spacing w:before="67" w:after="67" w:line="240" w:lineRule="auto"/>
              <w:rPr>
                <w:rFonts w:eastAsia="Times New Roman"/>
                <w:b/>
                <w:bCs/>
                <w:color w:val="000000"/>
                <w:sz w:val="20"/>
                <w:szCs w:val="20"/>
              </w:rPr>
            </w:pPr>
          </w:p>
        </w:tc>
        <w:tc>
          <w:tcPr>
            <w:tcW w:w="1569" w:type="dxa"/>
            <w:shd w:val="clear" w:color="auto" w:fill="FFFFFF"/>
            <w:tcMar>
              <w:left w:w="67" w:type="dxa"/>
              <w:right w:w="67" w:type="dxa"/>
            </w:tcMar>
          </w:tcPr>
          <w:p w14:paraId="2CA9DD46" w14:textId="050363A7"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w:t>
            </w:r>
            <w:r w:rsidR="00D211DD">
              <w:rPr>
                <w:rFonts w:eastAsia="Times New Roman"/>
                <w:color w:val="000000"/>
                <w:sz w:val="20"/>
                <w:szCs w:val="20"/>
              </w:rPr>
              <w:t>4</w:t>
            </w:r>
            <w:r w:rsidRPr="00EE49FD">
              <w:rPr>
                <w:rFonts w:eastAsia="Times New Roman"/>
                <w:color w:val="000000"/>
                <w:sz w:val="20"/>
                <w:szCs w:val="20"/>
              </w:rPr>
              <w:t xml:space="preserve"> (</w:t>
            </w:r>
            <w:r w:rsidR="00D211DD">
              <w:rPr>
                <w:rFonts w:eastAsia="Times New Roman"/>
                <w:color w:val="000000"/>
                <w:sz w:val="20"/>
                <w:szCs w:val="20"/>
              </w:rPr>
              <w:t>4.5</w:t>
            </w:r>
            <w:r w:rsidRPr="00EE49FD">
              <w:rPr>
                <w:rFonts w:eastAsia="Times New Roman"/>
                <w:color w:val="000000"/>
                <w:sz w:val="20"/>
                <w:szCs w:val="20"/>
              </w:rPr>
              <w:t>%)</w:t>
            </w:r>
          </w:p>
        </w:tc>
        <w:tc>
          <w:tcPr>
            <w:tcW w:w="1570" w:type="dxa"/>
            <w:shd w:val="clear" w:color="auto" w:fill="FFFFFF"/>
            <w:tcMar>
              <w:left w:w="67" w:type="dxa"/>
              <w:right w:w="67" w:type="dxa"/>
            </w:tcMar>
          </w:tcPr>
          <w:p w14:paraId="0B9A8F57" w14:textId="5F639702"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w:t>
            </w:r>
            <w:r w:rsidR="00D211DD">
              <w:rPr>
                <w:rFonts w:eastAsia="Times New Roman"/>
                <w:color w:val="000000"/>
                <w:sz w:val="20"/>
                <w:szCs w:val="20"/>
              </w:rPr>
              <w:t>2</w:t>
            </w:r>
            <w:r w:rsidRPr="00EE49FD">
              <w:rPr>
                <w:rFonts w:eastAsia="Times New Roman"/>
                <w:color w:val="000000"/>
                <w:sz w:val="20"/>
                <w:szCs w:val="20"/>
              </w:rPr>
              <w:t xml:space="preserve"> (</w:t>
            </w:r>
            <w:r w:rsidR="00D211DD">
              <w:rPr>
                <w:rFonts w:eastAsia="Times New Roman"/>
                <w:color w:val="000000"/>
                <w:sz w:val="20"/>
                <w:szCs w:val="20"/>
              </w:rPr>
              <w:t>2.9</w:t>
            </w:r>
            <w:r w:rsidRPr="00EE49FD">
              <w:rPr>
                <w:rFonts w:eastAsia="Times New Roman"/>
                <w:color w:val="000000"/>
                <w:sz w:val="20"/>
                <w:szCs w:val="20"/>
              </w:rPr>
              <w:t>%)</w:t>
            </w:r>
          </w:p>
        </w:tc>
        <w:tc>
          <w:tcPr>
            <w:tcW w:w="1569" w:type="dxa"/>
            <w:shd w:val="clear" w:color="auto" w:fill="FFFFFF"/>
            <w:tcMar>
              <w:left w:w="67" w:type="dxa"/>
              <w:right w:w="67" w:type="dxa"/>
            </w:tcMar>
          </w:tcPr>
          <w:p w14:paraId="4379A5F7" w14:textId="098D9E06"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2</w:t>
            </w:r>
            <w:r w:rsidR="00D211DD">
              <w:rPr>
                <w:rFonts w:eastAsia="Times New Roman"/>
                <w:color w:val="000000"/>
                <w:sz w:val="20"/>
                <w:szCs w:val="20"/>
              </w:rPr>
              <w:t>6</w:t>
            </w:r>
            <w:r w:rsidRPr="00EE49FD">
              <w:rPr>
                <w:rFonts w:eastAsia="Times New Roman"/>
                <w:color w:val="000000"/>
                <w:sz w:val="20"/>
                <w:szCs w:val="20"/>
              </w:rPr>
              <w:t xml:space="preserve"> (</w:t>
            </w:r>
            <w:r w:rsidR="00D211DD">
              <w:rPr>
                <w:rFonts w:eastAsia="Times New Roman"/>
                <w:color w:val="000000"/>
                <w:sz w:val="20"/>
                <w:szCs w:val="20"/>
              </w:rPr>
              <w:t>3.6</w:t>
            </w:r>
            <w:r w:rsidRPr="00EE49FD">
              <w:rPr>
                <w:rFonts w:eastAsia="Times New Roman"/>
                <w:color w:val="000000"/>
                <w:sz w:val="20"/>
                <w:szCs w:val="20"/>
              </w:rPr>
              <w:t>%)</w:t>
            </w:r>
          </w:p>
        </w:tc>
        <w:tc>
          <w:tcPr>
            <w:tcW w:w="1570" w:type="dxa"/>
            <w:shd w:val="clear" w:color="auto" w:fill="FFFFFF"/>
            <w:tcMar>
              <w:left w:w="67" w:type="dxa"/>
              <w:right w:w="67" w:type="dxa"/>
            </w:tcMar>
          </w:tcPr>
          <w:p w14:paraId="2CE0D8C3" w14:textId="70002138"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2</w:t>
            </w:r>
            <w:r w:rsidR="00D211DD">
              <w:rPr>
                <w:rFonts w:eastAsia="Times New Roman"/>
                <w:color w:val="000000"/>
                <w:sz w:val="20"/>
                <w:szCs w:val="20"/>
              </w:rPr>
              <w:t>1</w:t>
            </w:r>
            <w:r w:rsidRPr="00EE49FD">
              <w:rPr>
                <w:rFonts w:eastAsia="Times New Roman"/>
                <w:color w:val="000000"/>
                <w:sz w:val="20"/>
                <w:szCs w:val="20"/>
              </w:rPr>
              <w:t xml:space="preserve"> (</w:t>
            </w:r>
            <w:r w:rsidR="00D211DD">
              <w:rPr>
                <w:rFonts w:eastAsia="Times New Roman"/>
                <w:color w:val="000000"/>
                <w:sz w:val="20"/>
                <w:szCs w:val="20"/>
              </w:rPr>
              <w:t>7.3</w:t>
            </w:r>
            <w:r w:rsidRPr="00EE49FD">
              <w:rPr>
                <w:rFonts w:eastAsia="Times New Roman"/>
                <w:color w:val="000000"/>
                <w:sz w:val="20"/>
                <w:szCs w:val="20"/>
              </w:rPr>
              <w:t>%)</w:t>
            </w:r>
          </w:p>
        </w:tc>
        <w:tc>
          <w:tcPr>
            <w:tcW w:w="1569" w:type="dxa"/>
            <w:shd w:val="clear" w:color="auto" w:fill="FFFFFF"/>
            <w:tcMar>
              <w:left w:w="67" w:type="dxa"/>
              <w:right w:w="67" w:type="dxa"/>
            </w:tcMar>
          </w:tcPr>
          <w:p w14:paraId="48E8771F" w14:textId="0B26B1ED"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2</w:t>
            </w:r>
            <w:r w:rsidR="00D211DD">
              <w:rPr>
                <w:rFonts w:eastAsia="Times New Roman"/>
                <w:color w:val="000000"/>
                <w:sz w:val="20"/>
                <w:szCs w:val="20"/>
              </w:rPr>
              <w:t>2</w:t>
            </w:r>
            <w:r w:rsidRPr="00EE49FD">
              <w:rPr>
                <w:rFonts w:eastAsia="Times New Roman"/>
                <w:color w:val="000000"/>
                <w:sz w:val="20"/>
                <w:szCs w:val="20"/>
              </w:rPr>
              <w:t xml:space="preserve"> (</w:t>
            </w:r>
            <w:r w:rsidR="00D211DD">
              <w:rPr>
                <w:rFonts w:eastAsia="Times New Roman"/>
                <w:color w:val="000000"/>
                <w:sz w:val="20"/>
                <w:szCs w:val="20"/>
              </w:rPr>
              <w:t>5.7</w:t>
            </w:r>
            <w:r w:rsidRPr="00EE49FD">
              <w:rPr>
                <w:rFonts w:eastAsia="Times New Roman"/>
                <w:color w:val="000000"/>
                <w:sz w:val="20"/>
                <w:szCs w:val="20"/>
              </w:rPr>
              <w:t>%)</w:t>
            </w:r>
          </w:p>
        </w:tc>
        <w:tc>
          <w:tcPr>
            <w:tcW w:w="1570" w:type="dxa"/>
            <w:shd w:val="clear" w:color="auto" w:fill="FFFFFF"/>
            <w:tcMar>
              <w:left w:w="67" w:type="dxa"/>
              <w:right w:w="67" w:type="dxa"/>
            </w:tcMar>
          </w:tcPr>
          <w:p w14:paraId="192EC8A4" w14:textId="6E6228F3"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4</w:t>
            </w:r>
            <w:r w:rsidR="00D211DD">
              <w:rPr>
                <w:rFonts w:eastAsia="Times New Roman"/>
                <w:color w:val="000000"/>
                <w:sz w:val="20"/>
                <w:szCs w:val="20"/>
              </w:rPr>
              <w:t>3</w:t>
            </w:r>
            <w:r w:rsidRPr="00EE49FD">
              <w:rPr>
                <w:rFonts w:eastAsia="Times New Roman"/>
                <w:color w:val="000000"/>
                <w:sz w:val="20"/>
                <w:szCs w:val="20"/>
              </w:rPr>
              <w:t xml:space="preserve"> (</w:t>
            </w:r>
            <w:r w:rsidR="00D211DD">
              <w:rPr>
                <w:rFonts w:eastAsia="Times New Roman"/>
                <w:color w:val="000000"/>
                <w:sz w:val="20"/>
                <w:szCs w:val="20"/>
              </w:rPr>
              <w:t>6.4</w:t>
            </w:r>
            <w:r w:rsidRPr="00EE49FD">
              <w:rPr>
                <w:rFonts w:eastAsia="Times New Roman"/>
                <w:color w:val="000000"/>
                <w:sz w:val="20"/>
                <w:szCs w:val="20"/>
              </w:rPr>
              <w:t>%)</w:t>
            </w:r>
          </w:p>
        </w:tc>
      </w:tr>
      <w:tr w:rsidR="00E07CDE" w:rsidRPr="00EE49FD" w14:paraId="1E34039A" w14:textId="77777777" w:rsidTr="00C163F3">
        <w:trPr>
          <w:cantSplit/>
        </w:trPr>
        <w:tc>
          <w:tcPr>
            <w:tcW w:w="0" w:type="auto"/>
            <w:shd w:val="clear" w:color="auto" w:fill="FFFFFF"/>
            <w:tcMar>
              <w:left w:w="67" w:type="dxa"/>
              <w:right w:w="67" w:type="dxa"/>
            </w:tcMar>
          </w:tcPr>
          <w:p w14:paraId="07AC1C15" w14:textId="77777777" w:rsidR="00E07CDE" w:rsidRPr="00EE49FD" w:rsidRDefault="00E07CDE" w:rsidP="006C0B32">
            <w:pPr>
              <w:spacing w:before="67" w:after="67" w:line="240" w:lineRule="auto"/>
              <w:rPr>
                <w:rFonts w:eastAsia="Times New Roman"/>
                <w:b/>
                <w:bCs/>
                <w:color w:val="000000"/>
                <w:sz w:val="20"/>
                <w:szCs w:val="20"/>
              </w:rPr>
            </w:pPr>
            <w:r w:rsidRPr="00EE49FD">
              <w:rPr>
                <w:rFonts w:eastAsia="Times New Roman"/>
                <w:b/>
                <w:bCs/>
                <w:color w:val="000000"/>
                <w:sz w:val="20"/>
                <w:szCs w:val="20"/>
              </w:rPr>
              <w:t>Memantine</w:t>
            </w:r>
          </w:p>
        </w:tc>
        <w:tc>
          <w:tcPr>
            <w:tcW w:w="1343" w:type="dxa"/>
            <w:shd w:val="clear" w:color="auto" w:fill="FFFFFF"/>
            <w:tcMar>
              <w:left w:w="67" w:type="dxa"/>
              <w:right w:w="67" w:type="dxa"/>
            </w:tcMar>
          </w:tcPr>
          <w:p w14:paraId="70BDF571" w14:textId="77777777" w:rsidR="00E07CDE" w:rsidRPr="00EE49FD" w:rsidRDefault="00E07CDE" w:rsidP="006C0B32">
            <w:pPr>
              <w:spacing w:before="67" w:after="67" w:line="240" w:lineRule="auto"/>
              <w:rPr>
                <w:rFonts w:eastAsia="Times New Roman"/>
                <w:b/>
                <w:bCs/>
                <w:color w:val="000000"/>
                <w:sz w:val="20"/>
                <w:szCs w:val="20"/>
              </w:rPr>
            </w:pPr>
          </w:p>
        </w:tc>
        <w:tc>
          <w:tcPr>
            <w:tcW w:w="1569" w:type="dxa"/>
            <w:shd w:val="clear" w:color="auto" w:fill="FFFFFF"/>
            <w:tcMar>
              <w:left w:w="67" w:type="dxa"/>
              <w:right w:w="67" w:type="dxa"/>
            </w:tcMar>
          </w:tcPr>
          <w:p w14:paraId="427DE982" w14:textId="6D818D68"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w:t>
            </w:r>
            <w:r w:rsidR="00ED4C82">
              <w:rPr>
                <w:rFonts w:eastAsia="Times New Roman"/>
                <w:color w:val="000000"/>
                <w:sz w:val="20"/>
                <w:szCs w:val="20"/>
              </w:rPr>
              <w:t>7</w:t>
            </w:r>
            <w:r w:rsidRPr="00EE49FD">
              <w:rPr>
                <w:rFonts w:eastAsia="Times New Roman"/>
                <w:color w:val="000000"/>
                <w:sz w:val="20"/>
                <w:szCs w:val="20"/>
              </w:rPr>
              <w:t xml:space="preserve"> (</w:t>
            </w:r>
            <w:r w:rsidR="00ED4C82">
              <w:rPr>
                <w:rFonts w:eastAsia="Times New Roman"/>
                <w:color w:val="000000"/>
                <w:sz w:val="20"/>
                <w:szCs w:val="20"/>
              </w:rPr>
              <w:t>5</w:t>
            </w:r>
            <w:r w:rsidRPr="00EE49FD">
              <w:rPr>
                <w:rFonts w:eastAsia="Times New Roman"/>
                <w:color w:val="000000"/>
                <w:sz w:val="20"/>
                <w:szCs w:val="20"/>
              </w:rPr>
              <w:t>.5%)</w:t>
            </w:r>
          </w:p>
        </w:tc>
        <w:tc>
          <w:tcPr>
            <w:tcW w:w="1570" w:type="dxa"/>
            <w:shd w:val="clear" w:color="auto" w:fill="FFFFFF"/>
            <w:tcMar>
              <w:left w:w="67" w:type="dxa"/>
              <w:right w:w="67" w:type="dxa"/>
            </w:tcMar>
          </w:tcPr>
          <w:p w14:paraId="73740AFF" w14:textId="65FA9BBA"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2</w:t>
            </w:r>
            <w:r w:rsidR="00ED4C82">
              <w:rPr>
                <w:rFonts w:eastAsia="Times New Roman"/>
                <w:color w:val="000000"/>
                <w:sz w:val="20"/>
                <w:szCs w:val="20"/>
              </w:rPr>
              <w:t>1</w:t>
            </w:r>
            <w:r w:rsidRPr="00EE49FD">
              <w:rPr>
                <w:rFonts w:eastAsia="Times New Roman"/>
                <w:color w:val="000000"/>
                <w:sz w:val="20"/>
                <w:szCs w:val="20"/>
              </w:rPr>
              <w:t xml:space="preserve"> (</w:t>
            </w:r>
            <w:r w:rsidR="00ED4C82">
              <w:rPr>
                <w:rFonts w:eastAsia="Times New Roman"/>
                <w:color w:val="000000"/>
                <w:sz w:val="20"/>
                <w:szCs w:val="20"/>
              </w:rPr>
              <w:t>5</w:t>
            </w:r>
            <w:r w:rsidRPr="00EE49FD">
              <w:rPr>
                <w:rFonts w:eastAsia="Times New Roman"/>
                <w:color w:val="000000"/>
                <w:sz w:val="20"/>
                <w:szCs w:val="20"/>
              </w:rPr>
              <w:t>.</w:t>
            </w:r>
            <w:r w:rsidR="00ED4C82">
              <w:rPr>
                <w:rFonts w:eastAsia="Times New Roman"/>
                <w:color w:val="000000"/>
                <w:sz w:val="20"/>
                <w:szCs w:val="20"/>
              </w:rPr>
              <w:t>0</w:t>
            </w:r>
            <w:r w:rsidRPr="00EE49FD">
              <w:rPr>
                <w:rFonts w:eastAsia="Times New Roman"/>
                <w:color w:val="000000"/>
                <w:sz w:val="20"/>
                <w:szCs w:val="20"/>
              </w:rPr>
              <w:t>%)</w:t>
            </w:r>
          </w:p>
        </w:tc>
        <w:tc>
          <w:tcPr>
            <w:tcW w:w="1569" w:type="dxa"/>
            <w:shd w:val="clear" w:color="auto" w:fill="FFFFFF"/>
            <w:tcMar>
              <w:left w:w="67" w:type="dxa"/>
              <w:right w:w="67" w:type="dxa"/>
            </w:tcMar>
          </w:tcPr>
          <w:p w14:paraId="45D6D29F" w14:textId="7BABB201" w:rsidR="00E07CDE" w:rsidRPr="00EE49FD" w:rsidRDefault="00ED4C82" w:rsidP="00FD3A24">
            <w:pPr>
              <w:spacing w:before="67" w:after="67" w:line="240" w:lineRule="auto"/>
              <w:jc w:val="right"/>
              <w:rPr>
                <w:rFonts w:eastAsia="Times New Roman"/>
                <w:color w:val="000000"/>
                <w:sz w:val="20"/>
                <w:szCs w:val="20"/>
              </w:rPr>
            </w:pPr>
            <w:r>
              <w:rPr>
                <w:rFonts w:eastAsia="Times New Roman"/>
                <w:color w:val="000000"/>
                <w:sz w:val="20"/>
                <w:szCs w:val="20"/>
              </w:rPr>
              <w:t>38</w:t>
            </w:r>
            <w:r w:rsidR="00E07CDE" w:rsidRPr="00EE49FD">
              <w:rPr>
                <w:rFonts w:eastAsia="Times New Roman"/>
                <w:color w:val="000000"/>
                <w:sz w:val="20"/>
                <w:szCs w:val="20"/>
              </w:rPr>
              <w:t xml:space="preserve"> (</w:t>
            </w:r>
            <w:r>
              <w:rPr>
                <w:rFonts w:eastAsia="Times New Roman"/>
                <w:color w:val="000000"/>
                <w:sz w:val="20"/>
                <w:szCs w:val="20"/>
              </w:rPr>
              <w:t>5.2</w:t>
            </w:r>
            <w:r w:rsidR="00E07CDE" w:rsidRPr="00EE49FD">
              <w:rPr>
                <w:rFonts w:eastAsia="Times New Roman"/>
                <w:color w:val="000000"/>
                <w:sz w:val="20"/>
                <w:szCs w:val="20"/>
              </w:rPr>
              <w:t>%)</w:t>
            </w:r>
          </w:p>
        </w:tc>
        <w:tc>
          <w:tcPr>
            <w:tcW w:w="1570" w:type="dxa"/>
            <w:shd w:val="clear" w:color="auto" w:fill="FFFFFF"/>
            <w:tcMar>
              <w:left w:w="67" w:type="dxa"/>
              <w:right w:w="67" w:type="dxa"/>
            </w:tcMar>
          </w:tcPr>
          <w:p w14:paraId="5D5AEC83" w14:textId="58BB52E6"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3</w:t>
            </w:r>
            <w:r w:rsidR="00ED4C82">
              <w:rPr>
                <w:rFonts w:eastAsia="Times New Roman"/>
                <w:color w:val="000000"/>
                <w:sz w:val="20"/>
                <w:szCs w:val="20"/>
              </w:rPr>
              <w:t>1</w:t>
            </w:r>
            <w:r w:rsidRPr="00EE49FD">
              <w:rPr>
                <w:rFonts w:eastAsia="Times New Roman"/>
                <w:color w:val="000000"/>
                <w:sz w:val="20"/>
                <w:szCs w:val="20"/>
              </w:rPr>
              <w:t xml:space="preserve"> (1</w:t>
            </w:r>
            <w:r w:rsidR="00ED4C82">
              <w:rPr>
                <w:rFonts w:eastAsia="Times New Roman"/>
                <w:color w:val="000000"/>
                <w:sz w:val="20"/>
                <w:szCs w:val="20"/>
              </w:rPr>
              <w:t>0.8</w:t>
            </w:r>
            <w:r w:rsidRPr="00EE49FD">
              <w:rPr>
                <w:rFonts w:eastAsia="Times New Roman"/>
                <w:color w:val="000000"/>
                <w:sz w:val="20"/>
                <w:szCs w:val="20"/>
              </w:rPr>
              <w:t>%)</w:t>
            </w:r>
          </w:p>
        </w:tc>
        <w:tc>
          <w:tcPr>
            <w:tcW w:w="1569" w:type="dxa"/>
            <w:shd w:val="clear" w:color="auto" w:fill="FFFFFF"/>
            <w:tcMar>
              <w:left w:w="67" w:type="dxa"/>
              <w:right w:w="67" w:type="dxa"/>
            </w:tcMar>
          </w:tcPr>
          <w:p w14:paraId="043033C3" w14:textId="1581C7B7"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4</w:t>
            </w:r>
            <w:r w:rsidR="00ED4C82">
              <w:rPr>
                <w:rFonts w:eastAsia="Times New Roman"/>
                <w:color w:val="000000"/>
                <w:sz w:val="20"/>
                <w:szCs w:val="20"/>
              </w:rPr>
              <w:t>4</w:t>
            </w:r>
            <w:r w:rsidRPr="00EE49FD">
              <w:rPr>
                <w:rFonts w:eastAsia="Times New Roman"/>
                <w:color w:val="000000"/>
                <w:sz w:val="20"/>
                <w:szCs w:val="20"/>
              </w:rPr>
              <w:t xml:space="preserve"> (1</w:t>
            </w:r>
            <w:r w:rsidR="00ED4C82">
              <w:rPr>
                <w:rFonts w:eastAsia="Times New Roman"/>
                <w:color w:val="000000"/>
                <w:sz w:val="20"/>
                <w:szCs w:val="20"/>
              </w:rPr>
              <w:t>1.3</w:t>
            </w:r>
            <w:r w:rsidRPr="00EE49FD">
              <w:rPr>
                <w:rFonts w:eastAsia="Times New Roman"/>
                <w:color w:val="000000"/>
                <w:sz w:val="20"/>
                <w:szCs w:val="20"/>
              </w:rPr>
              <w:t>%)</w:t>
            </w:r>
          </w:p>
        </w:tc>
        <w:tc>
          <w:tcPr>
            <w:tcW w:w="1570" w:type="dxa"/>
            <w:shd w:val="clear" w:color="auto" w:fill="FFFFFF"/>
            <w:tcMar>
              <w:left w:w="67" w:type="dxa"/>
              <w:right w:w="67" w:type="dxa"/>
            </w:tcMar>
          </w:tcPr>
          <w:p w14:paraId="483E6EF8" w14:textId="740B48D7"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7</w:t>
            </w:r>
            <w:r w:rsidR="00ED4C82">
              <w:rPr>
                <w:rFonts w:eastAsia="Times New Roman"/>
                <w:color w:val="000000"/>
                <w:sz w:val="20"/>
                <w:szCs w:val="20"/>
              </w:rPr>
              <w:t>5</w:t>
            </w:r>
            <w:r w:rsidRPr="00EE49FD">
              <w:rPr>
                <w:rFonts w:eastAsia="Times New Roman"/>
                <w:color w:val="000000"/>
                <w:sz w:val="20"/>
                <w:szCs w:val="20"/>
              </w:rPr>
              <w:t xml:space="preserve"> (1</w:t>
            </w:r>
            <w:r w:rsidR="00ED4C82">
              <w:rPr>
                <w:rFonts w:eastAsia="Times New Roman"/>
                <w:color w:val="000000"/>
                <w:sz w:val="20"/>
                <w:szCs w:val="20"/>
              </w:rPr>
              <w:t>1.1</w:t>
            </w:r>
            <w:r w:rsidRPr="00EE49FD">
              <w:rPr>
                <w:rFonts w:eastAsia="Times New Roman"/>
                <w:color w:val="000000"/>
                <w:sz w:val="20"/>
                <w:szCs w:val="20"/>
              </w:rPr>
              <w:t>%)</w:t>
            </w:r>
          </w:p>
        </w:tc>
      </w:tr>
      <w:tr w:rsidR="00E07CDE" w:rsidRPr="00EE49FD" w14:paraId="432C4FB4" w14:textId="77777777" w:rsidTr="00C163F3">
        <w:trPr>
          <w:cantSplit/>
        </w:trPr>
        <w:tc>
          <w:tcPr>
            <w:tcW w:w="0" w:type="auto"/>
            <w:shd w:val="clear" w:color="auto" w:fill="FFFFFF"/>
            <w:tcMar>
              <w:left w:w="67" w:type="dxa"/>
              <w:right w:w="67" w:type="dxa"/>
            </w:tcMar>
          </w:tcPr>
          <w:p w14:paraId="4C7AE6D0" w14:textId="77777777" w:rsidR="00E07CDE" w:rsidRPr="00EE49FD" w:rsidRDefault="00E07CDE" w:rsidP="006C0B32">
            <w:pPr>
              <w:spacing w:before="67" w:after="67" w:line="240" w:lineRule="auto"/>
              <w:rPr>
                <w:rFonts w:eastAsia="Times New Roman"/>
                <w:b/>
                <w:bCs/>
                <w:color w:val="000000"/>
                <w:sz w:val="20"/>
                <w:szCs w:val="20"/>
              </w:rPr>
            </w:pPr>
            <w:r w:rsidRPr="00EE49FD">
              <w:rPr>
                <w:rFonts w:eastAsia="Times New Roman"/>
                <w:b/>
                <w:bCs/>
                <w:color w:val="000000"/>
                <w:sz w:val="20"/>
                <w:szCs w:val="20"/>
              </w:rPr>
              <w:t>Antidepressant</w:t>
            </w:r>
          </w:p>
        </w:tc>
        <w:tc>
          <w:tcPr>
            <w:tcW w:w="1343" w:type="dxa"/>
            <w:shd w:val="clear" w:color="auto" w:fill="FFFFFF"/>
            <w:tcMar>
              <w:left w:w="67" w:type="dxa"/>
              <w:right w:w="67" w:type="dxa"/>
            </w:tcMar>
          </w:tcPr>
          <w:p w14:paraId="21F5986D" w14:textId="77777777" w:rsidR="00E07CDE" w:rsidRPr="00EE49FD" w:rsidRDefault="00E07CDE" w:rsidP="006C0B32">
            <w:pPr>
              <w:spacing w:before="67" w:after="67" w:line="240" w:lineRule="auto"/>
              <w:rPr>
                <w:rFonts w:eastAsia="Times New Roman"/>
                <w:b/>
                <w:bCs/>
                <w:color w:val="000000"/>
                <w:sz w:val="20"/>
                <w:szCs w:val="20"/>
              </w:rPr>
            </w:pPr>
          </w:p>
        </w:tc>
        <w:tc>
          <w:tcPr>
            <w:tcW w:w="1569" w:type="dxa"/>
            <w:shd w:val="clear" w:color="auto" w:fill="FFFFFF"/>
            <w:tcMar>
              <w:left w:w="67" w:type="dxa"/>
              <w:right w:w="67" w:type="dxa"/>
            </w:tcMar>
          </w:tcPr>
          <w:p w14:paraId="65E53F6C" w14:textId="58699900"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80 (</w:t>
            </w:r>
            <w:r w:rsidR="006B6952">
              <w:rPr>
                <w:rFonts w:eastAsia="Times New Roman"/>
                <w:color w:val="000000"/>
                <w:sz w:val="20"/>
                <w:szCs w:val="20"/>
              </w:rPr>
              <w:t>26.0</w:t>
            </w:r>
            <w:r w:rsidRPr="00EE49FD">
              <w:rPr>
                <w:rFonts w:eastAsia="Times New Roman"/>
                <w:color w:val="000000"/>
                <w:sz w:val="20"/>
                <w:szCs w:val="20"/>
              </w:rPr>
              <w:t>%)</w:t>
            </w:r>
          </w:p>
        </w:tc>
        <w:tc>
          <w:tcPr>
            <w:tcW w:w="1570" w:type="dxa"/>
            <w:shd w:val="clear" w:color="auto" w:fill="FFFFFF"/>
            <w:tcMar>
              <w:left w:w="67" w:type="dxa"/>
              <w:right w:w="67" w:type="dxa"/>
            </w:tcMar>
          </w:tcPr>
          <w:p w14:paraId="26BF0A6C" w14:textId="63BFC30E" w:rsidR="00E07CDE" w:rsidRPr="00EE49FD" w:rsidRDefault="006B6952" w:rsidP="00FD3A24">
            <w:pPr>
              <w:spacing w:before="67" w:after="67" w:line="240" w:lineRule="auto"/>
              <w:jc w:val="right"/>
              <w:rPr>
                <w:rFonts w:eastAsia="Times New Roman"/>
                <w:color w:val="000000"/>
                <w:sz w:val="20"/>
                <w:szCs w:val="20"/>
              </w:rPr>
            </w:pPr>
            <w:r>
              <w:rPr>
                <w:rFonts w:eastAsia="Times New Roman"/>
                <w:color w:val="000000"/>
                <w:sz w:val="20"/>
                <w:szCs w:val="20"/>
              </w:rPr>
              <w:t>68</w:t>
            </w:r>
            <w:r w:rsidR="00E07CDE" w:rsidRPr="00EE49FD">
              <w:rPr>
                <w:rFonts w:eastAsia="Times New Roman"/>
                <w:color w:val="000000"/>
                <w:sz w:val="20"/>
                <w:szCs w:val="20"/>
              </w:rPr>
              <w:t xml:space="preserve"> (</w:t>
            </w:r>
            <w:r>
              <w:rPr>
                <w:rFonts w:eastAsia="Times New Roman"/>
                <w:color w:val="000000"/>
                <w:sz w:val="20"/>
                <w:szCs w:val="20"/>
              </w:rPr>
              <w:t>16.3</w:t>
            </w:r>
            <w:r w:rsidR="00E07CDE" w:rsidRPr="00EE49FD">
              <w:rPr>
                <w:rFonts w:eastAsia="Times New Roman"/>
                <w:color w:val="000000"/>
                <w:sz w:val="20"/>
                <w:szCs w:val="20"/>
              </w:rPr>
              <w:t>%)</w:t>
            </w:r>
          </w:p>
        </w:tc>
        <w:tc>
          <w:tcPr>
            <w:tcW w:w="1569" w:type="dxa"/>
            <w:shd w:val="clear" w:color="auto" w:fill="FFFFFF"/>
            <w:tcMar>
              <w:left w:w="67" w:type="dxa"/>
              <w:right w:w="67" w:type="dxa"/>
            </w:tcMar>
          </w:tcPr>
          <w:p w14:paraId="09FF9233" w14:textId="1B0301CB"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w:t>
            </w:r>
            <w:r w:rsidR="006B6952">
              <w:rPr>
                <w:rFonts w:eastAsia="Times New Roman"/>
                <w:color w:val="000000"/>
                <w:sz w:val="20"/>
                <w:szCs w:val="20"/>
              </w:rPr>
              <w:t>48</w:t>
            </w:r>
            <w:r w:rsidRPr="00EE49FD">
              <w:rPr>
                <w:rFonts w:eastAsia="Times New Roman"/>
                <w:color w:val="000000"/>
                <w:sz w:val="20"/>
                <w:szCs w:val="20"/>
              </w:rPr>
              <w:t xml:space="preserve"> (</w:t>
            </w:r>
            <w:r w:rsidR="006B6952">
              <w:rPr>
                <w:rFonts w:eastAsia="Times New Roman"/>
                <w:color w:val="000000"/>
                <w:sz w:val="20"/>
                <w:szCs w:val="20"/>
              </w:rPr>
              <w:t>20.4</w:t>
            </w:r>
            <w:r w:rsidRPr="00EE49FD">
              <w:rPr>
                <w:rFonts w:eastAsia="Times New Roman"/>
                <w:color w:val="000000"/>
                <w:sz w:val="20"/>
                <w:szCs w:val="20"/>
              </w:rPr>
              <w:t>%)</w:t>
            </w:r>
          </w:p>
        </w:tc>
        <w:tc>
          <w:tcPr>
            <w:tcW w:w="1570" w:type="dxa"/>
            <w:shd w:val="clear" w:color="auto" w:fill="FFFFFF"/>
            <w:tcMar>
              <w:left w:w="67" w:type="dxa"/>
              <w:right w:w="67" w:type="dxa"/>
            </w:tcMar>
          </w:tcPr>
          <w:p w14:paraId="2C987483" w14:textId="0DC5991F"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119 (4</w:t>
            </w:r>
            <w:r w:rsidR="001A1E0D">
              <w:rPr>
                <w:rFonts w:eastAsia="Times New Roman"/>
                <w:color w:val="000000"/>
                <w:sz w:val="20"/>
                <w:szCs w:val="20"/>
              </w:rPr>
              <w:t>1.5</w:t>
            </w:r>
            <w:r w:rsidRPr="00EE49FD">
              <w:rPr>
                <w:rFonts w:eastAsia="Times New Roman"/>
                <w:color w:val="000000"/>
                <w:sz w:val="20"/>
                <w:szCs w:val="20"/>
              </w:rPr>
              <w:t>%)</w:t>
            </w:r>
          </w:p>
        </w:tc>
        <w:tc>
          <w:tcPr>
            <w:tcW w:w="1569" w:type="dxa"/>
            <w:shd w:val="clear" w:color="auto" w:fill="FFFFFF"/>
            <w:tcMar>
              <w:left w:w="67" w:type="dxa"/>
              <w:right w:w="67" w:type="dxa"/>
            </w:tcMar>
          </w:tcPr>
          <w:p w14:paraId="6FBA9217" w14:textId="765FEDEC"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13</w:t>
            </w:r>
            <w:r w:rsidR="001A1E0D">
              <w:rPr>
                <w:rFonts w:eastAsia="Times New Roman"/>
                <w:color w:val="000000"/>
                <w:sz w:val="20"/>
                <w:szCs w:val="20"/>
              </w:rPr>
              <w:t>1</w:t>
            </w:r>
            <w:r w:rsidRPr="00EE49FD">
              <w:rPr>
                <w:rFonts w:eastAsia="Times New Roman"/>
                <w:color w:val="000000"/>
                <w:sz w:val="20"/>
                <w:szCs w:val="20"/>
              </w:rPr>
              <w:t xml:space="preserve"> (3</w:t>
            </w:r>
            <w:r w:rsidR="001A1E0D">
              <w:rPr>
                <w:rFonts w:eastAsia="Times New Roman"/>
                <w:color w:val="000000"/>
                <w:sz w:val="20"/>
                <w:szCs w:val="20"/>
              </w:rPr>
              <w:t>3.8</w:t>
            </w:r>
            <w:r w:rsidRPr="00EE49FD">
              <w:rPr>
                <w:rFonts w:eastAsia="Times New Roman"/>
                <w:color w:val="000000"/>
                <w:sz w:val="20"/>
                <w:szCs w:val="20"/>
              </w:rPr>
              <w:t>%)</w:t>
            </w:r>
          </w:p>
        </w:tc>
        <w:tc>
          <w:tcPr>
            <w:tcW w:w="1570" w:type="dxa"/>
            <w:shd w:val="clear" w:color="auto" w:fill="FFFFFF"/>
            <w:tcMar>
              <w:left w:w="67" w:type="dxa"/>
              <w:right w:w="67" w:type="dxa"/>
            </w:tcMar>
          </w:tcPr>
          <w:p w14:paraId="638367A7" w14:textId="1F300A28"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25</w:t>
            </w:r>
            <w:r w:rsidR="001A1E0D">
              <w:rPr>
                <w:rFonts w:eastAsia="Times New Roman"/>
                <w:color w:val="000000"/>
                <w:sz w:val="20"/>
                <w:szCs w:val="20"/>
              </w:rPr>
              <w:t>0</w:t>
            </w:r>
            <w:r w:rsidRPr="00EE49FD">
              <w:rPr>
                <w:rFonts w:eastAsia="Times New Roman"/>
                <w:color w:val="000000"/>
                <w:sz w:val="20"/>
                <w:szCs w:val="20"/>
              </w:rPr>
              <w:t xml:space="preserve"> (3</w:t>
            </w:r>
            <w:r w:rsidR="001A1E0D">
              <w:rPr>
                <w:rFonts w:eastAsia="Times New Roman"/>
                <w:color w:val="000000"/>
                <w:sz w:val="20"/>
                <w:szCs w:val="20"/>
              </w:rPr>
              <w:t>7.0</w:t>
            </w:r>
            <w:r w:rsidRPr="00EE49FD">
              <w:rPr>
                <w:rFonts w:eastAsia="Times New Roman"/>
                <w:color w:val="000000"/>
                <w:sz w:val="20"/>
                <w:szCs w:val="20"/>
              </w:rPr>
              <w:t>%)</w:t>
            </w:r>
          </w:p>
        </w:tc>
      </w:tr>
      <w:tr w:rsidR="00E07CDE" w:rsidRPr="00EE49FD" w14:paraId="71BF1DC6" w14:textId="77777777" w:rsidTr="00C163F3">
        <w:trPr>
          <w:cantSplit/>
        </w:trPr>
        <w:tc>
          <w:tcPr>
            <w:tcW w:w="0" w:type="auto"/>
            <w:shd w:val="clear" w:color="auto" w:fill="FFFFFF"/>
            <w:tcMar>
              <w:left w:w="67" w:type="dxa"/>
              <w:right w:w="67" w:type="dxa"/>
            </w:tcMar>
          </w:tcPr>
          <w:p w14:paraId="15FA84A9" w14:textId="77777777" w:rsidR="00E07CDE" w:rsidRPr="00EE49FD" w:rsidRDefault="00E07CDE" w:rsidP="006C0B32">
            <w:pPr>
              <w:spacing w:before="67" w:after="67" w:line="240" w:lineRule="auto"/>
              <w:rPr>
                <w:rFonts w:eastAsia="Times New Roman"/>
                <w:b/>
                <w:bCs/>
                <w:color w:val="000000"/>
                <w:sz w:val="20"/>
                <w:szCs w:val="20"/>
              </w:rPr>
            </w:pPr>
            <w:r w:rsidRPr="00EE49FD">
              <w:rPr>
                <w:rFonts w:eastAsia="Times New Roman"/>
                <w:b/>
                <w:bCs/>
                <w:color w:val="000000"/>
                <w:sz w:val="20"/>
                <w:szCs w:val="20"/>
              </w:rPr>
              <w:t>Cholinesterase inhibitor</w:t>
            </w:r>
          </w:p>
        </w:tc>
        <w:tc>
          <w:tcPr>
            <w:tcW w:w="1343" w:type="dxa"/>
            <w:shd w:val="clear" w:color="auto" w:fill="FFFFFF"/>
            <w:tcMar>
              <w:left w:w="67" w:type="dxa"/>
              <w:right w:w="67" w:type="dxa"/>
            </w:tcMar>
          </w:tcPr>
          <w:p w14:paraId="46BFF9D2" w14:textId="77777777" w:rsidR="00E07CDE" w:rsidRPr="00EE49FD" w:rsidRDefault="00E07CDE" w:rsidP="006C0B32">
            <w:pPr>
              <w:spacing w:before="67" w:after="67" w:line="240" w:lineRule="auto"/>
              <w:rPr>
                <w:rFonts w:eastAsia="Times New Roman"/>
                <w:b/>
                <w:bCs/>
                <w:color w:val="000000"/>
                <w:sz w:val="20"/>
                <w:szCs w:val="20"/>
              </w:rPr>
            </w:pPr>
          </w:p>
        </w:tc>
        <w:tc>
          <w:tcPr>
            <w:tcW w:w="1569" w:type="dxa"/>
            <w:shd w:val="clear" w:color="auto" w:fill="FFFFFF"/>
            <w:tcMar>
              <w:left w:w="67" w:type="dxa"/>
              <w:right w:w="67" w:type="dxa"/>
            </w:tcMar>
          </w:tcPr>
          <w:p w14:paraId="4DDFD07E" w14:textId="70568EFC" w:rsidR="00E07CDE" w:rsidRPr="00EE49FD" w:rsidRDefault="00572F0A" w:rsidP="00FD3A24">
            <w:pPr>
              <w:spacing w:before="67" w:after="67" w:line="240" w:lineRule="auto"/>
              <w:jc w:val="right"/>
              <w:rPr>
                <w:rFonts w:eastAsia="Times New Roman"/>
                <w:color w:val="000000"/>
                <w:sz w:val="20"/>
                <w:szCs w:val="20"/>
              </w:rPr>
            </w:pPr>
            <w:r>
              <w:rPr>
                <w:rFonts w:eastAsia="Times New Roman"/>
                <w:color w:val="000000"/>
                <w:sz w:val="20"/>
                <w:szCs w:val="20"/>
              </w:rPr>
              <w:t>28</w:t>
            </w:r>
            <w:r w:rsidR="00E07CDE" w:rsidRPr="00EE49FD">
              <w:rPr>
                <w:rFonts w:eastAsia="Times New Roman"/>
                <w:color w:val="000000"/>
                <w:sz w:val="20"/>
                <w:szCs w:val="20"/>
              </w:rPr>
              <w:t xml:space="preserve"> (</w:t>
            </w:r>
            <w:r>
              <w:rPr>
                <w:rFonts w:eastAsia="Times New Roman"/>
                <w:color w:val="000000"/>
                <w:sz w:val="20"/>
                <w:szCs w:val="20"/>
              </w:rPr>
              <w:t>9</w:t>
            </w:r>
            <w:r w:rsidR="00E07CDE" w:rsidRPr="00EE49FD">
              <w:rPr>
                <w:rFonts w:eastAsia="Times New Roman"/>
                <w:color w:val="000000"/>
                <w:sz w:val="20"/>
                <w:szCs w:val="20"/>
              </w:rPr>
              <w:t>.1%)</w:t>
            </w:r>
          </w:p>
        </w:tc>
        <w:tc>
          <w:tcPr>
            <w:tcW w:w="1570" w:type="dxa"/>
            <w:shd w:val="clear" w:color="auto" w:fill="FFFFFF"/>
            <w:tcMar>
              <w:left w:w="67" w:type="dxa"/>
              <w:right w:w="67" w:type="dxa"/>
            </w:tcMar>
          </w:tcPr>
          <w:p w14:paraId="1E4E5E7F" w14:textId="71B35F7C"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3</w:t>
            </w:r>
            <w:r w:rsidR="00572F0A">
              <w:rPr>
                <w:rFonts w:eastAsia="Times New Roman"/>
                <w:color w:val="000000"/>
                <w:sz w:val="20"/>
                <w:szCs w:val="20"/>
              </w:rPr>
              <w:t>3</w:t>
            </w:r>
            <w:r w:rsidRPr="00EE49FD">
              <w:rPr>
                <w:rFonts w:eastAsia="Times New Roman"/>
                <w:color w:val="000000"/>
                <w:sz w:val="20"/>
                <w:szCs w:val="20"/>
              </w:rPr>
              <w:t xml:space="preserve"> (</w:t>
            </w:r>
            <w:r w:rsidR="00572F0A">
              <w:rPr>
                <w:rFonts w:eastAsia="Times New Roman"/>
                <w:color w:val="000000"/>
                <w:sz w:val="20"/>
                <w:szCs w:val="20"/>
              </w:rPr>
              <w:t>7</w:t>
            </w:r>
            <w:r w:rsidRPr="00EE49FD">
              <w:rPr>
                <w:rFonts w:eastAsia="Times New Roman"/>
                <w:color w:val="000000"/>
                <w:sz w:val="20"/>
                <w:szCs w:val="20"/>
              </w:rPr>
              <w:t>.</w:t>
            </w:r>
            <w:r w:rsidR="00572F0A">
              <w:rPr>
                <w:rFonts w:eastAsia="Times New Roman"/>
                <w:color w:val="000000"/>
                <w:sz w:val="20"/>
                <w:szCs w:val="20"/>
              </w:rPr>
              <w:t>9</w:t>
            </w:r>
            <w:r w:rsidRPr="00EE49FD">
              <w:rPr>
                <w:rFonts w:eastAsia="Times New Roman"/>
                <w:color w:val="000000"/>
                <w:sz w:val="20"/>
                <w:szCs w:val="20"/>
              </w:rPr>
              <w:t>%)</w:t>
            </w:r>
          </w:p>
        </w:tc>
        <w:tc>
          <w:tcPr>
            <w:tcW w:w="1569" w:type="dxa"/>
            <w:shd w:val="clear" w:color="auto" w:fill="FFFFFF"/>
            <w:tcMar>
              <w:left w:w="67" w:type="dxa"/>
              <w:right w:w="67" w:type="dxa"/>
            </w:tcMar>
          </w:tcPr>
          <w:p w14:paraId="3F8BF71E" w14:textId="4988C2B4"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6</w:t>
            </w:r>
            <w:r w:rsidR="00572F0A">
              <w:rPr>
                <w:rFonts w:eastAsia="Times New Roman"/>
                <w:color w:val="000000"/>
                <w:sz w:val="20"/>
                <w:szCs w:val="20"/>
              </w:rPr>
              <w:t>1</w:t>
            </w:r>
            <w:r w:rsidRPr="00EE49FD">
              <w:rPr>
                <w:rFonts w:eastAsia="Times New Roman"/>
                <w:color w:val="000000"/>
                <w:sz w:val="20"/>
                <w:szCs w:val="20"/>
              </w:rPr>
              <w:t xml:space="preserve"> (</w:t>
            </w:r>
            <w:r w:rsidR="00572F0A">
              <w:rPr>
                <w:rFonts w:eastAsia="Times New Roman"/>
                <w:color w:val="000000"/>
                <w:sz w:val="20"/>
                <w:szCs w:val="20"/>
              </w:rPr>
              <w:t>8</w:t>
            </w:r>
            <w:r w:rsidRPr="00EE49FD">
              <w:rPr>
                <w:rFonts w:eastAsia="Times New Roman"/>
                <w:color w:val="000000"/>
                <w:sz w:val="20"/>
                <w:szCs w:val="20"/>
              </w:rPr>
              <w:t>.4%)</w:t>
            </w:r>
          </w:p>
        </w:tc>
        <w:tc>
          <w:tcPr>
            <w:tcW w:w="1570" w:type="dxa"/>
            <w:shd w:val="clear" w:color="auto" w:fill="FFFFFF"/>
            <w:tcMar>
              <w:left w:w="67" w:type="dxa"/>
              <w:right w:w="67" w:type="dxa"/>
            </w:tcMar>
          </w:tcPr>
          <w:p w14:paraId="77941096" w14:textId="123174C2"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5</w:t>
            </w:r>
            <w:r w:rsidR="00EA767E">
              <w:rPr>
                <w:rFonts w:eastAsia="Times New Roman"/>
                <w:color w:val="000000"/>
                <w:sz w:val="20"/>
                <w:szCs w:val="20"/>
              </w:rPr>
              <w:t>0</w:t>
            </w:r>
            <w:r w:rsidRPr="00EE49FD">
              <w:rPr>
                <w:rFonts w:eastAsia="Times New Roman"/>
                <w:color w:val="000000"/>
                <w:sz w:val="20"/>
                <w:szCs w:val="20"/>
              </w:rPr>
              <w:t xml:space="preserve"> (1</w:t>
            </w:r>
            <w:r w:rsidR="00EA767E">
              <w:rPr>
                <w:rFonts w:eastAsia="Times New Roman"/>
                <w:color w:val="000000"/>
                <w:sz w:val="20"/>
                <w:szCs w:val="20"/>
              </w:rPr>
              <w:t>7.4</w:t>
            </w:r>
            <w:r w:rsidRPr="00EE49FD">
              <w:rPr>
                <w:rFonts w:eastAsia="Times New Roman"/>
                <w:color w:val="000000"/>
                <w:sz w:val="20"/>
                <w:szCs w:val="20"/>
              </w:rPr>
              <w:t>%)</w:t>
            </w:r>
          </w:p>
        </w:tc>
        <w:tc>
          <w:tcPr>
            <w:tcW w:w="1569" w:type="dxa"/>
            <w:shd w:val="clear" w:color="auto" w:fill="FFFFFF"/>
            <w:tcMar>
              <w:left w:w="67" w:type="dxa"/>
              <w:right w:w="67" w:type="dxa"/>
            </w:tcMar>
          </w:tcPr>
          <w:p w14:paraId="064D50C4" w14:textId="51E6603A"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7</w:t>
            </w:r>
            <w:r w:rsidR="00EA767E">
              <w:rPr>
                <w:rFonts w:eastAsia="Times New Roman"/>
                <w:color w:val="000000"/>
                <w:sz w:val="20"/>
                <w:szCs w:val="20"/>
              </w:rPr>
              <w:t>1</w:t>
            </w:r>
            <w:r w:rsidRPr="00EE49FD">
              <w:rPr>
                <w:rFonts w:eastAsia="Times New Roman"/>
                <w:color w:val="000000"/>
                <w:sz w:val="20"/>
                <w:szCs w:val="20"/>
              </w:rPr>
              <w:t xml:space="preserve"> (</w:t>
            </w:r>
            <w:r w:rsidR="00EA767E">
              <w:rPr>
                <w:rFonts w:eastAsia="Times New Roman"/>
                <w:color w:val="000000"/>
                <w:sz w:val="20"/>
                <w:szCs w:val="20"/>
              </w:rPr>
              <w:t>18.3</w:t>
            </w:r>
            <w:r w:rsidRPr="00EE49FD">
              <w:rPr>
                <w:rFonts w:eastAsia="Times New Roman"/>
                <w:color w:val="000000"/>
                <w:sz w:val="20"/>
                <w:szCs w:val="20"/>
              </w:rPr>
              <w:t>%)</w:t>
            </w:r>
          </w:p>
        </w:tc>
        <w:tc>
          <w:tcPr>
            <w:tcW w:w="1570" w:type="dxa"/>
            <w:shd w:val="clear" w:color="auto" w:fill="FFFFFF"/>
            <w:tcMar>
              <w:left w:w="67" w:type="dxa"/>
              <w:right w:w="67" w:type="dxa"/>
            </w:tcMar>
          </w:tcPr>
          <w:p w14:paraId="5F2035DC" w14:textId="54CACF99"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12</w:t>
            </w:r>
            <w:r w:rsidR="00EA767E">
              <w:rPr>
                <w:rFonts w:eastAsia="Times New Roman"/>
                <w:color w:val="000000"/>
                <w:sz w:val="20"/>
                <w:szCs w:val="20"/>
              </w:rPr>
              <w:t>1</w:t>
            </w:r>
            <w:r w:rsidRPr="00EE49FD">
              <w:rPr>
                <w:rFonts w:eastAsia="Times New Roman"/>
                <w:color w:val="000000"/>
                <w:sz w:val="20"/>
                <w:szCs w:val="20"/>
              </w:rPr>
              <w:t xml:space="preserve"> (1</w:t>
            </w:r>
            <w:r w:rsidR="00EA767E">
              <w:rPr>
                <w:rFonts w:eastAsia="Times New Roman"/>
                <w:color w:val="000000"/>
                <w:sz w:val="20"/>
                <w:szCs w:val="20"/>
              </w:rPr>
              <w:t>7.9</w:t>
            </w:r>
            <w:r w:rsidRPr="00EE49FD">
              <w:rPr>
                <w:rFonts w:eastAsia="Times New Roman"/>
                <w:color w:val="000000"/>
                <w:sz w:val="20"/>
                <w:szCs w:val="20"/>
              </w:rPr>
              <w:t>%)</w:t>
            </w:r>
          </w:p>
        </w:tc>
      </w:tr>
      <w:tr w:rsidR="00E07CDE" w:rsidRPr="00EE49FD" w14:paraId="59755CB3" w14:textId="77777777" w:rsidTr="00C163F3">
        <w:trPr>
          <w:cantSplit/>
        </w:trPr>
        <w:tc>
          <w:tcPr>
            <w:tcW w:w="0" w:type="auto"/>
            <w:shd w:val="clear" w:color="auto" w:fill="FFFFFF"/>
            <w:tcMar>
              <w:left w:w="67" w:type="dxa"/>
              <w:right w:w="67" w:type="dxa"/>
            </w:tcMar>
          </w:tcPr>
          <w:p w14:paraId="4BE62180" w14:textId="77777777" w:rsidR="00E07CDE" w:rsidRPr="00EE49FD" w:rsidRDefault="00E07CDE" w:rsidP="006C0B32">
            <w:pPr>
              <w:spacing w:before="67" w:after="67" w:line="240" w:lineRule="auto"/>
              <w:rPr>
                <w:rFonts w:eastAsia="Times New Roman"/>
                <w:b/>
                <w:bCs/>
                <w:color w:val="000000"/>
                <w:sz w:val="20"/>
                <w:szCs w:val="20"/>
              </w:rPr>
            </w:pPr>
            <w:r w:rsidRPr="00EE49FD">
              <w:rPr>
                <w:rFonts w:eastAsia="Times New Roman"/>
                <w:b/>
                <w:bCs/>
                <w:color w:val="000000"/>
                <w:sz w:val="20"/>
                <w:szCs w:val="20"/>
              </w:rPr>
              <w:t>Anticonvulsant</w:t>
            </w:r>
          </w:p>
        </w:tc>
        <w:tc>
          <w:tcPr>
            <w:tcW w:w="1343" w:type="dxa"/>
            <w:shd w:val="clear" w:color="auto" w:fill="FFFFFF"/>
            <w:tcMar>
              <w:left w:w="67" w:type="dxa"/>
              <w:right w:w="67" w:type="dxa"/>
            </w:tcMar>
          </w:tcPr>
          <w:p w14:paraId="56A00CFB" w14:textId="77777777" w:rsidR="00E07CDE" w:rsidRPr="00EE49FD" w:rsidRDefault="00E07CDE" w:rsidP="006C0B32">
            <w:pPr>
              <w:spacing w:before="67" w:after="67" w:line="240" w:lineRule="auto"/>
              <w:rPr>
                <w:rFonts w:eastAsia="Times New Roman"/>
                <w:b/>
                <w:bCs/>
                <w:color w:val="000000"/>
                <w:sz w:val="20"/>
                <w:szCs w:val="20"/>
              </w:rPr>
            </w:pPr>
          </w:p>
        </w:tc>
        <w:tc>
          <w:tcPr>
            <w:tcW w:w="1569" w:type="dxa"/>
            <w:shd w:val="clear" w:color="auto" w:fill="FFFFFF"/>
            <w:tcMar>
              <w:left w:w="67" w:type="dxa"/>
              <w:right w:w="67" w:type="dxa"/>
            </w:tcMar>
          </w:tcPr>
          <w:p w14:paraId="551EDF16" w14:textId="07ACDC47"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9 (</w:t>
            </w:r>
            <w:r w:rsidR="00592F41">
              <w:rPr>
                <w:rFonts w:eastAsia="Times New Roman"/>
                <w:color w:val="000000"/>
                <w:sz w:val="20"/>
                <w:szCs w:val="20"/>
              </w:rPr>
              <w:t>2.9</w:t>
            </w:r>
            <w:r w:rsidRPr="00EE49FD">
              <w:rPr>
                <w:rFonts w:eastAsia="Times New Roman"/>
                <w:color w:val="000000"/>
                <w:sz w:val="20"/>
                <w:szCs w:val="20"/>
              </w:rPr>
              <w:t>%)</w:t>
            </w:r>
          </w:p>
        </w:tc>
        <w:tc>
          <w:tcPr>
            <w:tcW w:w="1570" w:type="dxa"/>
            <w:shd w:val="clear" w:color="auto" w:fill="FFFFFF"/>
            <w:tcMar>
              <w:left w:w="67" w:type="dxa"/>
              <w:right w:w="67" w:type="dxa"/>
            </w:tcMar>
          </w:tcPr>
          <w:p w14:paraId="1C612A08" w14:textId="1AFF6E72"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w:t>
            </w:r>
            <w:r w:rsidR="00592F41">
              <w:rPr>
                <w:rFonts w:eastAsia="Times New Roman"/>
                <w:color w:val="000000"/>
                <w:sz w:val="20"/>
                <w:szCs w:val="20"/>
              </w:rPr>
              <w:t>0</w:t>
            </w:r>
            <w:r w:rsidRPr="00EE49FD">
              <w:rPr>
                <w:rFonts w:eastAsia="Times New Roman"/>
                <w:color w:val="000000"/>
                <w:sz w:val="20"/>
                <w:szCs w:val="20"/>
              </w:rPr>
              <w:t xml:space="preserve"> (</w:t>
            </w:r>
            <w:r w:rsidR="00592F41">
              <w:rPr>
                <w:rFonts w:eastAsia="Times New Roman"/>
                <w:color w:val="000000"/>
                <w:sz w:val="20"/>
                <w:szCs w:val="20"/>
              </w:rPr>
              <w:t>2.4</w:t>
            </w:r>
            <w:r w:rsidRPr="00EE49FD">
              <w:rPr>
                <w:rFonts w:eastAsia="Times New Roman"/>
                <w:color w:val="000000"/>
                <w:sz w:val="20"/>
                <w:szCs w:val="20"/>
              </w:rPr>
              <w:t>%)</w:t>
            </w:r>
          </w:p>
        </w:tc>
        <w:tc>
          <w:tcPr>
            <w:tcW w:w="1569" w:type="dxa"/>
            <w:shd w:val="clear" w:color="auto" w:fill="FFFFFF"/>
            <w:tcMar>
              <w:left w:w="67" w:type="dxa"/>
              <w:right w:w="67" w:type="dxa"/>
            </w:tcMar>
          </w:tcPr>
          <w:p w14:paraId="569642FB" w14:textId="595541CF" w:rsidR="00E07CDE" w:rsidRPr="00EE49FD" w:rsidRDefault="00592F41" w:rsidP="00FD3A24">
            <w:pPr>
              <w:spacing w:before="67" w:after="67" w:line="240" w:lineRule="auto"/>
              <w:jc w:val="right"/>
              <w:rPr>
                <w:rFonts w:eastAsia="Times New Roman"/>
                <w:color w:val="000000"/>
                <w:sz w:val="20"/>
                <w:szCs w:val="20"/>
              </w:rPr>
            </w:pPr>
            <w:r>
              <w:rPr>
                <w:rFonts w:eastAsia="Times New Roman"/>
                <w:color w:val="000000"/>
                <w:sz w:val="20"/>
                <w:szCs w:val="20"/>
              </w:rPr>
              <w:t>19</w:t>
            </w:r>
            <w:r w:rsidR="00E07CDE" w:rsidRPr="00EE49FD">
              <w:rPr>
                <w:rFonts w:eastAsia="Times New Roman"/>
                <w:color w:val="000000"/>
                <w:sz w:val="20"/>
                <w:szCs w:val="20"/>
              </w:rPr>
              <w:t xml:space="preserve"> (2</w:t>
            </w:r>
            <w:r>
              <w:rPr>
                <w:rFonts w:eastAsia="Times New Roman"/>
                <w:color w:val="000000"/>
                <w:sz w:val="20"/>
                <w:szCs w:val="20"/>
              </w:rPr>
              <w:t>.6</w:t>
            </w:r>
            <w:r w:rsidR="00E07CDE" w:rsidRPr="00EE49FD">
              <w:rPr>
                <w:rFonts w:eastAsia="Times New Roman"/>
                <w:color w:val="000000"/>
                <w:sz w:val="20"/>
                <w:szCs w:val="20"/>
              </w:rPr>
              <w:t>%)</w:t>
            </w:r>
          </w:p>
        </w:tc>
        <w:tc>
          <w:tcPr>
            <w:tcW w:w="1570" w:type="dxa"/>
            <w:shd w:val="clear" w:color="auto" w:fill="FFFFFF"/>
            <w:tcMar>
              <w:left w:w="67" w:type="dxa"/>
              <w:right w:w="67" w:type="dxa"/>
            </w:tcMar>
          </w:tcPr>
          <w:p w14:paraId="5D947B5C" w14:textId="108F829C"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9 (3.</w:t>
            </w:r>
            <w:r w:rsidR="00592F41">
              <w:rPr>
                <w:rFonts w:eastAsia="Times New Roman"/>
                <w:color w:val="000000"/>
                <w:sz w:val="20"/>
                <w:szCs w:val="20"/>
              </w:rPr>
              <w:t>1</w:t>
            </w:r>
            <w:r w:rsidRPr="00EE49FD">
              <w:rPr>
                <w:rFonts w:eastAsia="Times New Roman"/>
                <w:color w:val="000000"/>
                <w:sz w:val="20"/>
                <w:szCs w:val="20"/>
              </w:rPr>
              <w:t>%)</w:t>
            </w:r>
          </w:p>
        </w:tc>
        <w:tc>
          <w:tcPr>
            <w:tcW w:w="1569" w:type="dxa"/>
            <w:shd w:val="clear" w:color="auto" w:fill="FFFFFF"/>
            <w:tcMar>
              <w:left w:w="67" w:type="dxa"/>
              <w:right w:w="67" w:type="dxa"/>
            </w:tcMar>
          </w:tcPr>
          <w:p w14:paraId="244D7302" w14:textId="0A564AF9"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w:t>
            </w:r>
            <w:r w:rsidR="00592F41">
              <w:rPr>
                <w:rFonts w:eastAsia="Times New Roman"/>
                <w:color w:val="000000"/>
                <w:sz w:val="20"/>
                <w:szCs w:val="20"/>
              </w:rPr>
              <w:t>5</w:t>
            </w:r>
            <w:r w:rsidRPr="00EE49FD">
              <w:rPr>
                <w:rFonts w:eastAsia="Times New Roman"/>
                <w:color w:val="000000"/>
                <w:sz w:val="20"/>
                <w:szCs w:val="20"/>
              </w:rPr>
              <w:t xml:space="preserve"> (</w:t>
            </w:r>
            <w:r w:rsidR="00592F41">
              <w:rPr>
                <w:rFonts w:eastAsia="Times New Roman"/>
                <w:color w:val="000000"/>
                <w:sz w:val="20"/>
                <w:szCs w:val="20"/>
              </w:rPr>
              <w:t>3</w:t>
            </w:r>
            <w:r w:rsidRPr="00EE49FD">
              <w:rPr>
                <w:rFonts w:eastAsia="Times New Roman"/>
                <w:color w:val="000000"/>
                <w:sz w:val="20"/>
                <w:szCs w:val="20"/>
              </w:rPr>
              <w:t>.</w:t>
            </w:r>
            <w:r w:rsidR="00592F41">
              <w:rPr>
                <w:rFonts w:eastAsia="Times New Roman"/>
                <w:color w:val="000000"/>
                <w:sz w:val="20"/>
                <w:szCs w:val="20"/>
              </w:rPr>
              <w:t>9</w:t>
            </w:r>
            <w:r w:rsidRPr="00EE49FD">
              <w:rPr>
                <w:rFonts w:eastAsia="Times New Roman"/>
                <w:color w:val="000000"/>
                <w:sz w:val="20"/>
                <w:szCs w:val="20"/>
              </w:rPr>
              <w:t>%)</w:t>
            </w:r>
          </w:p>
        </w:tc>
        <w:tc>
          <w:tcPr>
            <w:tcW w:w="1570" w:type="dxa"/>
            <w:shd w:val="clear" w:color="auto" w:fill="FFFFFF"/>
            <w:tcMar>
              <w:left w:w="67" w:type="dxa"/>
              <w:right w:w="67" w:type="dxa"/>
            </w:tcMar>
          </w:tcPr>
          <w:p w14:paraId="4A41CD7F" w14:textId="3145405F"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2</w:t>
            </w:r>
            <w:r w:rsidR="00592F41">
              <w:rPr>
                <w:rFonts w:eastAsia="Times New Roman"/>
                <w:color w:val="000000"/>
                <w:sz w:val="20"/>
                <w:szCs w:val="20"/>
              </w:rPr>
              <w:t>4</w:t>
            </w:r>
            <w:r w:rsidRPr="00EE49FD">
              <w:rPr>
                <w:rFonts w:eastAsia="Times New Roman"/>
                <w:color w:val="000000"/>
                <w:sz w:val="20"/>
                <w:szCs w:val="20"/>
              </w:rPr>
              <w:t xml:space="preserve"> (</w:t>
            </w:r>
            <w:r w:rsidR="00592F41">
              <w:rPr>
                <w:rFonts w:eastAsia="Times New Roman"/>
                <w:color w:val="000000"/>
                <w:sz w:val="20"/>
                <w:szCs w:val="20"/>
              </w:rPr>
              <w:t>3.6</w:t>
            </w:r>
            <w:r w:rsidRPr="00EE49FD">
              <w:rPr>
                <w:rFonts w:eastAsia="Times New Roman"/>
                <w:color w:val="000000"/>
                <w:sz w:val="20"/>
                <w:szCs w:val="20"/>
              </w:rPr>
              <w:t>%)</w:t>
            </w:r>
          </w:p>
        </w:tc>
      </w:tr>
      <w:tr w:rsidR="00E07CDE" w:rsidRPr="00EE49FD" w14:paraId="116D8FAF" w14:textId="77777777" w:rsidTr="00C163F3">
        <w:trPr>
          <w:cantSplit/>
        </w:trPr>
        <w:tc>
          <w:tcPr>
            <w:tcW w:w="0" w:type="auto"/>
            <w:shd w:val="clear" w:color="auto" w:fill="FFFFFF"/>
            <w:tcMar>
              <w:left w:w="67" w:type="dxa"/>
              <w:right w:w="67" w:type="dxa"/>
            </w:tcMar>
          </w:tcPr>
          <w:p w14:paraId="06721786" w14:textId="77777777" w:rsidR="00E07CDE" w:rsidRPr="00EE49FD" w:rsidRDefault="00E07CDE" w:rsidP="006C0B32">
            <w:pPr>
              <w:spacing w:before="67" w:after="67" w:line="240" w:lineRule="auto"/>
              <w:rPr>
                <w:rFonts w:eastAsia="Times New Roman"/>
                <w:b/>
                <w:bCs/>
                <w:color w:val="000000"/>
                <w:sz w:val="20"/>
                <w:szCs w:val="20"/>
              </w:rPr>
            </w:pPr>
            <w:r w:rsidRPr="00EE49FD">
              <w:rPr>
                <w:rFonts w:eastAsia="Times New Roman"/>
                <w:b/>
                <w:bCs/>
                <w:color w:val="000000"/>
                <w:sz w:val="20"/>
                <w:szCs w:val="20"/>
              </w:rPr>
              <w:t>Mood stabiliser</w:t>
            </w:r>
          </w:p>
        </w:tc>
        <w:tc>
          <w:tcPr>
            <w:tcW w:w="1343" w:type="dxa"/>
            <w:shd w:val="clear" w:color="auto" w:fill="FFFFFF"/>
            <w:tcMar>
              <w:left w:w="67" w:type="dxa"/>
              <w:right w:w="67" w:type="dxa"/>
            </w:tcMar>
          </w:tcPr>
          <w:p w14:paraId="61FD10A5" w14:textId="77777777" w:rsidR="00E07CDE" w:rsidRPr="00EE49FD" w:rsidRDefault="00E07CDE" w:rsidP="006C0B32">
            <w:pPr>
              <w:spacing w:before="67" w:after="67" w:line="240" w:lineRule="auto"/>
              <w:rPr>
                <w:rFonts w:eastAsia="Times New Roman"/>
                <w:b/>
                <w:bCs/>
                <w:color w:val="000000"/>
                <w:sz w:val="20"/>
                <w:szCs w:val="20"/>
              </w:rPr>
            </w:pPr>
          </w:p>
        </w:tc>
        <w:tc>
          <w:tcPr>
            <w:tcW w:w="1569" w:type="dxa"/>
            <w:shd w:val="clear" w:color="auto" w:fill="FFFFFF"/>
            <w:tcMar>
              <w:left w:w="67" w:type="dxa"/>
              <w:right w:w="67" w:type="dxa"/>
            </w:tcMar>
          </w:tcPr>
          <w:p w14:paraId="44748726" w14:textId="093C07B7"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 (0.</w:t>
            </w:r>
            <w:r w:rsidR="00DF76BB">
              <w:rPr>
                <w:rFonts w:eastAsia="Times New Roman"/>
                <w:color w:val="000000"/>
                <w:sz w:val="20"/>
                <w:szCs w:val="20"/>
              </w:rPr>
              <w:t>3</w:t>
            </w:r>
            <w:r w:rsidRPr="00EE49FD">
              <w:rPr>
                <w:rFonts w:eastAsia="Times New Roman"/>
                <w:color w:val="000000"/>
                <w:sz w:val="20"/>
                <w:szCs w:val="20"/>
              </w:rPr>
              <w:t>%)</w:t>
            </w:r>
          </w:p>
        </w:tc>
        <w:tc>
          <w:tcPr>
            <w:tcW w:w="1570" w:type="dxa"/>
            <w:shd w:val="clear" w:color="auto" w:fill="FFFFFF"/>
            <w:tcMar>
              <w:left w:w="67" w:type="dxa"/>
              <w:right w:w="67" w:type="dxa"/>
            </w:tcMar>
          </w:tcPr>
          <w:p w14:paraId="45718449" w14:textId="766A4D75" w:rsidR="00E07CDE" w:rsidRPr="00EE49FD" w:rsidRDefault="00DF76BB" w:rsidP="00FD3A24">
            <w:pPr>
              <w:spacing w:before="67" w:after="67" w:line="240" w:lineRule="auto"/>
              <w:jc w:val="right"/>
              <w:rPr>
                <w:rFonts w:eastAsia="Times New Roman"/>
                <w:color w:val="000000"/>
                <w:sz w:val="20"/>
                <w:szCs w:val="20"/>
              </w:rPr>
            </w:pPr>
            <w:r>
              <w:rPr>
                <w:rFonts w:eastAsia="Times New Roman"/>
                <w:color w:val="000000"/>
                <w:sz w:val="20"/>
                <w:szCs w:val="20"/>
              </w:rPr>
              <w:t>0</w:t>
            </w:r>
            <w:r w:rsidR="00E07CDE" w:rsidRPr="00EE49FD">
              <w:rPr>
                <w:rFonts w:eastAsia="Times New Roman"/>
                <w:color w:val="000000"/>
                <w:sz w:val="20"/>
                <w:szCs w:val="20"/>
              </w:rPr>
              <w:t xml:space="preserve"> (0.</w:t>
            </w:r>
            <w:r>
              <w:rPr>
                <w:rFonts w:eastAsia="Times New Roman"/>
                <w:color w:val="000000"/>
                <w:sz w:val="20"/>
                <w:szCs w:val="20"/>
              </w:rPr>
              <w:t>0</w:t>
            </w:r>
            <w:r w:rsidR="00E07CDE" w:rsidRPr="00EE49FD">
              <w:rPr>
                <w:rFonts w:eastAsia="Times New Roman"/>
                <w:color w:val="000000"/>
                <w:sz w:val="20"/>
                <w:szCs w:val="20"/>
              </w:rPr>
              <w:t>%)</w:t>
            </w:r>
          </w:p>
        </w:tc>
        <w:tc>
          <w:tcPr>
            <w:tcW w:w="1569" w:type="dxa"/>
            <w:shd w:val="clear" w:color="auto" w:fill="FFFFFF"/>
            <w:tcMar>
              <w:left w:w="67" w:type="dxa"/>
              <w:right w:w="67" w:type="dxa"/>
            </w:tcMar>
          </w:tcPr>
          <w:p w14:paraId="2EECC94D" w14:textId="3ED619C3" w:rsidR="00E07CDE" w:rsidRPr="00EE49FD" w:rsidRDefault="00DF76BB" w:rsidP="00FD3A24">
            <w:pPr>
              <w:spacing w:before="67" w:after="67" w:line="240" w:lineRule="auto"/>
              <w:jc w:val="right"/>
              <w:rPr>
                <w:rFonts w:eastAsia="Times New Roman"/>
                <w:color w:val="000000"/>
                <w:sz w:val="20"/>
                <w:szCs w:val="20"/>
              </w:rPr>
            </w:pPr>
            <w:r>
              <w:rPr>
                <w:rFonts w:eastAsia="Times New Roman"/>
                <w:color w:val="000000"/>
                <w:sz w:val="20"/>
                <w:szCs w:val="20"/>
              </w:rPr>
              <w:t>1</w:t>
            </w:r>
            <w:r w:rsidR="00E07CDE" w:rsidRPr="00EE49FD">
              <w:rPr>
                <w:rFonts w:eastAsia="Times New Roman"/>
                <w:color w:val="000000"/>
                <w:sz w:val="20"/>
                <w:szCs w:val="20"/>
              </w:rPr>
              <w:t xml:space="preserve"> (0.</w:t>
            </w:r>
            <w:r>
              <w:rPr>
                <w:rFonts w:eastAsia="Times New Roman"/>
                <w:color w:val="000000"/>
                <w:sz w:val="20"/>
                <w:szCs w:val="20"/>
              </w:rPr>
              <w:t>1</w:t>
            </w:r>
            <w:r w:rsidR="00E07CDE" w:rsidRPr="00EE49FD">
              <w:rPr>
                <w:rFonts w:eastAsia="Times New Roman"/>
                <w:color w:val="000000"/>
                <w:sz w:val="20"/>
                <w:szCs w:val="20"/>
              </w:rPr>
              <w:t>%)</w:t>
            </w:r>
          </w:p>
        </w:tc>
        <w:tc>
          <w:tcPr>
            <w:tcW w:w="1570" w:type="dxa"/>
            <w:shd w:val="clear" w:color="auto" w:fill="FFFFFF"/>
            <w:tcMar>
              <w:left w:w="67" w:type="dxa"/>
              <w:right w:w="67" w:type="dxa"/>
            </w:tcMar>
          </w:tcPr>
          <w:p w14:paraId="4CF34E36" w14:textId="36A72788"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2 (0.7%)</w:t>
            </w:r>
          </w:p>
        </w:tc>
        <w:tc>
          <w:tcPr>
            <w:tcW w:w="1569" w:type="dxa"/>
            <w:shd w:val="clear" w:color="auto" w:fill="FFFFFF"/>
            <w:tcMar>
              <w:left w:w="67" w:type="dxa"/>
              <w:right w:w="67" w:type="dxa"/>
            </w:tcMar>
          </w:tcPr>
          <w:p w14:paraId="2D0C5326" w14:textId="54425198" w:rsidR="00E07CDE" w:rsidRPr="00EE49FD" w:rsidRDefault="00DF76BB" w:rsidP="00FD3A24">
            <w:pPr>
              <w:spacing w:before="67" w:after="67" w:line="240" w:lineRule="auto"/>
              <w:jc w:val="right"/>
              <w:rPr>
                <w:rFonts w:eastAsia="Times New Roman"/>
                <w:color w:val="000000"/>
                <w:sz w:val="20"/>
                <w:szCs w:val="20"/>
              </w:rPr>
            </w:pPr>
            <w:r>
              <w:rPr>
                <w:rFonts w:eastAsia="Times New Roman"/>
                <w:color w:val="000000"/>
                <w:sz w:val="20"/>
                <w:szCs w:val="20"/>
              </w:rPr>
              <w:t>0</w:t>
            </w:r>
            <w:r w:rsidR="00E07CDE" w:rsidRPr="00EE49FD">
              <w:rPr>
                <w:rFonts w:eastAsia="Times New Roman"/>
                <w:color w:val="000000"/>
                <w:sz w:val="20"/>
                <w:szCs w:val="20"/>
              </w:rPr>
              <w:t xml:space="preserve"> (0.</w:t>
            </w:r>
            <w:r>
              <w:rPr>
                <w:rFonts w:eastAsia="Times New Roman"/>
                <w:color w:val="000000"/>
                <w:sz w:val="20"/>
                <w:szCs w:val="20"/>
              </w:rPr>
              <w:t>0</w:t>
            </w:r>
            <w:r w:rsidR="00E07CDE" w:rsidRPr="00EE49FD">
              <w:rPr>
                <w:rFonts w:eastAsia="Times New Roman"/>
                <w:color w:val="000000"/>
                <w:sz w:val="20"/>
                <w:szCs w:val="20"/>
              </w:rPr>
              <w:t>%)</w:t>
            </w:r>
          </w:p>
        </w:tc>
        <w:tc>
          <w:tcPr>
            <w:tcW w:w="1570" w:type="dxa"/>
            <w:shd w:val="clear" w:color="auto" w:fill="FFFFFF"/>
            <w:tcMar>
              <w:left w:w="67" w:type="dxa"/>
              <w:right w:w="67" w:type="dxa"/>
            </w:tcMar>
          </w:tcPr>
          <w:p w14:paraId="4CDE9100" w14:textId="219FC7EE" w:rsidR="00E07CDE" w:rsidRPr="00EE49FD" w:rsidRDefault="00DF76BB" w:rsidP="00FD3A24">
            <w:pPr>
              <w:spacing w:before="67" w:after="67" w:line="240" w:lineRule="auto"/>
              <w:jc w:val="right"/>
              <w:rPr>
                <w:rFonts w:eastAsia="Times New Roman"/>
                <w:color w:val="000000"/>
                <w:sz w:val="20"/>
                <w:szCs w:val="20"/>
              </w:rPr>
            </w:pPr>
            <w:r>
              <w:rPr>
                <w:rFonts w:eastAsia="Times New Roman"/>
                <w:color w:val="000000"/>
                <w:sz w:val="20"/>
                <w:szCs w:val="20"/>
              </w:rPr>
              <w:t>2</w:t>
            </w:r>
            <w:r w:rsidR="00E07CDE" w:rsidRPr="00EE49FD">
              <w:rPr>
                <w:rFonts w:eastAsia="Times New Roman"/>
                <w:color w:val="000000"/>
                <w:sz w:val="20"/>
                <w:szCs w:val="20"/>
              </w:rPr>
              <w:t xml:space="preserve"> (0.</w:t>
            </w:r>
            <w:r>
              <w:rPr>
                <w:rFonts w:eastAsia="Times New Roman"/>
                <w:color w:val="000000"/>
                <w:sz w:val="20"/>
                <w:szCs w:val="20"/>
              </w:rPr>
              <w:t>3</w:t>
            </w:r>
            <w:r w:rsidR="00E07CDE" w:rsidRPr="00EE49FD">
              <w:rPr>
                <w:rFonts w:eastAsia="Times New Roman"/>
                <w:color w:val="000000"/>
                <w:sz w:val="20"/>
                <w:szCs w:val="20"/>
              </w:rPr>
              <w:t>%)</w:t>
            </w:r>
          </w:p>
        </w:tc>
      </w:tr>
      <w:tr w:rsidR="00E07CDE" w:rsidRPr="00EE49FD" w14:paraId="7E5B39E7" w14:textId="77777777" w:rsidTr="00C163F3">
        <w:trPr>
          <w:cantSplit/>
        </w:trPr>
        <w:tc>
          <w:tcPr>
            <w:tcW w:w="0" w:type="auto"/>
            <w:shd w:val="clear" w:color="auto" w:fill="FFFFFF"/>
            <w:tcMar>
              <w:left w:w="67" w:type="dxa"/>
              <w:right w:w="67" w:type="dxa"/>
            </w:tcMar>
          </w:tcPr>
          <w:p w14:paraId="332DE885" w14:textId="77777777" w:rsidR="00E07CDE" w:rsidRPr="00EE49FD" w:rsidRDefault="00E07CDE" w:rsidP="006C0B32">
            <w:pPr>
              <w:spacing w:before="67" w:after="67" w:line="240" w:lineRule="auto"/>
              <w:rPr>
                <w:rFonts w:eastAsia="Times New Roman"/>
                <w:b/>
                <w:bCs/>
                <w:color w:val="000000"/>
                <w:sz w:val="20"/>
                <w:szCs w:val="20"/>
              </w:rPr>
            </w:pPr>
            <w:r w:rsidRPr="00EE49FD">
              <w:rPr>
                <w:rFonts w:eastAsia="Times New Roman"/>
                <w:b/>
                <w:bCs/>
                <w:color w:val="000000"/>
                <w:sz w:val="20"/>
                <w:szCs w:val="20"/>
              </w:rPr>
              <w:t>Pain relief</w:t>
            </w:r>
          </w:p>
        </w:tc>
        <w:tc>
          <w:tcPr>
            <w:tcW w:w="1343" w:type="dxa"/>
            <w:shd w:val="clear" w:color="auto" w:fill="FFFFFF"/>
            <w:tcMar>
              <w:left w:w="67" w:type="dxa"/>
              <w:right w:w="67" w:type="dxa"/>
            </w:tcMar>
          </w:tcPr>
          <w:p w14:paraId="033DF5C9" w14:textId="77777777" w:rsidR="00E07CDE" w:rsidRPr="00EE49FD" w:rsidRDefault="00E07CDE" w:rsidP="006C0B32">
            <w:pPr>
              <w:spacing w:before="67" w:after="67" w:line="240" w:lineRule="auto"/>
              <w:rPr>
                <w:rFonts w:eastAsia="Times New Roman"/>
                <w:b/>
                <w:bCs/>
                <w:color w:val="000000"/>
                <w:sz w:val="20"/>
                <w:szCs w:val="20"/>
              </w:rPr>
            </w:pPr>
          </w:p>
        </w:tc>
        <w:tc>
          <w:tcPr>
            <w:tcW w:w="1569" w:type="dxa"/>
            <w:shd w:val="clear" w:color="auto" w:fill="FFFFFF"/>
            <w:tcMar>
              <w:left w:w="67" w:type="dxa"/>
              <w:right w:w="67" w:type="dxa"/>
            </w:tcMar>
          </w:tcPr>
          <w:p w14:paraId="7B0ACDB9" w14:textId="0A8E6BB1" w:rsidR="00E07CDE" w:rsidRPr="00EE49FD" w:rsidRDefault="00E07CDE" w:rsidP="001D633F">
            <w:pPr>
              <w:spacing w:before="67" w:after="67" w:line="240" w:lineRule="auto"/>
              <w:jc w:val="right"/>
              <w:rPr>
                <w:rFonts w:eastAsia="Times New Roman"/>
                <w:color w:val="000000"/>
                <w:sz w:val="20"/>
                <w:szCs w:val="20"/>
              </w:rPr>
            </w:pPr>
            <w:r w:rsidRPr="00EE49FD">
              <w:rPr>
                <w:rFonts w:eastAsia="Times New Roman"/>
                <w:color w:val="000000"/>
                <w:sz w:val="20"/>
                <w:szCs w:val="20"/>
              </w:rPr>
              <w:t>8</w:t>
            </w:r>
            <w:r w:rsidR="001D633F">
              <w:rPr>
                <w:rFonts w:eastAsia="Times New Roman"/>
                <w:color w:val="000000"/>
                <w:sz w:val="20"/>
                <w:szCs w:val="20"/>
              </w:rPr>
              <w:t>4</w:t>
            </w:r>
            <w:r w:rsidRPr="00EE49FD">
              <w:rPr>
                <w:rFonts w:eastAsia="Times New Roman"/>
                <w:color w:val="000000"/>
                <w:sz w:val="20"/>
                <w:szCs w:val="20"/>
              </w:rPr>
              <w:t xml:space="preserve"> (</w:t>
            </w:r>
            <w:r w:rsidR="001D633F">
              <w:rPr>
                <w:rFonts w:eastAsia="Times New Roman"/>
                <w:color w:val="000000"/>
                <w:sz w:val="20"/>
                <w:szCs w:val="20"/>
              </w:rPr>
              <w:t>27.3</w:t>
            </w:r>
            <w:r w:rsidRPr="00EE49FD">
              <w:rPr>
                <w:rFonts w:eastAsia="Times New Roman"/>
                <w:color w:val="000000"/>
                <w:sz w:val="20"/>
                <w:szCs w:val="20"/>
              </w:rPr>
              <w:t>%)</w:t>
            </w:r>
          </w:p>
        </w:tc>
        <w:tc>
          <w:tcPr>
            <w:tcW w:w="1570" w:type="dxa"/>
            <w:shd w:val="clear" w:color="auto" w:fill="FFFFFF"/>
            <w:tcMar>
              <w:left w:w="67" w:type="dxa"/>
              <w:right w:w="67" w:type="dxa"/>
            </w:tcMar>
          </w:tcPr>
          <w:p w14:paraId="68832AC4" w14:textId="2BEBE2DD"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12</w:t>
            </w:r>
            <w:r w:rsidR="001D633F">
              <w:rPr>
                <w:rFonts w:eastAsia="Times New Roman"/>
                <w:color w:val="000000"/>
                <w:sz w:val="20"/>
                <w:szCs w:val="20"/>
              </w:rPr>
              <w:t>1</w:t>
            </w:r>
            <w:r w:rsidRPr="00EE49FD">
              <w:rPr>
                <w:rFonts w:eastAsia="Times New Roman"/>
                <w:color w:val="000000"/>
                <w:sz w:val="20"/>
                <w:szCs w:val="20"/>
              </w:rPr>
              <w:t xml:space="preserve"> (</w:t>
            </w:r>
            <w:r w:rsidR="001D633F">
              <w:rPr>
                <w:rFonts w:eastAsia="Times New Roman"/>
                <w:color w:val="000000"/>
                <w:sz w:val="20"/>
                <w:szCs w:val="20"/>
              </w:rPr>
              <w:t>28.9</w:t>
            </w:r>
            <w:r w:rsidRPr="00EE49FD">
              <w:rPr>
                <w:rFonts w:eastAsia="Times New Roman"/>
                <w:color w:val="000000"/>
                <w:sz w:val="20"/>
                <w:szCs w:val="20"/>
              </w:rPr>
              <w:t>%)</w:t>
            </w:r>
          </w:p>
        </w:tc>
        <w:tc>
          <w:tcPr>
            <w:tcW w:w="1569" w:type="dxa"/>
            <w:shd w:val="clear" w:color="auto" w:fill="FFFFFF"/>
            <w:tcMar>
              <w:left w:w="67" w:type="dxa"/>
              <w:right w:w="67" w:type="dxa"/>
            </w:tcMar>
          </w:tcPr>
          <w:p w14:paraId="0B0C9C04" w14:textId="1E1EACB3"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20</w:t>
            </w:r>
            <w:r w:rsidR="001D633F">
              <w:rPr>
                <w:rFonts w:eastAsia="Times New Roman"/>
                <w:color w:val="000000"/>
                <w:sz w:val="20"/>
                <w:szCs w:val="20"/>
              </w:rPr>
              <w:t>5</w:t>
            </w:r>
            <w:r w:rsidRPr="00EE49FD">
              <w:rPr>
                <w:rFonts w:eastAsia="Times New Roman"/>
                <w:color w:val="000000"/>
                <w:sz w:val="20"/>
                <w:szCs w:val="20"/>
              </w:rPr>
              <w:t xml:space="preserve"> (</w:t>
            </w:r>
            <w:r w:rsidR="001D633F">
              <w:rPr>
                <w:rFonts w:eastAsia="Times New Roman"/>
                <w:color w:val="000000"/>
                <w:sz w:val="20"/>
                <w:szCs w:val="20"/>
              </w:rPr>
              <w:t>28.2</w:t>
            </w:r>
            <w:r w:rsidRPr="00EE49FD">
              <w:rPr>
                <w:rFonts w:eastAsia="Times New Roman"/>
                <w:color w:val="000000"/>
                <w:sz w:val="20"/>
                <w:szCs w:val="20"/>
              </w:rPr>
              <w:t>%)</w:t>
            </w:r>
          </w:p>
        </w:tc>
        <w:tc>
          <w:tcPr>
            <w:tcW w:w="1570" w:type="dxa"/>
            <w:shd w:val="clear" w:color="auto" w:fill="FFFFFF"/>
            <w:tcMar>
              <w:left w:w="67" w:type="dxa"/>
              <w:right w:w="67" w:type="dxa"/>
            </w:tcMar>
          </w:tcPr>
          <w:p w14:paraId="7DC9EDC3" w14:textId="0E3C8BA2"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14</w:t>
            </w:r>
            <w:r w:rsidR="001D633F">
              <w:rPr>
                <w:rFonts w:eastAsia="Times New Roman"/>
                <w:color w:val="000000"/>
                <w:sz w:val="20"/>
                <w:szCs w:val="20"/>
              </w:rPr>
              <w:t>0</w:t>
            </w:r>
            <w:r w:rsidRPr="00EE49FD">
              <w:rPr>
                <w:rFonts w:eastAsia="Times New Roman"/>
                <w:color w:val="000000"/>
                <w:sz w:val="20"/>
                <w:szCs w:val="20"/>
              </w:rPr>
              <w:t xml:space="preserve"> (</w:t>
            </w:r>
            <w:r w:rsidR="001D633F">
              <w:rPr>
                <w:rFonts w:eastAsia="Times New Roman"/>
                <w:color w:val="000000"/>
                <w:sz w:val="20"/>
                <w:szCs w:val="20"/>
              </w:rPr>
              <w:t>48.8</w:t>
            </w:r>
            <w:r w:rsidRPr="00EE49FD">
              <w:rPr>
                <w:rFonts w:eastAsia="Times New Roman"/>
                <w:color w:val="000000"/>
                <w:sz w:val="20"/>
                <w:szCs w:val="20"/>
              </w:rPr>
              <w:t>%)</w:t>
            </w:r>
          </w:p>
        </w:tc>
        <w:tc>
          <w:tcPr>
            <w:tcW w:w="1569" w:type="dxa"/>
            <w:shd w:val="clear" w:color="auto" w:fill="FFFFFF"/>
            <w:tcMar>
              <w:left w:w="67" w:type="dxa"/>
              <w:right w:w="67" w:type="dxa"/>
            </w:tcMar>
          </w:tcPr>
          <w:p w14:paraId="46B34767" w14:textId="51051503"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20</w:t>
            </w:r>
            <w:r w:rsidR="001D633F">
              <w:rPr>
                <w:rFonts w:eastAsia="Times New Roman"/>
                <w:color w:val="000000"/>
                <w:sz w:val="20"/>
                <w:szCs w:val="20"/>
              </w:rPr>
              <w:t>1</w:t>
            </w:r>
            <w:r w:rsidRPr="00EE49FD">
              <w:rPr>
                <w:rFonts w:eastAsia="Times New Roman"/>
                <w:color w:val="000000"/>
                <w:sz w:val="20"/>
                <w:szCs w:val="20"/>
              </w:rPr>
              <w:t xml:space="preserve"> (5</w:t>
            </w:r>
            <w:r w:rsidR="001D633F">
              <w:rPr>
                <w:rFonts w:eastAsia="Times New Roman"/>
                <w:color w:val="000000"/>
                <w:sz w:val="20"/>
                <w:szCs w:val="20"/>
              </w:rPr>
              <w:t>1.8</w:t>
            </w:r>
            <w:r w:rsidRPr="00EE49FD">
              <w:rPr>
                <w:rFonts w:eastAsia="Times New Roman"/>
                <w:color w:val="000000"/>
                <w:sz w:val="20"/>
                <w:szCs w:val="20"/>
              </w:rPr>
              <w:t>%)</w:t>
            </w:r>
          </w:p>
        </w:tc>
        <w:tc>
          <w:tcPr>
            <w:tcW w:w="1570" w:type="dxa"/>
            <w:shd w:val="clear" w:color="auto" w:fill="FFFFFF"/>
            <w:tcMar>
              <w:left w:w="67" w:type="dxa"/>
              <w:right w:w="67" w:type="dxa"/>
            </w:tcMar>
          </w:tcPr>
          <w:p w14:paraId="66C7141B" w14:textId="29D103A2" w:rsidR="00E07CDE" w:rsidRPr="00EE49FD" w:rsidRDefault="00E07CDE" w:rsidP="00FD3A24">
            <w:pPr>
              <w:spacing w:before="67" w:after="67" w:line="240" w:lineRule="auto"/>
              <w:jc w:val="right"/>
              <w:rPr>
                <w:rFonts w:eastAsia="Times New Roman"/>
                <w:color w:val="000000"/>
                <w:sz w:val="20"/>
                <w:szCs w:val="20"/>
              </w:rPr>
            </w:pPr>
            <w:r w:rsidRPr="00EE49FD">
              <w:rPr>
                <w:rFonts w:eastAsia="Times New Roman"/>
                <w:color w:val="000000"/>
                <w:sz w:val="20"/>
                <w:szCs w:val="20"/>
              </w:rPr>
              <w:t>34</w:t>
            </w:r>
            <w:r w:rsidR="001D633F">
              <w:rPr>
                <w:rFonts w:eastAsia="Times New Roman"/>
                <w:color w:val="000000"/>
                <w:sz w:val="20"/>
                <w:szCs w:val="20"/>
              </w:rPr>
              <w:t>1</w:t>
            </w:r>
            <w:r w:rsidRPr="00EE49FD">
              <w:rPr>
                <w:rFonts w:eastAsia="Times New Roman"/>
                <w:color w:val="000000"/>
                <w:sz w:val="20"/>
                <w:szCs w:val="20"/>
              </w:rPr>
              <w:t xml:space="preserve"> (5</w:t>
            </w:r>
            <w:r w:rsidR="001D633F">
              <w:rPr>
                <w:rFonts w:eastAsia="Times New Roman"/>
                <w:color w:val="000000"/>
                <w:sz w:val="20"/>
                <w:szCs w:val="20"/>
              </w:rPr>
              <w:t>0.5</w:t>
            </w:r>
            <w:r w:rsidRPr="00EE49FD">
              <w:rPr>
                <w:rFonts w:eastAsia="Times New Roman"/>
                <w:color w:val="000000"/>
                <w:sz w:val="20"/>
                <w:szCs w:val="20"/>
              </w:rPr>
              <w:t>%)</w:t>
            </w:r>
          </w:p>
        </w:tc>
      </w:tr>
      <w:tr w:rsidR="00E07CDE" w:rsidRPr="00EE49FD" w14:paraId="34FF1230" w14:textId="77777777" w:rsidTr="00C163F3">
        <w:trPr>
          <w:cantSplit/>
        </w:trPr>
        <w:tc>
          <w:tcPr>
            <w:tcW w:w="0" w:type="auto"/>
            <w:vMerge w:val="restart"/>
            <w:shd w:val="clear" w:color="auto" w:fill="FFFFFF"/>
            <w:tcMar>
              <w:left w:w="67" w:type="dxa"/>
              <w:right w:w="67" w:type="dxa"/>
            </w:tcMar>
          </w:tcPr>
          <w:p w14:paraId="0CC95AEB" w14:textId="77777777" w:rsidR="00E07CDE" w:rsidRPr="00EE49FD" w:rsidRDefault="00E07CDE" w:rsidP="006C0B32">
            <w:pPr>
              <w:keepNext/>
              <w:spacing w:before="67" w:after="67" w:line="240" w:lineRule="auto"/>
              <w:rPr>
                <w:rFonts w:eastAsia="Times New Roman"/>
                <w:b/>
                <w:bCs/>
                <w:color w:val="000000"/>
                <w:sz w:val="20"/>
                <w:szCs w:val="20"/>
              </w:rPr>
            </w:pPr>
            <w:r w:rsidRPr="00EE49FD">
              <w:rPr>
                <w:rFonts w:eastAsia="Times New Roman"/>
                <w:b/>
                <w:bCs/>
                <w:color w:val="000000"/>
                <w:sz w:val="20"/>
                <w:szCs w:val="20"/>
              </w:rPr>
              <w:t>Total number of medications prescribed</w:t>
            </w:r>
            <w:r w:rsidRPr="00EE49FD">
              <w:rPr>
                <w:rFonts w:eastAsia="Times New Roman"/>
                <w:b/>
                <w:bCs/>
                <w:color w:val="000000"/>
                <w:sz w:val="20"/>
                <w:szCs w:val="20"/>
              </w:rPr>
              <w:br/>
              <w:t>on the MAR over the reporting period</w:t>
            </w:r>
          </w:p>
        </w:tc>
        <w:tc>
          <w:tcPr>
            <w:tcW w:w="1343" w:type="dxa"/>
            <w:shd w:val="clear" w:color="auto" w:fill="FFFFFF"/>
            <w:tcMar>
              <w:left w:w="67" w:type="dxa"/>
              <w:right w:w="67" w:type="dxa"/>
            </w:tcMar>
          </w:tcPr>
          <w:p w14:paraId="23B19090" w14:textId="77777777" w:rsidR="00E07CDE" w:rsidRPr="00EE49FD" w:rsidRDefault="00E07CDE" w:rsidP="006C0B32">
            <w:pPr>
              <w:keepNext/>
              <w:spacing w:before="67" w:after="67" w:line="240" w:lineRule="auto"/>
              <w:rPr>
                <w:rFonts w:eastAsia="Times New Roman"/>
                <w:bCs/>
                <w:color w:val="000000"/>
                <w:sz w:val="20"/>
                <w:szCs w:val="20"/>
              </w:rPr>
            </w:pPr>
            <w:r w:rsidRPr="00EE49FD">
              <w:rPr>
                <w:rFonts w:eastAsia="Times New Roman"/>
                <w:bCs/>
                <w:color w:val="000000"/>
                <w:sz w:val="20"/>
                <w:szCs w:val="20"/>
              </w:rPr>
              <w:t>Mean (SD) N taken/ month</w:t>
            </w:r>
          </w:p>
        </w:tc>
        <w:tc>
          <w:tcPr>
            <w:tcW w:w="1569" w:type="dxa"/>
            <w:shd w:val="clear" w:color="auto" w:fill="FFFFFF"/>
            <w:tcMar>
              <w:left w:w="67" w:type="dxa"/>
              <w:right w:w="67" w:type="dxa"/>
            </w:tcMar>
          </w:tcPr>
          <w:p w14:paraId="6E0397B6" w14:textId="77777777" w:rsidR="00E07CDE" w:rsidRPr="00EE49FD" w:rsidRDefault="00E07CDE" w:rsidP="006C0B32">
            <w:pPr>
              <w:keepNext/>
              <w:spacing w:before="67" w:after="67" w:line="240" w:lineRule="auto"/>
              <w:jc w:val="right"/>
              <w:rPr>
                <w:rFonts w:eastAsia="Times New Roman"/>
                <w:color w:val="000000"/>
                <w:sz w:val="20"/>
                <w:szCs w:val="20"/>
              </w:rPr>
            </w:pPr>
            <w:r w:rsidRPr="00EE49FD">
              <w:rPr>
                <w:rFonts w:eastAsia="Times New Roman"/>
                <w:color w:val="000000"/>
                <w:sz w:val="20"/>
                <w:szCs w:val="20"/>
              </w:rPr>
              <w:t>8.9 (3.82) 165</w:t>
            </w:r>
          </w:p>
        </w:tc>
        <w:tc>
          <w:tcPr>
            <w:tcW w:w="1570" w:type="dxa"/>
            <w:shd w:val="clear" w:color="auto" w:fill="FFFFFF"/>
            <w:tcMar>
              <w:left w:w="67" w:type="dxa"/>
              <w:right w:w="67" w:type="dxa"/>
            </w:tcMar>
          </w:tcPr>
          <w:p w14:paraId="1AE01230" w14:textId="77777777" w:rsidR="00E07CDE" w:rsidRPr="00EE49FD" w:rsidRDefault="00E07CDE" w:rsidP="006C0B32">
            <w:pPr>
              <w:keepNext/>
              <w:spacing w:before="67" w:after="67" w:line="240" w:lineRule="auto"/>
              <w:jc w:val="right"/>
              <w:rPr>
                <w:rFonts w:eastAsia="Times New Roman"/>
                <w:color w:val="000000"/>
                <w:sz w:val="20"/>
                <w:szCs w:val="20"/>
              </w:rPr>
            </w:pPr>
            <w:r w:rsidRPr="00EE49FD">
              <w:rPr>
                <w:rFonts w:eastAsia="Times New Roman"/>
                <w:color w:val="000000"/>
                <w:sz w:val="20"/>
                <w:szCs w:val="20"/>
              </w:rPr>
              <w:t>8.9 (4.61) 214</w:t>
            </w:r>
          </w:p>
        </w:tc>
        <w:tc>
          <w:tcPr>
            <w:tcW w:w="1569" w:type="dxa"/>
            <w:shd w:val="clear" w:color="auto" w:fill="FFFFFF"/>
            <w:tcMar>
              <w:left w:w="67" w:type="dxa"/>
              <w:right w:w="67" w:type="dxa"/>
            </w:tcMar>
          </w:tcPr>
          <w:p w14:paraId="212672A9" w14:textId="77777777" w:rsidR="00E07CDE" w:rsidRPr="00EE49FD" w:rsidRDefault="00E07CDE" w:rsidP="006C0B32">
            <w:pPr>
              <w:keepNext/>
              <w:spacing w:before="67" w:after="67" w:line="240" w:lineRule="auto"/>
              <w:jc w:val="right"/>
              <w:rPr>
                <w:rFonts w:eastAsia="Times New Roman"/>
                <w:color w:val="000000"/>
                <w:sz w:val="20"/>
                <w:szCs w:val="20"/>
              </w:rPr>
            </w:pPr>
            <w:r w:rsidRPr="00EE49FD">
              <w:rPr>
                <w:rFonts w:eastAsia="Times New Roman"/>
                <w:color w:val="000000"/>
                <w:sz w:val="20"/>
                <w:szCs w:val="20"/>
              </w:rPr>
              <w:t>8.9 (4.28) 379</w:t>
            </w:r>
          </w:p>
        </w:tc>
        <w:tc>
          <w:tcPr>
            <w:tcW w:w="1570" w:type="dxa"/>
            <w:shd w:val="clear" w:color="auto" w:fill="FFFFFF"/>
            <w:tcMar>
              <w:left w:w="67" w:type="dxa"/>
              <w:right w:w="67" w:type="dxa"/>
            </w:tcMar>
          </w:tcPr>
          <w:p w14:paraId="5B099236" w14:textId="77777777" w:rsidR="00E07CDE" w:rsidRPr="00EE49FD" w:rsidRDefault="00E07CDE" w:rsidP="006C0B32">
            <w:pPr>
              <w:keepNext/>
              <w:spacing w:before="67" w:after="67" w:line="240" w:lineRule="auto"/>
              <w:jc w:val="right"/>
              <w:rPr>
                <w:rFonts w:eastAsia="Times New Roman"/>
                <w:color w:val="000000"/>
                <w:sz w:val="20"/>
                <w:szCs w:val="20"/>
              </w:rPr>
            </w:pPr>
            <w:r w:rsidRPr="00EE49FD">
              <w:rPr>
                <w:rFonts w:eastAsia="Times New Roman"/>
                <w:color w:val="000000"/>
                <w:sz w:val="20"/>
                <w:szCs w:val="20"/>
              </w:rPr>
              <w:t>8.7 (3.71) 260</w:t>
            </w:r>
          </w:p>
        </w:tc>
        <w:tc>
          <w:tcPr>
            <w:tcW w:w="1569" w:type="dxa"/>
            <w:shd w:val="clear" w:color="auto" w:fill="FFFFFF"/>
            <w:tcMar>
              <w:left w:w="67" w:type="dxa"/>
              <w:right w:w="67" w:type="dxa"/>
            </w:tcMar>
          </w:tcPr>
          <w:p w14:paraId="193B1323" w14:textId="77777777" w:rsidR="00E07CDE" w:rsidRPr="00EE49FD" w:rsidRDefault="00E07CDE" w:rsidP="006C0B32">
            <w:pPr>
              <w:keepNext/>
              <w:spacing w:before="67" w:after="67" w:line="240" w:lineRule="auto"/>
              <w:jc w:val="right"/>
              <w:rPr>
                <w:rFonts w:eastAsia="Times New Roman"/>
                <w:color w:val="000000"/>
                <w:sz w:val="20"/>
                <w:szCs w:val="20"/>
              </w:rPr>
            </w:pPr>
            <w:r w:rsidRPr="00EE49FD">
              <w:rPr>
                <w:rFonts w:eastAsia="Times New Roman"/>
                <w:color w:val="000000"/>
                <w:sz w:val="20"/>
                <w:szCs w:val="20"/>
              </w:rPr>
              <w:t>8.8 (4.74) 368</w:t>
            </w:r>
          </w:p>
        </w:tc>
        <w:tc>
          <w:tcPr>
            <w:tcW w:w="1570" w:type="dxa"/>
            <w:shd w:val="clear" w:color="auto" w:fill="FFFFFF"/>
            <w:tcMar>
              <w:left w:w="67" w:type="dxa"/>
              <w:right w:w="67" w:type="dxa"/>
            </w:tcMar>
          </w:tcPr>
          <w:p w14:paraId="0A59E050" w14:textId="77777777" w:rsidR="00E07CDE" w:rsidRPr="00EE49FD" w:rsidRDefault="00E07CDE" w:rsidP="006C0B32">
            <w:pPr>
              <w:keepNext/>
              <w:spacing w:before="67" w:after="67" w:line="240" w:lineRule="auto"/>
              <w:jc w:val="right"/>
              <w:rPr>
                <w:rFonts w:eastAsia="Times New Roman"/>
                <w:color w:val="000000"/>
                <w:sz w:val="20"/>
                <w:szCs w:val="20"/>
              </w:rPr>
            </w:pPr>
            <w:r w:rsidRPr="00EE49FD">
              <w:rPr>
                <w:rFonts w:eastAsia="Times New Roman"/>
                <w:color w:val="000000"/>
                <w:sz w:val="20"/>
                <w:szCs w:val="20"/>
              </w:rPr>
              <w:t>8.7 (4.34) 628</w:t>
            </w:r>
          </w:p>
        </w:tc>
      </w:tr>
      <w:tr w:rsidR="00E07CDE" w:rsidRPr="00EE49FD" w14:paraId="6CCCEA84" w14:textId="77777777" w:rsidTr="00C163F3">
        <w:trPr>
          <w:cantSplit/>
        </w:trPr>
        <w:tc>
          <w:tcPr>
            <w:tcW w:w="0" w:type="auto"/>
            <w:vMerge/>
            <w:shd w:val="clear" w:color="auto" w:fill="FFFFFF"/>
            <w:tcMar>
              <w:left w:w="67" w:type="dxa"/>
              <w:right w:w="67" w:type="dxa"/>
            </w:tcMar>
          </w:tcPr>
          <w:p w14:paraId="38698CF6" w14:textId="77777777" w:rsidR="00E07CDE" w:rsidRPr="00EE49FD" w:rsidRDefault="00E07CDE" w:rsidP="006C0B32">
            <w:pPr>
              <w:spacing w:before="67" w:after="67" w:line="240" w:lineRule="auto"/>
              <w:jc w:val="center"/>
              <w:rPr>
                <w:rFonts w:eastAsia="Times New Roman"/>
                <w:color w:val="000000"/>
                <w:sz w:val="20"/>
                <w:szCs w:val="20"/>
              </w:rPr>
            </w:pPr>
          </w:p>
        </w:tc>
        <w:tc>
          <w:tcPr>
            <w:tcW w:w="1343" w:type="dxa"/>
            <w:shd w:val="clear" w:color="auto" w:fill="FFFFFF"/>
            <w:tcMar>
              <w:left w:w="67" w:type="dxa"/>
              <w:right w:w="67" w:type="dxa"/>
            </w:tcMar>
          </w:tcPr>
          <w:p w14:paraId="445184D2" w14:textId="77777777" w:rsidR="00E07CDE" w:rsidRPr="00EE49FD" w:rsidRDefault="00E07CDE" w:rsidP="006C0B32">
            <w:pPr>
              <w:spacing w:before="67" w:after="67" w:line="240" w:lineRule="auto"/>
              <w:rPr>
                <w:rFonts w:eastAsia="Times New Roman"/>
                <w:bCs/>
                <w:color w:val="000000"/>
                <w:sz w:val="20"/>
                <w:szCs w:val="20"/>
              </w:rPr>
            </w:pPr>
            <w:r w:rsidRPr="00EE49FD">
              <w:rPr>
                <w:rFonts w:eastAsia="Times New Roman"/>
                <w:bCs/>
                <w:color w:val="000000"/>
                <w:sz w:val="20"/>
                <w:szCs w:val="20"/>
              </w:rPr>
              <w:t>Median (Q1, Q3)</w:t>
            </w:r>
          </w:p>
        </w:tc>
        <w:tc>
          <w:tcPr>
            <w:tcW w:w="1569" w:type="dxa"/>
            <w:shd w:val="clear" w:color="auto" w:fill="FFFFFF"/>
            <w:tcMar>
              <w:left w:w="67" w:type="dxa"/>
              <w:right w:w="67" w:type="dxa"/>
            </w:tcMar>
          </w:tcPr>
          <w:p w14:paraId="066142C3" w14:textId="77777777" w:rsidR="00E07CDE" w:rsidRPr="00EE49FD" w:rsidRDefault="00E07CDE" w:rsidP="006C0B32">
            <w:pPr>
              <w:spacing w:before="67" w:after="67" w:line="240" w:lineRule="auto"/>
              <w:jc w:val="right"/>
              <w:rPr>
                <w:rFonts w:eastAsia="Times New Roman"/>
                <w:color w:val="000000"/>
                <w:sz w:val="20"/>
                <w:szCs w:val="20"/>
              </w:rPr>
            </w:pPr>
            <w:r w:rsidRPr="00EE49FD">
              <w:rPr>
                <w:rFonts w:eastAsia="Times New Roman"/>
                <w:color w:val="000000"/>
                <w:sz w:val="20"/>
                <w:szCs w:val="20"/>
              </w:rPr>
              <w:t>9 (6, 11)</w:t>
            </w:r>
          </w:p>
        </w:tc>
        <w:tc>
          <w:tcPr>
            <w:tcW w:w="1570" w:type="dxa"/>
            <w:shd w:val="clear" w:color="auto" w:fill="FFFFFF"/>
            <w:tcMar>
              <w:left w:w="67" w:type="dxa"/>
              <w:right w:w="67" w:type="dxa"/>
            </w:tcMar>
          </w:tcPr>
          <w:p w14:paraId="5C4AD77A" w14:textId="77777777" w:rsidR="00E07CDE" w:rsidRPr="00EE49FD" w:rsidRDefault="00E07CDE" w:rsidP="006C0B32">
            <w:pPr>
              <w:spacing w:before="67" w:after="67" w:line="240" w:lineRule="auto"/>
              <w:jc w:val="right"/>
              <w:rPr>
                <w:rFonts w:eastAsia="Times New Roman"/>
                <w:color w:val="000000"/>
                <w:sz w:val="20"/>
                <w:szCs w:val="20"/>
              </w:rPr>
            </w:pPr>
            <w:r w:rsidRPr="00EE49FD">
              <w:rPr>
                <w:rFonts w:eastAsia="Times New Roman"/>
                <w:color w:val="000000"/>
                <w:sz w:val="20"/>
                <w:szCs w:val="20"/>
              </w:rPr>
              <w:t>8 (6, 12)</w:t>
            </w:r>
          </w:p>
        </w:tc>
        <w:tc>
          <w:tcPr>
            <w:tcW w:w="1569" w:type="dxa"/>
            <w:shd w:val="clear" w:color="auto" w:fill="FFFFFF"/>
            <w:tcMar>
              <w:left w:w="67" w:type="dxa"/>
              <w:right w:w="67" w:type="dxa"/>
            </w:tcMar>
          </w:tcPr>
          <w:p w14:paraId="3E395CB4" w14:textId="77777777" w:rsidR="00E07CDE" w:rsidRPr="00EE49FD" w:rsidRDefault="00E07CDE" w:rsidP="006C0B32">
            <w:pPr>
              <w:spacing w:before="67" w:after="67" w:line="240" w:lineRule="auto"/>
              <w:jc w:val="right"/>
              <w:rPr>
                <w:rFonts w:eastAsia="Times New Roman"/>
                <w:color w:val="000000"/>
                <w:sz w:val="20"/>
                <w:szCs w:val="20"/>
              </w:rPr>
            </w:pPr>
            <w:r w:rsidRPr="00EE49FD">
              <w:rPr>
                <w:rFonts w:eastAsia="Times New Roman"/>
                <w:color w:val="000000"/>
                <w:sz w:val="20"/>
                <w:szCs w:val="20"/>
              </w:rPr>
              <w:t>9 (6, 12)</w:t>
            </w:r>
          </w:p>
        </w:tc>
        <w:tc>
          <w:tcPr>
            <w:tcW w:w="1570" w:type="dxa"/>
            <w:shd w:val="clear" w:color="auto" w:fill="FFFFFF"/>
            <w:tcMar>
              <w:left w:w="67" w:type="dxa"/>
              <w:right w:w="67" w:type="dxa"/>
            </w:tcMar>
          </w:tcPr>
          <w:p w14:paraId="39A6491F" w14:textId="77777777" w:rsidR="00E07CDE" w:rsidRPr="00EE49FD" w:rsidRDefault="00E07CDE" w:rsidP="006C0B32">
            <w:pPr>
              <w:spacing w:before="67" w:after="67" w:line="240" w:lineRule="auto"/>
              <w:jc w:val="right"/>
              <w:rPr>
                <w:rFonts w:eastAsia="Times New Roman"/>
                <w:color w:val="000000"/>
                <w:sz w:val="20"/>
                <w:szCs w:val="20"/>
              </w:rPr>
            </w:pPr>
            <w:r w:rsidRPr="00EE49FD">
              <w:rPr>
                <w:rFonts w:eastAsia="Times New Roman"/>
                <w:color w:val="000000"/>
                <w:sz w:val="20"/>
                <w:szCs w:val="20"/>
              </w:rPr>
              <w:t>9 (6, 11)</w:t>
            </w:r>
          </w:p>
        </w:tc>
        <w:tc>
          <w:tcPr>
            <w:tcW w:w="1569" w:type="dxa"/>
            <w:shd w:val="clear" w:color="auto" w:fill="FFFFFF"/>
            <w:tcMar>
              <w:left w:w="67" w:type="dxa"/>
              <w:right w:w="67" w:type="dxa"/>
            </w:tcMar>
          </w:tcPr>
          <w:p w14:paraId="3B4FFB09" w14:textId="77777777" w:rsidR="00E07CDE" w:rsidRPr="00EE49FD" w:rsidRDefault="00E07CDE" w:rsidP="006C0B32">
            <w:pPr>
              <w:spacing w:before="67" w:after="67" w:line="240" w:lineRule="auto"/>
              <w:jc w:val="right"/>
              <w:rPr>
                <w:rFonts w:eastAsia="Times New Roman"/>
                <w:color w:val="000000"/>
                <w:sz w:val="20"/>
                <w:szCs w:val="20"/>
              </w:rPr>
            </w:pPr>
            <w:r w:rsidRPr="00EE49FD">
              <w:rPr>
                <w:rFonts w:eastAsia="Times New Roman"/>
                <w:color w:val="000000"/>
                <w:sz w:val="20"/>
                <w:szCs w:val="20"/>
              </w:rPr>
              <w:t>8 (5, 11)</w:t>
            </w:r>
          </w:p>
        </w:tc>
        <w:tc>
          <w:tcPr>
            <w:tcW w:w="1570" w:type="dxa"/>
            <w:shd w:val="clear" w:color="auto" w:fill="FFFFFF"/>
            <w:tcMar>
              <w:left w:w="67" w:type="dxa"/>
              <w:right w:w="67" w:type="dxa"/>
            </w:tcMar>
          </w:tcPr>
          <w:p w14:paraId="065E5AC5" w14:textId="77777777" w:rsidR="00E07CDE" w:rsidRPr="00EE49FD" w:rsidRDefault="00E07CDE" w:rsidP="006C0B32">
            <w:pPr>
              <w:spacing w:before="67" w:after="67" w:line="240" w:lineRule="auto"/>
              <w:jc w:val="right"/>
              <w:rPr>
                <w:rFonts w:eastAsia="Times New Roman"/>
                <w:color w:val="000000"/>
                <w:sz w:val="20"/>
                <w:szCs w:val="20"/>
              </w:rPr>
            </w:pPr>
            <w:r w:rsidRPr="00EE49FD">
              <w:rPr>
                <w:rFonts w:eastAsia="Times New Roman"/>
                <w:color w:val="000000"/>
                <w:sz w:val="20"/>
                <w:szCs w:val="20"/>
              </w:rPr>
              <w:t>8 (6, 11)</w:t>
            </w:r>
          </w:p>
        </w:tc>
      </w:tr>
    </w:tbl>
    <w:p w14:paraId="0C4DB794" w14:textId="23DA463E" w:rsidR="00E07CDE" w:rsidRPr="00563AD3" w:rsidRDefault="00FD3A24" w:rsidP="009B13F3">
      <w:pPr>
        <w:keepNext/>
        <w:autoSpaceDE/>
        <w:autoSpaceDN/>
        <w:adjustRightInd/>
        <w:spacing w:before="120" w:after="0"/>
        <w:rPr>
          <w:rFonts w:eastAsia="Calibri"/>
          <w:b/>
          <w:bCs/>
          <w:sz w:val="24"/>
          <w:szCs w:val="18"/>
          <w:lang w:eastAsia="en-US"/>
        </w:rPr>
      </w:pPr>
      <w:bookmarkStart w:id="351" w:name="_Ref499123333"/>
      <w:r>
        <w:rPr>
          <w:rFonts w:eastAsia="Times New Roman"/>
          <w:bCs/>
          <w:color w:val="000000"/>
          <w:sz w:val="18"/>
          <w:szCs w:val="18"/>
        </w:rPr>
        <w:t>Frequencies are given out of those in the respective samples, assuming the missing data reflects no prescriptions.</w:t>
      </w:r>
    </w:p>
    <w:p w14:paraId="79A68DAC" w14:textId="77777777" w:rsidR="006C0B32" w:rsidRDefault="006C0B32">
      <w:pPr>
        <w:autoSpaceDE/>
        <w:autoSpaceDN/>
        <w:adjustRightInd/>
        <w:spacing w:line="259" w:lineRule="auto"/>
        <w:rPr>
          <w:rFonts w:eastAsia="Calibri"/>
          <w:b/>
          <w:lang w:eastAsia="en-US"/>
        </w:rPr>
      </w:pPr>
      <w:bookmarkStart w:id="352" w:name="_Ref500506642"/>
      <w:bookmarkStart w:id="353" w:name="_Toc500935026"/>
      <w:r>
        <w:rPr>
          <w:rFonts w:eastAsia="Calibri"/>
          <w:lang w:eastAsia="en-US"/>
        </w:rPr>
        <w:br w:type="page"/>
      </w:r>
    </w:p>
    <w:p w14:paraId="1C88525A" w14:textId="56750F7F" w:rsidR="00E07CDE" w:rsidRDefault="00E07CDE" w:rsidP="006C0B32">
      <w:pPr>
        <w:pStyle w:val="Tableheading"/>
        <w:rPr>
          <w:rFonts w:eastAsia="Calibri"/>
          <w:lang w:eastAsia="en-US"/>
        </w:rPr>
      </w:pPr>
      <w:bookmarkStart w:id="354" w:name="_Toc948257"/>
      <w:r w:rsidRPr="00D75BCD">
        <w:rPr>
          <w:rFonts w:eastAsia="Calibri"/>
          <w:lang w:eastAsia="en-US"/>
        </w:rPr>
        <w:t xml:space="preserve">Table </w:t>
      </w:r>
      <w:bookmarkEnd w:id="351"/>
      <w:bookmarkEnd w:id="352"/>
      <w:r w:rsidR="005B29F6" w:rsidRPr="00D75BCD">
        <w:rPr>
          <w:rFonts w:eastAsia="Calibri"/>
          <w:lang w:eastAsia="en-US"/>
        </w:rPr>
        <w:t>60</w:t>
      </w:r>
      <w:r w:rsidR="005B29F6" w:rsidRPr="00563AD3">
        <w:rPr>
          <w:rFonts w:eastAsia="Calibri"/>
          <w:lang w:eastAsia="en-US"/>
        </w:rPr>
        <w:t xml:space="preserve"> </w:t>
      </w:r>
      <w:r w:rsidR="0047089A">
        <w:rPr>
          <w:rFonts w:eastAsia="Calibri"/>
          <w:lang w:eastAsia="en-US"/>
        </w:rPr>
        <w:t xml:space="preserve">Administration </w:t>
      </w:r>
      <w:r w:rsidRPr="00563AD3">
        <w:rPr>
          <w:rFonts w:eastAsia="Calibri"/>
          <w:lang w:eastAsia="en-US"/>
        </w:rPr>
        <w:t>of PRN medications by cohort and time point</w:t>
      </w:r>
      <w:bookmarkEnd w:id="353"/>
      <w:bookmarkEnd w:id="354"/>
    </w:p>
    <w:tbl>
      <w:tblPr>
        <w:tblW w:w="15868" w:type="dxa"/>
        <w:jc w:val="center"/>
        <w:tblLayout w:type="fixed"/>
        <w:tblCellMar>
          <w:left w:w="0" w:type="dxa"/>
          <w:right w:w="0" w:type="dxa"/>
        </w:tblCellMar>
        <w:tblLook w:val="0000" w:firstRow="0" w:lastRow="0" w:firstColumn="0" w:lastColumn="0" w:noHBand="0" w:noVBand="0"/>
      </w:tblPr>
      <w:tblGrid>
        <w:gridCol w:w="3536"/>
        <w:gridCol w:w="992"/>
        <w:gridCol w:w="1134"/>
        <w:gridCol w:w="993"/>
        <w:gridCol w:w="850"/>
        <w:gridCol w:w="1134"/>
        <w:gridCol w:w="992"/>
        <w:gridCol w:w="993"/>
        <w:gridCol w:w="1134"/>
        <w:gridCol w:w="992"/>
        <w:gridCol w:w="992"/>
        <w:gridCol w:w="1134"/>
        <w:gridCol w:w="992"/>
      </w:tblGrid>
      <w:tr w:rsidR="00336171" w14:paraId="2A4E13CB" w14:textId="38FDC474" w:rsidTr="00692C18">
        <w:trPr>
          <w:cantSplit/>
          <w:tblHeader/>
          <w:jc w:val="center"/>
        </w:trPr>
        <w:tc>
          <w:tcPr>
            <w:tcW w:w="3536" w:type="dxa"/>
            <w:tcBorders>
              <w:top w:val="nil"/>
              <w:left w:val="single" w:sz="6" w:space="0" w:color="000000"/>
              <w:bottom w:val="single" w:sz="2" w:space="0" w:color="000000"/>
              <w:right w:val="nil"/>
            </w:tcBorders>
            <w:shd w:val="clear" w:color="auto" w:fill="BBBBBB"/>
            <w:tcMar>
              <w:left w:w="60" w:type="dxa"/>
              <w:right w:w="60" w:type="dxa"/>
            </w:tcMar>
            <w:vAlign w:val="bottom"/>
          </w:tcPr>
          <w:p w14:paraId="5AADACBA" w14:textId="77777777" w:rsidR="00336171" w:rsidRPr="00352792" w:rsidRDefault="00336171" w:rsidP="0047089A">
            <w:pPr>
              <w:keepNext/>
              <w:spacing w:before="60" w:after="60"/>
              <w:jc w:val="center"/>
              <w:rPr>
                <w:b/>
                <w:bCs/>
                <w:color w:val="000000"/>
                <w:sz w:val="16"/>
                <w:szCs w:val="20"/>
              </w:rPr>
            </w:pPr>
          </w:p>
        </w:tc>
        <w:tc>
          <w:tcPr>
            <w:tcW w:w="3119" w:type="dxa"/>
            <w:gridSpan w:val="3"/>
            <w:tcBorders>
              <w:top w:val="nil"/>
              <w:left w:val="single" w:sz="2" w:space="0" w:color="000000"/>
              <w:bottom w:val="single" w:sz="2" w:space="0" w:color="000000"/>
              <w:right w:val="single" w:sz="2" w:space="0" w:color="000000"/>
            </w:tcBorders>
            <w:shd w:val="clear" w:color="auto" w:fill="BBBBBB"/>
            <w:tcMar>
              <w:left w:w="60" w:type="dxa"/>
              <w:right w:w="60" w:type="dxa"/>
            </w:tcMar>
            <w:vAlign w:val="bottom"/>
          </w:tcPr>
          <w:p w14:paraId="2B0360EC" w14:textId="6735BAF3" w:rsidR="00336171" w:rsidRPr="00352792" w:rsidRDefault="00336171" w:rsidP="0047089A">
            <w:pPr>
              <w:keepNext/>
              <w:spacing w:before="60" w:after="60"/>
              <w:jc w:val="center"/>
              <w:rPr>
                <w:b/>
                <w:bCs/>
                <w:color w:val="000000"/>
                <w:sz w:val="16"/>
                <w:szCs w:val="20"/>
              </w:rPr>
            </w:pPr>
            <w:r w:rsidRPr="00352792">
              <w:rPr>
                <w:b/>
                <w:bCs/>
                <w:color w:val="000000"/>
                <w:sz w:val="16"/>
                <w:szCs w:val="20"/>
              </w:rPr>
              <w:t>Baseline</w:t>
            </w:r>
          </w:p>
        </w:tc>
        <w:tc>
          <w:tcPr>
            <w:tcW w:w="2976" w:type="dxa"/>
            <w:gridSpan w:val="3"/>
            <w:tcBorders>
              <w:top w:val="nil"/>
              <w:left w:val="single" w:sz="2" w:space="0" w:color="000000"/>
              <w:bottom w:val="single" w:sz="2" w:space="0" w:color="000000"/>
              <w:right w:val="single" w:sz="2" w:space="0" w:color="000000"/>
            </w:tcBorders>
            <w:shd w:val="clear" w:color="auto" w:fill="BBBBBB"/>
            <w:tcMar>
              <w:left w:w="60" w:type="dxa"/>
              <w:right w:w="60" w:type="dxa"/>
            </w:tcMar>
            <w:vAlign w:val="bottom"/>
          </w:tcPr>
          <w:p w14:paraId="58C37CED" w14:textId="7123B82F" w:rsidR="00336171" w:rsidRPr="00352792" w:rsidRDefault="00336171" w:rsidP="0047089A">
            <w:pPr>
              <w:keepNext/>
              <w:spacing w:before="60" w:after="60"/>
              <w:jc w:val="center"/>
              <w:rPr>
                <w:b/>
                <w:bCs/>
                <w:color w:val="000000"/>
                <w:sz w:val="16"/>
                <w:szCs w:val="20"/>
              </w:rPr>
            </w:pPr>
            <w:r w:rsidRPr="00352792">
              <w:rPr>
                <w:b/>
                <w:bCs/>
                <w:color w:val="000000"/>
                <w:sz w:val="16"/>
                <w:szCs w:val="20"/>
              </w:rPr>
              <w:t>6 months</w:t>
            </w:r>
          </w:p>
        </w:tc>
        <w:tc>
          <w:tcPr>
            <w:tcW w:w="3119" w:type="dxa"/>
            <w:gridSpan w:val="3"/>
            <w:tcBorders>
              <w:top w:val="nil"/>
              <w:left w:val="single" w:sz="2" w:space="0" w:color="000000"/>
              <w:bottom w:val="single" w:sz="2" w:space="0" w:color="000000"/>
              <w:right w:val="single" w:sz="2" w:space="0" w:color="000000"/>
            </w:tcBorders>
            <w:shd w:val="clear" w:color="auto" w:fill="BBBBBB"/>
            <w:tcMar>
              <w:left w:w="60" w:type="dxa"/>
              <w:right w:w="60" w:type="dxa"/>
            </w:tcMar>
            <w:vAlign w:val="bottom"/>
          </w:tcPr>
          <w:p w14:paraId="55ED2226" w14:textId="46060C1E" w:rsidR="00336171" w:rsidRPr="00352792" w:rsidRDefault="00336171" w:rsidP="0047089A">
            <w:pPr>
              <w:keepNext/>
              <w:spacing w:before="60" w:after="60"/>
              <w:jc w:val="center"/>
              <w:rPr>
                <w:b/>
                <w:bCs/>
                <w:color w:val="000000"/>
                <w:sz w:val="16"/>
                <w:szCs w:val="20"/>
              </w:rPr>
            </w:pPr>
            <w:r w:rsidRPr="00352792">
              <w:rPr>
                <w:b/>
                <w:bCs/>
                <w:color w:val="000000"/>
                <w:sz w:val="16"/>
                <w:szCs w:val="20"/>
              </w:rPr>
              <w:t>16 months</w:t>
            </w:r>
            <w:r w:rsidRPr="00352792">
              <w:rPr>
                <w:b/>
                <w:bCs/>
                <w:color w:val="000000"/>
                <w:sz w:val="16"/>
                <w:szCs w:val="20"/>
              </w:rPr>
              <w:br/>
              <w:t>original cohort</w:t>
            </w:r>
          </w:p>
        </w:tc>
        <w:tc>
          <w:tcPr>
            <w:tcW w:w="3118" w:type="dxa"/>
            <w:gridSpan w:val="3"/>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7A665F6B" w14:textId="4CB65FFC" w:rsidR="00336171" w:rsidRPr="00352792" w:rsidRDefault="00336171" w:rsidP="0047089A">
            <w:pPr>
              <w:keepNext/>
              <w:spacing w:before="60" w:after="60"/>
              <w:jc w:val="center"/>
              <w:rPr>
                <w:b/>
                <w:bCs/>
                <w:color w:val="000000"/>
                <w:sz w:val="16"/>
                <w:szCs w:val="20"/>
              </w:rPr>
            </w:pPr>
            <w:r w:rsidRPr="00352792">
              <w:rPr>
                <w:b/>
                <w:bCs/>
                <w:color w:val="000000"/>
                <w:sz w:val="16"/>
                <w:szCs w:val="20"/>
              </w:rPr>
              <w:t>16 months</w:t>
            </w:r>
            <w:r w:rsidRPr="00352792">
              <w:rPr>
                <w:b/>
                <w:bCs/>
                <w:color w:val="000000"/>
                <w:sz w:val="16"/>
                <w:szCs w:val="20"/>
              </w:rPr>
              <w:br/>
              <w:t>cross-sectional cohort</w:t>
            </w:r>
          </w:p>
        </w:tc>
      </w:tr>
      <w:tr w:rsidR="00336171" w14:paraId="37AF1191" w14:textId="44677E70" w:rsidTr="00692C18">
        <w:trPr>
          <w:cantSplit/>
          <w:tblHeader/>
          <w:jc w:val="center"/>
        </w:trPr>
        <w:tc>
          <w:tcPr>
            <w:tcW w:w="3536" w:type="dxa"/>
            <w:tcBorders>
              <w:top w:val="nil"/>
              <w:left w:val="single" w:sz="6" w:space="0" w:color="000000"/>
              <w:bottom w:val="single" w:sz="2" w:space="0" w:color="000000"/>
              <w:right w:val="nil"/>
            </w:tcBorders>
            <w:shd w:val="clear" w:color="auto" w:fill="BBBBBB"/>
            <w:tcMar>
              <w:left w:w="60" w:type="dxa"/>
              <w:right w:w="60" w:type="dxa"/>
            </w:tcMar>
            <w:vAlign w:val="bottom"/>
          </w:tcPr>
          <w:p w14:paraId="105A26AB" w14:textId="62196A06" w:rsidR="00336171" w:rsidRPr="00352792" w:rsidRDefault="00336171" w:rsidP="00352792">
            <w:pPr>
              <w:keepNext/>
              <w:spacing w:before="60" w:after="60"/>
              <w:rPr>
                <w:b/>
                <w:bCs/>
                <w:color w:val="000000"/>
                <w:sz w:val="16"/>
                <w:szCs w:val="20"/>
              </w:rPr>
            </w:pPr>
            <w:r w:rsidRPr="00352792">
              <w:rPr>
                <w:rFonts w:eastAsia="Times New Roman"/>
                <w:b/>
                <w:bCs/>
                <w:color w:val="000000"/>
                <w:sz w:val="16"/>
                <w:szCs w:val="20"/>
              </w:rPr>
              <w:t>N (% sample)</w:t>
            </w:r>
          </w:p>
        </w:tc>
        <w:tc>
          <w:tcPr>
            <w:tcW w:w="992" w:type="dxa"/>
            <w:tcBorders>
              <w:top w:val="nil"/>
              <w:left w:val="single" w:sz="2" w:space="0" w:color="000000"/>
              <w:bottom w:val="single" w:sz="2" w:space="0" w:color="000000"/>
              <w:right w:val="nil"/>
            </w:tcBorders>
            <w:shd w:val="clear" w:color="auto" w:fill="BBBBBB"/>
            <w:tcMar>
              <w:left w:w="60" w:type="dxa"/>
              <w:right w:w="60" w:type="dxa"/>
            </w:tcMar>
            <w:vAlign w:val="bottom"/>
          </w:tcPr>
          <w:p w14:paraId="6D8A3261" w14:textId="77777777" w:rsidR="00336171" w:rsidRPr="00352792" w:rsidRDefault="00336171" w:rsidP="0047089A">
            <w:pPr>
              <w:keepNext/>
              <w:spacing w:before="60" w:after="60"/>
              <w:jc w:val="center"/>
              <w:rPr>
                <w:b/>
                <w:bCs/>
                <w:color w:val="000000"/>
                <w:sz w:val="16"/>
                <w:szCs w:val="20"/>
              </w:rPr>
            </w:pPr>
            <w:r w:rsidRPr="00352792">
              <w:rPr>
                <w:b/>
                <w:bCs/>
                <w:color w:val="000000"/>
                <w:sz w:val="16"/>
                <w:szCs w:val="20"/>
              </w:rPr>
              <w:t>Control</w:t>
            </w:r>
            <w:r w:rsidRPr="00352792">
              <w:rPr>
                <w:b/>
                <w:bCs/>
                <w:color w:val="000000"/>
                <w:sz w:val="16"/>
                <w:szCs w:val="20"/>
              </w:rPr>
              <w:br/>
              <w:t>(n = 308)</w:t>
            </w:r>
          </w:p>
        </w:tc>
        <w:tc>
          <w:tcPr>
            <w:tcW w:w="1134" w:type="dxa"/>
            <w:tcBorders>
              <w:top w:val="nil"/>
              <w:left w:val="single" w:sz="2" w:space="0" w:color="000000"/>
              <w:bottom w:val="single" w:sz="2" w:space="0" w:color="000000"/>
              <w:right w:val="nil"/>
            </w:tcBorders>
            <w:shd w:val="clear" w:color="auto" w:fill="BBBBBB"/>
            <w:tcMar>
              <w:left w:w="60" w:type="dxa"/>
              <w:right w:w="60" w:type="dxa"/>
            </w:tcMar>
            <w:vAlign w:val="bottom"/>
          </w:tcPr>
          <w:p w14:paraId="69BB9F48" w14:textId="77777777" w:rsidR="00336171" w:rsidRPr="00352792" w:rsidRDefault="00336171" w:rsidP="0047089A">
            <w:pPr>
              <w:keepNext/>
              <w:spacing w:before="60" w:after="60"/>
              <w:jc w:val="center"/>
              <w:rPr>
                <w:b/>
                <w:bCs/>
                <w:color w:val="000000"/>
                <w:sz w:val="16"/>
                <w:szCs w:val="20"/>
              </w:rPr>
            </w:pPr>
            <w:r w:rsidRPr="00352792">
              <w:rPr>
                <w:b/>
                <w:bCs/>
                <w:color w:val="000000"/>
                <w:sz w:val="16"/>
                <w:szCs w:val="20"/>
              </w:rPr>
              <w:t>Intervention</w:t>
            </w:r>
            <w:r w:rsidRPr="00352792">
              <w:rPr>
                <w:b/>
                <w:bCs/>
                <w:color w:val="000000"/>
                <w:sz w:val="16"/>
                <w:szCs w:val="20"/>
              </w:rPr>
              <w:br/>
              <w:t>(n = 418)</w:t>
            </w:r>
          </w:p>
        </w:tc>
        <w:tc>
          <w:tcPr>
            <w:tcW w:w="993" w:type="dxa"/>
            <w:tcBorders>
              <w:top w:val="nil"/>
              <w:left w:val="single" w:sz="2" w:space="0" w:color="000000"/>
              <w:bottom w:val="single" w:sz="2" w:space="0" w:color="000000"/>
              <w:right w:val="single" w:sz="2" w:space="0" w:color="000000"/>
            </w:tcBorders>
            <w:shd w:val="clear" w:color="auto" w:fill="BBBBBB"/>
          </w:tcPr>
          <w:p w14:paraId="028EAB2C" w14:textId="3E60B9CC" w:rsidR="00336171" w:rsidRPr="00352792" w:rsidRDefault="00336171" w:rsidP="0047089A">
            <w:pPr>
              <w:keepNext/>
              <w:spacing w:before="60" w:after="60"/>
              <w:jc w:val="center"/>
              <w:rPr>
                <w:b/>
                <w:bCs/>
                <w:color w:val="000000"/>
                <w:sz w:val="16"/>
                <w:szCs w:val="20"/>
              </w:rPr>
            </w:pPr>
            <w:r w:rsidRPr="00352792">
              <w:rPr>
                <w:b/>
                <w:bCs/>
                <w:color w:val="000000"/>
                <w:sz w:val="16"/>
                <w:szCs w:val="20"/>
              </w:rPr>
              <w:t>Total (n=726)</w:t>
            </w:r>
          </w:p>
        </w:tc>
        <w:tc>
          <w:tcPr>
            <w:tcW w:w="850" w:type="dxa"/>
            <w:tcBorders>
              <w:top w:val="nil"/>
              <w:left w:val="single" w:sz="2" w:space="0" w:color="000000"/>
              <w:bottom w:val="single" w:sz="2" w:space="0" w:color="000000"/>
              <w:right w:val="nil"/>
            </w:tcBorders>
            <w:shd w:val="clear" w:color="auto" w:fill="BBBBBB"/>
            <w:tcMar>
              <w:left w:w="60" w:type="dxa"/>
              <w:right w:w="60" w:type="dxa"/>
            </w:tcMar>
            <w:vAlign w:val="bottom"/>
          </w:tcPr>
          <w:p w14:paraId="5DDA8AA9" w14:textId="3BA9F7A8" w:rsidR="00336171" w:rsidRPr="00352792" w:rsidRDefault="00336171" w:rsidP="0047089A">
            <w:pPr>
              <w:keepNext/>
              <w:spacing w:before="60" w:after="60"/>
              <w:jc w:val="center"/>
              <w:rPr>
                <w:b/>
                <w:bCs/>
                <w:color w:val="000000"/>
                <w:sz w:val="16"/>
                <w:szCs w:val="20"/>
              </w:rPr>
            </w:pPr>
            <w:r w:rsidRPr="00352792">
              <w:rPr>
                <w:b/>
                <w:bCs/>
                <w:color w:val="000000"/>
                <w:sz w:val="16"/>
                <w:szCs w:val="20"/>
              </w:rPr>
              <w:t>Control</w:t>
            </w:r>
            <w:r w:rsidRPr="00352792">
              <w:rPr>
                <w:b/>
                <w:bCs/>
                <w:color w:val="000000"/>
                <w:sz w:val="16"/>
                <w:szCs w:val="20"/>
              </w:rPr>
              <w:br/>
              <w:t>(n = 308)</w:t>
            </w:r>
          </w:p>
        </w:tc>
        <w:tc>
          <w:tcPr>
            <w:tcW w:w="1134" w:type="dxa"/>
            <w:tcBorders>
              <w:top w:val="nil"/>
              <w:left w:val="single" w:sz="2" w:space="0" w:color="000000"/>
              <w:bottom w:val="single" w:sz="2" w:space="0" w:color="000000"/>
              <w:right w:val="nil"/>
            </w:tcBorders>
            <w:shd w:val="clear" w:color="auto" w:fill="BBBBBB"/>
            <w:tcMar>
              <w:left w:w="60" w:type="dxa"/>
              <w:right w:w="60" w:type="dxa"/>
            </w:tcMar>
            <w:vAlign w:val="bottom"/>
          </w:tcPr>
          <w:p w14:paraId="240658C0" w14:textId="77777777" w:rsidR="00336171" w:rsidRPr="00352792" w:rsidRDefault="00336171" w:rsidP="0047089A">
            <w:pPr>
              <w:keepNext/>
              <w:spacing w:before="60" w:after="60"/>
              <w:jc w:val="center"/>
              <w:rPr>
                <w:b/>
                <w:bCs/>
                <w:color w:val="000000"/>
                <w:sz w:val="16"/>
                <w:szCs w:val="20"/>
              </w:rPr>
            </w:pPr>
            <w:r w:rsidRPr="00352792">
              <w:rPr>
                <w:b/>
                <w:bCs/>
                <w:color w:val="000000"/>
                <w:sz w:val="16"/>
                <w:szCs w:val="20"/>
              </w:rPr>
              <w:t>Intervention</w:t>
            </w:r>
            <w:r w:rsidRPr="00352792">
              <w:rPr>
                <w:b/>
                <w:bCs/>
                <w:color w:val="000000"/>
                <w:sz w:val="16"/>
                <w:szCs w:val="20"/>
              </w:rPr>
              <w:br/>
              <w:t>(n = 418)</w:t>
            </w:r>
          </w:p>
        </w:tc>
        <w:tc>
          <w:tcPr>
            <w:tcW w:w="992" w:type="dxa"/>
            <w:tcBorders>
              <w:top w:val="nil"/>
              <w:left w:val="single" w:sz="2" w:space="0" w:color="000000"/>
              <w:bottom w:val="single" w:sz="2" w:space="0" w:color="000000"/>
              <w:right w:val="single" w:sz="2" w:space="0" w:color="000000"/>
            </w:tcBorders>
            <w:shd w:val="clear" w:color="auto" w:fill="BBBBBB"/>
          </w:tcPr>
          <w:p w14:paraId="337058A7" w14:textId="1D8FDCEB" w:rsidR="00336171" w:rsidRPr="00352792" w:rsidRDefault="00336171" w:rsidP="0047089A">
            <w:pPr>
              <w:keepNext/>
              <w:spacing w:before="60" w:after="60"/>
              <w:jc w:val="center"/>
              <w:rPr>
                <w:b/>
                <w:bCs/>
                <w:color w:val="000000"/>
                <w:sz w:val="16"/>
                <w:szCs w:val="20"/>
              </w:rPr>
            </w:pPr>
            <w:r w:rsidRPr="00352792">
              <w:rPr>
                <w:b/>
                <w:bCs/>
                <w:color w:val="000000"/>
                <w:sz w:val="16"/>
                <w:szCs w:val="20"/>
              </w:rPr>
              <w:t>Total (n=726)</w:t>
            </w:r>
          </w:p>
        </w:tc>
        <w:tc>
          <w:tcPr>
            <w:tcW w:w="993" w:type="dxa"/>
            <w:tcBorders>
              <w:top w:val="nil"/>
              <w:left w:val="single" w:sz="2" w:space="0" w:color="000000"/>
              <w:bottom w:val="single" w:sz="2" w:space="0" w:color="000000"/>
              <w:right w:val="nil"/>
            </w:tcBorders>
            <w:shd w:val="clear" w:color="auto" w:fill="BBBBBB"/>
            <w:tcMar>
              <w:left w:w="60" w:type="dxa"/>
              <w:right w:w="60" w:type="dxa"/>
            </w:tcMar>
            <w:vAlign w:val="bottom"/>
          </w:tcPr>
          <w:p w14:paraId="2287920C" w14:textId="5E9C7639" w:rsidR="00336171" w:rsidRPr="00352792" w:rsidRDefault="00336171" w:rsidP="0047089A">
            <w:pPr>
              <w:keepNext/>
              <w:spacing w:before="60" w:after="60"/>
              <w:jc w:val="center"/>
              <w:rPr>
                <w:b/>
                <w:bCs/>
                <w:color w:val="000000"/>
                <w:sz w:val="16"/>
                <w:szCs w:val="20"/>
              </w:rPr>
            </w:pPr>
            <w:r w:rsidRPr="00352792">
              <w:rPr>
                <w:b/>
                <w:bCs/>
                <w:color w:val="000000"/>
                <w:sz w:val="16"/>
                <w:szCs w:val="20"/>
              </w:rPr>
              <w:t>Control</w:t>
            </w:r>
            <w:r w:rsidRPr="00352792">
              <w:rPr>
                <w:b/>
                <w:bCs/>
                <w:color w:val="000000"/>
                <w:sz w:val="16"/>
                <w:szCs w:val="20"/>
              </w:rPr>
              <w:br/>
              <w:t>(n = 308)</w:t>
            </w:r>
          </w:p>
        </w:tc>
        <w:tc>
          <w:tcPr>
            <w:tcW w:w="1134" w:type="dxa"/>
            <w:tcBorders>
              <w:top w:val="nil"/>
              <w:left w:val="single" w:sz="2" w:space="0" w:color="000000"/>
              <w:bottom w:val="single" w:sz="2" w:space="0" w:color="000000"/>
              <w:right w:val="nil"/>
            </w:tcBorders>
            <w:shd w:val="clear" w:color="auto" w:fill="BBBBBB"/>
            <w:tcMar>
              <w:left w:w="60" w:type="dxa"/>
              <w:right w:w="60" w:type="dxa"/>
            </w:tcMar>
            <w:vAlign w:val="bottom"/>
          </w:tcPr>
          <w:p w14:paraId="45FA9719" w14:textId="77777777" w:rsidR="00336171" w:rsidRPr="00352792" w:rsidRDefault="00336171" w:rsidP="0047089A">
            <w:pPr>
              <w:keepNext/>
              <w:spacing w:before="60" w:after="60"/>
              <w:jc w:val="center"/>
              <w:rPr>
                <w:b/>
                <w:bCs/>
                <w:color w:val="000000"/>
                <w:sz w:val="16"/>
                <w:szCs w:val="20"/>
              </w:rPr>
            </w:pPr>
            <w:r w:rsidRPr="00352792">
              <w:rPr>
                <w:b/>
                <w:bCs/>
                <w:color w:val="000000"/>
                <w:sz w:val="16"/>
                <w:szCs w:val="20"/>
              </w:rPr>
              <w:t>Intervention</w:t>
            </w:r>
            <w:r w:rsidRPr="00352792">
              <w:rPr>
                <w:b/>
                <w:bCs/>
                <w:color w:val="000000"/>
                <w:sz w:val="16"/>
                <w:szCs w:val="20"/>
              </w:rPr>
              <w:br/>
              <w:t>(n = 418)</w:t>
            </w:r>
          </w:p>
        </w:tc>
        <w:tc>
          <w:tcPr>
            <w:tcW w:w="992" w:type="dxa"/>
            <w:tcBorders>
              <w:top w:val="nil"/>
              <w:left w:val="single" w:sz="2" w:space="0" w:color="000000"/>
              <w:bottom w:val="single" w:sz="2" w:space="0" w:color="000000"/>
              <w:right w:val="single" w:sz="2" w:space="0" w:color="000000"/>
            </w:tcBorders>
            <w:shd w:val="clear" w:color="auto" w:fill="BBBBBB"/>
          </w:tcPr>
          <w:p w14:paraId="17A889CF" w14:textId="3501915A" w:rsidR="00336171" w:rsidRPr="00352792" w:rsidRDefault="00336171" w:rsidP="0047089A">
            <w:pPr>
              <w:keepNext/>
              <w:spacing w:before="60" w:after="60"/>
              <w:jc w:val="center"/>
              <w:rPr>
                <w:b/>
                <w:bCs/>
                <w:color w:val="000000"/>
                <w:sz w:val="16"/>
                <w:szCs w:val="20"/>
              </w:rPr>
            </w:pPr>
            <w:r>
              <w:rPr>
                <w:b/>
                <w:bCs/>
                <w:color w:val="000000"/>
                <w:sz w:val="16"/>
                <w:szCs w:val="20"/>
              </w:rPr>
              <w:t>Total (n=726)</w:t>
            </w:r>
          </w:p>
        </w:tc>
        <w:tc>
          <w:tcPr>
            <w:tcW w:w="992" w:type="dxa"/>
            <w:tcBorders>
              <w:top w:val="nil"/>
              <w:left w:val="single" w:sz="2" w:space="0" w:color="000000"/>
              <w:bottom w:val="single" w:sz="2" w:space="0" w:color="000000"/>
              <w:right w:val="nil"/>
            </w:tcBorders>
            <w:shd w:val="clear" w:color="auto" w:fill="BBBBBB"/>
            <w:tcMar>
              <w:left w:w="60" w:type="dxa"/>
              <w:right w:w="60" w:type="dxa"/>
            </w:tcMar>
            <w:vAlign w:val="bottom"/>
          </w:tcPr>
          <w:p w14:paraId="5AE690AB" w14:textId="0543DE01" w:rsidR="00336171" w:rsidRPr="00352792" w:rsidRDefault="00336171" w:rsidP="0047089A">
            <w:pPr>
              <w:keepNext/>
              <w:spacing w:before="60" w:after="60"/>
              <w:jc w:val="center"/>
              <w:rPr>
                <w:b/>
                <w:bCs/>
                <w:color w:val="000000"/>
                <w:sz w:val="16"/>
                <w:szCs w:val="20"/>
              </w:rPr>
            </w:pPr>
            <w:r w:rsidRPr="00352792">
              <w:rPr>
                <w:b/>
                <w:bCs/>
                <w:color w:val="000000"/>
                <w:sz w:val="16"/>
                <w:szCs w:val="20"/>
              </w:rPr>
              <w:t>Control</w:t>
            </w:r>
            <w:r w:rsidRPr="00352792">
              <w:rPr>
                <w:b/>
                <w:bCs/>
                <w:color w:val="000000"/>
                <w:sz w:val="16"/>
                <w:szCs w:val="20"/>
              </w:rPr>
              <w:br/>
              <w:t>(n = 287)</w:t>
            </w:r>
          </w:p>
        </w:tc>
        <w:tc>
          <w:tcPr>
            <w:tcW w:w="1134"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5A48D8B9" w14:textId="77777777" w:rsidR="00336171" w:rsidRPr="00352792" w:rsidRDefault="00336171" w:rsidP="0047089A">
            <w:pPr>
              <w:keepNext/>
              <w:spacing w:before="60" w:after="60"/>
              <w:jc w:val="center"/>
              <w:rPr>
                <w:b/>
                <w:bCs/>
                <w:color w:val="000000"/>
                <w:sz w:val="16"/>
                <w:szCs w:val="20"/>
              </w:rPr>
            </w:pPr>
            <w:r w:rsidRPr="00352792">
              <w:rPr>
                <w:b/>
                <w:bCs/>
                <w:color w:val="000000"/>
                <w:sz w:val="16"/>
                <w:szCs w:val="20"/>
              </w:rPr>
              <w:t>Intervention</w:t>
            </w:r>
            <w:r w:rsidRPr="00352792">
              <w:rPr>
                <w:b/>
                <w:bCs/>
                <w:color w:val="000000"/>
                <w:sz w:val="16"/>
                <w:szCs w:val="20"/>
              </w:rPr>
              <w:br/>
              <w:t>(n = 388)</w:t>
            </w:r>
          </w:p>
        </w:tc>
        <w:tc>
          <w:tcPr>
            <w:tcW w:w="992" w:type="dxa"/>
            <w:tcBorders>
              <w:top w:val="nil"/>
              <w:left w:val="single" w:sz="2" w:space="0" w:color="000000"/>
              <w:bottom w:val="single" w:sz="2" w:space="0" w:color="000000"/>
              <w:right w:val="single" w:sz="6" w:space="0" w:color="000000"/>
            </w:tcBorders>
            <w:shd w:val="clear" w:color="auto" w:fill="BBBBBB"/>
          </w:tcPr>
          <w:p w14:paraId="516A5E30" w14:textId="4A8B30D4" w:rsidR="00336171" w:rsidRPr="00352792" w:rsidRDefault="00336171" w:rsidP="0047089A">
            <w:pPr>
              <w:keepNext/>
              <w:spacing w:before="60" w:after="60"/>
              <w:jc w:val="center"/>
              <w:rPr>
                <w:b/>
                <w:bCs/>
                <w:color w:val="000000"/>
                <w:sz w:val="16"/>
                <w:szCs w:val="20"/>
              </w:rPr>
            </w:pPr>
            <w:r>
              <w:rPr>
                <w:b/>
                <w:bCs/>
                <w:color w:val="000000"/>
                <w:sz w:val="16"/>
                <w:szCs w:val="20"/>
              </w:rPr>
              <w:t>Total          (n = 675)</w:t>
            </w:r>
          </w:p>
        </w:tc>
      </w:tr>
      <w:tr w:rsidR="00336171" w14:paraId="4B75750A" w14:textId="78AC268F" w:rsidTr="00692C18">
        <w:trPr>
          <w:cantSplit/>
          <w:jc w:val="center"/>
        </w:trPr>
        <w:tc>
          <w:tcPr>
            <w:tcW w:w="3536" w:type="dxa"/>
            <w:tcBorders>
              <w:top w:val="nil"/>
              <w:left w:val="single" w:sz="6" w:space="0" w:color="000000"/>
              <w:bottom w:val="single" w:sz="2" w:space="0" w:color="000000"/>
              <w:right w:val="nil"/>
            </w:tcBorders>
            <w:shd w:val="clear" w:color="auto" w:fill="FFFFFF"/>
            <w:tcMar>
              <w:left w:w="60" w:type="dxa"/>
              <w:right w:w="60" w:type="dxa"/>
            </w:tcMar>
          </w:tcPr>
          <w:p w14:paraId="3D4E11C9" w14:textId="24467B93" w:rsidR="00336171" w:rsidRPr="00352792" w:rsidRDefault="00336171" w:rsidP="0047089A">
            <w:pPr>
              <w:spacing w:before="60" w:after="60"/>
              <w:rPr>
                <w:b/>
                <w:bCs/>
                <w:color w:val="000000"/>
                <w:sz w:val="16"/>
                <w:szCs w:val="20"/>
              </w:rPr>
            </w:pPr>
            <w:r w:rsidRPr="00352792">
              <w:rPr>
                <w:b/>
                <w:bCs/>
                <w:color w:val="000000"/>
                <w:sz w:val="16"/>
                <w:szCs w:val="20"/>
              </w:rPr>
              <w:t>Antipsychotic medication</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770D1479" w14:textId="77777777" w:rsidR="00336171" w:rsidRPr="00352792" w:rsidRDefault="00336171" w:rsidP="00692C18">
            <w:pPr>
              <w:spacing w:before="60" w:after="60"/>
              <w:jc w:val="right"/>
              <w:rPr>
                <w:color w:val="000000"/>
                <w:sz w:val="16"/>
                <w:szCs w:val="20"/>
              </w:rPr>
            </w:pPr>
            <w:r w:rsidRPr="00352792">
              <w:rPr>
                <w:color w:val="000000"/>
                <w:sz w:val="16"/>
                <w:szCs w:val="20"/>
              </w:rPr>
              <w:t>1 (0.3%)</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4BD75899" w14:textId="77777777" w:rsidR="00336171" w:rsidRPr="00352792" w:rsidRDefault="00336171" w:rsidP="00692C18">
            <w:pPr>
              <w:spacing w:before="60" w:after="60"/>
              <w:jc w:val="right"/>
              <w:rPr>
                <w:color w:val="000000"/>
                <w:sz w:val="16"/>
                <w:szCs w:val="20"/>
              </w:rPr>
            </w:pPr>
            <w:r w:rsidRPr="00352792">
              <w:rPr>
                <w:color w:val="000000"/>
                <w:sz w:val="16"/>
                <w:szCs w:val="20"/>
              </w:rPr>
              <w:t>1 (0.2%)</w:t>
            </w:r>
          </w:p>
        </w:tc>
        <w:tc>
          <w:tcPr>
            <w:tcW w:w="993" w:type="dxa"/>
            <w:tcBorders>
              <w:top w:val="nil"/>
              <w:left w:val="single" w:sz="2" w:space="0" w:color="000000"/>
              <w:bottom w:val="single" w:sz="2" w:space="0" w:color="000000"/>
              <w:right w:val="single" w:sz="2" w:space="0" w:color="000000"/>
            </w:tcBorders>
            <w:shd w:val="clear" w:color="auto" w:fill="FFFFFF"/>
          </w:tcPr>
          <w:p w14:paraId="38161319" w14:textId="3B162E46" w:rsidR="00336171" w:rsidRPr="00352792" w:rsidRDefault="00336171" w:rsidP="00692C18">
            <w:pPr>
              <w:spacing w:before="60" w:after="60"/>
              <w:jc w:val="right"/>
              <w:rPr>
                <w:color w:val="000000"/>
                <w:sz w:val="16"/>
                <w:szCs w:val="20"/>
              </w:rPr>
            </w:pPr>
            <w:r>
              <w:rPr>
                <w:color w:val="000000"/>
                <w:sz w:val="16"/>
                <w:szCs w:val="20"/>
              </w:rPr>
              <w:t xml:space="preserve">2 (0.3%)   </w:t>
            </w:r>
          </w:p>
        </w:tc>
        <w:tc>
          <w:tcPr>
            <w:tcW w:w="850" w:type="dxa"/>
            <w:tcBorders>
              <w:top w:val="nil"/>
              <w:left w:val="single" w:sz="2" w:space="0" w:color="000000"/>
              <w:bottom w:val="single" w:sz="2" w:space="0" w:color="000000"/>
              <w:right w:val="nil"/>
            </w:tcBorders>
            <w:shd w:val="clear" w:color="auto" w:fill="FFFFFF"/>
            <w:tcMar>
              <w:left w:w="60" w:type="dxa"/>
              <w:right w:w="60" w:type="dxa"/>
            </w:tcMar>
          </w:tcPr>
          <w:p w14:paraId="1F6EBC20" w14:textId="364960DF" w:rsidR="00336171" w:rsidRPr="00352792" w:rsidRDefault="00336171" w:rsidP="00692C18">
            <w:pPr>
              <w:spacing w:before="60" w:after="60"/>
              <w:jc w:val="right"/>
              <w:rPr>
                <w:color w:val="000000"/>
                <w:sz w:val="16"/>
                <w:szCs w:val="20"/>
              </w:rPr>
            </w:pPr>
            <w:r w:rsidRPr="00352792">
              <w:rPr>
                <w:color w:val="000000"/>
                <w:sz w:val="16"/>
                <w:szCs w:val="20"/>
              </w:rPr>
              <w:t>2 (0.6%)</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7633E998" w14:textId="77777777" w:rsidR="00336171" w:rsidRPr="00352792" w:rsidRDefault="00336171" w:rsidP="00692C18">
            <w:pPr>
              <w:spacing w:before="60" w:after="60"/>
              <w:jc w:val="right"/>
              <w:rPr>
                <w:color w:val="000000"/>
                <w:sz w:val="16"/>
                <w:szCs w:val="20"/>
              </w:rPr>
            </w:pPr>
            <w:r w:rsidRPr="00352792">
              <w:rPr>
                <w:color w:val="000000"/>
                <w:sz w:val="16"/>
                <w:szCs w:val="20"/>
              </w:rPr>
              <w:t>1 (0.2%)</w:t>
            </w:r>
          </w:p>
        </w:tc>
        <w:tc>
          <w:tcPr>
            <w:tcW w:w="992" w:type="dxa"/>
            <w:tcBorders>
              <w:top w:val="nil"/>
              <w:left w:val="single" w:sz="2" w:space="0" w:color="000000"/>
              <w:bottom w:val="single" w:sz="2" w:space="0" w:color="000000"/>
              <w:right w:val="single" w:sz="2" w:space="0" w:color="000000"/>
            </w:tcBorders>
            <w:shd w:val="clear" w:color="auto" w:fill="FFFFFF"/>
          </w:tcPr>
          <w:p w14:paraId="0FB22E8B" w14:textId="0C2F5DD6" w:rsidR="00336171" w:rsidRPr="00352792" w:rsidRDefault="00A569FD" w:rsidP="00692C18">
            <w:pPr>
              <w:spacing w:before="60" w:after="60"/>
              <w:jc w:val="right"/>
              <w:rPr>
                <w:color w:val="000000"/>
                <w:sz w:val="16"/>
                <w:szCs w:val="20"/>
              </w:rPr>
            </w:pPr>
            <w:r>
              <w:rPr>
                <w:color w:val="000000"/>
                <w:sz w:val="16"/>
                <w:szCs w:val="20"/>
              </w:rPr>
              <w:t xml:space="preserve">3 (0.4%) </w:t>
            </w:r>
          </w:p>
        </w:tc>
        <w:tc>
          <w:tcPr>
            <w:tcW w:w="993" w:type="dxa"/>
            <w:tcBorders>
              <w:top w:val="nil"/>
              <w:left w:val="single" w:sz="2" w:space="0" w:color="000000"/>
              <w:bottom w:val="single" w:sz="2" w:space="0" w:color="000000"/>
              <w:right w:val="nil"/>
            </w:tcBorders>
            <w:shd w:val="clear" w:color="auto" w:fill="FFFFFF"/>
            <w:tcMar>
              <w:left w:w="60" w:type="dxa"/>
              <w:right w:w="60" w:type="dxa"/>
            </w:tcMar>
          </w:tcPr>
          <w:p w14:paraId="4095617B" w14:textId="7805C061" w:rsidR="00336171" w:rsidRPr="00352792" w:rsidRDefault="00336171" w:rsidP="00692C18">
            <w:pPr>
              <w:spacing w:before="60" w:after="60"/>
              <w:jc w:val="right"/>
              <w:rPr>
                <w:color w:val="000000"/>
                <w:sz w:val="16"/>
                <w:szCs w:val="20"/>
              </w:rPr>
            </w:pPr>
            <w:r w:rsidRPr="00352792">
              <w:rPr>
                <w:color w:val="000000"/>
                <w:sz w:val="16"/>
                <w:szCs w:val="20"/>
              </w:rPr>
              <w:t>1 (0.3%)</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3DC98FDD" w14:textId="6E39763D" w:rsidR="00336171" w:rsidRPr="00352792" w:rsidRDefault="00336171" w:rsidP="00692C18">
            <w:pPr>
              <w:spacing w:before="60" w:after="60"/>
              <w:jc w:val="right"/>
              <w:rPr>
                <w:color w:val="000000"/>
                <w:sz w:val="16"/>
                <w:szCs w:val="20"/>
              </w:rPr>
            </w:pPr>
            <w:r w:rsidRPr="00352792">
              <w:rPr>
                <w:color w:val="000000"/>
                <w:sz w:val="16"/>
                <w:szCs w:val="20"/>
              </w:rPr>
              <w:t>0 (0.0%)</w:t>
            </w:r>
          </w:p>
        </w:tc>
        <w:tc>
          <w:tcPr>
            <w:tcW w:w="992" w:type="dxa"/>
            <w:tcBorders>
              <w:top w:val="nil"/>
              <w:left w:val="single" w:sz="2" w:space="0" w:color="000000"/>
              <w:bottom w:val="single" w:sz="2" w:space="0" w:color="000000"/>
              <w:right w:val="single" w:sz="2" w:space="0" w:color="000000"/>
            </w:tcBorders>
            <w:shd w:val="clear" w:color="auto" w:fill="FFFFFF"/>
          </w:tcPr>
          <w:p w14:paraId="2E80AB24" w14:textId="6B69E4B3" w:rsidR="00336171" w:rsidRPr="00352792" w:rsidRDefault="00692C18" w:rsidP="00692C18">
            <w:pPr>
              <w:spacing w:before="60" w:after="60"/>
              <w:jc w:val="right"/>
              <w:rPr>
                <w:color w:val="000000"/>
                <w:sz w:val="16"/>
                <w:szCs w:val="20"/>
              </w:rPr>
            </w:pPr>
            <w:r>
              <w:rPr>
                <w:color w:val="000000"/>
                <w:sz w:val="16"/>
                <w:szCs w:val="20"/>
              </w:rPr>
              <w:t>1 (0.1%)</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1802C347" w14:textId="37BB7B94" w:rsidR="00336171" w:rsidRPr="00352792" w:rsidRDefault="00336171" w:rsidP="00692C18">
            <w:pPr>
              <w:spacing w:before="60" w:after="60"/>
              <w:jc w:val="right"/>
              <w:rPr>
                <w:color w:val="000000"/>
                <w:sz w:val="16"/>
                <w:szCs w:val="20"/>
              </w:rPr>
            </w:pPr>
            <w:r w:rsidRPr="00352792">
              <w:rPr>
                <w:color w:val="000000"/>
                <w:sz w:val="16"/>
                <w:szCs w:val="20"/>
              </w:rPr>
              <w:t>1 (0.3%)</w:t>
            </w:r>
          </w:p>
        </w:tc>
        <w:tc>
          <w:tcPr>
            <w:tcW w:w="113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0A33E4" w14:textId="77777777" w:rsidR="00336171" w:rsidRPr="00352792" w:rsidRDefault="00336171" w:rsidP="00692C18">
            <w:pPr>
              <w:spacing w:before="60" w:after="60"/>
              <w:jc w:val="right"/>
              <w:rPr>
                <w:color w:val="000000"/>
                <w:sz w:val="16"/>
                <w:szCs w:val="20"/>
              </w:rPr>
            </w:pPr>
            <w:r w:rsidRPr="00352792">
              <w:rPr>
                <w:color w:val="000000"/>
                <w:sz w:val="16"/>
                <w:szCs w:val="20"/>
              </w:rPr>
              <w:t>1 (0.3%)</w:t>
            </w:r>
          </w:p>
        </w:tc>
        <w:tc>
          <w:tcPr>
            <w:tcW w:w="992" w:type="dxa"/>
            <w:tcBorders>
              <w:top w:val="nil"/>
              <w:left w:val="single" w:sz="2" w:space="0" w:color="000000"/>
              <w:bottom w:val="single" w:sz="2" w:space="0" w:color="000000"/>
              <w:right w:val="single" w:sz="6" w:space="0" w:color="000000"/>
            </w:tcBorders>
            <w:shd w:val="clear" w:color="auto" w:fill="FFFFFF"/>
          </w:tcPr>
          <w:p w14:paraId="7F5034F4" w14:textId="40161231" w:rsidR="00336171" w:rsidRPr="00352792" w:rsidRDefault="000554EC" w:rsidP="00692C18">
            <w:pPr>
              <w:spacing w:before="60" w:after="60"/>
              <w:jc w:val="right"/>
              <w:rPr>
                <w:color w:val="000000"/>
                <w:sz w:val="16"/>
                <w:szCs w:val="20"/>
              </w:rPr>
            </w:pPr>
            <w:r>
              <w:rPr>
                <w:color w:val="000000"/>
                <w:sz w:val="16"/>
                <w:szCs w:val="20"/>
              </w:rPr>
              <w:t>2 (0.3%)</w:t>
            </w:r>
          </w:p>
        </w:tc>
      </w:tr>
      <w:tr w:rsidR="00336171" w14:paraId="1D71D644" w14:textId="430C8255" w:rsidTr="00692C18">
        <w:trPr>
          <w:cantSplit/>
          <w:jc w:val="center"/>
        </w:trPr>
        <w:tc>
          <w:tcPr>
            <w:tcW w:w="3536" w:type="dxa"/>
            <w:tcBorders>
              <w:top w:val="nil"/>
              <w:left w:val="single" w:sz="6" w:space="0" w:color="000000"/>
              <w:bottom w:val="single" w:sz="2" w:space="0" w:color="000000"/>
              <w:right w:val="nil"/>
            </w:tcBorders>
            <w:shd w:val="clear" w:color="auto" w:fill="FFFFFF"/>
            <w:tcMar>
              <w:left w:w="60" w:type="dxa"/>
              <w:right w:w="60" w:type="dxa"/>
            </w:tcMar>
          </w:tcPr>
          <w:p w14:paraId="51C08A28" w14:textId="5F141630" w:rsidR="00336171" w:rsidRPr="00352792" w:rsidRDefault="00336171" w:rsidP="0047089A">
            <w:pPr>
              <w:spacing w:before="60" w:after="60"/>
              <w:rPr>
                <w:b/>
                <w:bCs/>
                <w:color w:val="000000"/>
                <w:sz w:val="16"/>
                <w:szCs w:val="20"/>
              </w:rPr>
            </w:pPr>
            <w:r w:rsidRPr="00352792">
              <w:rPr>
                <w:b/>
                <w:bCs/>
                <w:color w:val="000000"/>
                <w:sz w:val="16"/>
                <w:szCs w:val="20"/>
              </w:rPr>
              <w:t>Benzodiazepine medication</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6280F0C7" w14:textId="77777777" w:rsidR="00336171" w:rsidRPr="00352792" w:rsidRDefault="00336171" w:rsidP="00692C18">
            <w:pPr>
              <w:spacing w:before="60" w:after="60"/>
              <w:jc w:val="right"/>
              <w:rPr>
                <w:color w:val="000000"/>
                <w:sz w:val="16"/>
                <w:szCs w:val="20"/>
              </w:rPr>
            </w:pPr>
            <w:r w:rsidRPr="00352792">
              <w:rPr>
                <w:color w:val="000000"/>
                <w:sz w:val="16"/>
                <w:szCs w:val="20"/>
              </w:rPr>
              <w:t>9 (2.9%)</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07A1F0BE" w14:textId="77777777" w:rsidR="00336171" w:rsidRPr="00352792" w:rsidRDefault="00336171" w:rsidP="00692C18">
            <w:pPr>
              <w:spacing w:before="60" w:after="60"/>
              <w:jc w:val="right"/>
              <w:rPr>
                <w:color w:val="000000"/>
                <w:sz w:val="16"/>
                <w:szCs w:val="20"/>
              </w:rPr>
            </w:pPr>
            <w:r w:rsidRPr="00352792">
              <w:rPr>
                <w:color w:val="000000"/>
                <w:sz w:val="16"/>
                <w:szCs w:val="20"/>
              </w:rPr>
              <w:t>8 (1.9%)</w:t>
            </w:r>
          </w:p>
        </w:tc>
        <w:tc>
          <w:tcPr>
            <w:tcW w:w="993" w:type="dxa"/>
            <w:tcBorders>
              <w:top w:val="nil"/>
              <w:left w:val="single" w:sz="2" w:space="0" w:color="000000"/>
              <w:bottom w:val="single" w:sz="2" w:space="0" w:color="000000"/>
              <w:right w:val="single" w:sz="2" w:space="0" w:color="000000"/>
            </w:tcBorders>
            <w:shd w:val="clear" w:color="auto" w:fill="FFFFFF"/>
          </w:tcPr>
          <w:p w14:paraId="6554DE3F" w14:textId="4B3A3EDC" w:rsidR="00336171" w:rsidRPr="00352792" w:rsidRDefault="00336171" w:rsidP="00692C18">
            <w:pPr>
              <w:spacing w:before="60" w:after="60"/>
              <w:jc w:val="right"/>
              <w:rPr>
                <w:color w:val="000000"/>
                <w:sz w:val="16"/>
                <w:szCs w:val="20"/>
              </w:rPr>
            </w:pPr>
            <w:r>
              <w:rPr>
                <w:color w:val="000000"/>
                <w:sz w:val="16"/>
                <w:szCs w:val="20"/>
              </w:rPr>
              <w:t xml:space="preserve">17 (2.3%) </w:t>
            </w:r>
          </w:p>
        </w:tc>
        <w:tc>
          <w:tcPr>
            <w:tcW w:w="850" w:type="dxa"/>
            <w:tcBorders>
              <w:top w:val="nil"/>
              <w:left w:val="single" w:sz="2" w:space="0" w:color="000000"/>
              <w:bottom w:val="single" w:sz="2" w:space="0" w:color="000000"/>
              <w:right w:val="nil"/>
            </w:tcBorders>
            <w:shd w:val="clear" w:color="auto" w:fill="FFFFFF"/>
            <w:tcMar>
              <w:left w:w="60" w:type="dxa"/>
              <w:right w:w="60" w:type="dxa"/>
            </w:tcMar>
          </w:tcPr>
          <w:p w14:paraId="6A9D5275" w14:textId="41E76685" w:rsidR="00336171" w:rsidRPr="00352792" w:rsidRDefault="00336171" w:rsidP="00692C18">
            <w:pPr>
              <w:spacing w:before="60" w:after="60"/>
              <w:jc w:val="right"/>
              <w:rPr>
                <w:color w:val="000000"/>
                <w:sz w:val="16"/>
                <w:szCs w:val="20"/>
              </w:rPr>
            </w:pPr>
            <w:r w:rsidRPr="00352792">
              <w:rPr>
                <w:color w:val="000000"/>
                <w:sz w:val="16"/>
                <w:szCs w:val="20"/>
              </w:rPr>
              <w:t>9 (2.9%)</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30713D81" w14:textId="77777777" w:rsidR="00336171" w:rsidRPr="00352792" w:rsidRDefault="00336171" w:rsidP="00692C18">
            <w:pPr>
              <w:spacing w:before="60" w:after="60"/>
              <w:jc w:val="right"/>
              <w:rPr>
                <w:color w:val="000000"/>
                <w:sz w:val="16"/>
                <w:szCs w:val="20"/>
              </w:rPr>
            </w:pPr>
            <w:r w:rsidRPr="00352792">
              <w:rPr>
                <w:color w:val="000000"/>
                <w:sz w:val="16"/>
                <w:szCs w:val="20"/>
              </w:rPr>
              <w:t>9 (2.2%)</w:t>
            </w:r>
          </w:p>
        </w:tc>
        <w:tc>
          <w:tcPr>
            <w:tcW w:w="992" w:type="dxa"/>
            <w:tcBorders>
              <w:top w:val="nil"/>
              <w:left w:val="single" w:sz="2" w:space="0" w:color="000000"/>
              <w:bottom w:val="single" w:sz="2" w:space="0" w:color="000000"/>
              <w:right w:val="single" w:sz="2" w:space="0" w:color="000000"/>
            </w:tcBorders>
            <w:shd w:val="clear" w:color="auto" w:fill="FFFFFF"/>
          </w:tcPr>
          <w:p w14:paraId="249924DA" w14:textId="5C073A19" w:rsidR="00336171" w:rsidRPr="00352792" w:rsidRDefault="00A569FD" w:rsidP="00692C18">
            <w:pPr>
              <w:spacing w:before="60" w:after="60"/>
              <w:jc w:val="right"/>
              <w:rPr>
                <w:color w:val="000000"/>
                <w:sz w:val="16"/>
                <w:szCs w:val="20"/>
              </w:rPr>
            </w:pPr>
            <w:r>
              <w:rPr>
                <w:color w:val="000000"/>
                <w:sz w:val="16"/>
                <w:szCs w:val="20"/>
              </w:rPr>
              <w:t>18 (2.5%)</w:t>
            </w:r>
          </w:p>
        </w:tc>
        <w:tc>
          <w:tcPr>
            <w:tcW w:w="993" w:type="dxa"/>
            <w:tcBorders>
              <w:top w:val="nil"/>
              <w:left w:val="single" w:sz="2" w:space="0" w:color="000000"/>
              <w:bottom w:val="single" w:sz="2" w:space="0" w:color="000000"/>
              <w:right w:val="nil"/>
            </w:tcBorders>
            <w:shd w:val="clear" w:color="auto" w:fill="FFFFFF"/>
            <w:tcMar>
              <w:left w:w="60" w:type="dxa"/>
              <w:right w:w="60" w:type="dxa"/>
            </w:tcMar>
          </w:tcPr>
          <w:p w14:paraId="03514007" w14:textId="41B05427" w:rsidR="00336171" w:rsidRPr="00352792" w:rsidRDefault="00336171" w:rsidP="00692C18">
            <w:pPr>
              <w:spacing w:before="60" w:after="60"/>
              <w:jc w:val="right"/>
              <w:rPr>
                <w:color w:val="000000"/>
                <w:sz w:val="16"/>
                <w:szCs w:val="20"/>
              </w:rPr>
            </w:pPr>
            <w:r w:rsidRPr="00352792">
              <w:rPr>
                <w:color w:val="000000"/>
                <w:sz w:val="16"/>
                <w:szCs w:val="20"/>
              </w:rPr>
              <w:t>4 (1.3%)</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5F120EEE" w14:textId="77777777" w:rsidR="00336171" w:rsidRPr="00352792" w:rsidRDefault="00336171" w:rsidP="00692C18">
            <w:pPr>
              <w:spacing w:before="60" w:after="60"/>
              <w:jc w:val="right"/>
              <w:rPr>
                <w:color w:val="000000"/>
                <w:sz w:val="16"/>
                <w:szCs w:val="20"/>
              </w:rPr>
            </w:pPr>
            <w:r w:rsidRPr="00352792">
              <w:rPr>
                <w:color w:val="000000"/>
                <w:sz w:val="16"/>
                <w:szCs w:val="20"/>
              </w:rPr>
              <w:t>2 (0.5%)</w:t>
            </w:r>
          </w:p>
        </w:tc>
        <w:tc>
          <w:tcPr>
            <w:tcW w:w="992" w:type="dxa"/>
            <w:tcBorders>
              <w:top w:val="nil"/>
              <w:left w:val="single" w:sz="2" w:space="0" w:color="000000"/>
              <w:bottom w:val="single" w:sz="2" w:space="0" w:color="000000"/>
              <w:right w:val="single" w:sz="2" w:space="0" w:color="000000"/>
            </w:tcBorders>
            <w:shd w:val="clear" w:color="auto" w:fill="FFFFFF"/>
          </w:tcPr>
          <w:p w14:paraId="3C44124D" w14:textId="5203E33A" w:rsidR="00336171" w:rsidRPr="00352792" w:rsidRDefault="00692C18" w:rsidP="00692C18">
            <w:pPr>
              <w:spacing w:before="60" w:after="60"/>
              <w:jc w:val="right"/>
              <w:rPr>
                <w:color w:val="000000"/>
                <w:sz w:val="16"/>
                <w:szCs w:val="20"/>
              </w:rPr>
            </w:pPr>
            <w:r>
              <w:rPr>
                <w:color w:val="000000"/>
                <w:sz w:val="16"/>
                <w:szCs w:val="20"/>
              </w:rPr>
              <w:t>6 (0.8%)</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156EF459" w14:textId="19325DC5" w:rsidR="00336171" w:rsidRPr="00352792" w:rsidRDefault="00336171" w:rsidP="00692C18">
            <w:pPr>
              <w:spacing w:before="60" w:after="60"/>
              <w:jc w:val="right"/>
              <w:rPr>
                <w:color w:val="000000"/>
                <w:sz w:val="16"/>
                <w:szCs w:val="20"/>
              </w:rPr>
            </w:pPr>
            <w:r w:rsidRPr="00352792">
              <w:rPr>
                <w:color w:val="000000"/>
                <w:sz w:val="16"/>
                <w:szCs w:val="20"/>
              </w:rPr>
              <w:t>10 (3.5%)</w:t>
            </w:r>
          </w:p>
        </w:tc>
        <w:tc>
          <w:tcPr>
            <w:tcW w:w="113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A0BCA4" w14:textId="77777777" w:rsidR="00336171" w:rsidRPr="00352792" w:rsidRDefault="00336171" w:rsidP="00692C18">
            <w:pPr>
              <w:spacing w:before="60" w:after="60"/>
              <w:jc w:val="right"/>
              <w:rPr>
                <w:color w:val="000000"/>
                <w:sz w:val="16"/>
                <w:szCs w:val="20"/>
              </w:rPr>
            </w:pPr>
            <w:r w:rsidRPr="00352792">
              <w:rPr>
                <w:color w:val="000000"/>
                <w:sz w:val="16"/>
                <w:szCs w:val="20"/>
              </w:rPr>
              <w:t>6 (1.5%)</w:t>
            </w:r>
          </w:p>
        </w:tc>
        <w:tc>
          <w:tcPr>
            <w:tcW w:w="992" w:type="dxa"/>
            <w:tcBorders>
              <w:top w:val="nil"/>
              <w:left w:val="single" w:sz="2" w:space="0" w:color="000000"/>
              <w:bottom w:val="single" w:sz="2" w:space="0" w:color="000000"/>
              <w:right w:val="single" w:sz="6" w:space="0" w:color="000000"/>
            </w:tcBorders>
            <w:shd w:val="clear" w:color="auto" w:fill="FFFFFF"/>
          </w:tcPr>
          <w:p w14:paraId="51F0BCF0" w14:textId="2780162D" w:rsidR="00336171" w:rsidRPr="00352792" w:rsidRDefault="000554EC" w:rsidP="00692C18">
            <w:pPr>
              <w:spacing w:before="60" w:after="60"/>
              <w:jc w:val="right"/>
              <w:rPr>
                <w:color w:val="000000"/>
                <w:sz w:val="16"/>
                <w:szCs w:val="20"/>
              </w:rPr>
            </w:pPr>
            <w:r>
              <w:rPr>
                <w:color w:val="000000"/>
                <w:sz w:val="16"/>
                <w:szCs w:val="20"/>
              </w:rPr>
              <w:t>16 (2.4%)</w:t>
            </w:r>
          </w:p>
        </w:tc>
      </w:tr>
      <w:tr w:rsidR="00336171" w14:paraId="6F8E7F98" w14:textId="1B8D16A9" w:rsidTr="00692C18">
        <w:trPr>
          <w:cantSplit/>
          <w:jc w:val="center"/>
        </w:trPr>
        <w:tc>
          <w:tcPr>
            <w:tcW w:w="3536" w:type="dxa"/>
            <w:tcBorders>
              <w:top w:val="nil"/>
              <w:left w:val="single" w:sz="6" w:space="0" w:color="000000"/>
              <w:bottom w:val="single" w:sz="2" w:space="0" w:color="000000"/>
              <w:right w:val="nil"/>
            </w:tcBorders>
            <w:shd w:val="clear" w:color="auto" w:fill="FFFFFF"/>
            <w:tcMar>
              <w:left w:w="60" w:type="dxa"/>
              <w:right w:w="60" w:type="dxa"/>
            </w:tcMar>
          </w:tcPr>
          <w:p w14:paraId="2FBD60CB" w14:textId="05A2F3B6" w:rsidR="00336171" w:rsidRPr="00352792" w:rsidRDefault="00336171" w:rsidP="0047089A">
            <w:pPr>
              <w:spacing w:before="60" w:after="60"/>
              <w:rPr>
                <w:b/>
                <w:bCs/>
                <w:color w:val="000000"/>
                <w:sz w:val="16"/>
                <w:szCs w:val="20"/>
              </w:rPr>
            </w:pPr>
            <w:r w:rsidRPr="00352792">
              <w:rPr>
                <w:b/>
                <w:bCs/>
                <w:color w:val="000000"/>
                <w:sz w:val="16"/>
                <w:szCs w:val="20"/>
              </w:rPr>
              <w:t>Non-benzodiazepine anxiolytic medication</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0F3710C2" w14:textId="0799D7B5" w:rsidR="00336171" w:rsidRPr="00352792" w:rsidRDefault="00336171" w:rsidP="00692C18">
            <w:pPr>
              <w:spacing w:before="60" w:after="60"/>
              <w:jc w:val="right"/>
              <w:rPr>
                <w:color w:val="000000"/>
                <w:sz w:val="16"/>
                <w:szCs w:val="20"/>
              </w:rPr>
            </w:pPr>
            <w:r w:rsidRPr="00352792">
              <w:rPr>
                <w:color w:val="000000"/>
                <w:sz w:val="16"/>
                <w:szCs w:val="20"/>
              </w:rPr>
              <w:t>0 (0.0%)</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4E8AA11E" w14:textId="077BCB0F" w:rsidR="00336171" w:rsidRPr="00352792" w:rsidRDefault="00336171" w:rsidP="00692C18">
            <w:pPr>
              <w:spacing w:before="60" w:after="60"/>
              <w:jc w:val="right"/>
              <w:rPr>
                <w:color w:val="000000"/>
                <w:sz w:val="16"/>
                <w:szCs w:val="20"/>
              </w:rPr>
            </w:pPr>
            <w:r w:rsidRPr="00352792">
              <w:rPr>
                <w:color w:val="000000"/>
                <w:sz w:val="16"/>
                <w:szCs w:val="20"/>
              </w:rPr>
              <w:t>0 (0.0%)</w:t>
            </w:r>
          </w:p>
        </w:tc>
        <w:tc>
          <w:tcPr>
            <w:tcW w:w="993" w:type="dxa"/>
            <w:tcBorders>
              <w:top w:val="nil"/>
              <w:left w:val="single" w:sz="2" w:space="0" w:color="000000"/>
              <w:bottom w:val="single" w:sz="2" w:space="0" w:color="000000"/>
              <w:right w:val="single" w:sz="2" w:space="0" w:color="000000"/>
            </w:tcBorders>
            <w:shd w:val="clear" w:color="auto" w:fill="FFFFFF"/>
          </w:tcPr>
          <w:p w14:paraId="1D18E679" w14:textId="4727E871" w:rsidR="00336171" w:rsidRPr="00352792" w:rsidRDefault="00A569FD" w:rsidP="00692C18">
            <w:pPr>
              <w:spacing w:before="60" w:after="60"/>
              <w:jc w:val="right"/>
              <w:rPr>
                <w:color w:val="000000"/>
                <w:sz w:val="16"/>
                <w:szCs w:val="20"/>
              </w:rPr>
            </w:pPr>
            <w:r w:rsidRPr="00352792">
              <w:rPr>
                <w:color w:val="000000"/>
                <w:sz w:val="16"/>
                <w:szCs w:val="20"/>
              </w:rPr>
              <w:t>0 (0.0%)</w:t>
            </w:r>
          </w:p>
        </w:tc>
        <w:tc>
          <w:tcPr>
            <w:tcW w:w="850" w:type="dxa"/>
            <w:tcBorders>
              <w:top w:val="nil"/>
              <w:left w:val="single" w:sz="2" w:space="0" w:color="000000"/>
              <w:bottom w:val="single" w:sz="2" w:space="0" w:color="000000"/>
              <w:right w:val="nil"/>
            </w:tcBorders>
            <w:shd w:val="clear" w:color="auto" w:fill="FFFFFF"/>
            <w:tcMar>
              <w:left w:w="60" w:type="dxa"/>
              <w:right w:w="60" w:type="dxa"/>
            </w:tcMar>
          </w:tcPr>
          <w:p w14:paraId="3753D00B" w14:textId="03DF003D" w:rsidR="00336171" w:rsidRPr="00352792" w:rsidRDefault="00336171" w:rsidP="00692C18">
            <w:pPr>
              <w:spacing w:before="60" w:after="60"/>
              <w:jc w:val="right"/>
              <w:rPr>
                <w:color w:val="000000"/>
                <w:sz w:val="16"/>
                <w:szCs w:val="20"/>
              </w:rPr>
            </w:pPr>
            <w:r w:rsidRPr="00352792">
              <w:rPr>
                <w:color w:val="000000"/>
                <w:sz w:val="16"/>
                <w:szCs w:val="20"/>
              </w:rPr>
              <w:t>0 (0.0%)</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25610F2A" w14:textId="570F0F2B" w:rsidR="00336171" w:rsidRPr="00352792" w:rsidRDefault="00336171" w:rsidP="00692C18">
            <w:pPr>
              <w:spacing w:before="60" w:after="60"/>
              <w:jc w:val="right"/>
              <w:rPr>
                <w:color w:val="000000"/>
                <w:sz w:val="16"/>
                <w:szCs w:val="20"/>
              </w:rPr>
            </w:pPr>
            <w:r w:rsidRPr="00352792">
              <w:rPr>
                <w:color w:val="000000"/>
                <w:sz w:val="16"/>
                <w:szCs w:val="20"/>
              </w:rPr>
              <w:t>0 (0.0%)</w:t>
            </w:r>
          </w:p>
        </w:tc>
        <w:tc>
          <w:tcPr>
            <w:tcW w:w="992" w:type="dxa"/>
            <w:tcBorders>
              <w:top w:val="nil"/>
              <w:left w:val="single" w:sz="2" w:space="0" w:color="000000"/>
              <w:bottom w:val="single" w:sz="2" w:space="0" w:color="000000"/>
              <w:right w:val="single" w:sz="2" w:space="0" w:color="000000"/>
            </w:tcBorders>
            <w:shd w:val="clear" w:color="auto" w:fill="FFFFFF"/>
          </w:tcPr>
          <w:p w14:paraId="5F80B57B" w14:textId="6BD15549" w:rsidR="00336171" w:rsidRPr="00352792" w:rsidRDefault="00A569FD" w:rsidP="00692C18">
            <w:pPr>
              <w:spacing w:before="60" w:after="60"/>
              <w:jc w:val="right"/>
              <w:rPr>
                <w:color w:val="000000"/>
                <w:sz w:val="16"/>
                <w:szCs w:val="20"/>
              </w:rPr>
            </w:pPr>
            <w:r w:rsidRPr="00352792">
              <w:rPr>
                <w:color w:val="000000"/>
                <w:sz w:val="16"/>
                <w:szCs w:val="20"/>
              </w:rPr>
              <w:t>0 (0.0%)</w:t>
            </w:r>
          </w:p>
        </w:tc>
        <w:tc>
          <w:tcPr>
            <w:tcW w:w="993" w:type="dxa"/>
            <w:tcBorders>
              <w:top w:val="nil"/>
              <w:left w:val="single" w:sz="2" w:space="0" w:color="000000"/>
              <w:bottom w:val="single" w:sz="2" w:space="0" w:color="000000"/>
              <w:right w:val="nil"/>
            </w:tcBorders>
            <w:shd w:val="clear" w:color="auto" w:fill="FFFFFF"/>
            <w:tcMar>
              <w:left w:w="60" w:type="dxa"/>
              <w:right w:w="60" w:type="dxa"/>
            </w:tcMar>
          </w:tcPr>
          <w:p w14:paraId="178F7795" w14:textId="22277A04" w:rsidR="00336171" w:rsidRPr="00352792" w:rsidRDefault="00336171" w:rsidP="00692C18">
            <w:pPr>
              <w:spacing w:before="60" w:after="60"/>
              <w:jc w:val="right"/>
              <w:rPr>
                <w:color w:val="000000"/>
                <w:sz w:val="16"/>
                <w:szCs w:val="20"/>
              </w:rPr>
            </w:pPr>
            <w:r w:rsidRPr="00352792">
              <w:rPr>
                <w:color w:val="000000"/>
                <w:sz w:val="16"/>
                <w:szCs w:val="20"/>
              </w:rPr>
              <w:t>0 (0.0%)</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75EB40E1" w14:textId="1043FA9B" w:rsidR="00336171" w:rsidRPr="00352792" w:rsidRDefault="00336171" w:rsidP="00692C18">
            <w:pPr>
              <w:spacing w:before="60" w:after="60"/>
              <w:jc w:val="right"/>
              <w:rPr>
                <w:color w:val="000000"/>
                <w:sz w:val="16"/>
                <w:szCs w:val="20"/>
              </w:rPr>
            </w:pPr>
            <w:r w:rsidRPr="00352792">
              <w:rPr>
                <w:color w:val="000000"/>
                <w:sz w:val="16"/>
                <w:szCs w:val="20"/>
              </w:rPr>
              <w:t>0 (0.0%)</w:t>
            </w:r>
          </w:p>
        </w:tc>
        <w:tc>
          <w:tcPr>
            <w:tcW w:w="992" w:type="dxa"/>
            <w:tcBorders>
              <w:top w:val="nil"/>
              <w:left w:val="single" w:sz="2" w:space="0" w:color="000000"/>
              <w:bottom w:val="single" w:sz="2" w:space="0" w:color="000000"/>
              <w:right w:val="single" w:sz="2" w:space="0" w:color="000000"/>
            </w:tcBorders>
            <w:shd w:val="clear" w:color="auto" w:fill="FFFFFF"/>
          </w:tcPr>
          <w:p w14:paraId="13A108CA" w14:textId="4416772D" w:rsidR="00336171" w:rsidRPr="00352792" w:rsidRDefault="00A569FD" w:rsidP="00692C18">
            <w:pPr>
              <w:spacing w:before="60" w:after="60"/>
              <w:jc w:val="right"/>
              <w:rPr>
                <w:color w:val="000000"/>
                <w:sz w:val="16"/>
                <w:szCs w:val="20"/>
              </w:rPr>
            </w:pPr>
            <w:r w:rsidRPr="00336171">
              <w:rPr>
                <w:color w:val="000000"/>
                <w:sz w:val="16"/>
                <w:szCs w:val="20"/>
              </w:rPr>
              <w:t>0 (0.0%)</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4DB74BD6" w14:textId="1A7EF59B" w:rsidR="00336171" w:rsidRPr="00352792" w:rsidRDefault="00336171" w:rsidP="00692C18">
            <w:pPr>
              <w:spacing w:before="60" w:after="60"/>
              <w:jc w:val="right"/>
              <w:rPr>
                <w:color w:val="000000"/>
                <w:sz w:val="16"/>
                <w:szCs w:val="20"/>
              </w:rPr>
            </w:pPr>
            <w:r w:rsidRPr="00352792">
              <w:rPr>
                <w:color w:val="000000"/>
                <w:sz w:val="16"/>
                <w:szCs w:val="20"/>
              </w:rPr>
              <w:t>0 (0.0%)</w:t>
            </w:r>
          </w:p>
        </w:tc>
        <w:tc>
          <w:tcPr>
            <w:tcW w:w="113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E51CCC" w14:textId="2C6E6D93" w:rsidR="00336171" w:rsidRPr="00352792" w:rsidRDefault="00336171" w:rsidP="00692C18">
            <w:pPr>
              <w:spacing w:before="60" w:after="60"/>
              <w:jc w:val="right"/>
              <w:rPr>
                <w:color w:val="000000"/>
                <w:sz w:val="16"/>
                <w:szCs w:val="20"/>
              </w:rPr>
            </w:pPr>
            <w:r w:rsidRPr="00352792">
              <w:rPr>
                <w:color w:val="000000"/>
                <w:sz w:val="16"/>
                <w:szCs w:val="20"/>
              </w:rPr>
              <w:t>0 (0.0%)</w:t>
            </w:r>
          </w:p>
        </w:tc>
        <w:tc>
          <w:tcPr>
            <w:tcW w:w="992" w:type="dxa"/>
            <w:tcBorders>
              <w:top w:val="nil"/>
              <w:left w:val="single" w:sz="2" w:space="0" w:color="000000"/>
              <w:bottom w:val="single" w:sz="2" w:space="0" w:color="000000"/>
              <w:right w:val="single" w:sz="6" w:space="0" w:color="000000"/>
            </w:tcBorders>
            <w:shd w:val="clear" w:color="auto" w:fill="FFFFFF"/>
          </w:tcPr>
          <w:p w14:paraId="0EAB1236" w14:textId="4F456F7A" w:rsidR="00336171" w:rsidRPr="00352792" w:rsidRDefault="000554EC" w:rsidP="00692C18">
            <w:pPr>
              <w:spacing w:before="60" w:after="60"/>
              <w:jc w:val="right"/>
              <w:rPr>
                <w:color w:val="000000"/>
                <w:sz w:val="16"/>
                <w:szCs w:val="20"/>
              </w:rPr>
            </w:pPr>
            <w:r w:rsidRPr="00352792">
              <w:rPr>
                <w:color w:val="000000"/>
                <w:sz w:val="16"/>
                <w:szCs w:val="20"/>
              </w:rPr>
              <w:t>0 (0.0%)</w:t>
            </w:r>
          </w:p>
        </w:tc>
      </w:tr>
      <w:tr w:rsidR="00336171" w14:paraId="10795783" w14:textId="53E659AA" w:rsidTr="00692C18">
        <w:trPr>
          <w:cantSplit/>
          <w:jc w:val="center"/>
        </w:trPr>
        <w:tc>
          <w:tcPr>
            <w:tcW w:w="3536" w:type="dxa"/>
            <w:tcBorders>
              <w:top w:val="nil"/>
              <w:left w:val="single" w:sz="6" w:space="0" w:color="000000"/>
              <w:bottom w:val="single" w:sz="2" w:space="0" w:color="000000"/>
              <w:right w:val="nil"/>
            </w:tcBorders>
            <w:shd w:val="clear" w:color="auto" w:fill="FFFFFF"/>
            <w:tcMar>
              <w:left w:w="60" w:type="dxa"/>
              <w:right w:w="60" w:type="dxa"/>
            </w:tcMar>
          </w:tcPr>
          <w:p w14:paraId="50E0D347" w14:textId="78710B41" w:rsidR="00336171" w:rsidRPr="00352792" w:rsidRDefault="00336171" w:rsidP="0047089A">
            <w:pPr>
              <w:spacing w:before="60" w:after="60"/>
              <w:rPr>
                <w:b/>
                <w:bCs/>
                <w:color w:val="000000"/>
                <w:sz w:val="16"/>
                <w:szCs w:val="20"/>
              </w:rPr>
            </w:pPr>
            <w:r w:rsidRPr="00352792">
              <w:rPr>
                <w:b/>
                <w:bCs/>
                <w:color w:val="000000"/>
                <w:sz w:val="16"/>
                <w:szCs w:val="20"/>
              </w:rPr>
              <w:t>Non-benzodiazepine hypnotic medication</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5C161951" w14:textId="77777777" w:rsidR="00336171" w:rsidRPr="00352792" w:rsidRDefault="00336171" w:rsidP="00692C18">
            <w:pPr>
              <w:spacing w:before="60" w:after="60"/>
              <w:jc w:val="right"/>
              <w:rPr>
                <w:color w:val="000000"/>
                <w:sz w:val="16"/>
                <w:szCs w:val="20"/>
              </w:rPr>
            </w:pPr>
            <w:r w:rsidRPr="00352792">
              <w:rPr>
                <w:color w:val="000000"/>
                <w:sz w:val="16"/>
                <w:szCs w:val="20"/>
              </w:rPr>
              <w:t>2 (0.6%)</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56D6200D" w14:textId="77777777" w:rsidR="00336171" w:rsidRPr="00352792" w:rsidRDefault="00336171" w:rsidP="00692C18">
            <w:pPr>
              <w:spacing w:before="60" w:after="60"/>
              <w:jc w:val="right"/>
              <w:rPr>
                <w:color w:val="000000"/>
                <w:sz w:val="16"/>
                <w:szCs w:val="20"/>
              </w:rPr>
            </w:pPr>
            <w:r w:rsidRPr="00352792">
              <w:rPr>
                <w:color w:val="000000"/>
                <w:sz w:val="16"/>
                <w:szCs w:val="20"/>
              </w:rPr>
              <w:t>3 (0.7%)</w:t>
            </w:r>
          </w:p>
        </w:tc>
        <w:tc>
          <w:tcPr>
            <w:tcW w:w="993" w:type="dxa"/>
            <w:tcBorders>
              <w:top w:val="nil"/>
              <w:left w:val="single" w:sz="2" w:space="0" w:color="000000"/>
              <w:bottom w:val="single" w:sz="2" w:space="0" w:color="000000"/>
              <w:right w:val="single" w:sz="2" w:space="0" w:color="000000"/>
            </w:tcBorders>
            <w:shd w:val="clear" w:color="auto" w:fill="FFFFFF"/>
          </w:tcPr>
          <w:p w14:paraId="619C1934" w14:textId="08E169C6" w:rsidR="00336171" w:rsidRPr="00352792" w:rsidRDefault="00A569FD" w:rsidP="00692C18">
            <w:pPr>
              <w:spacing w:before="60" w:after="60"/>
              <w:jc w:val="right"/>
              <w:rPr>
                <w:color w:val="000000"/>
                <w:sz w:val="16"/>
                <w:szCs w:val="20"/>
              </w:rPr>
            </w:pPr>
            <w:r>
              <w:rPr>
                <w:color w:val="000000"/>
                <w:sz w:val="16"/>
                <w:szCs w:val="20"/>
              </w:rPr>
              <w:t xml:space="preserve">5 (0.7%) </w:t>
            </w:r>
          </w:p>
        </w:tc>
        <w:tc>
          <w:tcPr>
            <w:tcW w:w="850" w:type="dxa"/>
            <w:tcBorders>
              <w:top w:val="nil"/>
              <w:left w:val="single" w:sz="2" w:space="0" w:color="000000"/>
              <w:bottom w:val="single" w:sz="2" w:space="0" w:color="000000"/>
              <w:right w:val="nil"/>
            </w:tcBorders>
            <w:shd w:val="clear" w:color="auto" w:fill="FFFFFF"/>
            <w:tcMar>
              <w:left w:w="60" w:type="dxa"/>
              <w:right w:w="60" w:type="dxa"/>
            </w:tcMar>
          </w:tcPr>
          <w:p w14:paraId="6F987494" w14:textId="5F4E8047" w:rsidR="00336171" w:rsidRPr="00352792" w:rsidRDefault="00336171" w:rsidP="00692C18">
            <w:pPr>
              <w:spacing w:before="60" w:after="60"/>
              <w:jc w:val="right"/>
              <w:rPr>
                <w:color w:val="000000"/>
                <w:sz w:val="16"/>
                <w:szCs w:val="20"/>
              </w:rPr>
            </w:pPr>
            <w:r w:rsidRPr="00352792">
              <w:rPr>
                <w:color w:val="000000"/>
                <w:sz w:val="16"/>
                <w:szCs w:val="20"/>
              </w:rPr>
              <w:t>1 (0.3%)</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46BD3425" w14:textId="77777777" w:rsidR="00336171" w:rsidRPr="00352792" w:rsidRDefault="00336171" w:rsidP="00692C18">
            <w:pPr>
              <w:spacing w:before="60" w:after="60"/>
              <w:jc w:val="right"/>
              <w:rPr>
                <w:color w:val="000000"/>
                <w:sz w:val="16"/>
                <w:szCs w:val="20"/>
              </w:rPr>
            </w:pPr>
            <w:r w:rsidRPr="00352792">
              <w:rPr>
                <w:color w:val="000000"/>
                <w:sz w:val="16"/>
                <w:szCs w:val="20"/>
              </w:rPr>
              <w:t>1 (0.2%)</w:t>
            </w:r>
          </w:p>
        </w:tc>
        <w:tc>
          <w:tcPr>
            <w:tcW w:w="992" w:type="dxa"/>
            <w:tcBorders>
              <w:top w:val="nil"/>
              <w:left w:val="single" w:sz="2" w:space="0" w:color="000000"/>
              <w:bottom w:val="single" w:sz="2" w:space="0" w:color="000000"/>
              <w:right w:val="single" w:sz="2" w:space="0" w:color="000000"/>
            </w:tcBorders>
            <w:shd w:val="clear" w:color="auto" w:fill="FFFFFF"/>
          </w:tcPr>
          <w:p w14:paraId="29838CD5" w14:textId="3CC34958" w:rsidR="00336171" w:rsidRPr="00352792" w:rsidRDefault="00A569FD" w:rsidP="00692C18">
            <w:pPr>
              <w:spacing w:before="60" w:after="60"/>
              <w:jc w:val="right"/>
              <w:rPr>
                <w:color w:val="000000"/>
                <w:sz w:val="16"/>
                <w:szCs w:val="20"/>
              </w:rPr>
            </w:pPr>
            <w:r>
              <w:rPr>
                <w:color w:val="000000"/>
                <w:sz w:val="16"/>
                <w:szCs w:val="20"/>
              </w:rPr>
              <w:t>2 (0.3%)</w:t>
            </w:r>
          </w:p>
        </w:tc>
        <w:tc>
          <w:tcPr>
            <w:tcW w:w="993" w:type="dxa"/>
            <w:tcBorders>
              <w:top w:val="nil"/>
              <w:left w:val="single" w:sz="2" w:space="0" w:color="000000"/>
              <w:bottom w:val="single" w:sz="2" w:space="0" w:color="000000"/>
              <w:right w:val="nil"/>
            </w:tcBorders>
            <w:shd w:val="clear" w:color="auto" w:fill="FFFFFF"/>
            <w:tcMar>
              <w:left w:w="60" w:type="dxa"/>
              <w:right w:w="60" w:type="dxa"/>
            </w:tcMar>
          </w:tcPr>
          <w:p w14:paraId="63865C4F" w14:textId="67BF1B34" w:rsidR="00336171" w:rsidRPr="00352792" w:rsidRDefault="00336171" w:rsidP="00692C18">
            <w:pPr>
              <w:spacing w:before="60" w:after="60"/>
              <w:jc w:val="right"/>
              <w:rPr>
                <w:color w:val="000000"/>
                <w:sz w:val="16"/>
                <w:szCs w:val="20"/>
              </w:rPr>
            </w:pPr>
            <w:r w:rsidRPr="00352792">
              <w:rPr>
                <w:color w:val="000000"/>
                <w:sz w:val="16"/>
                <w:szCs w:val="20"/>
              </w:rPr>
              <w:t>4 (1.3%)</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34903FFB" w14:textId="77777777" w:rsidR="00336171" w:rsidRPr="00352792" w:rsidRDefault="00336171" w:rsidP="00692C18">
            <w:pPr>
              <w:spacing w:before="60" w:after="60"/>
              <w:jc w:val="right"/>
              <w:rPr>
                <w:color w:val="000000"/>
                <w:sz w:val="16"/>
                <w:szCs w:val="20"/>
              </w:rPr>
            </w:pPr>
            <w:r w:rsidRPr="00352792">
              <w:rPr>
                <w:color w:val="000000"/>
                <w:sz w:val="16"/>
                <w:szCs w:val="20"/>
              </w:rPr>
              <w:t>1 (0.2%)</w:t>
            </w:r>
          </w:p>
        </w:tc>
        <w:tc>
          <w:tcPr>
            <w:tcW w:w="992" w:type="dxa"/>
            <w:tcBorders>
              <w:top w:val="nil"/>
              <w:left w:val="single" w:sz="2" w:space="0" w:color="000000"/>
              <w:bottom w:val="single" w:sz="2" w:space="0" w:color="000000"/>
              <w:right w:val="single" w:sz="2" w:space="0" w:color="000000"/>
            </w:tcBorders>
            <w:shd w:val="clear" w:color="auto" w:fill="FFFFFF"/>
          </w:tcPr>
          <w:p w14:paraId="1DE2F5C1" w14:textId="2B5A0562" w:rsidR="00336171" w:rsidRPr="00352792" w:rsidRDefault="00692C18" w:rsidP="00692C18">
            <w:pPr>
              <w:spacing w:before="60" w:after="60"/>
              <w:jc w:val="right"/>
              <w:rPr>
                <w:color w:val="000000"/>
                <w:sz w:val="16"/>
                <w:szCs w:val="20"/>
              </w:rPr>
            </w:pPr>
            <w:r>
              <w:rPr>
                <w:color w:val="000000"/>
                <w:sz w:val="16"/>
                <w:szCs w:val="20"/>
              </w:rPr>
              <w:t>5 (0.7%)</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0907CA35" w14:textId="23DAD9D1" w:rsidR="00336171" w:rsidRPr="00352792" w:rsidRDefault="00336171" w:rsidP="00692C18">
            <w:pPr>
              <w:spacing w:before="60" w:after="60"/>
              <w:jc w:val="right"/>
              <w:rPr>
                <w:color w:val="000000"/>
                <w:sz w:val="16"/>
                <w:szCs w:val="20"/>
              </w:rPr>
            </w:pPr>
            <w:r w:rsidRPr="00352792">
              <w:rPr>
                <w:color w:val="000000"/>
                <w:sz w:val="16"/>
                <w:szCs w:val="20"/>
              </w:rPr>
              <w:t>6 (2.1%)</w:t>
            </w:r>
          </w:p>
        </w:tc>
        <w:tc>
          <w:tcPr>
            <w:tcW w:w="113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E50EE7" w14:textId="77777777" w:rsidR="00336171" w:rsidRPr="00352792" w:rsidRDefault="00336171" w:rsidP="00692C18">
            <w:pPr>
              <w:spacing w:before="60" w:after="60"/>
              <w:jc w:val="right"/>
              <w:rPr>
                <w:color w:val="000000"/>
                <w:sz w:val="16"/>
                <w:szCs w:val="20"/>
              </w:rPr>
            </w:pPr>
            <w:r w:rsidRPr="00352792">
              <w:rPr>
                <w:color w:val="000000"/>
                <w:sz w:val="16"/>
                <w:szCs w:val="20"/>
              </w:rPr>
              <w:t>1 (0.3%)</w:t>
            </w:r>
          </w:p>
        </w:tc>
        <w:tc>
          <w:tcPr>
            <w:tcW w:w="992" w:type="dxa"/>
            <w:tcBorders>
              <w:top w:val="nil"/>
              <w:left w:val="single" w:sz="2" w:space="0" w:color="000000"/>
              <w:bottom w:val="single" w:sz="2" w:space="0" w:color="000000"/>
              <w:right w:val="single" w:sz="6" w:space="0" w:color="000000"/>
            </w:tcBorders>
            <w:shd w:val="clear" w:color="auto" w:fill="FFFFFF"/>
          </w:tcPr>
          <w:p w14:paraId="470AA380" w14:textId="34F1FF88" w:rsidR="00336171" w:rsidRPr="00352792" w:rsidRDefault="0024185B" w:rsidP="00692C18">
            <w:pPr>
              <w:spacing w:before="60" w:after="60"/>
              <w:jc w:val="right"/>
              <w:rPr>
                <w:color w:val="000000"/>
                <w:sz w:val="16"/>
                <w:szCs w:val="20"/>
              </w:rPr>
            </w:pPr>
            <w:r>
              <w:rPr>
                <w:color w:val="000000"/>
                <w:sz w:val="16"/>
                <w:szCs w:val="20"/>
              </w:rPr>
              <w:t>7 (1.0%)</w:t>
            </w:r>
          </w:p>
        </w:tc>
      </w:tr>
      <w:tr w:rsidR="00336171" w14:paraId="77B9D5FF" w14:textId="7E2F500B" w:rsidTr="00692C18">
        <w:trPr>
          <w:cantSplit/>
          <w:jc w:val="center"/>
        </w:trPr>
        <w:tc>
          <w:tcPr>
            <w:tcW w:w="3536" w:type="dxa"/>
            <w:tcBorders>
              <w:top w:val="nil"/>
              <w:left w:val="single" w:sz="6" w:space="0" w:color="000000"/>
              <w:bottom w:val="single" w:sz="2" w:space="0" w:color="000000"/>
              <w:right w:val="nil"/>
            </w:tcBorders>
            <w:shd w:val="clear" w:color="auto" w:fill="FFFFFF"/>
            <w:tcMar>
              <w:left w:w="60" w:type="dxa"/>
              <w:right w:w="60" w:type="dxa"/>
            </w:tcMar>
          </w:tcPr>
          <w:p w14:paraId="31879B5B" w14:textId="292B74B4" w:rsidR="00336171" w:rsidRPr="00336171" w:rsidRDefault="00336171" w:rsidP="0047089A">
            <w:pPr>
              <w:spacing w:before="60" w:after="60"/>
              <w:rPr>
                <w:b/>
                <w:bCs/>
                <w:color w:val="000000"/>
                <w:sz w:val="16"/>
                <w:szCs w:val="20"/>
              </w:rPr>
            </w:pPr>
            <w:r w:rsidRPr="00336171">
              <w:rPr>
                <w:b/>
                <w:bCs/>
                <w:color w:val="000000"/>
                <w:sz w:val="16"/>
                <w:szCs w:val="20"/>
              </w:rPr>
              <w:t>Anticonvulsant medications</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3A5FBD96" w14:textId="6F37DDB6" w:rsidR="00336171" w:rsidRPr="00336171" w:rsidRDefault="00336171" w:rsidP="00692C18">
            <w:pPr>
              <w:spacing w:before="60" w:after="60"/>
              <w:jc w:val="right"/>
              <w:rPr>
                <w:color w:val="000000"/>
                <w:sz w:val="16"/>
                <w:szCs w:val="20"/>
              </w:rPr>
            </w:pPr>
            <w:r w:rsidRPr="00336171">
              <w:rPr>
                <w:color w:val="000000"/>
                <w:sz w:val="16"/>
                <w:szCs w:val="20"/>
              </w:rPr>
              <w:t>0 (0.0%)</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05F900EE" w14:textId="68B4FFCB" w:rsidR="00336171" w:rsidRPr="00336171" w:rsidRDefault="00336171" w:rsidP="00692C18">
            <w:pPr>
              <w:spacing w:before="60" w:after="60"/>
              <w:jc w:val="right"/>
              <w:rPr>
                <w:color w:val="000000"/>
                <w:sz w:val="16"/>
                <w:szCs w:val="20"/>
              </w:rPr>
            </w:pPr>
            <w:r w:rsidRPr="00336171">
              <w:rPr>
                <w:color w:val="000000"/>
                <w:sz w:val="16"/>
                <w:szCs w:val="20"/>
              </w:rPr>
              <w:t>0 (0.0%)</w:t>
            </w:r>
          </w:p>
        </w:tc>
        <w:tc>
          <w:tcPr>
            <w:tcW w:w="993" w:type="dxa"/>
            <w:tcBorders>
              <w:top w:val="nil"/>
              <w:left w:val="single" w:sz="2" w:space="0" w:color="000000"/>
              <w:bottom w:val="single" w:sz="2" w:space="0" w:color="000000"/>
              <w:right w:val="single" w:sz="2" w:space="0" w:color="000000"/>
            </w:tcBorders>
            <w:shd w:val="clear" w:color="auto" w:fill="FFFFFF"/>
          </w:tcPr>
          <w:p w14:paraId="0EA582D6" w14:textId="4D450C4C" w:rsidR="00336171" w:rsidRPr="00336171" w:rsidRDefault="00A569FD" w:rsidP="00692C18">
            <w:pPr>
              <w:spacing w:before="60" w:after="60"/>
              <w:jc w:val="right"/>
              <w:rPr>
                <w:color w:val="000000"/>
                <w:sz w:val="16"/>
                <w:szCs w:val="20"/>
              </w:rPr>
            </w:pPr>
            <w:r w:rsidRPr="00352792">
              <w:rPr>
                <w:color w:val="000000"/>
                <w:sz w:val="16"/>
                <w:szCs w:val="20"/>
              </w:rPr>
              <w:t>0 (0.0%)</w:t>
            </w:r>
          </w:p>
        </w:tc>
        <w:tc>
          <w:tcPr>
            <w:tcW w:w="850" w:type="dxa"/>
            <w:tcBorders>
              <w:top w:val="nil"/>
              <w:left w:val="single" w:sz="2" w:space="0" w:color="000000"/>
              <w:bottom w:val="single" w:sz="2" w:space="0" w:color="000000"/>
              <w:right w:val="nil"/>
            </w:tcBorders>
            <w:shd w:val="clear" w:color="auto" w:fill="FFFFFF"/>
            <w:tcMar>
              <w:left w:w="60" w:type="dxa"/>
              <w:right w:w="60" w:type="dxa"/>
            </w:tcMar>
          </w:tcPr>
          <w:p w14:paraId="3CA57158" w14:textId="3C7FD1EF" w:rsidR="00336171" w:rsidRPr="00336171" w:rsidRDefault="00336171" w:rsidP="00692C18">
            <w:pPr>
              <w:spacing w:before="60" w:after="60"/>
              <w:jc w:val="right"/>
              <w:rPr>
                <w:color w:val="000000"/>
                <w:sz w:val="16"/>
                <w:szCs w:val="20"/>
              </w:rPr>
            </w:pPr>
            <w:r w:rsidRPr="00336171">
              <w:rPr>
                <w:color w:val="000000"/>
                <w:sz w:val="16"/>
                <w:szCs w:val="20"/>
              </w:rPr>
              <w:t>0 (0.0%)</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31FA105D" w14:textId="0199AB32" w:rsidR="00336171" w:rsidRPr="00336171" w:rsidRDefault="00336171" w:rsidP="00692C18">
            <w:pPr>
              <w:spacing w:before="60" w:after="60"/>
              <w:jc w:val="right"/>
              <w:rPr>
                <w:color w:val="000000"/>
                <w:sz w:val="16"/>
                <w:szCs w:val="20"/>
              </w:rPr>
            </w:pPr>
            <w:r w:rsidRPr="00336171">
              <w:rPr>
                <w:color w:val="000000"/>
                <w:sz w:val="16"/>
                <w:szCs w:val="20"/>
              </w:rPr>
              <w:t>0 (0.0%)</w:t>
            </w:r>
          </w:p>
        </w:tc>
        <w:tc>
          <w:tcPr>
            <w:tcW w:w="992" w:type="dxa"/>
            <w:tcBorders>
              <w:top w:val="nil"/>
              <w:left w:val="single" w:sz="2" w:space="0" w:color="000000"/>
              <w:bottom w:val="single" w:sz="2" w:space="0" w:color="000000"/>
              <w:right w:val="single" w:sz="2" w:space="0" w:color="000000"/>
            </w:tcBorders>
            <w:shd w:val="clear" w:color="auto" w:fill="FFFFFF"/>
          </w:tcPr>
          <w:p w14:paraId="48250B12" w14:textId="65DFC133" w:rsidR="00336171" w:rsidRPr="00336171" w:rsidRDefault="00A569FD" w:rsidP="00692C18">
            <w:pPr>
              <w:spacing w:before="60" w:after="60"/>
              <w:jc w:val="right"/>
              <w:rPr>
                <w:color w:val="000000"/>
                <w:sz w:val="16"/>
                <w:szCs w:val="20"/>
              </w:rPr>
            </w:pPr>
            <w:r w:rsidRPr="00352792">
              <w:rPr>
                <w:color w:val="000000"/>
                <w:sz w:val="16"/>
                <w:szCs w:val="20"/>
              </w:rPr>
              <w:t>0 (0.0%)</w:t>
            </w:r>
          </w:p>
        </w:tc>
        <w:tc>
          <w:tcPr>
            <w:tcW w:w="993" w:type="dxa"/>
            <w:tcBorders>
              <w:top w:val="nil"/>
              <w:left w:val="single" w:sz="2" w:space="0" w:color="000000"/>
              <w:bottom w:val="single" w:sz="2" w:space="0" w:color="000000"/>
              <w:right w:val="nil"/>
            </w:tcBorders>
            <w:shd w:val="clear" w:color="auto" w:fill="FFFFFF"/>
            <w:tcMar>
              <w:left w:w="60" w:type="dxa"/>
              <w:right w:w="60" w:type="dxa"/>
            </w:tcMar>
          </w:tcPr>
          <w:p w14:paraId="61529FFE" w14:textId="36BE9348" w:rsidR="00336171" w:rsidRPr="00336171" w:rsidRDefault="00336171" w:rsidP="00692C18">
            <w:pPr>
              <w:spacing w:before="60" w:after="60"/>
              <w:jc w:val="right"/>
              <w:rPr>
                <w:color w:val="000000"/>
                <w:sz w:val="16"/>
                <w:szCs w:val="20"/>
              </w:rPr>
            </w:pPr>
            <w:r w:rsidRPr="00336171">
              <w:rPr>
                <w:color w:val="000000"/>
                <w:sz w:val="16"/>
                <w:szCs w:val="20"/>
              </w:rPr>
              <w:t>0 (0.0%)</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39D0B5CE" w14:textId="6E12FC47" w:rsidR="00336171" w:rsidRPr="00336171" w:rsidRDefault="00336171" w:rsidP="00692C18">
            <w:pPr>
              <w:spacing w:before="60" w:after="60"/>
              <w:jc w:val="right"/>
              <w:rPr>
                <w:color w:val="000000"/>
                <w:sz w:val="16"/>
                <w:szCs w:val="20"/>
              </w:rPr>
            </w:pPr>
            <w:r w:rsidRPr="00336171">
              <w:rPr>
                <w:color w:val="000000"/>
                <w:sz w:val="16"/>
                <w:szCs w:val="20"/>
              </w:rPr>
              <w:t>0 (0.0%)</w:t>
            </w:r>
          </w:p>
        </w:tc>
        <w:tc>
          <w:tcPr>
            <w:tcW w:w="992" w:type="dxa"/>
            <w:tcBorders>
              <w:top w:val="nil"/>
              <w:left w:val="single" w:sz="2" w:space="0" w:color="000000"/>
              <w:bottom w:val="single" w:sz="2" w:space="0" w:color="000000"/>
              <w:right w:val="single" w:sz="2" w:space="0" w:color="000000"/>
            </w:tcBorders>
            <w:shd w:val="clear" w:color="auto" w:fill="FFFFFF"/>
          </w:tcPr>
          <w:p w14:paraId="786E0CD5" w14:textId="49F35147" w:rsidR="00336171" w:rsidRPr="00352792" w:rsidRDefault="00A569FD" w:rsidP="00692C18">
            <w:pPr>
              <w:spacing w:before="60" w:after="60"/>
              <w:jc w:val="right"/>
              <w:rPr>
                <w:color w:val="000000"/>
                <w:sz w:val="16"/>
                <w:szCs w:val="20"/>
              </w:rPr>
            </w:pPr>
            <w:r w:rsidRPr="00336171">
              <w:rPr>
                <w:color w:val="000000"/>
                <w:sz w:val="16"/>
                <w:szCs w:val="20"/>
              </w:rPr>
              <w:t>0 (0.0%)</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07FA9CB1" w14:textId="26FAA3E3" w:rsidR="00336171" w:rsidRPr="00336171" w:rsidRDefault="00336171" w:rsidP="00692C18">
            <w:pPr>
              <w:spacing w:before="60" w:after="60"/>
              <w:jc w:val="right"/>
              <w:rPr>
                <w:color w:val="000000"/>
                <w:sz w:val="16"/>
                <w:szCs w:val="20"/>
              </w:rPr>
            </w:pPr>
            <w:r w:rsidRPr="00336171">
              <w:rPr>
                <w:color w:val="000000"/>
                <w:sz w:val="16"/>
                <w:szCs w:val="20"/>
              </w:rPr>
              <w:t>0 (0.0%)</w:t>
            </w:r>
          </w:p>
        </w:tc>
        <w:tc>
          <w:tcPr>
            <w:tcW w:w="113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59E52E" w14:textId="192CF4B1" w:rsidR="00336171" w:rsidRPr="00336171" w:rsidRDefault="00336171" w:rsidP="00692C18">
            <w:pPr>
              <w:spacing w:before="60" w:after="60"/>
              <w:jc w:val="right"/>
              <w:rPr>
                <w:color w:val="000000"/>
                <w:sz w:val="16"/>
                <w:szCs w:val="20"/>
              </w:rPr>
            </w:pPr>
            <w:r w:rsidRPr="00336171">
              <w:rPr>
                <w:color w:val="000000"/>
                <w:sz w:val="16"/>
                <w:szCs w:val="20"/>
              </w:rPr>
              <w:t>0 (0.0%)</w:t>
            </w:r>
          </w:p>
        </w:tc>
        <w:tc>
          <w:tcPr>
            <w:tcW w:w="992" w:type="dxa"/>
            <w:tcBorders>
              <w:top w:val="nil"/>
              <w:left w:val="single" w:sz="2" w:space="0" w:color="000000"/>
              <w:bottom w:val="single" w:sz="2" w:space="0" w:color="000000"/>
              <w:right w:val="single" w:sz="6" w:space="0" w:color="000000"/>
            </w:tcBorders>
            <w:shd w:val="clear" w:color="auto" w:fill="FFFFFF"/>
          </w:tcPr>
          <w:p w14:paraId="781EC16F" w14:textId="2AAF66F7" w:rsidR="00336171" w:rsidRPr="00336171" w:rsidRDefault="000554EC" w:rsidP="00692C18">
            <w:pPr>
              <w:spacing w:before="60" w:after="60"/>
              <w:jc w:val="right"/>
              <w:rPr>
                <w:color w:val="000000"/>
                <w:sz w:val="16"/>
                <w:szCs w:val="20"/>
              </w:rPr>
            </w:pPr>
            <w:r w:rsidRPr="00352792">
              <w:rPr>
                <w:color w:val="000000"/>
                <w:sz w:val="16"/>
                <w:szCs w:val="20"/>
              </w:rPr>
              <w:t>0 (0.0%)</w:t>
            </w:r>
          </w:p>
        </w:tc>
      </w:tr>
      <w:tr w:rsidR="00336171" w14:paraId="3DFF94CB" w14:textId="4EEFC0E0" w:rsidTr="00692C18">
        <w:trPr>
          <w:cantSplit/>
          <w:jc w:val="center"/>
        </w:trPr>
        <w:tc>
          <w:tcPr>
            <w:tcW w:w="3536" w:type="dxa"/>
            <w:tcBorders>
              <w:top w:val="nil"/>
              <w:left w:val="single" w:sz="6" w:space="0" w:color="000000"/>
              <w:bottom w:val="single" w:sz="2" w:space="0" w:color="000000"/>
              <w:right w:val="nil"/>
            </w:tcBorders>
            <w:shd w:val="clear" w:color="auto" w:fill="FFFFFF"/>
            <w:tcMar>
              <w:left w:w="60" w:type="dxa"/>
              <w:right w:w="60" w:type="dxa"/>
            </w:tcMar>
          </w:tcPr>
          <w:p w14:paraId="3414AEF1" w14:textId="054118D9" w:rsidR="00336171" w:rsidRPr="00336171" w:rsidRDefault="00336171" w:rsidP="0047089A">
            <w:pPr>
              <w:keepNext/>
              <w:spacing w:before="60" w:after="60"/>
              <w:rPr>
                <w:b/>
                <w:bCs/>
                <w:color w:val="000000"/>
                <w:sz w:val="16"/>
                <w:szCs w:val="20"/>
              </w:rPr>
            </w:pPr>
            <w:r w:rsidRPr="00336171">
              <w:rPr>
                <w:b/>
                <w:bCs/>
                <w:color w:val="000000"/>
                <w:sz w:val="16"/>
                <w:szCs w:val="20"/>
              </w:rPr>
              <w:t>Mood stabiliser medications</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18881C16" w14:textId="194A9063" w:rsidR="00336171" w:rsidRPr="00336171" w:rsidRDefault="00336171" w:rsidP="00692C18">
            <w:pPr>
              <w:keepNext/>
              <w:spacing w:before="60" w:after="60"/>
              <w:jc w:val="right"/>
              <w:rPr>
                <w:color w:val="000000"/>
                <w:sz w:val="16"/>
                <w:szCs w:val="20"/>
              </w:rPr>
            </w:pPr>
            <w:r w:rsidRPr="00336171">
              <w:rPr>
                <w:color w:val="000000"/>
                <w:sz w:val="16"/>
                <w:szCs w:val="20"/>
              </w:rPr>
              <w:t>0 (0.0%)</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38AA24E0" w14:textId="0F2E96F0" w:rsidR="00336171" w:rsidRPr="00336171" w:rsidRDefault="00336171" w:rsidP="00692C18">
            <w:pPr>
              <w:keepNext/>
              <w:spacing w:before="60" w:after="60"/>
              <w:jc w:val="right"/>
              <w:rPr>
                <w:color w:val="000000"/>
                <w:sz w:val="16"/>
                <w:szCs w:val="20"/>
              </w:rPr>
            </w:pPr>
            <w:r w:rsidRPr="00336171">
              <w:rPr>
                <w:color w:val="000000"/>
                <w:sz w:val="16"/>
                <w:szCs w:val="20"/>
              </w:rPr>
              <w:t>0 (0.0%)</w:t>
            </w:r>
          </w:p>
        </w:tc>
        <w:tc>
          <w:tcPr>
            <w:tcW w:w="993" w:type="dxa"/>
            <w:tcBorders>
              <w:top w:val="nil"/>
              <w:left w:val="single" w:sz="2" w:space="0" w:color="000000"/>
              <w:bottom w:val="single" w:sz="2" w:space="0" w:color="000000"/>
              <w:right w:val="single" w:sz="2" w:space="0" w:color="000000"/>
            </w:tcBorders>
            <w:shd w:val="clear" w:color="auto" w:fill="FFFFFF"/>
          </w:tcPr>
          <w:p w14:paraId="503025BF" w14:textId="112A1D61" w:rsidR="00336171" w:rsidRPr="00336171" w:rsidRDefault="00A569FD" w:rsidP="00692C18">
            <w:pPr>
              <w:keepNext/>
              <w:spacing w:before="60" w:after="60"/>
              <w:jc w:val="right"/>
              <w:rPr>
                <w:color w:val="000000"/>
                <w:sz w:val="16"/>
                <w:szCs w:val="20"/>
              </w:rPr>
            </w:pPr>
            <w:r w:rsidRPr="00352792">
              <w:rPr>
                <w:color w:val="000000"/>
                <w:sz w:val="16"/>
                <w:szCs w:val="20"/>
              </w:rPr>
              <w:t>0 (0.0%)</w:t>
            </w:r>
          </w:p>
        </w:tc>
        <w:tc>
          <w:tcPr>
            <w:tcW w:w="850" w:type="dxa"/>
            <w:tcBorders>
              <w:top w:val="nil"/>
              <w:left w:val="single" w:sz="2" w:space="0" w:color="000000"/>
              <w:bottom w:val="single" w:sz="2" w:space="0" w:color="000000"/>
              <w:right w:val="nil"/>
            </w:tcBorders>
            <w:shd w:val="clear" w:color="auto" w:fill="FFFFFF"/>
            <w:tcMar>
              <w:left w:w="60" w:type="dxa"/>
              <w:right w:w="60" w:type="dxa"/>
            </w:tcMar>
          </w:tcPr>
          <w:p w14:paraId="725577A5" w14:textId="7E990A61" w:rsidR="00336171" w:rsidRPr="00336171" w:rsidRDefault="00336171" w:rsidP="00692C18">
            <w:pPr>
              <w:keepNext/>
              <w:spacing w:before="60" w:after="60"/>
              <w:jc w:val="right"/>
              <w:rPr>
                <w:color w:val="000000"/>
                <w:sz w:val="16"/>
                <w:szCs w:val="20"/>
              </w:rPr>
            </w:pPr>
            <w:r w:rsidRPr="00336171">
              <w:rPr>
                <w:color w:val="000000"/>
                <w:sz w:val="16"/>
                <w:szCs w:val="20"/>
              </w:rPr>
              <w:t>0 (0.0%)</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53DBDFB7" w14:textId="5AB6A5B4" w:rsidR="00336171" w:rsidRPr="00336171" w:rsidRDefault="00336171" w:rsidP="00692C18">
            <w:pPr>
              <w:keepNext/>
              <w:spacing w:before="60" w:after="60"/>
              <w:jc w:val="right"/>
              <w:rPr>
                <w:color w:val="000000"/>
                <w:sz w:val="16"/>
                <w:szCs w:val="20"/>
              </w:rPr>
            </w:pPr>
            <w:r w:rsidRPr="00336171">
              <w:rPr>
                <w:color w:val="000000"/>
                <w:sz w:val="16"/>
                <w:szCs w:val="20"/>
              </w:rPr>
              <w:t>0 (0.0%)</w:t>
            </w:r>
          </w:p>
        </w:tc>
        <w:tc>
          <w:tcPr>
            <w:tcW w:w="992" w:type="dxa"/>
            <w:tcBorders>
              <w:top w:val="nil"/>
              <w:left w:val="single" w:sz="2" w:space="0" w:color="000000"/>
              <w:bottom w:val="single" w:sz="2" w:space="0" w:color="000000"/>
              <w:right w:val="single" w:sz="2" w:space="0" w:color="000000"/>
            </w:tcBorders>
            <w:shd w:val="clear" w:color="auto" w:fill="FFFFFF"/>
          </w:tcPr>
          <w:p w14:paraId="718FDBFA" w14:textId="00847807" w:rsidR="00336171" w:rsidRPr="00336171" w:rsidRDefault="00A569FD" w:rsidP="00692C18">
            <w:pPr>
              <w:keepNext/>
              <w:spacing w:before="60" w:after="60"/>
              <w:jc w:val="right"/>
              <w:rPr>
                <w:color w:val="000000"/>
                <w:sz w:val="16"/>
                <w:szCs w:val="20"/>
              </w:rPr>
            </w:pPr>
            <w:r w:rsidRPr="00352792">
              <w:rPr>
                <w:color w:val="000000"/>
                <w:sz w:val="16"/>
                <w:szCs w:val="20"/>
              </w:rPr>
              <w:t>0 (0.0%)</w:t>
            </w:r>
          </w:p>
        </w:tc>
        <w:tc>
          <w:tcPr>
            <w:tcW w:w="993" w:type="dxa"/>
            <w:tcBorders>
              <w:top w:val="nil"/>
              <w:left w:val="single" w:sz="2" w:space="0" w:color="000000"/>
              <w:bottom w:val="single" w:sz="2" w:space="0" w:color="000000"/>
              <w:right w:val="nil"/>
            </w:tcBorders>
            <w:shd w:val="clear" w:color="auto" w:fill="FFFFFF"/>
            <w:tcMar>
              <w:left w:w="60" w:type="dxa"/>
              <w:right w:w="60" w:type="dxa"/>
            </w:tcMar>
          </w:tcPr>
          <w:p w14:paraId="3522432D" w14:textId="50268A2E" w:rsidR="00336171" w:rsidRPr="00336171" w:rsidRDefault="00336171" w:rsidP="00692C18">
            <w:pPr>
              <w:keepNext/>
              <w:spacing w:before="60" w:after="60"/>
              <w:jc w:val="right"/>
              <w:rPr>
                <w:color w:val="000000"/>
                <w:sz w:val="16"/>
                <w:szCs w:val="20"/>
              </w:rPr>
            </w:pPr>
            <w:r w:rsidRPr="00336171">
              <w:rPr>
                <w:color w:val="000000"/>
                <w:sz w:val="16"/>
                <w:szCs w:val="20"/>
              </w:rPr>
              <w:t>0 (0.0%)</w:t>
            </w:r>
          </w:p>
        </w:tc>
        <w:tc>
          <w:tcPr>
            <w:tcW w:w="1134" w:type="dxa"/>
            <w:tcBorders>
              <w:top w:val="nil"/>
              <w:left w:val="single" w:sz="2" w:space="0" w:color="000000"/>
              <w:bottom w:val="single" w:sz="2" w:space="0" w:color="000000"/>
              <w:right w:val="nil"/>
            </w:tcBorders>
            <w:shd w:val="clear" w:color="auto" w:fill="FFFFFF"/>
            <w:tcMar>
              <w:left w:w="60" w:type="dxa"/>
              <w:right w:w="60" w:type="dxa"/>
            </w:tcMar>
          </w:tcPr>
          <w:p w14:paraId="7E77EB10" w14:textId="327DB77B" w:rsidR="00336171" w:rsidRPr="00336171" w:rsidRDefault="00336171" w:rsidP="00692C18">
            <w:pPr>
              <w:keepNext/>
              <w:spacing w:before="60" w:after="60"/>
              <w:jc w:val="right"/>
              <w:rPr>
                <w:color w:val="000000"/>
                <w:sz w:val="16"/>
                <w:szCs w:val="20"/>
              </w:rPr>
            </w:pPr>
            <w:r w:rsidRPr="00336171">
              <w:rPr>
                <w:color w:val="000000"/>
                <w:sz w:val="16"/>
                <w:szCs w:val="20"/>
              </w:rPr>
              <w:t>0 (0.0%)</w:t>
            </w:r>
          </w:p>
        </w:tc>
        <w:tc>
          <w:tcPr>
            <w:tcW w:w="992" w:type="dxa"/>
            <w:tcBorders>
              <w:top w:val="nil"/>
              <w:left w:val="single" w:sz="2" w:space="0" w:color="000000"/>
              <w:bottom w:val="single" w:sz="2" w:space="0" w:color="000000"/>
              <w:right w:val="single" w:sz="2" w:space="0" w:color="000000"/>
            </w:tcBorders>
            <w:shd w:val="clear" w:color="auto" w:fill="FFFFFF"/>
          </w:tcPr>
          <w:p w14:paraId="681B1F8B" w14:textId="1B27B65D" w:rsidR="00336171" w:rsidRPr="00352792" w:rsidRDefault="00A569FD" w:rsidP="00692C18">
            <w:pPr>
              <w:keepNext/>
              <w:spacing w:before="60" w:after="60"/>
              <w:jc w:val="right"/>
              <w:rPr>
                <w:color w:val="000000"/>
                <w:sz w:val="16"/>
                <w:szCs w:val="20"/>
              </w:rPr>
            </w:pPr>
            <w:r w:rsidRPr="00336171">
              <w:rPr>
                <w:color w:val="000000"/>
                <w:sz w:val="16"/>
                <w:szCs w:val="20"/>
              </w:rPr>
              <w:t>0 (0.0%)</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30900C42" w14:textId="30EF519F" w:rsidR="00336171" w:rsidRPr="00336171" w:rsidRDefault="00336171" w:rsidP="00692C18">
            <w:pPr>
              <w:keepNext/>
              <w:spacing w:before="60" w:after="60"/>
              <w:jc w:val="right"/>
              <w:rPr>
                <w:color w:val="000000"/>
                <w:sz w:val="16"/>
                <w:szCs w:val="20"/>
              </w:rPr>
            </w:pPr>
            <w:r w:rsidRPr="00336171">
              <w:rPr>
                <w:color w:val="000000"/>
                <w:sz w:val="16"/>
                <w:szCs w:val="20"/>
              </w:rPr>
              <w:t>0 (0.0%)</w:t>
            </w:r>
          </w:p>
        </w:tc>
        <w:tc>
          <w:tcPr>
            <w:tcW w:w="113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33097C" w14:textId="4E6C109A" w:rsidR="00336171" w:rsidRPr="00336171" w:rsidRDefault="00336171" w:rsidP="00692C18">
            <w:pPr>
              <w:keepNext/>
              <w:spacing w:before="60" w:after="60"/>
              <w:jc w:val="right"/>
              <w:rPr>
                <w:color w:val="000000"/>
                <w:sz w:val="16"/>
                <w:szCs w:val="20"/>
              </w:rPr>
            </w:pPr>
            <w:r w:rsidRPr="00336171">
              <w:rPr>
                <w:color w:val="000000"/>
                <w:sz w:val="16"/>
                <w:szCs w:val="20"/>
              </w:rPr>
              <w:t>0 (0.0%)</w:t>
            </w:r>
          </w:p>
        </w:tc>
        <w:tc>
          <w:tcPr>
            <w:tcW w:w="992" w:type="dxa"/>
            <w:tcBorders>
              <w:top w:val="nil"/>
              <w:left w:val="single" w:sz="2" w:space="0" w:color="000000"/>
              <w:bottom w:val="single" w:sz="2" w:space="0" w:color="000000"/>
              <w:right w:val="single" w:sz="6" w:space="0" w:color="000000"/>
            </w:tcBorders>
            <w:shd w:val="clear" w:color="auto" w:fill="FFFFFF"/>
          </w:tcPr>
          <w:p w14:paraId="5EC72D76" w14:textId="0FC2A2FF" w:rsidR="00336171" w:rsidRPr="00336171" w:rsidRDefault="000554EC" w:rsidP="00692C18">
            <w:pPr>
              <w:keepNext/>
              <w:spacing w:before="60" w:after="60"/>
              <w:jc w:val="right"/>
              <w:rPr>
                <w:color w:val="000000"/>
                <w:sz w:val="16"/>
                <w:szCs w:val="20"/>
              </w:rPr>
            </w:pPr>
            <w:r w:rsidRPr="00352792">
              <w:rPr>
                <w:color w:val="000000"/>
                <w:sz w:val="16"/>
                <w:szCs w:val="20"/>
              </w:rPr>
              <w:t>0 (0.0%)</w:t>
            </w:r>
          </w:p>
        </w:tc>
      </w:tr>
      <w:tr w:rsidR="00336171" w14:paraId="68768CAD" w14:textId="1A27EAC6" w:rsidTr="00692C18">
        <w:trPr>
          <w:cantSplit/>
          <w:jc w:val="center"/>
        </w:trPr>
        <w:tc>
          <w:tcPr>
            <w:tcW w:w="3536" w:type="dxa"/>
            <w:tcBorders>
              <w:top w:val="nil"/>
              <w:left w:val="single" w:sz="6" w:space="0" w:color="000000"/>
              <w:bottom w:val="single" w:sz="6" w:space="0" w:color="000000"/>
              <w:right w:val="nil"/>
            </w:tcBorders>
            <w:shd w:val="clear" w:color="auto" w:fill="FFFFFF"/>
            <w:tcMar>
              <w:left w:w="60" w:type="dxa"/>
              <w:right w:w="60" w:type="dxa"/>
            </w:tcMar>
          </w:tcPr>
          <w:p w14:paraId="2C9EB87B" w14:textId="55B64D1A" w:rsidR="00336171" w:rsidRPr="00336171" w:rsidRDefault="00336171" w:rsidP="0047089A">
            <w:pPr>
              <w:spacing w:before="60" w:after="60"/>
              <w:rPr>
                <w:b/>
                <w:bCs/>
                <w:color w:val="000000"/>
                <w:sz w:val="16"/>
                <w:szCs w:val="20"/>
              </w:rPr>
            </w:pPr>
            <w:r w:rsidRPr="00336171">
              <w:rPr>
                <w:b/>
                <w:bCs/>
                <w:color w:val="000000"/>
                <w:sz w:val="16"/>
                <w:szCs w:val="20"/>
              </w:rPr>
              <w:t xml:space="preserve">Pain relief medications </w:t>
            </w:r>
          </w:p>
        </w:tc>
        <w:tc>
          <w:tcPr>
            <w:tcW w:w="992" w:type="dxa"/>
            <w:tcBorders>
              <w:top w:val="nil"/>
              <w:left w:val="single" w:sz="2" w:space="0" w:color="000000"/>
              <w:bottom w:val="single" w:sz="6" w:space="0" w:color="000000"/>
              <w:right w:val="nil"/>
            </w:tcBorders>
            <w:shd w:val="clear" w:color="auto" w:fill="FFFFFF"/>
            <w:tcMar>
              <w:left w:w="60" w:type="dxa"/>
              <w:right w:w="60" w:type="dxa"/>
            </w:tcMar>
          </w:tcPr>
          <w:p w14:paraId="601812E2" w14:textId="77777777" w:rsidR="00336171" w:rsidRPr="00336171" w:rsidRDefault="00336171" w:rsidP="00692C18">
            <w:pPr>
              <w:spacing w:before="60" w:after="60"/>
              <w:jc w:val="right"/>
              <w:rPr>
                <w:color w:val="000000"/>
                <w:sz w:val="16"/>
                <w:szCs w:val="20"/>
              </w:rPr>
            </w:pPr>
            <w:r w:rsidRPr="00336171">
              <w:rPr>
                <w:color w:val="000000"/>
                <w:sz w:val="16"/>
                <w:szCs w:val="20"/>
              </w:rPr>
              <w:t>67 (21.8%)</w:t>
            </w:r>
          </w:p>
        </w:tc>
        <w:tc>
          <w:tcPr>
            <w:tcW w:w="1134" w:type="dxa"/>
            <w:tcBorders>
              <w:top w:val="nil"/>
              <w:left w:val="single" w:sz="2" w:space="0" w:color="000000"/>
              <w:bottom w:val="single" w:sz="6" w:space="0" w:color="000000"/>
              <w:right w:val="nil"/>
            </w:tcBorders>
            <w:shd w:val="clear" w:color="auto" w:fill="FFFFFF"/>
            <w:tcMar>
              <w:left w:w="60" w:type="dxa"/>
              <w:right w:w="60" w:type="dxa"/>
            </w:tcMar>
          </w:tcPr>
          <w:p w14:paraId="16995DE4" w14:textId="77777777" w:rsidR="00336171" w:rsidRPr="00336171" w:rsidRDefault="00336171" w:rsidP="00692C18">
            <w:pPr>
              <w:spacing w:before="60" w:after="60"/>
              <w:jc w:val="right"/>
              <w:rPr>
                <w:color w:val="000000"/>
                <w:sz w:val="16"/>
                <w:szCs w:val="20"/>
              </w:rPr>
            </w:pPr>
            <w:r w:rsidRPr="00336171">
              <w:rPr>
                <w:color w:val="000000"/>
                <w:sz w:val="16"/>
                <w:szCs w:val="20"/>
              </w:rPr>
              <w:t>69 (16.5%)</w:t>
            </w:r>
          </w:p>
        </w:tc>
        <w:tc>
          <w:tcPr>
            <w:tcW w:w="993" w:type="dxa"/>
            <w:tcBorders>
              <w:top w:val="nil"/>
              <w:left w:val="single" w:sz="2" w:space="0" w:color="000000"/>
              <w:bottom w:val="single" w:sz="6" w:space="0" w:color="000000"/>
              <w:right w:val="single" w:sz="2" w:space="0" w:color="000000"/>
            </w:tcBorders>
            <w:shd w:val="clear" w:color="auto" w:fill="FFFFFF"/>
          </w:tcPr>
          <w:p w14:paraId="3D2385C7" w14:textId="232784FB" w:rsidR="00336171" w:rsidRPr="00336171" w:rsidRDefault="00A569FD" w:rsidP="00692C18">
            <w:pPr>
              <w:spacing w:before="60" w:after="60"/>
              <w:jc w:val="right"/>
              <w:rPr>
                <w:color w:val="000000"/>
                <w:sz w:val="16"/>
                <w:szCs w:val="20"/>
              </w:rPr>
            </w:pPr>
            <w:r>
              <w:rPr>
                <w:color w:val="000000"/>
                <w:sz w:val="16"/>
                <w:szCs w:val="20"/>
              </w:rPr>
              <w:t xml:space="preserve">136 (18.7%) </w:t>
            </w:r>
          </w:p>
        </w:tc>
        <w:tc>
          <w:tcPr>
            <w:tcW w:w="850" w:type="dxa"/>
            <w:tcBorders>
              <w:top w:val="nil"/>
              <w:left w:val="single" w:sz="2" w:space="0" w:color="000000"/>
              <w:bottom w:val="single" w:sz="6" w:space="0" w:color="000000"/>
              <w:right w:val="nil"/>
            </w:tcBorders>
            <w:shd w:val="clear" w:color="auto" w:fill="FFFFFF"/>
            <w:tcMar>
              <w:left w:w="60" w:type="dxa"/>
              <w:right w:w="60" w:type="dxa"/>
            </w:tcMar>
          </w:tcPr>
          <w:p w14:paraId="14B3BBFD" w14:textId="6224E9A0" w:rsidR="00336171" w:rsidRPr="00336171" w:rsidRDefault="00336171" w:rsidP="00692C18">
            <w:pPr>
              <w:spacing w:before="60" w:after="60"/>
              <w:jc w:val="right"/>
              <w:rPr>
                <w:color w:val="000000"/>
                <w:sz w:val="16"/>
                <w:szCs w:val="20"/>
              </w:rPr>
            </w:pPr>
            <w:r w:rsidRPr="00336171">
              <w:rPr>
                <w:color w:val="000000"/>
                <w:sz w:val="16"/>
                <w:szCs w:val="20"/>
              </w:rPr>
              <w:t>74 (24%)</w:t>
            </w:r>
          </w:p>
        </w:tc>
        <w:tc>
          <w:tcPr>
            <w:tcW w:w="1134" w:type="dxa"/>
            <w:tcBorders>
              <w:top w:val="nil"/>
              <w:left w:val="single" w:sz="2" w:space="0" w:color="000000"/>
              <w:bottom w:val="single" w:sz="6" w:space="0" w:color="000000"/>
              <w:right w:val="nil"/>
            </w:tcBorders>
            <w:shd w:val="clear" w:color="auto" w:fill="FFFFFF"/>
            <w:tcMar>
              <w:left w:w="60" w:type="dxa"/>
              <w:right w:w="60" w:type="dxa"/>
            </w:tcMar>
          </w:tcPr>
          <w:p w14:paraId="4E3F8950" w14:textId="77777777" w:rsidR="00336171" w:rsidRPr="00336171" w:rsidRDefault="00336171" w:rsidP="00692C18">
            <w:pPr>
              <w:spacing w:before="60" w:after="60"/>
              <w:jc w:val="right"/>
              <w:rPr>
                <w:color w:val="000000"/>
                <w:sz w:val="16"/>
                <w:szCs w:val="20"/>
              </w:rPr>
            </w:pPr>
            <w:r w:rsidRPr="00336171">
              <w:rPr>
                <w:color w:val="000000"/>
                <w:sz w:val="16"/>
                <w:szCs w:val="20"/>
              </w:rPr>
              <w:t>93 (22.2%)</w:t>
            </w:r>
          </w:p>
        </w:tc>
        <w:tc>
          <w:tcPr>
            <w:tcW w:w="992" w:type="dxa"/>
            <w:tcBorders>
              <w:top w:val="nil"/>
              <w:left w:val="single" w:sz="2" w:space="0" w:color="000000"/>
              <w:bottom w:val="single" w:sz="6" w:space="0" w:color="000000"/>
              <w:right w:val="single" w:sz="2" w:space="0" w:color="000000"/>
            </w:tcBorders>
            <w:shd w:val="clear" w:color="auto" w:fill="FFFFFF"/>
          </w:tcPr>
          <w:p w14:paraId="3BFFB953" w14:textId="7213F579" w:rsidR="00336171" w:rsidRPr="00336171" w:rsidRDefault="00A569FD" w:rsidP="00692C18">
            <w:pPr>
              <w:spacing w:before="60" w:after="60"/>
              <w:jc w:val="right"/>
              <w:rPr>
                <w:color w:val="000000"/>
                <w:sz w:val="16"/>
                <w:szCs w:val="20"/>
              </w:rPr>
            </w:pPr>
            <w:r>
              <w:rPr>
                <w:color w:val="000000"/>
                <w:sz w:val="16"/>
                <w:szCs w:val="20"/>
              </w:rPr>
              <w:t>167 (23.0%)</w:t>
            </w:r>
          </w:p>
        </w:tc>
        <w:tc>
          <w:tcPr>
            <w:tcW w:w="993" w:type="dxa"/>
            <w:tcBorders>
              <w:top w:val="nil"/>
              <w:left w:val="single" w:sz="2" w:space="0" w:color="000000"/>
              <w:bottom w:val="single" w:sz="6" w:space="0" w:color="000000"/>
              <w:right w:val="nil"/>
            </w:tcBorders>
            <w:shd w:val="clear" w:color="auto" w:fill="FFFFFF"/>
            <w:tcMar>
              <w:left w:w="60" w:type="dxa"/>
              <w:right w:w="60" w:type="dxa"/>
            </w:tcMar>
          </w:tcPr>
          <w:p w14:paraId="7683A8F0" w14:textId="36F6FAC9" w:rsidR="00336171" w:rsidRPr="00336171" w:rsidRDefault="00336171" w:rsidP="00692C18">
            <w:pPr>
              <w:spacing w:before="60" w:after="60"/>
              <w:jc w:val="right"/>
              <w:rPr>
                <w:color w:val="000000"/>
                <w:sz w:val="16"/>
                <w:szCs w:val="20"/>
              </w:rPr>
            </w:pPr>
            <w:r w:rsidRPr="00336171">
              <w:rPr>
                <w:color w:val="000000"/>
                <w:sz w:val="16"/>
                <w:szCs w:val="20"/>
              </w:rPr>
              <w:t>48 (15.6%)</w:t>
            </w:r>
          </w:p>
        </w:tc>
        <w:tc>
          <w:tcPr>
            <w:tcW w:w="1134" w:type="dxa"/>
            <w:tcBorders>
              <w:top w:val="nil"/>
              <w:left w:val="single" w:sz="2" w:space="0" w:color="000000"/>
              <w:bottom w:val="single" w:sz="6" w:space="0" w:color="000000"/>
              <w:right w:val="nil"/>
            </w:tcBorders>
            <w:shd w:val="clear" w:color="auto" w:fill="FFFFFF"/>
            <w:tcMar>
              <w:left w:w="60" w:type="dxa"/>
              <w:right w:w="60" w:type="dxa"/>
            </w:tcMar>
          </w:tcPr>
          <w:p w14:paraId="33F4E817" w14:textId="77777777" w:rsidR="00336171" w:rsidRPr="00336171" w:rsidRDefault="00336171" w:rsidP="00692C18">
            <w:pPr>
              <w:spacing w:before="60" w:after="60"/>
              <w:jc w:val="right"/>
              <w:rPr>
                <w:color w:val="000000"/>
                <w:sz w:val="16"/>
                <w:szCs w:val="20"/>
              </w:rPr>
            </w:pPr>
            <w:r w:rsidRPr="00336171">
              <w:rPr>
                <w:color w:val="000000"/>
                <w:sz w:val="16"/>
                <w:szCs w:val="20"/>
              </w:rPr>
              <w:t>40 (9.6%)</w:t>
            </w:r>
          </w:p>
        </w:tc>
        <w:tc>
          <w:tcPr>
            <w:tcW w:w="992" w:type="dxa"/>
            <w:tcBorders>
              <w:top w:val="nil"/>
              <w:left w:val="single" w:sz="2" w:space="0" w:color="000000"/>
              <w:bottom w:val="single" w:sz="6" w:space="0" w:color="000000"/>
              <w:right w:val="single" w:sz="2" w:space="0" w:color="000000"/>
            </w:tcBorders>
            <w:shd w:val="clear" w:color="auto" w:fill="FFFFFF"/>
          </w:tcPr>
          <w:p w14:paraId="5ECD6E92" w14:textId="0785B47B" w:rsidR="00336171" w:rsidRPr="00352792" w:rsidRDefault="00692C18" w:rsidP="00692C18">
            <w:pPr>
              <w:spacing w:before="60" w:after="60"/>
              <w:jc w:val="right"/>
              <w:rPr>
                <w:color w:val="000000"/>
                <w:sz w:val="16"/>
                <w:szCs w:val="20"/>
              </w:rPr>
            </w:pPr>
            <w:r>
              <w:rPr>
                <w:color w:val="000000"/>
                <w:sz w:val="16"/>
                <w:szCs w:val="20"/>
              </w:rPr>
              <w:t>88 (12.1%)</w:t>
            </w:r>
          </w:p>
        </w:tc>
        <w:tc>
          <w:tcPr>
            <w:tcW w:w="992" w:type="dxa"/>
            <w:tcBorders>
              <w:top w:val="nil"/>
              <w:left w:val="single" w:sz="2" w:space="0" w:color="000000"/>
              <w:bottom w:val="single" w:sz="6" w:space="0" w:color="000000"/>
              <w:right w:val="nil"/>
            </w:tcBorders>
            <w:shd w:val="clear" w:color="auto" w:fill="FFFFFF"/>
            <w:tcMar>
              <w:left w:w="60" w:type="dxa"/>
              <w:right w:w="60" w:type="dxa"/>
            </w:tcMar>
          </w:tcPr>
          <w:p w14:paraId="6F32E97E" w14:textId="73960F14" w:rsidR="00336171" w:rsidRPr="00336171" w:rsidRDefault="00336171" w:rsidP="00692C18">
            <w:pPr>
              <w:spacing w:before="60" w:after="60"/>
              <w:jc w:val="right"/>
              <w:rPr>
                <w:color w:val="000000"/>
                <w:sz w:val="16"/>
                <w:szCs w:val="20"/>
              </w:rPr>
            </w:pPr>
            <w:r w:rsidRPr="00336171">
              <w:rPr>
                <w:color w:val="000000"/>
                <w:sz w:val="16"/>
                <w:szCs w:val="20"/>
              </w:rPr>
              <w:t>71 (24.7%)</w:t>
            </w:r>
          </w:p>
        </w:tc>
        <w:tc>
          <w:tcPr>
            <w:tcW w:w="1134"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0F346796" w14:textId="77777777" w:rsidR="00336171" w:rsidRPr="00336171" w:rsidRDefault="00336171" w:rsidP="00692C18">
            <w:pPr>
              <w:spacing w:before="60" w:after="60"/>
              <w:jc w:val="right"/>
              <w:rPr>
                <w:color w:val="000000"/>
                <w:sz w:val="16"/>
                <w:szCs w:val="20"/>
              </w:rPr>
            </w:pPr>
            <w:r w:rsidRPr="00336171">
              <w:rPr>
                <w:color w:val="000000"/>
                <w:sz w:val="16"/>
                <w:szCs w:val="20"/>
              </w:rPr>
              <w:t>67 (17.3%)</w:t>
            </w:r>
          </w:p>
        </w:tc>
        <w:tc>
          <w:tcPr>
            <w:tcW w:w="992" w:type="dxa"/>
            <w:tcBorders>
              <w:top w:val="nil"/>
              <w:left w:val="single" w:sz="2" w:space="0" w:color="000000"/>
              <w:bottom w:val="single" w:sz="6" w:space="0" w:color="000000"/>
              <w:right w:val="single" w:sz="6" w:space="0" w:color="000000"/>
            </w:tcBorders>
            <w:shd w:val="clear" w:color="auto" w:fill="FFFFFF"/>
          </w:tcPr>
          <w:p w14:paraId="08667EC8" w14:textId="13F3C502" w:rsidR="00336171" w:rsidRPr="00336171" w:rsidRDefault="0024185B" w:rsidP="00692C18">
            <w:pPr>
              <w:spacing w:before="60" w:after="60"/>
              <w:jc w:val="right"/>
              <w:rPr>
                <w:color w:val="000000"/>
                <w:sz w:val="16"/>
                <w:szCs w:val="20"/>
              </w:rPr>
            </w:pPr>
            <w:r>
              <w:rPr>
                <w:color w:val="000000"/>
                <w:sz w:val="16"/>
                <w:szCs w:val="20"/>
              </w:rPr>
              <w:t>138 (20.4%)</w:t>
            </w:r>
          </w:p>
        </w:tc>
      </w:tr>
    </w:tbl>
    <w:p w14:paraId="450C22F4" w14:textId="7403137D" w:rsidR="0024185B" w:rsidRPr="00563AD3" w:rsidRDefault="0024185B" w:rsidP="0024185B">
      <w:pPr>
        <w:keepNext/>
        <w:autoSpaceDE/>
        <w:autoSpaceDN/>
        <w:adjustRightInd/>
        <w:spacing w:before="120" w:after="0"/>
        <w:rPr>
          <w:rFonts w:eastAsia="Calibri"/>
          <w:b/>
          <w:bCs/>
          <w:sz w:val="24"/>
          <w:szCs w:val="18"/>
          <w:lang w:eastAsia="en-US"/>
        </w:rPr>
      </w:pPr>
      <w:r>
        <w:rPr>
          <w:rFonts w:eastAsia="Times New Roman"/>
          <w:bCs/>
          <w:color w:val="000000"/>
          <w:sz w:val="18"/>
          <w:szCs w:val="18"/>
        </w:rPr>
        <w:t>Frequencies are given out of those in the respective samples, assuming the missing data reflects no administrations.</w:t>
      </w:r>
    </w:p>
    <w:p w14:paraId="4A117C31" w14:textId="44912AFF" w:rsidR="0047089A" w:rsidRDefault="0047089A" w:rsidP="006C0B32">
      <w:pPr>
        <w:pStyle w:val="Tableheading"/>
        <w:rPr>
          <w:rFonts w:eastAsia="Calibri"/>
          <w:lang w:eastAsia="en-US"/>
        </w:rPr>
      </w:pPr>
    </w:p>
    <w:p w14:paraId="3E165569" w14:textId="77777777" w:rsidR="00AC38BD" w:rsidRPr="00563AD3" w:rsidRDefault="00AC38BD" w:rsidP="009B13F3">
      <w:pPr>
        <w:autoSpaceDE/>
        <w:autoSpaceDN/>
        <w:adjustRightInd/>
        <w:rPr>
          <w:rFonts w:eastAsia="Times New Roman"/>
          <w:u w:val="single"/>
          <w:lang w:eastAsia="en-US"/>
        </w:rPr>
      </w:pPr>
      <w:r w:rsidRPr="00563AD3">
        <w:rPr>
          <w:rFonts w:eastAsia="Times New Roman"/>
          <w:lang w:eastAsia="en-US"/>
        </w:rPr>
        <w:br w:type="page"/>
      </w:r>
    </w:p>
    <w:p w14:paraId="4214E031" w14:textId="45468984" w:rsidR="00E07CDE" w:rsidRPr="00563AD3" w:rsidRDefault="00E07CDE" w:rsidP="009B13F3">
      <w:pPr>
        <w:pStyle w:val="Heading4"/>
        <w:rPr>
          <w:rFonts w:eastAsia="Times New Roman"/>
          <w:lang w:eastAsia="en-US"/>
        </w:rPr>
      </w:pPr>
      <w:r w:rsidRPr="00563AD3">
        <w:rPr>
          <w:rFonts w:eastAsia="Times New Roman"/>
          <w:lang w:eastAsia="en-US"/>
        </w:rPr>
        <w:t>Care homes</w:t>
      </w:r>
    </w:p>
    <w:p w14:paraId="35E983A1" w14:textId="3CC7B918" w:rsidR="00E07CDE" w:rsidRPr="00563AD3" w:rsidRDefault="00E07CDE" w:rsidP="006C0B32">
      <w:pPr>
        <w:pStyle w:val="Tableheading"/>
        <w:rPr>
          <w:rFonts w:eastAsia="Calibri"/>
          <w:lang w:eastAsia="en-US"/>
        </w:rPr>
      </w:pPr>
      <w:bookmarkStart w:id="355" w:name="_Toc500935008"/>
      <w:bookmarkStart w:id="356" w:name="_Toc948258"/>
      <w:r w:rsidRPr="00563AD3">
        <w:rPr>
          <w:rFonts w:eastAsia="Calibri"/>
          <w:lang w:eastAsia="en-US"/>
        </w:rPr>
        <w:t xml:space="preserve">Table </w:t>
      </w:r>
      <w:r w:rsidR="006311A8">
        <w:rPr>
          <w:rFonts w:eastAsia="Calibri"/>
          <w:lang w:eastAsia="en-US"/>
        </w:rPr>
        <w:t>61</w:t>
      </w:r>
      <w:r w:rsidR="006311A8" w:rsidRPr="00563AD3">
        <w:rPr>
          <w:rFonts w:eastAsia="Calibri"/>
          <w:lang w:eastAsia="en-US"/>
        </w:rPr>
        <w:t xml:space="preserve"> </w:t>
      </w:r>
      <w:r w:rsidRPr="00563AD3">
        <w:rPr>
          <w:rFonts w:eastAsia="Calibri"/>
          <w:lang w:eastAsia="en-US"/>
        </w:rPr>
        <w:t>QUIS summaries</w:t>
      </w:r>
      <w:bookmarkEnd w:id="355"/>
      <w:r w:rsidRPr="00563AD3">
        <w:rPr>
          <w:rFonts w:eastAsia="Calibri"/>
          <w:lang w:eastAsia="en-US"/>
        </w:rPr>
        <w:t xml:space="preserve"> - unadjusted</w:t>
      </w:r>
      <w:bookmarkEnd w:id="356"/>
    </w:p>
    <w:tbl>
      <w:tblPr>
        <w:tblW w:w="5000" w:type="pct"/>
        <w:jc w:val="center"/>
        <w:tblCellMar>
          <w:left w:w="0" w:type="dxa"/>
          <w:right w:w="0" w:type="dxa"/>
        </w:tblCellMar>
        <w:tblLook w:val="0000" w:firstRow="0" w:lastRow="0" w:firstColumn="0" w:lastColumn="0" w:noHBand="0" w:noVBand="0"/>
      </w:tblPr>
      <w:tblGrid>
        <w:gridCol w:w="739"/>
        <w:gridCol w:w="1627"/>
        <w:gridCol w:w="1287"/>
        <w:gridCol w:w="1287"/>
        <w:gridCol w:w="1287"/>
        <w:gridCol w:w="1287"/>
        <w:gridCol w:w="1287"/>
        <w:gridCol w:w="1287"/>
        <w:gridCol w:w="1287"/>
        <w:gridCol w:w="1287"/>
        <w:gridCol w:w="1268"/>
      </w:tblGrid>
      <w:tr w:rsidR="00E07CDE" w:rsidRPr="00563AD3" w14:paraId="6AAAA115" w14:textId="77777777" w:rsidTr="00C163F3">
        <w:trPr>
          <w:cantSplit/>
          <w:tblHeader/>
          <w:jc w:val="center"/>
        </w:trPr>
        <w:tc>
          <w:tcPr>
            <w:tcW w:w="5000" w:type="pct"/>
            <w:gridSpan w:val="11"/>
            <w:tcBorders>
              <w:top w:val="single" w:sz="11" w:space="0" w:color="000000"/>
              <w:left w:val="single" w:sz="11" w:space="0" w:color="000000"/>
              <w:bottom w:val="nil"/>
              <w:right w:val="single" w:sz="11" w:space="0" w:color="000000"/>
            </w:tcBorders>
            <w:shd w:val="clear" w:color="auto" w:fill="FFFFFF"/>
            <w:tcMar>
              <w:left w:w="67" w:type="dxa"/>
              <w:right w:w="67" w:type="dxa"/>
            </w:tcMar>
            <w:vAlign w:val="bottom"/>
          </w:tcPr>
          <w:p w14:paraId="5A6B8A6F" w14:textId="77777777" w:rsidR="00E07CDE" w:rsidRPr="00563AD3" w:rsidRDefault="00E07CDE" w:rsidP="009B13F3">
            <w:pPr>
              <w:keepNext/>
              <w:spacing w:before="67" w:after="67"/>
              <w:jc w:val="center"/>
              <w:rPr>
                <w:rFonts w:eastAsia="Times New Roman"/>
                <w:b/>
                <w:bCs/>
                <w:color w:val="000000"/>
                <w:sz w:val="18"/>
                <w:szCs w:val="18"/>
              </w:rPr>
            </w:pPr>
            <w:r w:rsidRPr="00563AD3">
              <w:rPr>
                <w:rFonts w:eastAsia="Times New Roman"/>
                <w:b/>
                <w:bCs/>
                <w:color w:val="000000"/>
                <w:sz w:val="18"/>
                <w:szCs w:val="18"/>
              </w:rPr>
              <w:t>QUIS summaries</w:t>
            </w:r>
          </w:p>
        </w:tc>
      </w:tr>
      <w:tr w:rsidR="00E07CDE" w:rsidRPr="00563AD3" w14:paraId="1B976B3E" w14:textId="77777777" w:rsidTr="00C163F3">
        <w:trPr>
          <w:cantSplit/>
          <w:tblHeader/>
          <w:jc w:val="center"/>
        </w:trPr>
        <w:tc>
          <w:tcPr>
            <w:tcW w:w="849" w:type="pct"/>
            <w:gridSpan w:val="2"/>
            <w:tcBorders>
              <w:top w:val="nil"/>
              <w:left w:val="single" w:sz="11" w:space="0" w:color="000000"/>
              <w:bottom w:val="nil"/>
              <w:right w:val="nil"/>
            </w:tcBorders>
            <w:shd w:val="clear" w:color="auto" w:fill="FFFFFF"/>
            <w:tcMar>
              <w:left w:w="67" w:type="dxa"/>
              <w:right w:w="67" w:type="dxa"/>
            </w:tcMar>
            <w:vAlign w:val="bottom"/>
          </w:tcPr>
          <w:p w14:paraId="2EF29DE3" w14:textId="77777777" w:rsidR="00E07CDE" w:rsidRPr="00563AD3" w:rsidRDefault="00E07CDE" w:rsidP="009B13F3">
            <w:pPr>
              <w:keepNext/>
              <w:spacing w:before="67" w:after="67"/>
              <w:jc w:val="center"/>
              <w:rPr>
                <w:rFonts w:eastAsia="Times New Roman"/>
                <w:b/>
                <w:bCs/>
                <w:color w:val="000000"/>
                <w:sz w:val="18"/>
                <w:szCs w:val="18"/>
              </w:rPr>
            </w:pPr>
          </w:p>
        </w:tc>
        <w:tc>
          <w:tcPr>
            <w:tcW w:w="1386" w:type="pct"/>
            <w:gridSpan w:val="3"/>
            <w:tcBorders>
              <w:top w:val="nil"/>
              <w:left w:val="nil"/>
              <w:bottom w:val="nil"/>
              <w:right w:val="nil"/>
            </w:tcBorders>
            <w:shd w:val="clear" w:color="auto" w:fill="FFFFFF"/>
            <w:tcMar>
              <w:left w:w="67" w:type="dxa"/>
              <w:right w:w="67" w:type="dxa"/>
            </w:tcMar>
            <w:vAlign w:val="bottom"/>
          </w:tcPr>
          <w:p w14:paraId="2C9FDF96" w14:textId="77777777" w:rsidR="00E07CDE" w:rsidRPr="00563AD3" w:rsidRDefault="00E07CDE" w:rsidP="009B13F3">
            <w:pPr>
              <w:keepNext/>
              <w:spacing w:before="67" w:after="67"/>
              <w:jc w:val="center"/>
              <w:rPr>
                <w:rFonts w:eastAsia="Times New Roman"/>
                <w:b/>
                <w:bCs/>
                <w:color w:val="000000"/>
                <w:sz w:val="18"/>
                <w:szCs w:val="18"/>
              </w:rPr>
            </w:pPr>
            <w:r w:rsidRPr="00563AD3">
              <w:rPr>
                <w:rFonts w:eastAsia="Times New Roman"/>
                <w:b/>
                <w:bCs/>
                <w:color w:val="000000"/>
                <w:sz w:val="18"/>
                <w:szCs w:val="18"/>
              </w:rPr>
              <w:t>Baseline</w:t>
            </w:r>
          </w:p>
        </w:tc>
        <w:tc>
          <w:tcPr>
            <w:tcW w:w="1386" w:type="pct"/>
            <w:gridSpan w:val="3"/>
            <w:tcBorders>
              <w:top w:val="nil"/>
              <w:left w:val="nil"/>
              <w:bottom w:val="nil"/>
              <w:right w:val="nil"/>
            </w:tcBorders>
            <w:shd w:val="clear" w:color="auto" w:fill="FFFFFF"/>
            <w:tcMar>
              <w:left w:w="67" w:type="dxa"/>
              <w:right w:w="67" w:type="dxa"/>
            </w:tcMar>
            <w:vAlign w:val="bottom"/>
          </w:tcPr>
          <w:p w14:paraId="0C515A55" w14:textId="0EDCA7BC" w:rsidR="00E07CDE" w:rsidRPr="00563AD3" w:rsidRDefault="00083982" w:rsidP="009B13F3">
            <w:pPr>
              <w:keepNext/>
              <w:spacing w:before="67" w:after="67"/>
              <w:jc w:val="center"/>
              <w:rPr>
                <w:rFonts w:eastAsia="Times New Roman"/>
                <w:b/>
                <w:bCs/>
                <w:color w:val="000000"/>
                <w:sz w:val="18"/>
                <w:szCs w:val="18"/>
              </w:rPr>
            </w:pPr>
            <w:r>
              <w:rPr>
                <w:rFonts w:eastAsia="Times New Roman"/>
                <w:b/>
                <w:bCs/>
                <w:color w:val="000000"/>
                <w:sz w:val="18"/>
                <w:szCs w:val="18"/>
              </w:rPr>
              <w:t>6-</w:t>
            </w:r>
            <w:r w:rsidR="00E07CDE" w:rsidRPr="00563AD3">
              <w:rPr>
                <w:rFonts w:eastAsia="Times New Roman"/>
                <w:b/>
                <w:bCs/>
                <w:color w:val="000000"/>
                <w:sz w:val="18"/>
                <w:szCs w:val="18"/>
              </w:rPr>
              <w:t>months</w:t>
            </w:r>
          </w:p>
        </w:tc>
        <w:tc>
          <w:tcPr>
            <w:tcW w:w="1380" w:type="pct"/>
            <w:gridSpan w:val="3"/>
            <w:tcBorders>
              <w:top w:val="nil"/>
              <w:left w:val="nil"/>
              <w:bottom w:val="nil"/>
              <w:right w:val="single" w:sz="11" w:space="0" w:color="000000"/>
            </w:tcBorders>
            <w:shd w:val="clear" w:color="auto" w:fill="FFFFFF"/>
            <w:tcMar>
              <w:left w:w="67" w:type="dxa"/>
              <w:right w:w="67" w:type="dxa"/>
            </w:tcMar>
            <w:vAlign w:val="bottom"/>
          </w:tcPr>
          <w:p w14:paraId="28032461" w14:textId="3C9FC7C7" w:rsidR="00E07CDE" w:rsidRPr="00563AD3" w:rsidRDefault="00083982" w:rsidP="009B13F3">
            <w:pPr>
              <w:keepNext/>
              <w:spacing w:before="67" w:after="67"/>
              <w:jc w:val="center"/>
              <w:rPr>
                <w:rFonts w:eastAsia="Times New Roman"/>
                <w:b/>
                <w:bCs/>
                <w:color w:val="000000"/>
                <w:sz w:val="18"/>
                <w:szCs w:val="18"/>
              </w:rPr>
            </w:pPr>
            <w:r>
              <w:rPr>
                <w:rFonts w:eastAsia="Times New Roman"/>
                <w:b/>
                <w:bCs/>
                <w:color w:val="000000"/>
                <w:sz w:val="18"/>
                <w:szCs w:val="18"/>
              </w:rPr>
              <w:t>16-</w:t>
            </w:r>
            <w:r w:rsidR="00E07CDE" w:rsidRPr="00563AD3">
              <w:rPr>
                <w:rFonts w:eastAsia="Times New Roman"/>
                <w:b/>
                <w:bCs/>
                <w:color w:val="000000"/>
                <w:sz w:val="18"/>
                <w:szCs w:val="18"/>
              </w:rPr>
              <w:t>months</w:t>
            </w:r>
          </w:p>
        </w:tc>
      </w:tr>
      <w:tr w:rsidR="00E07CDE" w:rsidRPr="00563AD3" w14:paraId="52ACC654" w14:textId="77777777" w:rsidTr="00C163F3">
        <w:trPr>
          <w:cantSplit/>
          <w:tblHeader/>
          <w:jc w:val="center"/>
        </w:trPr>
        <w:tc>
          <w:tcPr>
            <w:tcW w:w="849" w:type="pct"/>
            <w:gridSpan w:val="2"/>
            <w:tcBorders>
              <w:top w:val="nil"/>
              <w:left w:val="single" w:sz="11" w:space="0" w:color="000000"/>
              <w:bottom w:val="single" w:sz="4" w:space="0" w:color="000000"/>
              <w:right w:val="nil"/>
            </w:tcBorders>
            <w:shd w:val="clear" w:color="auto" w:fill="FFFFFF"/>
            <w:tcMar>
              <w:left w:w="67" w:type="dxa"/>
              <w:right w:w="67" w:type="dxa"/>
            </w:tcMar>
            <w:vAlign w:val="bottom"/>
          </w:tcPr>
          <w:p w14:paraId="1AF9E060" w14:textId="77777777" w:rsidR="00E07CDE" w:rsidRPr="00563AD3" w:rsidRDefault="00E07CDE" w:rsidP="009B13F3">
            <w:pPr>
              <w:keepNext/>
              <w:spacing w:before="67" w:after="67"/>
              <w:jc w:val="center"/>
              <w:rPr>
                <w:rFonts w:eastAsia="Times New Roman"/>
                <w:b/>
                <w:bCs/>
                <w:color w:val="000000"/>
                <w:sz w:val="18"/>
                <w:szCs w:val="18"/>
              </w:rPr>
            </w:pPr>
            <w:r w:rsidRPr="00563AD3">
              <w:rPr>
                <w:rFonts w:eastAsia="Times New Roman"/>
                <w:b/>
                <w:bCs/>
                <w:color w:val="000000"/>
                <w:sz w:val="18"/>
                <w:szCs w:val="18"/>
              </w:rPr>
              <w:t>All interactions (% positive) missing</w:t>
            </w:r>
          </w:p>
        </w:tc>
        <w:tc>
          <w:tcPr>
            <w:tcW w:w="462" w:type="pct"/>
            <w:tcBorders>
              <w:top w:val="nil"/>
              <w:left w:val="nil"/>
              <w:bottom w:val="single" w:sz="4" w:space="0" w:color="000000"/>
              <w:right w:val="nil"/>
            </w:tcBorders>
            <w:shd w:val="clear" w:color="auto" w:fill="FFFFFF"/>
            <w:tcMar>
              <w:left w:w="67" w:type="dxa"/>
              <w:right w:w="67" w:type="dxa"/>
            </w:tcMar>
            <w:vAlign w:val="bottom"/>
          </w:tcPr>
          <w:p w14:paraId="7F2174D9" w14:textId="77777777" w:rsidR="00E07CDE" w:rsidRPr="00563AD3" w:rsidRDefault="00E07CDE" w:rsidP="009B13F3">
            <w:pPr>
              <w:keepNext/>
              <w:spacing w:before="67" w:after="67"/>
              <w:jc w:val="center"/>
              <w:rPr>
                <w:rFonts w:eastAsia="Times New Roman"/>
                <w:b/>
                <w:bCs/>
                <w:color w:val="000000"/>
                <w:sz w:val="18"/>
                <w:szCs w:val="18"/>
              </w:rPr>
            </w:pPr>
            <w:r w:rsidRPr="00563AD3">
              <w:rPr>
                <w:rFonts w:eastAsia="Times New Roman"/>
                <w:b/>
                <w:bCs/>
                <w:color w:val="000000"/>
                <w:sz w:val="18"/>
                <w:szCs w:val="18"/>
              </w:rPr>
              <w:t>Control</w:t>
            </w:r>
            <w:r w:rsidRPr="00563AD3">
              <w:rPr>
                <w:rFonts w:eastAsia="Times New Roman"/>
                <w:b/>
                <w:bCs/>
                <w:color w:val="000000"/>
                <w:sz w:val="18"/>
                <w:szCs w:val="18"/>
              </w:rPr>
              <w:br/>
              <w:t>(n = 19)</w:t>
            </w:r>
          </w:p>
        </w:tc>
        <w:tc>
          <w:tcPr>
            <w:tcW w:w="462" w:type="pct"/>
            <w:tcBorders>
              <w:top w:val="nil"/>
              <w:left w:val="nil"/>
              <w:bottom w:val="single" w:sz="4" w:space="0" w:color="000000"/>
              <w:right w:val="nil"/>
            </w:tcBorders>
            <w:shd w:val="clear" w:color="auto" w:fill="FFFFFF"/>
            <w:tcMar>
              <w:left w:w="67" w:type="dxa"/>
              <w:right w:w="67" w:type="dxa"/>
            </w:tcMar>
            <w:vAlign w:val="bottom"/>
          </w:tcPr>
          <w:p w14:paraId="418CAEF4" w14:textId="77777777" w:rsidR="00E07CDE" w:rsidRPr="00563AD3" w:rsidRDefault="00E07CDE" w:rsidP="009B13F3">
            <w:pPr>
              <w:keepNext/>
              <w:spacing w:before="67" w:after="67"/>
              <w:jc w:val="center"/>
              <w:rPr>
                <w:rFonts w:eastAsia="Times New Roman"/>
                <w:b/>
                <w:bCs/>
                <w:color w:val="000000"/>
                <w:sz w:val="18"/>
                <w:szCs w:val="18"/>
              </w:rPr>
            </w:pPr>
            <w:r w:rsidRPr="00563AD3">
              <w:rPr>
                <w:rFonts w:eastAsia="Times New Roman"/>
                <w:b/>
                <w:bCs/>
                <w:color w:val="000000"/>
                <w:sz w:val="18"/>
                <w:szCs w:val="18"/>
              </w:rPr>
              <w:t>Intervention</w:t>
            </w:r>
            <w:r w:rsidRPr="00563AD3">
              <w:rPr>
                <w:rFonts w:eastAsia="Times New Roman"/>
                <w:b/>
                <w:bCs/>
                <w:color w:val="000000"/>
                <w:sz w:val="18"/>
                <w:szCs w:val="18"/>
              </w:rPr>
              <w:br/>
              <w:t>(n = 31)</w:t>
            </w:r>
          </w:p>
        </w:tc>
        <w:tc>
          <w:tcPr>
            <w:tcW w:w="462" w:type="pct"/>
            <w:tcBorders>
              <w:top w:val="nil"/>
              <w:left w:val="nil"/>
              <w:bottom w:val="single" w:sz="4" w:space="0" w:color="000000"/>
              <w:right w:val="nil"/>
            </w:tcBorders>
            <w:shd w:val="clear" w:color="auto" w:fill="FFFFFF"/>
            <w:tcMar>
              <w:left w:w="67" w:type="dxa"/>
              <w:right w:w="67" w:type="dxa"/>
            </w:tcMar>
            <w:vAlign w:val="bottom"/>
          </w:tcPr>
          <w:p w14:paraId="4D20A5E0" w14:textId="77777777" w:rsidR="00E07CDE" w:rsidRPr="00563AD3" w:rsidRDefault="00E07CDE" w:rsidP="009B13F3">
            <w:pPr>
              <w:keepNext/>
              <w:spacing w:before="67" w:after="67"/>
              <w:jc w:val="center"/>
              <w:rPr>
                <w:rFonts w:eastAsia="Times New Roman"/>
                <w:b/>
                <w:bCs/>
                <w:color w:val="000000"/>
                <w:sz w:val="18"/>
                <w:szCs w:val="18"/>
              </w:rPr>
            </w:pPr>
            <w:r w:rsidRPr="00563AD3">
              <w:rPr>
                <w:rFonts w:eastAsia="Times New Roman"/>
                <w:b/>
                <w:bCs/>
                <w:color w:val="000000"/>
                <w:sz w:val="18"/>
                <w:szCs w:val="18"/>
              </w:rPr>
              <w:t>Total</w:t>
            </w:r>
            <w:r w:rsidRPr="00563AD3">
              <w:rPr>
                <w:rFonts w:eastAsia="Times New Roman"/>
                <w:b/>
                <w:bCs/>
                <w:color w:val="000000"/>
                <w:sz w:val="18"/>
                <w:szCs w:val="18"/>
              </w:rPr>
              <w:br/>
              <w:t>(n = 50)</w:t>
            </w:r>
          </w:p>
        </w:tc>
        <w:tc>
          <w:tcPr>
            <w:tcW w:w="462" w:type="pct"/>
            <w:tcBorders>
              <w:top w:val="nil"/>
              <w:left w:val="nil"/>
              <w:bottom w:val="single" w:sz="4" w:space="0" w:color="000000"/>
              <w:right w:val="nil"/>
            </w:tcBorders>
            <w:shd w:val="clear" w:color="auto" w:fill="FFFFFF"/>
            <w:tcMar>
              <w:left w:w="67" w:type="dxa"/>
              <w:right w:w="67" w:type="dxa"/>
            </w:tcMar>
            <w:vAlign w:val="bottom"/>
          </w:tcPr>
          <w:p w14:paraId="7888570A" w14:textId="77777777" w:rsidR="00E07CDE" w:rsidRPr="00563AD3" w:rsidRDefault="00E07CDE" w:rsidP="009B13F3">
            <w:pPr>
              <w:keepNext/>
              <w:spacing w:before="67" w:after="67"/>
              <w:jc w:val="center"/>
              <w:rPr>
                <w:rFonts w:eastAsia="Times New Roman"/>
                <w:b/>
                <w:bCs/>
                <w:color w:val="000000"/>
                <w:sz w:val="18"/>
                <w:szCs w:val="18"/>
              </w:rPr>
            </w:pPr>
            <w:r w:rsidRPr="00563AD3">
              <w:rPr>
                <w:rFonts w:eastAsia="Times New Roman"/>
                <w:b/>
                <w:bCs/>
                <w:color w:val="000000"/>
                <w:sz w:val="18"/>
                <w:szCs w:val="18"/>
              </w:rPr>
              <w:t>Control</w:t>
            </w:r>
            <w:r w:rsidRPr="00563AD3">
              <w:rPr>
                <w:rFonts w:eastAsia="Times New Roman"/>
                <w:b/>
                <w:bCs/>
                <w:color w:val="000000"/>
                <w:sz w:val="18"/>
                <w:szCs w:val="18"/>
              </w:rPr>
              <w:br/>
              <w:t>(n = 19)</w:t>
            </w:r>
          </w:p>
        </w:tc>
        <w:tc>
          <w:tcPr>
            <w:tcW w:w="462" w:type="pct"/>
            <w:tcBorders>
              <w:top w:val="nil"/>
              <w:left w:val="nil"/>
              <w:bottom w:val="single" w:sz="4" w:space="0" w:color="000000"/>
              <w:right w:val="nil"/>
            </w:tcBorders>
            <w:shd w:val="clear" w:color="auto" w:fill="FFFFFF"/>
            <w:tcMar>
              <w:left w:w="67" w:type="dxa"/>
              <w:right w:w="67" w:type="dxa"/>
            </w:tcMar>
            <w:vAlign w:val="bottom"/>
          </w:tcPr>
          <w:p w14:paraId="21802494" w14:textId="77777777" w:rsidR="00E07CDE" w:rsidRPr="00563AD3" w:rsidRDefault="00E07CDE" w:rsidP="009B13F3">
            <w:pPr>
              <w:keepNext/>
              <w:spacing w:before="67" w:after="67"/>
              <w:jc w:val="center"/>
              <w:rPr>
                <w:rFonts w:eastAsia="Times New Roman"/>
                <w:b/>
                <w:bCs/>
                <w:color w:val="000000"/>
                <w:sz w:val="18"/>
                <w:szCs w:val="18"/>
              </w:rPr>
            </w:pPr>
            <w:r w:rsidRPr="00563AD3">
              <w:rPr>
                <w:rFonts w:eastAsia="Times New Roman"/>
                <w:b/>
                <w:bCs/>
                <w:color w:val="000000"/>
                <w:sz w:val="18"/>
                <w:szCs w:val="18"/>
              </w:rPr>
              <w:t>Intervention</w:t>
            </w:r>
            <w:r w:rsidRPr="00563AD3">
              <w:rPr>
                <w:rFonts w:eastAsia="Times New Roman"/>
                <w:b/>
                <w:bCs/>
                <w:color w:val="000000"/>
                <w:sz w:val="18"/>
                <w:szCs w:val="18"/>
              </w:rPr>
              <w:br/>
              <w:t>(n = 31)</w:t>
            </w:r>
          </w:p>
        </w:tc>
        <w:tc>
          <w:tcPr>
            <w:tcW w:w="462" w:type="pct"/>
            <w:tcBorders>
              <w:top w:val="nil"/>
              <w:left w:val="nil"/>
              <w:bottom w:val="single" w:sz="4" w:space="0" w:color="000000"/>
              <w:right w:val="nil"/>
            </w:tcBorders>
            <w:shd w:val="clear" w:color="auto" w:fill="FFFFFF"/>
            <w:tcMar>
              <w:left w:w="67" w:type="dxa"/>
              <w:right w:w="67" w:type="dxa"/>
            </w:tcMar>
            <w:vAlign w:val="bottom"/>
          </w:tcPr>
          <w:p w14:paraId="4C0804AD" w14:textId="77777777" w:rsidR="00E07CDE" w:rsidRPr="00563AD3" w:rsidRDefault="00E07CDE" w:rsidP="009B13F3">
            <w:pPr>
              <w:keepNext/>
              <w:spacing w:before="67" w:after="67"/>
              <w:jc w:val="center"/>
              <w:rPr>
                <w:rFonts w:eastAsia="Times New Roman"/>
                <w:b/>
                <w:bCs/>
                <w:color w:val="000000"/>
                <w:sz w:val="18"/>
                <w:szCs w:val="18"/>
              </w:rPr>
            </w:pPr>
            <w:r w:rsidRPr="00563AD3">
              <w:rPr>
                <w:rFonts w:eastAsia="Times New Roman"/>
                <w:b/>
                <w:bCs/>
                <w:color w:val="000000"/>
                <w:sz w:val="18"/>
                <w:szCs w:val="18"/>
              </w:rPr>
              <w:t>Total</w:t>
            </w:r>
            <w:r w:rsidRPr="00563AD3">
              <w:rPr>
                <w:rFonts w:eastAsia="Times New Roman"/>
                <w:b/>
                <w:bCs/>
                <w:color w:val="000000"/>
                <w:sz w:val="18"/>
                <w:szCs w:val="18"/>
              </w:rPr>
              <w:br/>
              <w:t>(n = 50)</w:t>
            </w:r>
          </w:p>
        </w:tc>
        <w:tc>
          <w:tcPr>
            <w:tcW w:w="462" w:type="pct"/>
            <w:tcBorders>
              <w:top w:val="nil"/>
              <w:left w:val="nil"/>
              <w:bottom w:val="single" w:sz="4" w:space="0" w:color="000000"/>
              <w:right w:val="nil"/>
            </w:tcBorders>
            <w:shd w:val="clear" w:color="auto" w:fill="FFFFFF"/>
            <w:tcMar>
              <w:left w:w="67" w:type="dxa"/>
              <w:right w:w="67" w:type="dxa"/>
            </w:tcMar>
            <w:vAlign w:val="bottom"/>
          </w:tcPr>
          <w:p w14:paraId="6AA8428D" w14:textId="77777777" w:rsidR="00E07CDE" w:rsidRPr="00563AD3" w:rsidRDefault="00E07CDE" w:rsidP="009B13F3">
            <w:pPr>
              <w:keepNext/>
              <w:spacing w:before="67" w:after="67"/>
              <w:jc w:val="center"/>
              <w:rPr>
                <w:rFonts w:eastAsia="Times New Roman"/>
                <w:b/>
                <w:bCs/>
                <w:color w:val="000000"/>
                <w:sz w:val="18"/>
                <w:szCs w:val="18"/>
              </w:rPr>
            </w:pPr>
            <w:r w:rsidRPr="00563AD3">
              <w:rPr>
                <w:rFonts w:eastAsia="Times New Roman"/>
                <w:b/>
                <w:bCs/>
                <w:color w:val="000000"/>
                <w:sz w:val="18"/>
                <w:szCs w:val="18"/>
              </w:rPr>
              <w:t>Control</w:t>
            </w:r>
            <w:r w:rsidRPr="00563AD3">
              <w:rPr>
                <w:rFonts w:eastAsia="Times New Roman"/>
                <w:b/>
                <w:bCs/>
                <w:color w:val="000000"/>
                <w:sz w:val="18"/>
                <w:szCs w:val="18"/>
              </w:rPr>
              <w:br/>
              <w:t>(n = 19)</w:t>
            </w:r>
          </w:p>
        </w:tc>
        <w:tc>
          <w:tcPr>
            <w:tcW w:w="462" w:type="pct"/>
            <w:tcBorders>
              <w:top w:val="nil"/>
              <w:left w:val="nil"/>
              <w:bottom w:val="single" w:sz="4" w:space="0" w:color="000000"/>
              <w:right w:val="nil"/>
            </w:tcBorders>
            <w:shd w:val="clear" w:color="auto" w:fill="FFFFFF"/>
            <w:tcMar>
              <w:left w:w="67" w:type="dxa"/>
              <w:right w:w="67" w:type="dxa"/>
            </w:tcMar>
            <w:vAlign w:val="bottom"/>
          </w:tcPr>
          <w:p w14:paraId="540E1607" w14:textId="77777777" w:rsidR="00E07CDE" w:rsidRPr="00563AD3" w:rsidRDefault="00E07CDE" w:rsidP="009B13F3">
            <w:pPr>
              <w:keepNext/>
              <w:spacing w:before="67" w:after="67"/>
              <w:jc w:val="center"/>
              <w:rPr>
                <w:rFonts w:eastAsia="Times New Roman"/>
                <w:b/>
                <w:bCs/>
                <w:color w:val="000000"/>
                <w:sz w:val="18"/>
                <w:szCs w:val="18"/>
              </w:rPr>
            </w:pPr>
            <w:r w:rsidRPr="00563AD3">
              <w:rPr>
                <w:rFonts w:eastAsia="Times New Roman"/>
                <w:b/>
                <w:bCs/>
                <w:color w:val="000000"/>
                <w:sz w:val="18"/>
                <w:szCs w:val="18"/>
              </w:rPr>
              <w:t>Intervention</w:t>
            </w:r>
            <w:r w:rsidRPr="00563AD3">
              <w:rPr>
                <w:rFonts w:eastAsia="Times New Roman"/>
                <w:b/>
                <w:bCs/>
                <w:color w:val="000000"/>
                <w:sz w:val="18"/>
                <w:szCs w:val="18"/>
              </w:rPr>
              <w:br/>
              <w:t>(n = 31)</w:t>
            </w:r>
          </w:p>
        </w:tc>
        <w:tc>
          <w:tcPr>
            <w:tcW w:w="456" w:type="pct"/>
            <w:tcBorders>
              <w:top w:val="nil"/>
              <w:left w:val="nil"/>
              <w:bottom w:val="single" w:sz="4" w:space="0" w:color="000000"/>
              <w:right w:val="single" w:sz="11" w:space="0" w:color="000000"/>
            </w:tcBorders>
            <w:shd w:val="clear" w:color="auto" w:fill="FFFFFF"/>
            <w:tcMar>
              <w:left w:w="67" w:type="dxa"/>
              <w:right w:w="67" w:type="dxa"/>
            </w:tcMar>
            <w:vAlign w:val="bottom"/>
          </w:tcPr>
          <w:p w14:paraId="3B6FFF95" w14:textId="77777777" w:rsidR="00E07CDE" w:rsidRPr="00563AD3" w:rsidRDefault="00E07CDE" w:rsidP="009B13F3">
            <w:pPr>
              <w:keepNext/>
              <w:spacing w:before="67" w:after="67"/>
              <w:jc w:val="center"/>
              <w:rPr>
                <w:rFonts w:eastAsia="Times New Roman"/>
                <w:b/>
                <w:bCs/>
                <w:color w:val="000000"/>
                <w:sz w:val="18"/>
                <w:szCs w:val="18"/>
              </w:rPr>
            </w:pPr>
            <w:r w:rsidRPr="00563AD3">
              <w:rPr>
                <w:rFonts w:eastAsia="Times New Roman"/>
                <w:b/>
                <w:bCs/>
                <w:color w:val="000000"/>
                <w:sz w:val="18"/>
                <w:szCs w:val="18"/>
              </w:rPr>
              <w:t>Total</w:t>
            </w:r>
            <w:r w:rsidRPr="00563AD3">
              <w:rPr>
                <w:rFonts w:eastAsia="Times New Roman"/>
                <w:b/>
                <w:bCs/>
                <w:color w:val="000000"/>
                <w:sz w:val="18"/>
                <w:szCs w:val="18"/>
              </w:rPr>
              <w:br/>
              <w:t>(n = 50)</w:t>
            </w:r>
          </w:p>
        </w:tc>
      </w:tr>
      <w:tr w:rsidR="00E07CDE" w:rsidRPr="00563AD3" w14:paraId="14B2DD89" w14:textId="77777777" w:rsidTr="00C163F3">
        <w:trPr>
          <w:cantSplit/>
          <w:jc w:val="center"/>
        </w:trPr>
        <w:tc>
          <w:tcPr>
            <w:tcW w:w="265" w:type="pct"/>
            <w:tcBorders>
              <w:top w:val="nil"/>
              <w:left w:val="single" w:sz="11" w:space="0" w:color="000000"/>
              <w:bottom w:val="nil"/>
              <w:right w:val="nil"/>
            </w:tcBorders>
            <w:shd w:val="clear" w:color="auto" w:fill="FFFFFF"/>
            <w:tcMar>
              <w:left w:w="67" w:type="dxa"/>
              <w:right w:w="67" w:type="dxa"/>
            </w:tcMar>
          </w:tcPr>
          <w:p w14:paraId="49415E21" w14:textId="77777777" w:rsidR="00E07CDE" w:rsidRPr="00563AD3" w:rsidRDefault="00E07CDE" w:rsidP="009B13F3">
            <w:pPr>
              <w:spacing w:before="67" w:after="67"/>
              <w:jc w:val="right"/>
              <w:rPr>
                <w:rFonts w:eastAsia="Times New Roman"/>
                <w:color w:val="000000"/>
                <w:sz w:val="18"/>
                <w:szCs w:val="18"/>
              </w:rPr>
            </w:pPr>
            <w:r w:rsidRPr="00563AD3">
              <w:rPr>
                <w:rFonts w:eastAsia="Times New Roman"/>
                <w:color w:val="000000"/>
                <w:sz w:val="18"/>
                <w:szCs w:val="18"/>
              </w:rPr>
              <w:t>AM</w:t>
            </w:r>
          </w:p>
        </w:tc>
        <w:tc>
          <w:tcPr>
            <w:tcW w:w="584" w:type="pct"/>
            <w:tcBorders>
              <w:top w:val="nil"/>
              <w:left w:val="nil"/>
              <w:bottom w:val="nil"/>
              <w:right w:val="nil"/>
            </w:tcBorders>
            <w:shd w:val="clear" w:color="auto" w:fill="FFFFFF"/>
            <w:tcMar>
              <w:left w:w="67" w:type="dxa"/>
              <w:right w:w="67" w:type="dxa"/>
            </w:tcMar>
          </w:tcPr>
          <w:p w14:paraId="6BC4FB1E" w14:textId="77777777" w:rsidR="00E07CDE" w:rsidRPr="00563AD3" w:rsidRDefault="00E07CDE" w:rsidP="009B13F3">
            <w:pPr>
              <w:spacing w:before="67" w:after="67"/>
              <w:rPr>
                <w:rFonts w:eastAsia="Times New Roman"/>
                <w:color w:val="000000"/>
                <w:sz w:val="18"/>
                <w:szCs w:val="18"/>
              </w:rPr>
            </w:pPr>
            <w:r w:rsidRPr="00563AD3">
              <w:rPr>
                <w:rFonts w:eastAsia="Times New Roman"/>
                <w:color w:val="000000"/>
                <w:sz w:val="18"/>
                <w:szCs w:val="18"/>
              </w:rPr>
              <w:t>0-15 min interval</w:t>
            </w:r>
          </w:p>
        </w:tc>
        <w:tc>
          <w:tcPr>
            <w:tcW w:w="462" w:type="pct"/>
            <w:tcBorders>
              <w:top w:val="nil"/>
              <w:left w:val="nil"/>
              <w:bottom w:val="nil"/>
              <w:right w:val="nil"/>
            </w:tcBorders>
            <w:shd w:val="clear" w:color="auto" w:fill="FFFFFF"/>
            <w:tcMar>
              <w:left w:w="67" w:type="dxa"/>
              <w:right w:w="67" w:type="dxa"/>
            </w:tcMar>
          </w:tcPr>
          <w:p w14:paraId="7EE293A6"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255 (75.3%) 0</w:t>
            </w:r>
          </w:p>
        </w:tc>
        <w:tc>
          <w:tcPr>
            <w:tcW w:w="462" w:type="pct"/>
            <w:tcBorders>
              <w:top w:val="nil"/>
              <w:left w:val="nil"/>
              <w:bottom w:val="nil"/>
              <w:right w:val="nil"/>
            </w:tcBorders>
            <w:shd w:val="clear" w:color="auto" w:fill="FFFFFF"/>
            <w:tcMar>
              <w:left w:w="67" w:type="dxa"/>
              <w:right w:w="67" w:type="dxa"/>
            </w:tcMar>
          </w:tcPr>
          <w:p w14:paraId="55473AEB"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297 (83.8%) 2</w:t>
            </w:r>
          </w:p>
        </w:tc>
        <w:tc>
          <w:tcPr>
            <w:tcW w:w="462" w:type="pct"/>
            <w:tcBorders>
              <w:top w:val="nil"/>
              <w:left w:val="nil"/>
              <w:bottom w:val="nil"/>
              <w:right w:val="nil"/>
            </w:tcBorders>
            <w:shd w:val="clear" w:color="auto" w:fill="FFFFFF"/>
            <w:tcMar>
              <w:left w:w="67" w:type="dxa"/>
              <w:right w:w="67" w:type="dxa"/>
            </w:tcMar>
          </w:tcPr>
          <w:p w14:paraId="28AC2DB4"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552 (79.9%) 2</w:t>
            </w:r>
          </w:p>
        </w:tc>
        <w:tc>
          <w:tcPr>
            <w:tcW w:w="462" w:type="pct"/>
            <w:tcBorders>
              <w:top w:val="nil"/>
              <w:left w:val="nil"/>
              <w:bottom w:val="nil"/>
              <w:right w:val="nil"/>
            </w:tcBorders>
            <w:shd w:val="clear" w:color="auto" w:fill="FFFFFF"/>
            <w:tcMar>
              <w:left w:w="67" w:type="dxa"/>
              <w:right w:w="67" w:type="dxa"/>
            </w:tcMar>
          </w:tcPr>
          <w:p w14:paraId="70620E2E"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268 (89.2%) 0</w:t>
            </w:r>
          </w:p>
        </w:tc>
        <w:tc>
          <w:tcPr>
            <w:tcW w:w="462" w:type="pct"/>
            <w:tcBorders>
              <w:top w:val="nil"/>
              <w:left w:val="nil"/>
              <w:bottom w:val="nil"/>
              <w:right w:val="nil"/>
            </w:tcBorders>
            <w:shd w:val="clear" w:color="auto" w:fill="FFFFFF"/>
            <w:tcMar>
              <w:left w:w="67" w:type="dxa"/>
              <w:right w:w="67" w:type="dxa"/>
            </w:tcMar>
          </w:tcPr>
          <w:p w14:paraId="7CC6F8F6"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283 (91.9%) 0</w:t>
            </w:r>
          </w:p>
        </w:tc>
        <w:tc>
          <w:tcPr>
            <w:tcW w:w="462" w:type="pct"/>
            <w:tcBorders>
              <w:top w:val="nil"/>
              <w:left w:val="nil"/>
              <w:bottom w:val="nil"/>
              <w:right w:val="nil"/>
            </w:tcBorders>
            <w:shd w:val="clear" w:color="auto" w:fill="FFFFFF"/>
            <w:tcMar>
              <w:left w:w="67" w:type="dxa"/>
              <w:right w:w="67" w:type="dxa"/>
            </w:tcMar>
          </w:tcPr>
          <w:p w14:paraId="7849F81D"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551 (90.6%) 0</w:t>
            </w:r>
          </w:p>
        </w:tc>
        <w:tc>
          <w:tcPr>
            <w:tcW w:w="462" w:type="pct"/>
            <w:tcBorders>
              <w:top w:val="nil"/>
              <w:left w:val="nil"/>
              <w:bottom w:val="nil"/>
              <w:right w:val="nil"/>
            </w:tcBorders>
            <w:shd w:val="clear" w:color="auto" w:fill="FFFFFF"/>
            <w:tcMar>
              <w:left w:w="67" w:type="dxa"/>
              <w:right w:w="67" w:type="dxa"/>
            </w:tcMar>
          </w:tcPr>
          <w:p w14:paraId="48C06F63"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180 (86.7%) 0</w:t>
            </w:r>
          </w:p>
        </w:tc>
        <w:tc>
          <w:tcPr>
            <w:tcW w:w="462" w:type="pct"/>
            <w:tcBorders>
              <w:top w:val="nil"/>
              <w:left w:val="nil"/>
              <w:bottom w:val="nil"/>
              <w:right w:val="nil"/>
            </w:tcBorders>
            <w:shd w:val="clear" w:color="auto" w:fill="FFFFFF"/>
            <w:tcMar>
              <w:left w:w="67" w:type="dxa"/>
              <w:right w:w="67" w:type="dxa"/>
            </w:tcMar>
          </w:tcPr>
          <w:p w14:paraId="197E16BD"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376 (83.5%) 0</w:t>
            </w:r>
          </w:p>
        </w:tc>
        <w:tc>
          <w:tcPr>
            <w:tcW w:w="456" w:type="pct"/>
            <w:tcBorders>
              <w:top w:val="nil"/>
              <w:left w:val="nil"/>
              <w:bottom w:val="nil"/>
              <w:right w:val="single" w:sz="11" w:space="0" w:color="000000"/>
            </w:tcBorders>
            <w:shd w:val="clear" w:color="auto" w:fill="FFFFFF"/>
            <w:tcMar>
              <w:left w:w="67" w:type="dxa"/>
              <w:right w:w="67" w:type="dxa"/>
            </w:tcMar>
          </w:tcPr>
          <w:p w14:paraId="153B081C"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556 (84.5%) 0</w:t>
            </w:r>
          </w:p>
        </w:tc>
      </w:tr>
      <w:tr w:rsidR="00E07CDE" w:rsidRPr="00563AD3" w14:paraId="59561149" w14:textId="77777777" w:rsidTr="00C163F3">
        <w:trPr>
          <w:cantSplit/>
          <w:jc w:val="center"/>
        </w:trPr>
        <w:tc>
          <w:tcPr>
            <w:tcW w:w="265" w:type="pct"/>
            <w:tcBorders>
              <w:top w:val="nil"/>
              <w:left w:val="single" w:sz="11" w:space="0" w:color="000000"/>
              <w:bottom w:val="nil"/>
              <w:right w:val="nil"/>
            </w:tcBorders>
            <w:shd w:val="clear" w:color="auto" w:fill="FFFFFF"/>
            <w:tcMar>
              <w:left w:w="67" w:type="dxa"/>
              <w:right w:w="67" w:type="dxa"/>
            </w:tcMar>
          </w:tcPr>
          <w:p w14:paraId="2CE98F90" w14:textId="77777777" w:rsidR="00E07CDE" w:rsidRPr="00563AD3" w:rsidRDefault="00E07CDE" w:rsidP="009B13F3">
            <w:pPr>
              <w:spacing w:before="67" w:after="67"/>
              <w:jc w:val="center"/>
              <w:rPr>
                <w:rFonts w:eastAsia="Times New Roman"/>
                <w:color w:val="000000"/>
                <w:sz w:val="18"/>
                <w:szCs w:val="18"/>
              </w:rPr>
            </w:pPr>
          </w:p>
        </w:tc>
        <w:tc>
          <w:tcPr>
            <w:tcW w:w="584" w:type="pct"/>
            <w:tcBorders>
              <w:top w:val="nil"/>
              <w:left w:val="nil"/>
              <w:bottom w:val="nil"/>
              <w:right w:val="nil"/>
            </w:tcBorders>
            <w:shd w:val="clear" w:color="auto" w:fill="FFFFFF"/>
            <w:tcMar>
              <w:left w:w="67" w:type="dxa"/>
              <w:right w:w="67" w:type="dxa"/>
            </w:tcMar>
          </w:tcPr>
          <w:p w14:paraId="17354308" w14:textId="77777777" w:rsidR="00E07CDE" w:rsidRPr="00563AD3" w:rsidRDefault="00E07CDE" w:rsidP="009B13F3">
            <w:pPr>
              <w:spacing w:before="67" w:after="67"/>
              <w:rPr>
                <w:rFonts w:eastAsia="Times New Roman"/>
                <w:color w:val="000000"/>
                <w:sz w:val="18"/>
                <w:szCs w:val="18"/>
              </w:rPr>
            </w:pPr>
            <w:r w:rsidRPr="00563AD3">
              <w:rPr>
                <w:rFonts w:eastAsia="Times New Roman"/>
                <w:color w:val="000000"/>
                <w:sz w:val="18"/>
                <w:szCs w:val="18"/>
              </w:rPr>
              <w:t>15-30 min interval</w:t>
            </w:r>
          </w:p>
        </w:tc>
        <w:tc>
          <w:tcPr>
            <w:tcW w:w="462" w:type="pct"/>
            <w:tcBorders>
              <w:top w:val="nil"/>
              <w:left w:val="nil"/>
              <w:bottom w:val="nil"/>
              <w:right w:val="nil"/>
            </w:tcBorders>
            <w:shd w:val="clear" w:color="auto" w:fill="FFFFFF"/>
            <w:tcMar>
              <w:left w:w="67" w:type="dxa"/>
              <w:right w:w="67" w:type="dxa"/>
            </w:tcMar>
          </w:tcPr>
          <w:p w14:paraId="71595AD3"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288 (71.9%) 0</w:t>
            </w:r>
          </w:p>
        </w:tc>
        <w:tc>
          <w:tcPr>
            <w:tcW w:w="462" w:type="pct"/>
            <w:tcBorders>
              <w:top w:val="nil"/>
              <w:left w:val="nil"/>
              <w:bottom w:val="nil"/>
              <w:right w:val="nil"/>
            </w:tcBorders>
            <w:shd w:val="clear" w:color="auto" w:fill="FFFFFF"/>
            <w:tcMar>
              <w:left w:w="67" w:type="dxa"/>
              <w:right w:w="67" w:type="dxa"/>
            </w:tcMar>
          </w:tcPr>
          <w:p w14:paraId="0BFE5774"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334 (88.9%) 2</w:t>
            </w:r>
          </w:p>
        </w:tc>
        <w:tc>
          <w:tcPr>
            <w:tcW w:w="462" w:type="pct"/>
            <w:tcBorders>
              <w:top w:val="nil"/>
              <w:left w:val="nil"/>
              <w:bottom w:val="nil"/>
              <w:right w:val="nil"/>
            </w:tcBorders>
            <w:shd w:val="clear" w:color="auto" w:fill="FFFFFF"/>
            <w:tcMar>
              <w:left w:w="67" w:type="dxa"/>
              <w:right w:w="67" w:type="dxa"/>
            </w:tcMar>
          </w:tcPr>
          <w:p w14:paraId="376DA7ED"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622 (81%) 2</w:t>
            </w:r>
          </w:p>
        </w:tc>
        <w:tc>
          <w:tcPr>
            <w:tcW w:w="462" w:type="pct"/>
            <w:tcBorders>
              <w:top w:val="nil"/>
              <w:left w:val="nil"/>
              <w:bottom w:val="nil"/>
              <w:right w:val="nil"/>
            </w:tcBorders>
            <w:shd w:val="clear" w:color="auto" w:fill="FFFFFF"/>
            <w:tcMar>
              <w:left w:w="67" w:type="dxa"/>
              <w:right w:w="67" w:type="dxa"/>
            </w:tcMar>
          </w:tcPr>
          <w:p w14:paraId="04CFFE13"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250 (84%) 0</w:t>
            </w:r>
          </w:p>
        </w:tc>
        <w:tc>
          <w:tcPr>
            <w:tcW w:w="462" w:type="pct"/>
            <w:tcBorders>
              <w:top w:val="nil"/>
              <w:left w:val="nil"/>
              <w:bottom w:val="nil"/>
              <w:right w:val="nil"/>
            </w:tcBorders>
            <w:shd w:val="clear" w:color="auto" w:fill="FFFFFF"/>
            <w:tcMar>
              <w:left w:w="67" w:type="dxa"/>
              <w:right w:w="67" w:type="dxa"/>
            </w:tcMar>
          </w:tcPr>
          <w:p w14:paraId="3A52E39D"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271 (89.7%) 0</w:t>
            </w:r>
          </w:p>
        </w:tc>
        <w:tc>
          <w:tcPr>
            <w:tcW w:w="462" w:type="pct"/>
            <w:tcBorders>
              <w:top w:val="nil"/>
              <w:left w:val="nil"/>
              <w:bottom w:val="nil"/>
              <w:right w:val="nil"/>
            </w:tcBorders>
            <w:shd w:val="clear" w:color="auto" w:fill="FFFFFF"/>
            <w:tcMar>
              <w:left w:w="67" w:type="dxa"/>
              <w:right w:w="67" w:type="dxa"/>
            </w:tcMar>
          </w:tcPr>
          <w:p w14:paraId="18F2C72B"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521 (86.9%) 0</w:t>
            </w:r>
          </w:p>
        </w:tc>
        <w:tc>
          <w:tcPr>
            <w:tcW w:w="462" w:type="pct"/>
            <w:tcBorders>
              <w:top w:val="nil"/>
              <w:left w:val="nil"/>
              <w:bottom w:val="nil"/>
              <w:right w:val="nil"/>
            </w:tcBorders>
            <w:shd w:val="clear" w:color="auto" w:fill="FFFFFF"/>
            <w:tcMar>
              <w:left w:w="67" w:type="dxa"/>
              <w:right w:w="67" w:type="dxa"/>
            </w:tcMar>
          </w:tcPr>
          <w:p w14:paraId="34CF7AE3"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165 (86.1%) 0</w:t>
            </w:r>
          </w:p>
        </w:tc>
        <w:tc>
          <w:tcPr>
            <w:tcW w:w="462" w:type="pct"/>
            <w:tcBorders>
              <w:top w:val="nil"/>
              <w:left w:val="nil"/>
              <w:bottom w:val="nil"/>
              <w:right w:val="nil"/>
            </w:tcBorders>
            <w:shd w:val="clear" w:color="auto" w:fill="FFFFFF"/>
            <w:tcMar>
              <w:left w:w="67" w:type="dxa"/>
              <w:right w:w="67" w:type="dxa"/>
            </w:tcMar>
          </w:tcPr>
          <w:p w14:paraId="16AA2E22"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254 (85.4%) 0</w:t>
            </w:r>
          </w:p>
        </w:tc>
        <w:tc>
          <w:tcPr>
            <w:tcW w:w="456" w:type="pct"/>
            <w:tcBorders>
              <w:top w:val="nil"/>
              <w:left w:val="nil"/>
              <w:bottom w:val="nil"/>
              <w:right w:val="single" w:sz="11" w:space="0" w:color="000000"/>
            </w:tcBorders>
            <w:shd w:val="clear" w:color="auto" w:fill="FFFFFF"/>
            <w:tcMar>
              <w:left w:w="67" w:type="dxa"/>
              <w:right w:w="67" w:type="dxa"/>
            </w:tcMar>
          </w:tcPr>
          <w:p w14:paraId="19B895C3"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419 (85.7%) 0</w:t>
            </w:r>
          </w:p>
        </w:tc>
      </w:tr>
      <w:tr w:rsidR="00E07CDE" w:rsidRPr="00563AD3" w14:paraId="17959EF0" w14:textId="77777777" w:rsidTr="00C163F3">
        <w:trPr>
          <w:cantSplit/>
          <w:jc w:val="center"/>
        </w:trPr>
        <w:tc>
          <w:tcPr>
            <w:tcW w:w="265" w:type="pct"/>
            <w:tcBorders>
              <w:top w:val="nil"/>
              <w:left w:val="single" w:sz="11" w:space="0" w:color="000000"/>
              <w:bottom w:val="nil"/>
              <w:right w:val="nil"/>
            </w:tcBorders>
            <w:shd w:val="clear" w:color="auto" w:fill="FFFFFF"/>
            <w:tcMar>
              <w:left w:w="67" w:type="dxa"/>
              <w:right w:w="67" w:type="dxa"/>
            </w:tcMar>
          </w:tcPr>
          <w:p w14:paraId="55E2073E" w14:textId="77777777" w:rsidR="00E07CDE" w:rsidRPr="00563AD3" w:rsidRDefault="00E07CDE" w:rsidP="009B13F3">
            <w:pPr>
              <w:spacing w:before="67" w:after="67"/>
              <w:jc w:val="center"/>
              <w:rPr>
                <w:rFonts w:eastAsia="Times New Roman"/>
                <w:color w:val="000000"/>
                <w:sz w:val="18"/>
                <w:szCs w:val="18"/>
              </w:rPr>
            </w:pPr>
          </w:p>
        </w:tc>
        <w:tc>
          <w:tcPr>
            <w:tcW w:w="584" w:type="pct"/>
            <w:tcBorders>
              <w:top w:val="nil"/>
              <w:left w:val="nil"/>
              <w:bottom w:val="nil"/>
              <w:right w:val="nil"/>
            </w:tcBorders>
            <w:shd w:val="clear" w:color="auto" w:fill="FFFFFF"/>
            <w:tcMar>
              <w:left w:w="67" w:type="dxa"/>
              <w:right w:w="67" w:type="dxa"/>
            </w:tcMar>
          </w:tcPr>
          <w:p w14:paraId="5B3CBAAD" w14:textId="77777777" w:rsidR="00E07CDE" w:rsidRPr="00563AD3" w:rsidRDefault="00E07CDE" w:rsidP="009B13F3">
            <w:pPr>
              <w:spacing w:before="67" w:after="67"/>
              <w:rPr>
                <w:rFonts w:eastAsia="Times New Roman"/>
                <w:color w:val="000000"/>
                <w:sz w:val="18"/>
                <w:szCs w:val="18"/>
              </w:rPr>
            </w:pPr>
            <w:r w:rsidRPr="00563AD3">
              <w:rPr>
                <w:rFonts w:eastAsia="Times New Roman"/>
                <w:color w:val="000000"/>
                <w:sz w:val="18"/>
                <w:szCs w:val="18"/>
              </w:rPr>
              <w:t>30-45 min interval</w:t>
            </w:r>
          </w:p>
        </w:tc>
        <w:tc>
          <w:tcPr>
            <w:tcW w:w="462" w:type="pct"/>
            <w:tcBorders>
              <w:top w:val="nil"/>
              <w:left w:val="nil"/>
              <w:bottom w:val="nil"/>
              <w:right w:val="nil"/>
            </w:tcBorders>
            <w:shd w:val="clear" w:color="auto" w:fill="FFFFFF"/>
            <w:tcMar>
              <w:left w:w="67" w:type="dxa"/>
              <w:right w:w="67" w:type="dxa"/>
            </w:tcMar>
          </w:tcPr>
          <w:p w14:paraId="43D260EE"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213 (68.5%) 0</w:t>
            </w:r>
          </w:p>
        </w:tc>
        <w:tc>
          <w:tcPr>
            <w:tcW w:w="462" w:type="pct"/>
            <w:tcBorders>
              <w:top w:val="nil"/>
              <w:left w:val="nil"/>
              <w:bottom w:val="nil"/>
              <w:right w:val="nil"/>
            </w:tcBorders>
            <w:shd w:val="clear" w:color="auto" w:fill="FFFFFF"/>
            <w:tcMar>
              <w:left w:w="67" w:type="dxa"/>
              <w:right w:w="67" w:type="dxa"/>
            </w:tcMar>
          </w:tcPr>
          <w:p w14:paraId="78DD5B61"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296 (85.1%) 1</w:t>
            </w:r>
          </w:p>
        </w:tc>
        <w:tc>
          <w:tcPr>
            <w:tcW w:w="462" w:type="pct"/>
            <w:tcBorders>
              <w:top w:val="nil"/>
              <w:left w:val="nil"/>
              <w:bottom w:val="nil"/>
              <w:right w:val="nil"/>
            </w:tcBorders>
            <w:shd w:val="clear" w:color="auto" w:fill="FFFFFF"/>
            <w:tcMar>
              <w:left w:w="67" w:type="dxa"/>
              <w:right w:w="67" w:type="dxa"/>
            </w:tcMar>
          </w:tcPr>
          <w:p w14:paraId="5F079F08"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509 (78.2%) 1</w:t>
            </w:r>
          </w:p>
        </w:tc>
        <w:tc>
          <w:tcPr>
            <w:tcW w:w="462" w:type="pct"/>
            <w:tcBorders>
              <w:top w:val="nil"/>
              <w:left w:val="nil"/>
              <w:bottom w:val="nil"/>
              <w:right w:val="nil"/>
            </w:tcBorders>
            <w:shd w:val="clear" w:color="auto" w:fill="FFFFFF"/>
            <w:tcMar>
              <w:left w:w="67" w:type="dxa"/>
              <w:right w:w="67" w:type="dxa"/>
            </w:tcMar>
          </w:tcPr>
          <w:p w14:paraId="426CED6B"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224 (88.4%) 0</w:t>
            </w:r>
          </w:p>
        </w:tc>
        <w:tc>
          <w:tcPr>
            <w:tcW w:w="462" w:type="pct"/>
            <w:tcBorders>
              <w:top w:val="nil"/>
              <w:left w:val="nil"/>
              <w:bottom w:val="nil"/>
              <w:right w:val="nil"/>
            </w:tcBorders>
            <w:shd w:val="clear" w:color="auto" w:fill="FFFFFF"/>
            <w:tcMar>
              <w:left w:w="67" w:type="dxa"/>
              <w:right w:w="67" w:type="dxa"/>
            </w:tcMar>
          </w:tcPr>
          <w:p w14:paraId="67DCF0D8"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280 (88.6%) 0</w:t>
            </w:r>
          </w:p>
        </w:tc>
        <w:tc>
          <w:tcPr>
            <w:tcW w:w="462" w:type="pct"/>
            <w:tcBorders>
              <w:top w:val="nil"/>
              <w:left w:val="nil"/>
              <w:bottom w:val="nil"/>
              <w:right w:val="nil"/>
            </w:tcBorders>
            <w:shd w:val="clear" w:color="auto" w:fill="FFFFFF"/>
            <w:tcMar>
              <w:left w:w="67" w:type="dxa"/>
              <w:right w:w="67" w:type="dxa"/>
            </w:tcMar>
          </w:tcPr>
          <w:p w14:paraId="2210798B"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504 (88.5%) 0</w:t>
            </w:r>
          </w:p>
        </w:tc>
        <w:tc>
          <w:tcPr>
            <w:tcW w:w="462" w:type="pct"/>
            <w:tcBorders>
              <w:top w:val="nil"/>
              <w:left w:val="nil"/>
              <w:bottom w:val="nil"/>
              <w:right w:val="nil"/>
            </w:tcBorders>
            <w:shd w:val="clear" w:color="auto" w:fill="FFFFFF"/>
            <w:tcMar>
              <w:left w:w="67" w:type="dxa"/>
              <w:right w:w="67" w:type="dxa"/>
            </w:tcMar>
          </w:tcPr>
          <w:p w14:paraId="6D1392A0"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204 (86.3%) 0</w:t>
            </w:r>
          </w:p>
        </w:tc>
        <w:tc>
          <w:tcPr>
            <w:tcW w:w="462" w:type="pct"/>
            <w:tcBorders>
              <w:top w:val="nil"/>
              <w:left w:val="nil"/>
              <w:bottom w:val="nil"/>
              <w:right w:val="nil"/>
            </w:tcBorders>
            <w:shd w:val="clear" w:color="auto" w:fill="FFFFFF"/>
            <w:tcMar>
              <w:left w:w="67" w:type="dxa"/>
              <w:right w:w="67" w:type="dxa"/>
            </w:tcMar>
          </w:tcPr>
          <w:p w14:paraId="22ECE8C1"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285 (81.8%) 1</w:t>
            </w:r>
          </w:p>
        </w:tc>
        <w:tc>
          <w:tcPr>
            <w:tcW w:w="456" w:type="pct"/>
            <w:tcBorders>
              <w:top w:val="nil"/>
              <w:left w:val="nil"/>
              <w:bottom w:val="nil"/>
              <w:right w:val="single" w:sz="11" w:space="0" w:color="000000"/>
            </w:tcBorders>
            <w:shd w:val="clear" w:color="auto" w:fill="FFFFFF"/>
            <w:tcMar>
              <w:left w:w="67" w:type="dxa"/>
              <w:right w:w="67" w:type="dxa"/>
            </w:tcMar>
          </w:tcPr>
          <w:p w14:paraId="75AA0BDA"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489 (83.6%) 1</w:t>
            </w:r>
          </w:p>
        </w:tc>
      </w:tr>
      <w:tr w:rsidR="00E07CDE" w:rsidRPr="00563AD3" w14:paraId="78BE39EB" w14:textId="77777777" w:rsidTr="00C163F3">
        <w:trPr>
          <w:cantSplit/>
          <w:jc w:val="center"/>
        </w:trPr>
        <w:tc>
          <w:tcPr>
            <w:tcW w:w="265" w:type="pct"/>
            <w:tcBorders>
              <w:top w:val="nil"/>
              <w:left w:val="single" w:sz="11" w:space="0" w:color="000000"/>
              <w:bottom w:val="nil"/>
              <w:right w:val="nil"/>
            </w:tcBorders>
            <w:shd w:val="clear" w:color="auto" w:fill="FFFFFF"/>
            <w:tcMar>
              <w:left w:w="67" w:type="dxa"/>
              <w:right w:w="67" w:type="dxa"/>
            </w:tcMar>
          </w:tcPr>
          <w:p w14:paraId="61FF10A9" w14:textId="77777777" w:rsidR="00E07CDE" w:rsidRPr="00563AD3" w:rsidRDefault="00E07CDE" w:rsidP="009B13F3">
            <w:pPr>
              <w:spacing w:before="67" w:after="67"/>
              <w:jc w:val="center"/>
              <w:rPr>
                <w:rFonts w:eastAsia="Times New Roman"/>
                <w:color w:val="000000"/>
                <w:sz w:val="18"/>
                <w:szCs w:val="18"/>
              </w:rPr>
            </w:pPr>
          </w:p>
        </w:tc>
        <w:tc>
          <w:tcPr>
            <w:tcW w:w="584" w:type="pct"/>
            <w:tcBorders>
              <w:top w:val="nil"/>
              <w:left w:val="nil"/>
              <w:bottom w:val="nil"/>
              <w:right w:val="nil"/>
            </w:tcBorders>
            <w:shd w:val="clear" w:color="auto" w:fill="FFFFFF"/>
            <w:tcMar>
              <w:left w:w="67" w:type="dxa"/>
              <w:right w:w="67" w:type="dxa"/>
            </w:tcMar>
          </w:tcPr>
          <w:p w14:paraId="112F1B6F" w14:textId="77777777" w:rsidR="00E07CDE" w:rsidRPr="00563AD3" w:rsidRDefault="00E07CDE" w:rsidP="009B13F3">
            <w:pPr>
              <w:spacing w:before="67" w:after="67"/>
              <w:rPr>
                <w:rFonts w:eastAsia="Times New Roman"/>
                <w:color w:val="000000"/>
                <w:sz w:val="18"/>
                <w:szCs w:val="18"/>
              </w:rPr>
            </w:pPr>
            <w:r w:rsidRPr="00563AD3">
              <w:rPr>
                <w:rFonts w:eastAsia="Times New Roman"/>
                <w:color w:val="000000"/>
                <w:sz w:val="18"/>
                <w:szCs w:val="18"/>
              </w:rPr>
              <w:t>45-60 min interval</w:t>
            </w:r>
          </w:p>
        </w:tc>
        <w:tc>
          <w:tcPr>
            <w:tcW w:w="462" w:type="pct"/>
            <w:tcBorders>
              <w:top w:val="nil"/>
              <w:left w:val="nil"/>
              <w:bottom w:val="nil"/>
              <w:right w:val="nil"/>
            </w:tcBorders>
            <w:shd w:val="clear" w:color="auto" w:fill="FFFFFF"/>
            <w:tcMar>
              <w:left w:w="67" w:type="dxa"/>
              <w:right w:w="67" w:type="dxa"/>
            </w:tcMar>
          </w:tcPr>
          <w:p w14:paraId="573C2459"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264 (83.7%) 0</w:t>
            </w:r>
          </w:p>
        </w:tc>
        <w:tc>
          <w:tcPr>
            <w:tcW w:w="462" w:type="pct"/>
            <w:tcBorders>
              <w:top w:val="nil"/>
              <w:left w:val="nil"/>
              <w:bottom w:val="nil"/>
              <w:right w:val="nil"/>
            </w:tcBorders>
            <w:shd w:val="clear" w:color="auto" w:fill="FFFFFF"/>
            <w:tcMar>
              <w:left w:w="67" w:type="dxa"/>
              <w:right w:w="67" w:type="dxa"/>
            </w:tcMar>
          </w:tcPr>
          <w:p w14:paraId="394B5EEC"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303 (87.1%) 1</w:t>
            </w:r>
          </w:p>
        </w:tc>
        <w:tc>
          <w:tcPr>
            <w:tcW w:w="462" w:type="pct"/>
            <w:tcBorders>
              <w:top w:val="nil"/>
              <w:left w:val="nil"/>
              <w:bottom w:val="nil"/>
              <w:right w:val="nil"/>
            </w:tcBorders>
            <w:shd w:val="clear" w:color="auto" w:fill="FFFFFF"/>
            <w:tcMar>
              <w:left w:w="67" w:type="dxa"/>
              <w:right w:w="67" w:type="dxa"/>
            </w:tcMar>
          </w:tcPr>
          <w:p w14:paraId="1B854F7D"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567 (85.5%) 1</w:t>
            </w:r>
          </w:p>
        </w:tc>
        <w:tc>
          <w:tcPr>
            <w:tcW w:w="462" w:type="pct"/>
            <w:tcBorders>
              <w:top w:val="nil"/>
              <w:left w:val="nil"/>
              <w:bottom w:val="nil"/>
              <w:right w:val="nil"/>
            </w:tcBorders>
            <w:shd w:val="clear" w:color="auto" w:fill="FFFFFF"/>
            <w:tcMar>
              <w:left w:w="67" w:type="dxa"/>
              <w:right w:w="67" w:type="dxa"/>
            </w:tcMar>
          </w:tcPr>
          <w:p w14:paraId="64473A63"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258 (85.7%) 0</w:t>
            </w:r>
          </w:p>
        </w:tc>
        <w:tc>
          <w:tcPr>
            <w:tcW w:w="462" w:type="pct"/>
            <w:tcBorders>
              <w:top w:val="nil"/>
              <w:left w:val="nil"/>
              <w:bottom w:val="nil"/>
              <w:right w:val="nil"/>
            </w:tcBorders>
            <w:shd w:val="clear" w:color="auto" w:fill="FFFFFF"/>
            <w:tcMar>
              <w:left w:w="67" w:type="dxa"/>
              <w:right w:w="67" w:type="dxa"/>
            </w:tcMar>
          </w:tcPr>
          <w:p w14:paraId="1B97C8DA"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226 (81.9%) 0</w:t>
            </w:r>
          </w:p>
        </w:tc>
        <w:tc>
          <w:tcPr>
            <w:tcW w:w="462" w:type="pct"/>
            <w:tcBorders>
              <w:top w:val="nil"/>
              <w:left w:val="nil"/>
              <w:bottom w:val="nil"/>
              <w:right w:val="nil"/>
            </w:tcBorders>
            <w:shd w:val="clear" w:color="auto" w:fill="FFFFFF"/>
            <w:tcMar>
              <w:left w:w="67" w:type="dxa"/>
              <w:right w:w="67" w:type="dxa"/>
            </w:tcMar>
          </w:tcPr>
          <w:p w14:paraId="2901015A"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484 (83.9%) 0</w:t>
            </w:r>
          </w:p>
        </w:tc>
        <w:tc>
          <w:tcPr>
            <w:tcW w:w="462" w:type="pct"/>
            <w:tcBorders>
              <w:top w:val="nil"/>
              <w:left w:val="nil"/>
              <w:bottom w:val="nil"/>
              <w:right w:val="nil"/>
            </w:tcBorders>
            <w:shd w:val="clear" w:color="auto" w:fill="FFFFFF"/>
            <w:tcMar>
              <w:left w:w="67" w:type="dxa"/>
              <w:right w:w="67" w:type="dxa"/>
            </w:tcMar>
          </w:tcPr>
          <w:p w14:paraId="269DAF57"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231 (84%) 0</w:t>
            </w:r>
          </w:p>
        </w:tc>
        <w:tc>
          <w:tcPr>
            <w:tcW w:w="462" w:type="pct"/>
            <w:tcBorders>
              <w:top w:val="nil"/>
              <w:left w:val="nil"/>
              <w:bottom w:val="nil"/>
              <w:right w:val="nil"/>
            </w:tcBorders>
            <w:shd w:val="clear" w:color="auto" w:fill="FFFFFF"/>
            <w:tcMar>
              <w:left w:w="67" w:type="dxa"/>
              <w:right w:w="67" w:type="dxa"/>
            </w:tcMar>
          </w:tcPr>
          <w:p w14:paraId="0A5C67B0"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276 (81.2%) 1</w:t>
            </w:r>
          </w:p>
        </w:tc>
        <w:tc>
          <w:tcPr>
            <w:tcW w:w="456" w:type="pct"/>
            <w:tcBorders>
              <w:top w:val="nil"/>
              <w:left w:val="nil"/>
              <w:bottom w:val="nil"/>
              <w:right w:val="single" w:sz="11" w:space="0" w:color="000000"/>
            </w:tcBorders>
            <w:shd w:val="clear" w:color="auto" w:fill="FFFFFF"/>
            <w:tcMar>
              <w:left w:w="67" w:type="dxa"/>
              <w:right w:w="67" w:type="dxa"/>
            </w:tcMar>
          </w:tcPr>
          <w:p w14:paraId="16027E91"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507 (82.4%) 1</w:t>
            </w:r>
          </w:p>
        </w:tc>
      </w:tr>
      <w:tr w:rsidR="00E07CDE" w:rsidRPr="00563AD3" w14:paraId="50FEF901" w14:textId="77777777" w:rsidTr="00C163F3">
        <w:trPr>
          <w:cantSplit/>
          <w:jc w:val="center"/>
        </w:trPr>
        <w:tc>
          <w:tcPr>
            <w:tcW w:w="265" w:type="pct"/>
            <w:tcBorders>
              <w:top w:val="nil"/>
              <w:left w:val="single" w:sz="11" w:space="0" w:color="000000"/>
              <w:bottom w:val="nil"/>
              <w:right w:val="nil"/>
            </w:tcBorders>
            <w:shd w:val="clear" w:color="auto" w:fill="FFFFFF"/>
            <w:tcMar>
              <w:left w:w="67" w:type="dxa"/>
              <w:right w:w="67" w:type="dxa"/>
            </w:tcMar>
          </w:tcPr>
          <w:p w14:paraId="34C0E3E2" w14:textId="77777777" w:rsidR="00E07CDE" w:rsidRPr="00563AD3" w:rsidRDefault="00E07CDE" w:rsidP="009B13F3">
            <w:pPr>
              <w:spacing w:before="67" w:after="67"/>
              <w:jc w:val="right"/>
              <w:rPr>
                <w:rFonts w:eastAsia="Times New Roman"/>
                <w:color w:val="000000"/>
                <w:sz w:val="18"/>
                <w:szCs w:val="18"/>
              </w:rPr>
            </w:pPr>
            <w:r w:rsidRPr="00563AD3">
              <w:rPr>
                <w:rFonts w:eastAsia="Times New Roman"/>
                <w:color w:val="000000"/>
                <w:sz w:val="18"/>
                <w:szCs w:val="18"/>
              </w:rPr>
              <w:t>PM</w:t>
            </w:r>
          </w:p>
        </w:tc>
        <w:tc>
          <w:tcPr>
            <w:tcW w:w="584" w:type="pct"/>
            <w:tcBorders>
              <w:top w:val="nil"/>
              <w:left w:val="nil"/>
              <w:bottom w:val="nil"/>
              <w:right w:val="nil"/>
            </w:tcBorders>
            <w:shd w:val="clear" w:color="auto" w:fill="FFFFFF"/>
            <w:tcMar>
              <w:left w:w="67" w:type="dxa"/>
              <w:right w:w="67" w:type="dxa"/>
            </w:tcMar>
          </w:tcPr>
          <w:p w14:paraId="66F32426" w14:textId="77777777" w:rsidR="00E07CDE" w:rsidRPr="00563AD3" w:rsidRDefault="00E07CDE" w:rsidP="009B13F3">
            <w:pPr>
              <w:spacing w:before="67" w:after="67"/>
              <w:rPr>
                <w:rFonts w:eastAsia="Times New Roman"/>
                <w:color w:val="000000"/>
                <w:sz w:val="18"/>
                <w:szCs w:val="18"/>
              </w:rPr>
            </w:pPr>
            <w:r w:rsidRPr="00563AD3">
              <w:rPr>
                <w:rFonts w:eastAsia="Times New Roman"/>
                <w:color w:val="000000"/>
                <w:sz w:val="18"/>
                <w:szCs w:val="18"/>
              </w:rPr>
              <w:t>0-15 min interval</w:t>
            </w:r>
          </w:p>
        </w:tc>
        <w:tc>
          <w:tcPr>
            <w:tcW w:w="462" w:type="pct"/>
            <w:tcBorders>
              <w:top w:val="nil"/>
              <w:left w:val="nil"/>
              <w:bottom w:val="nil"/>
              <w:right w:val="nil"/>
            </w:tcBorders>
            <w:shd w:val="clear" w:color="auto" w:fill="FFFFFF"/>
            <w:tcMar>
              <w:left w:w="67" w:type="dxa"/>
              <w:right w:w="67" w:type="dxa"/>
            </w:tcMar>
          </w:tcPr>
          <w:p w14:paraId="18BEB7D9"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298 (81.2%) 0</w:t>
            </w:r>
          </w:p>
        </w:tc>
        <w:tc>
          <w:tcPr>
            <w:tcW w:w="462" w:type="pct"/>
            <w:tcBorders>
              <w:top w:val="nil"/>
              <w:left w:val="nil"/>
              <w:bottom w:val="nil"/>
              <w:right w:val="nil"/>
            </w:tcBorders>
            <w:shd w:val="clear" w:color="auto" w:fill="FFFFFF"/>
            <w:tcMar>
              <w:left w:w="67" w:type="dxa"/>
              <w:right w:w="67" w:type="dxa"/>
            </w:tcMar>
          </w:tcPr>
          <w:p w14:paraId="679FC4D7"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317 (79.5%) 2</w:t>
            </w:r>
          </w:p>
        </w:tc>
        <w:tc>
          <w:tcPr>
            <w:tcW w:w="462" w:type="pct"/>
            <w:tcBorders>
              <w:top w:val="nil"/>
              <w:left w:val="nil"/>
              <w:bottom w:val="nil"/>
              <w:right w:val="nil"/>
            </w:tcBorders>
            <w:shd w:val="clear" w:color="auto" w:fill="FFFFFF"/>
            <w:tcMar>
              <w:left w:w="67" w:type="dxa"/>
              <w:right w:w="67" w:type="dxa"/>
            </w:tcMar>
          </w:tcPr>
          <w:p w14:paraId="774F511B"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615 (80.3%) 2</w:t>
            </w:r>
          </w:p>
        </w:tc>
        <w:tc>
          <w:tcPr>
            <w:tcW w:w="462" w:type="pct"/>
            <w:tcBorders>
              <w:top w:val="nil"/>
              <w:left w:val="nil"/>
              <w:bottom w:val="nil"/>
              <w:right w:val="nil"/>
            </w:tcBorders>
            <w:shd w:val="clear" w:color="auto" w:fill="FFFFFF"/>
            <w:tcMar>
              <w:left w:w="67" w:type="dxa"/>
              <w:right w:w="67" w:type="dxa"/>
            </w:tcMar>
          </w:tcPr>
          <w:p w14:paraId="38E77351"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217 (78.3%) 0</w:t>
            </w:r>
          </w:p>
        </w:tc>
        <w:tc>
          <w:tcPr>
            <w:tcW w:w="462" w:type="pct"/>
            <w:tcBorders>
              <w:top w:val="nil"/>
              <w:left w:val="nil"/>
              <w:bottom w:val="nil"/>
              <w:right w:val="nil"/>
            </w:tcBorders>
            <w:shd w:val="clear" w:color="auto" w:fill="FFFFFF"/>
            <w:tcMar>
              <w:left w:w="67" w:type="dxa"/>
              <w:right w:w="67" w:type="dxa"/>
            </w:tcMar>
          </w:tcPr>
          <w:p w14:paraId="223FC3AB"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341 (90%) 0</w:t>
            </w:r>
          </w:p>
        </w:tc>
        <w:tc>
          <w:tcPr>
            <w:tcW w:w="462" w:type="pct"/>
            <w:tcBorders>
              <w:top w:val="nil"/>
              <w:left w:val="nil"/>
              <w:bottom w:val="nil"/>
              <w:right w:val="nil"/>
            </w:tcBorders>
            <w:shd w:val="clear" w:color="auto" w:fill="FFFFFF"/>
            <w:tcMar>
              <w:left w:w="67" w:type="dxa"/>
              <w:right w:w="67" w:type="dxa"/>
            </w:tcMar>
          </w:tcPr>
          <w:p w14:paraId="0342376A"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558 (85.5%) 0</w:t>
            </w:r>
          </w:p>
        </w:tc>
        <w:tc>
          <w:tcPr>
            <w:tcW w:w="462" w:type="pct"/>
            <w:tcBorders>
              <w:top w:val="nil"/>
              <w:left w:val="nil"/>
              <w:bottom w:val="nil"/>
              <w:right w:val="nil"/>
            </w:tcBorders>
            <w:shd w:val="clear" w:color="auto" w:fill="FFFFFF"/>
            <w:tcMar>
              <w:left w:w="67" w:type="dxa"/>
              <w:right w:w="67" w:type="dxa"/>
            </w:tcMar>
          </w:tcPr>
          <w:p w14:paraId="1E548B24"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211 (80.6%) 0</w:t>
            </w:r>
          </w:p>
        </w:tc>
        <w:tc>
          <w:tcPr>
            <w:tcW w:w="462" w:type="pct"/>
            <w:tcBorders>
              <w:top w:val="nil"/>
              <w:left w:val="nil"/>
              <w:bottom w:val="nil"/>
              <w:right w:val="nil"/>
            </w:tcBorders>
            <w:shd w:val="clear" w:color="auto" w:fill="FFFFFF"/>
            <w:tcMar>
              <w:left w:w="67" w:type="dxa"/>
              <w:right w:w="67" w:type="dxa"/>
            </w:tcMar>
          </w:tcPr>
          <w:p w14:paraId="2C6AAF4F"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324 (83%) 0</w:t>
            </w:r>
          </w:p>
        </w:tc>
        <w:tc>
          <w:tcPr>
            <w:tcW w:w="456" w:type="pct"/>
            <w:tcBorders>
              <w:top w:val="nil"/>
              <w:left w:val="nil"/>
              <w:bottom w:val="nil"/>
              <w:right w:val="single" w:sz="11" w:space="0" w:color="000000"/>
            </w:tcBorders>
            <w:shd w:val="clear" w:color="auto" w:fill="FFFFFF"/>
            <w:tcMar>
              <w:left w:w="67" w:type="dxa"/>
              <w:right w:w="67" w:type="dxa"/>
            </w:tcMar>
          </w:tcPr>
          <w:p w14:paraId="13D44244"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535 (82.1%) 0</w:t>
            </w:r>
          </w:p>
        </w:tc>
      </w:tr>
      <w:tr w:rsidR="00E07CDE" w:rsidRPr="00563AD3" w14:paraId="2DFF710F" w14:textId="77777777" w:rsidTr="00C163F3">
        <w:trPr>
          <w:cantSplit/>
          <w:jc w:val="center"/>
        </w:trPr>
        <w:tc>
          <w:tcPr>
            <w:tcW w:w="265" w:type="pct"/>
            <w:tcBorders>
              <w:top w:val="nil"/>
              <w:left w:val="single" w:sz="11" w:space="0" w:color="000000"/>
              <w:bottom w:val="nil"/>
              <w:right w:val="nil"/>
            </w:tcBorders>
            <w:shd w:val="clear" w:color="auto" w:fill="FFFFFF"/>
            <w:tcMar>
              <w:left w:w="67" w:type="dxa"/>
              <w:right w:w="67" w:type="dxa"/>
            </w:tcMar>
          </w:tcPr>
          <w:p w14:paraId="60A36E15" w14:textId="77777777" w:rsidR="00E07CDE" w:rsidRPr="00563AD3" w:rsidRDefault="00E07CDE" w:rsidP="009B13F3">
            <w:pPr>
              <w:spacing w:before="67" w:after="67"/>
              <w:jc w:val="center"/>
              <w:rPr>
                <w:rFonts w:eastAsia="Times New Roman"/>
                <w:color w:val="000000"/>
                <w:sz w:val="18"/>
                <w:szCs w:val="18"/>
              </w:rPr>
            </w:pPr>
          </w:p>
        </w:tc>
        <w:tc>
          <w:tcPr>
            <w:tcW w:w="584" w:type="pct"/>
            <w:tcBorders>
              <w:top w:val="nil"/>
              <w:left w:val="nil"/>
              <w:bottom w:val="nil"/>
              <w:right w:val="nil"/>
            </w:tcBorders>
            <w:shd w:val="clear" w:color="auto" w:fill="FFFFFF"/>
            <w:tcMar>
              <w:left w:w="67" w:type="dxa"/>
              <w:right w:w="67" w:type="dxa"/>
            </w:tcMar>
          </w:tcPr>
          <w:p w14:paraId="78C309D8" w14:textId="77777777" w:rsidR="00E07CDE" w:rsidRPr="00563AD3" w:rsidRDefault="00E07CDE" w:rsidP="009B13F3">
            <w:pPr>
              <w:spacing w:before="67" w:after="67"/>
              <w:rPr>
                <w:rFonts w:eastAsia="Times New Roman"/>
                <w:color w:val="000000"/>
                <w:sz w:val="18"/>
                <w:szCs w:val="18"/>
              </w:rPr>
            </w:pPr>
            <w:r w:rsidRPr="00563AD3">
              <w:rPr>
                <w:rFonts w:eastAsia="Times New Roman"/>
                <w:color w:val="000000"/>
                <w:sz w:val="18"/>
                <w:szCs w:val="18"/>
              </w:rPr>
              <w:t>15-30 min interval</w:t>
            </w:r>
          </w:p>
        </w:tc>
        <w:tc>
          <w:tcPr>
            <w:tcW w:w="462" w:type="pct"/>
            <w:tcBorders>
              <w:top w:val="nil"/>
              <w:left w:val="nil"/>
              <w:bottom w:val="nil"/>
              <w:right w:val="nil"/>
            </w:tcBorders>
            <w:shd w:val="clear" w:color="auto" w:fill="FFFFFF"/>
            <w:tcMar>
              <w:left w:w="67" w:type="dxa"/>
              <w:right w:w="67" w:type="dxa"/>
            </w:tcMar>
          </w:tcPr>
          <w:p w14:paraId="6D5DAB16"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264 (75.4%) 0</w:t>
            </w:r>
          </w:p>
        </w:tc>
        <w:tc>
          <w:tcPr>
            <w:tcW w:w="462" w:type="pct"/>
            <w:tcBorders>
              <w:top w:val="nil"/>
              <w:left w:val="nil"/>
              <w:bottom w:val="nil"/>
              <w:right w:val="nil"/>
            </w:tcBorders>
            <w:shd w:val="clear" w:color="auto" w:fill="FFFFFF"/>
            <w:tcMar>
              <w:left w:w="67" w:type="dxa"/>
              <w:right w:w="67" w:type="dxa"/>
            </w:tcMar>
          </w:tcPr>
          <w:p w14:paraId="3D796281"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312 (76.9%) 2</w:t>
            </w:r>
          </w:p>
        </w:tc>
        <w:tc>
          <w:tcPr>
            <w:tcW w:w="462" w:type="pct"/>
            <w:tcBorders>
              <w:top w:val="nil"/>
              <w:left w:val="nil"/>
              <w:bottom w:val="nil"/>
              <w:right w:val="nil"/>
            </w:tcBorders>
            <w:shd w:val="clear" w:color="auto" w:fill="FFFFFF"/>
            <w:tcMar>
              <w:left w:w="67" w:type="dxa"/>
              <w:right w:w="67" w:type="dxa"/>
            </w:tcMar>
          </w:tcPr>
          <w:p w14:paraId="74C4BDE9"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576 (76.2%) 2</w:t>
            </w:r>
          </w:p>
        </w:tc>
        <w:tc>
          <w:tcPr>
            <w:tcW w:w="462" w:type="pct"/>
            <w:tcBorders>
              <w:top w:val="nil"/>
              <w:left w:val="nil"/>
              <w:bottom w:val="nil"/>
              <w:right w:val="nil"/>
            </w:tcBorders>
            <w:shd w:val="clear" w:color="auto" w:fill="FFFFFF"/>
            <w:tcMar>
              <w:left w:w="67" w:type="dxa"/>
              <w:right w:w="67" w:type="dxa"/>
            </w:tcMar>
          </w:tcPr>
          <w:p w14:paraId="3AB685B0"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168 (81.5%) 0</w:t>
            </w:r>
          </w:p>
        </w:tc>
        <w:tc>
          <w:tcPr>
            <w:tcW w:w="462" w:type="pct"/>
            <w:tcBorders>
              <w:top w:val="nil"/>
              <w:left w:val="nil"/>
              <w:bottom w:val="nil"/>
              <w:right w:val="nil"/>
            </w:tcBorders>
            <w:shd w:val="clear" w:color="auto" w:fill="FFFFFF"/>
            <w:tcMar>
              <w:left w:w="67" w:type="dxa"/>
              <w:right w:w="67" w:type="dxa"/>
            </w:tcMar>
          </w:tcPr>
          <w:p w14:paraId="0733761A"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272 (86.8%) 0</w:t>
            </w:r>
          </w:p>
        </w:tc>
        <w:tc>
          <w:tcPr>
            <w:tcW w:w="462" w:type="pct"/>
            <w:tcBorders>
              <w:top w:val="nil"/>
              <w:left w:val="nil"/>
              <w:bottom w:val="nil"/>
              <w:right w:val="nil"/>
            </w:tcBorders>
            <w:shd w:val="clear" w:color="auto" w:fill="FFFFFF"/>
            <w:tcMar>
              <w:left w:w="67" w:type="dxa"/>
              <w:right w:w="67" w:type="dxa"/>
            </w:tcMar>
          </w:tcPr>
          <w:p w14:paraId="5C4669A8"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440 (84.8%) 0</w:t>
            </w:r>
          </w:p>
        </w:tc>
        <w:tc>
          <w:tcPr>
            <w:tcW w:w="462" w:type="pct"/>
            <w:tcBorders>
              <w:top w:val="nil"/>
              <w:left w:val="nil"/>
              <w:bottom w:val="nil"/>
              <w:right w:val="nil"/>
            </w:tcBorders>
            <w:shd w:val="clear" w:color="auto" w:fill="FFFFFF"/>
            <w:tcMar>
              <w:left w:w="67" w:type="dxa"/>
              <w:right w:w="67" w:type="dxa"/>
            </w:tcMar>
          </w:tcPr>
          <w:p w14:paraId="1450444D"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216 (80.6%) 0</w:t>
            </w:r>
          </w:p>
        </w:tc>
        <w:tc>
          <w:tcPr>
            <w:tcW w:w="462" w:type="pct"/>
            <w:tcBorders>
              <w:top w:val="nil"/>
              <w:left w:val="nil"/>
              <w:bottom w:val="nil"/>
              <w:right w:val="nil"/>
            </w:tcBorders>
            <w:shd w:val="clear" w:color="auto" w:fill="FFFFFF"/>
            <w:tcMar>
              <w:left w:w="67" w:type="dxa"/>
              <w:right w:w="67" w:type="dxa"/>
            </w:tcMar>
          </w:tcPr>
          <w:p w14:paraId="6658F185"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316 (81%) 0</w:t>
            </w:r>
          </w:p>
        </w:tc>
        <w:tc>
          <w:tcPr>
            <w:tcW w:w="456" w:type="pct"/>
            <w:tcBorders>
              <w:top w:val="nil"/>
              <w:left w:val="nil"/>
              <w:bottom w:val="nil"/>
              <w:right w:val="single" w:sz="11" w:space="0" w:color="000000"/>
            </w:tcBorders>
            <w:shd w:val="clear" w:color="auto" w:fill="FFFFFF"/>
            <w:tcMar>
              <w:left w:w="67" w:type="dxa"/>
              <w:right w:w="67" w:type="dxa"/>
            </w:tcMar>
          </w:tcPr>
          <w:p w14:paraId="7D367A51"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532 (80.8%) 0</w:t>
            </w:r>
          </w:p>
        </w:tc>
      </w:tr>
      <w:tr w:rsidR="00E07CDE" w:rsidRPr="00563AD3" w14:paraId="6C943716" w14:textId="77777777" w:rsidTr="00C163F3">
        <w:trPr>
          <w:cantSplit/>
          <w:jc w:val="center"/>
        </w:trPr>
        <w:tc>
          <w:tcPr>
            <w:tcW w:w="265" w:type="pct"/>
            <w:tcBorders>
              <w:top w:val="nil"/>
              <w:left w:val="single" w:sz="11" w:space="0" w:color="000000"/>
              <w:bottom w:val="nil"/>
              <w:right w:val="nil"/>
            </w:tcBorders>
            <w:shd w:val="clear" w:color="auto" w:fill="FFFFFF"/>
            <w:tcMar>
              <w:left w:w="67" w:type="dxa"/>
              <w:right w:w="67" w:type="dxa"/>
            </w:tcMar>
          </w:tcPr>
          <w:p w14:paraId="3BA11B33" w14:textId="77777777" w:rsidR="00E07CDE" w:rsidRPr="00563AD3" w:rsidRDefault="00E07CDE" w:rsidP="009B13F3">
            <w:pPr>
              <w:keepNext/>
              <w:spacing w:before="67" w:after="67"/>
              <w:jc w:val="center"/>
              <w:rPr>
                <w:rFonts w:eastAsia="Times New Roman"/>
                <w:color w:val="000000"/>
                <w:sz w:val="18"/>
                <w:szCs w:val="18"/>
              </w:rPr>
            </w:pPr>
          </w:p>
        </w:tc>
        <w:tc>
          <w:tcPr>
            <w:tcW w:w="584" w:type="pct"/>
            <w:tcBorders>
              <w:top w:val="nil"/>
              <w:left w:val="nil"/>
              <w:bottom w:val="nil"/>
              <w:right w:val="nil"/>
            </w:tcBorders>
            <w:shd w:val="clear" w:color="auto" w:fill="FFFFFF"/>
            <w:tcMar>
              <w:left w:w="67" w:type="dxa"/>
              <w:right w:w="67" w:type="dxa"/>
            </w:tcMar>
          </w:tcPr>
          <w:p w14:paraId="2E9D49B2" w14:textId="77777777" w:rsidR="00E07CDE" w:rsidRPr="00563AD3" w:rsidRDefault="00E07CDE" w:rsidP="009B13F3">
            <w:pPr>
              <w:keepNext/>
              <w:spacing w:before="67" w:after="67"/>
              <w:rPr>
                <w:rFonts w:eastAsia="Times New Roman"/>
                <w:color w:val="000000"/>
                <w:sz w:val="18"/>
                <w:szCs w:val="18"/>
              </w:rPr>
            </w:pPr>
            <w:r w:rsidRPr="00563AD3">
              <w:rPr>
                <w:rFonts w:eastAsia="Times New Roman"/>
                <w:color w:val="000000"/>
                <w:sz w:val="18"/>
                <w:szCs w:val="18"/>
              </w:rPr>
              <w:t>30-45 min interval</w:t>
            </w:r>
          </w:p>
        </w:tc>
        <w:tc>
          <w:tcPr>
            <w:tcW w:w="462" w:type="pct"/>
            <w:tcBorders>
              <w:top w:val="nil"/>
              <w:left w:val="nil"/>
              <w:bottom w:val="nil"/>
              <w:right w:val="nil"/>
            </w:tcBorders>
            <w:shd w:val="clear" w:color="auto" w:fill="FFFFFF"/>
            <w:tcMar>
              <w:left w:w="67" w:type="dxa"/>
              <w:right w:w="67" w:type="dxa"/>
            </w:tcMar>
          </w:tcPr>
          <w:p w14:paraId="63210728" w14:textId="77777777" w:rsidR="00E07CDE" w:rsidRPr="00083982" w:rsidRDefault="00E07CDE" w:rsidP="009B13F3">
            <w:pPr>
              <w:keepNext/>
              <w:spacing w:before="67" w:after="67"/>
              <w:jc w:val="right"/>
              <w:rPr>
                <w:rFonts w:eastAsia="Times New Roman"/>
                <w:color w:val="000000"/>
                <w:sz w:val="16"/>
                <w:szCs w:val="16"/>
              </w:rPr>
            </w:pPr>
            <w:r w:rsidRPr="00083982">
              <w:rPr>
                <w:rFonts w:eastAsia="Times New Roman"/>
                <w:color w:val="000000"/>
                <w:sz w:val="16"/>
                <w:szCs w:val="16"/>
              </w:rPr>
              <w:t>246 (72.4%) 0</w:t>
            </w:r>
          </w:p>
        </w:tc>
        <w:tc>
          <w:tcPr>
            <w:tcW w:w="462" w:type="pct"/>
            <w:tcBorders>
              <w:top w:val="nil"/>
              <w:left w:val="nil"/>
              <w:bottom w:val="nil"/>
              <w:right w:val="nil"/>
            </w:tcBorders>
            <w:shd w:val="clear" w:color="auto" w:fill="FFFFFF"/>
            <w:tcMar>
              <w:left w:w="67" w:type="dxa"/>
              <w:right w:w="67" w:type="dxa"/>
            </w:tcMar>
          </w:tcPr>
          <w:p w14:paraId="051C6D0A" w14:textId="77777777" w:rsidR="00E07CDE" w:rsidRPr="00083982" w:rsidRDefault="00E07CDE" w:rsidP="009B13F3">
            <w:pPr>
              <w:keepNext/>
              <w:spacing w:before="67" w:after="67"/>
              <w:jc w:val="right"/>
              <w:rPr>
                <w:rFonts w:eastAsia="Times New Roman"/>
                <w:color w:val="000000"/>
                <w:sz w:val="16"/>
                <w:szCs w:val="16"/>
              </w:rPr>
            </w:pPr>
            <w:r w:rsidRPr="00083982">
              <w:rPr>
                <w:rFonts w:eastAsia="Times New Roman"/>
                <w:color w:val="000000"/>
                <w:sz w:val="16"/>
                <w:szCs w:val="16"/>
              </w:rPr>
              <w:t>291 (74.9%) 1</w:t>
            </w:r>
          </w:p>
        </w:tc>
        <w:tc>
          <w:tcPr>
            <w:tcW w:w="462" w:type="pct"/>
            <w:tcBorders>
              <w:top w:val="nil"/>
              <w:left w:val="nil"/>
              <w:bottom w:val="nil"/>
              <w:right w:val="nil"/>
            </w:tcBorders>
            <w:shd w:val="clear" w:color="auto" w:fill="FFFFFF"/>
            <w:tcMar>
              <w:left w:w="67" w:type="dxa"/>
              <w:right w:w="67" w:type="dxa"/>
            </w:tcMar>
          </w:tcPr>
          <w:p w14:paraId="2E8FD480" w14:textId="77777777" w:rsidR="00E07CDE" w:rsidRPr="00083982" w:rsidRDefault="00E07CDE" w:rsidP="009B13F3">
            <w:pPr>
              <w:keepNext/>
              <w:spacing w:before="67" w:after="67"/>
              <w:jc w:val="right"/>
              <w:rPr>
                <w:rFonts w:eastAsia="Times New Roman"/>
                <w:color w:val="000000"/>
                <w:sz w:val="16"/>
                <w:szCs w:val="16"/>
              </w:rPr>
            </w:pPr>
            <w:r w:rsidRPr="00083982">
              <w:rPr>
                <w:rFonts w:eastAsia="Times New Roman"/>
                <w:color w:val="000000"/>
                <w:sz w:val="16"/>
                <w:szCs w:val="16"/>
              </w:rPr>
              <w:t>537 (73.7%) 1</w:t>
            </w:r>
          </w:p>
        </w:tc>
        <w:tc>
          <w:tcPr>
            <w:tcW w:w="462" w:type="pct"/>
            <w:tcBorders>
              <w:top w:val="nil"/>
              <w:left w:val="nil"/>
              <w:bottom w:val="nil"/>
              <w:right w:val="nil"/>
            </w:tcBorders>
            <w:shd w:val="clear" w:color="auto" w:fill="FFFFFF"/>
            <w:tcMar>
              <w:left w:w="67" w:type="dxa"/>
              <w:right w:w="67" w:type="dxa"/>
            </w:tcMar>
          </w:tcPr>
          <w:p w14:paraId="5ED8115C" w14:textId="77777777" w:rsidR="00E07CDE" w:rsidRPr="00083982" w:rsidRDefault="00E07CDE" w:rsidP="009B13F3">
            <w:pPr>
              <w:keepNext/>
              <w:spacing w:before="67" w:after="67"/>
              <w:jc w:val="right"/>
              <w:rPr>
                <w:rFonts w:eastAsia="Times New Roman"/>
                <w:color w:val="000000"/>
                <w:sz w:val="16"/>
                <w:szCs w:val="16"/>
              </w:rPr>
            </w:pPr>
            <w:r w:rsidRPr="00083982">
              <w:rPr>
                <w:rFonts w:eastAsia="Times New Roman"/>
                <w:color w:val="000000"/>
                <w:sz w:val="16"/>
                <w:szCs w:val="16"/>
              </w:rPr>
              <w:t>188 (69.7%) 0</w:t>
            </w:r>
          </w:p>
        </w:tc>
        <w:tc>
          <w:tcPr>
            <w:tcW w:w="462" w:type="pct"/>
            <w:tcBorders>
              <w:top w:val="nil"/>
              <w:left w:val="nil"/>
              <w:bottom w:val="nil"/>
              <w:right w:val="nil"/>
            </w:tcBorders>
            <w:shd w:val="clear" w:color="auto" w:fill="FFFFFF"/>
            <w:tcMar>
              <w:left w:w="67" w:type="dxa"/>
              <w:right w:w="67" w:type="dxa"/>
            </w:tcMar>
          </w:tcPr>
          <w:p w14:paraId="221ECE9D" w14:textId="77777777" w:rsidR="00E07CDE" w:rsidRPr="00083982" w:rsidRDefault="00E07CDE" w:rsidP="009B13F3">
            <w:pPr>
              <w:keepNext/>
              <w:spacing w:before="67" w:after="67"/>
              <w:jc w:val="right"/>
              <w:rPr>
                <w:rFonts w:eastAsia="Times New Roman"/>
                <w:color w:val="000000"/>
                <w:sz w:val="16"/>
                <w:szCs w:val="16"/>
              </w:rPr>
            </w:pPr>
            <w:r w:rsidRPr="00083982">
              <w:rPr>
                <w:rFonts w:eastAsia="Times New Roman"/>
                <w:color w:val="000000"/>
                <w:sz w:val="16"/>
                <w:szCs w:val="16"/>
              </w:rPr>
              <w:t>319 (89.7%) 0</w:t>
            </w:r>
          </w:p>
        </w:tc>
        <w:tc>
          <w:tcPr>
            <w:tcW w:w="462" w:type="pct"/>
            <w:tcBorders>
              <w:top w:val="nil"/>
              <w:left w:val="nil"/>
              <w:bottom w:val="nil"/>
              <w:right w:val="nil"/>
            </w:tcBorders>
            <w:shd w:val="clear" w:color="auto" w:fill="FFFFFF"/>
            <w:tcMar>
              <w:left w:w="67" w:type="dxa"/>
              <w:right w:w="67" w:type="dxa"/>
            </w:tcMar>
          </w:tcPr>
          <w:p w14:paraId="12E92EDC" w14:textId="77777777" w:rsidR="00E07CDE" w:rsidRPr="00083982" w:rsidRDefault="00E07CDE" w:rsidP="009B13F3">
            <w:pPr>
              <w:keepNext/>
              <w:spacing w:before="67" w:after="67"/>
              <w:jc w:val="right"/>
              <w:rPr>
                <w:rFonts w:eastAsia="Times New Roman"/>
                <w:color w:val="000000"/>
                <w:sz w:val="16"/>
                <w:szCs w:val="16"/>
              </w:rPr>
            </w:pPr>
            <w:r w:rsidRPr="00083982">
              <w:rPr>
                <w:rFonts w:eastAsia="Times New Roman"/>
                <w:color w:val="000000"/>
                <w:sz w:val="16"/>
                <w:szCs w:val="16"/>
              </w:rPr>
              <w:t>507 (82.2%) 0</w:t>
            </w:r>
          </w:p>
        </w:tc>
        <w:tc>
          <w:tcPr>
            <w:tcW w:w="462" w:type="pct"/>
            <w:tcBorders>
              <w:top w:val="nil"/>
              <w:left w:val="nil"/>
              <w:bottom w:val="nil"/>
              <w:right w:val="nil"/>
            </w:tcBorders>
            <w:shd w:val="clear" w:color="auto" w:fill="FFFFFF"/>
            <w:tcMar>
              <w:left w:w="67" w:type="dxa"/>
              <w:right w:w="67" w:type="dxa"/>
            </w:tcMar>
          </w:tcPr>
          <w:p w14:paraId="16B76EE3" w14:textId="77777777" w:rsidR="00E07CDE" w:rsidRPr="00083982" w:rsidRDefault="00E07CDE" w:rsidP="009B13F3">
            <w:pPr>
              <w:keepNext/>
              <w:spacing w:before="67" w:after="67"/>
              <w:jc w:val="right"/>
              <w:rPr>
                <w:rFonts w:eastAsia="Times New Roman"/>
                <w:color w:val="000000"/>
                <w:sz w:val="16"/>
                <w:szCs w:val="16"/>
              </w:rPr>
            </w:pPr>
            <w:r w:rsidRPr="00083982">
              <w:rPr>
                <w:rFonts w:eastAsia="Times New Roman"/>
                <w:color w:val="000000"/>
                <w:sz w:val="16"/>
                <w:szCs w:val="16"/>
              </w:rPr>
              <w:t>200 (83%) 0</w:t>
            </w:r>
          </w:p>
        </w:tc>
        <w:tc>
          <w:tcPr>
            <w:tcW w:w="462" w:type="pct"/>
            <w:tcBorders>
              <w:top w:val="nil"/>
              <w:left w:val="nil"/>
              <w:bottom w:val="nil"/>
              <w:right w:val="nil"/>
            </w:tcBorders>
            <w:shd w:val="clear" w:color="auto" w:fill="FFFFFF"/>
            <w:tcMar>
              <w:left w:w="67" w:type="dxa"/>
              <w:right w:w="67" w:type="dxa"/>
            </w:tcMar>
          </w:tcPr>
          <w:p w14:paraId="1625C073" w14:textId="77777777" w:rsidR="00E07CDE" w:rsidRPr="00083982" w:rsidRDefault="00E07CDE" w:rsidP="009B13F3">
            <w:pPr>
              <w:keepNext/>
              <w:spacing w:before="67" w:after="67"/>
              <w:jc w:val="right"/>
              <w:rPr>
                <w:rFonts w:eastAsia="Times New Roman"/>
                <w:color w:val="000000"/>
                <w:sz w:val="16"/>
                <w:szCs w:val="16"/>
              </w:rPr>
            </w:pPr>
            <w:r w:rsidRPr="00083982">
              <w:rPr>
                <w:rFonts w:eastAsia="Times New Roman"/>
                <w:color w:val="000000"/>
                <w:sz w:val="16"/>
                <w:szCs w:val="16"/>
              </w:rPr>
              <w:t>256 (86.3%) 0</w:t>
            </w:r>
          </w:p>
        </w:tc>
        <w:tc>
          <w:tcPr>
            <w:tcW w:w="456" w:type="pct"/>
            <w:tcBorders>
              <w:top w:val="nil"/>
              <w:left w:val="nil"/>
              <w:bottom w:val="nil"/>
              <w:right w:val="single" w:sz="11" w:space="0" w:color="000000"/>
            </w:tcBorders>
            <w:shd w:val="clear" w:color="auto" w:fill="FFFFFF"/>
            <w:tcMar>
              <w:left w:w="67" w:type="dxa"/>
              <w:right w:w="67" w:type="dxa"/>
            </w:tcMar>
          </w:tcPr>
          <w:p w14:paraId="4154C848" w14:textId="77777777" w:rsidR="00E07CDE" w:rsidRPr="00083982" w:rsidRDefault="00E07CDE" w:rsidP="009B13F3">
            <w:pPr>
              <w:keepNext/>
              <w:spacing w:before="67" w:after="67"/>
              <w:jc w:val="right"/>
              <w:rPr>
                <w:rFonts w:eastAsia="Times New Roman"/>
                <w:color w:val="000000"/>
                <w:sz w:val="16"/>
                <w:szCs w:val="16"/>
              </w:rPr>
            </w:pPr>
            <w:r w:rsidRPr="00083982">
              <w:rPr>
                <w:rFonts w:eastAsia="Times New Roman"/>
                <w:color w:val="000000"/>
                <w:sz w:val="16"/>
                <w:szCs w:val="16"/>
              </w:rPr>
              <w:t>456 (84.9%) 0</w:t>
            </w:r>
          </w:p>
        </w:tc>
      </w:tr>
      <w:tr w:rsidR="00E07CDE" w:rsidRPr="00563AD3" w14:paraId="7E63E4BC" w14:textId="77777777" w:rsidTr="00C163F3">
        <w:trPr>
          <w:cantSplit/>
          <w:jc w:val="center"/>
        </w:trPr>
        <w:tc>
          <w:tcPr>
            <w:tcW w:w="265" w:type="pct"/>
            <w:tcBorders>
              <w:top w:val="nil"/>
              <w:left w:val="single" w:sz="11" w:space="0" w:color="000000"/>
              <w:bottom w:val="nil"/>
              <w:right w:val="nil"/>
            </w:tcBorders>
            <w:shd w:val="clear" w:color="auto" w:fill="FFFFFF"/>
            <w:tcMar>
              <w:left w:w="67" w:type="dxa"/>
              <w:right w:w="67" w:type="dxa"/>
            </w:tcMar>
          </w:tcPr>
          <w:p w14:paraId="0D124B65" w14:textId="77777777" w:rsidR="00E07CDE" w:rsidRPr="00563AD3" w:rsidRDefault="00E07CDE" w:rsidP="009B13F3">
            <w:pPr>
              <w:spacing w:before="67" w:after="67"/>
              <w:jc w:val="center"/>
              <w:rPr>
                <w:rFonts w:eastAsia="Times New Roman"/>
                <w:color w:val="000000"/>
                <w:sz w:val="18"/>
                <w:szCs w:val="18"/>
              </w:rPr>
            </w:pPr>
          </w:p>
        </w:tc>
        <w:tc>
          <w:tcPr>
            <w:tcW w:w="584" w:type="pct"/>
            <w:tcBorders>
              <w:top w:val="nil"/>
              <w:left w:val="nil"/>
              <w:bottom w:val="nil"/>
              <w:right w:val="nil"/>
            </w:tcBorders>
            <w:shd w:val="clear" w:color="auto" w:fill="FFFFFF"/>
            <w:tcMar>
              <w:left w:w="67" w:type="dxa"/>
              <w:right w:w="67" w:type="dxa"/>
            </w:tcMar>
          </w:tcPr>
          <w:p w14:paraId="11E313AC" w14:textId="77777777" w:rsidR="00E07CDE" w:rsidRPr="00563AD3" w:rsidRDefault="00E07CDE" w:rsidP="009B13F3">
            <w:pPr>
              <w:spacing w:before="67" w:after="67"/>
              <w:rPr>
                <w:rFonts w:eastAsia="Times New Roman"/>
                <w:color w:val="000000"/>
                <w:sz w:val="18"/>
                <w:szCs w:val="18"/>
              </w:rPr>
            </w:pPr>
            <w:r w:rsidRPr="00563AD3">
              <w:rPr>
                <w:rFonts w:eastAsia="Times New Roman"/>
                <w:color w:val="000000"/>
                <w:sz w:val="18"/>
                <w:szCs w:val="18"/>
              </w:rPr>
              <w:t>45-60 min interval</w:t>
            </w:r>
          </w:p>
        </w:tc>
        <w:tc>
          <w:tcPr>
            <w:tcW w:w="462" w:type="pct"/>
            <w:tcBorders>
              <w:top w:val="nil"/>
              <w:left w:val="nil"/>
              <w:bottom w:val="nil"/>
              <w:right w:val="nil"/>
            </w:tcBorders>
            <w:shd w:val="clear" w:color="auto" w:fill="FFFFFF"/>
            <w:tcMar>
              <w:left w:w="67" w:type="dxa"/>
              <w:right w:w="67" w:type="dxa"/>
            </w:tcMar>
          </w:tcPr>
          <w:p w14:paraId="4F7666E1"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237 (67.9%) 0</w:t>
            </w:r>
          </w:p>
        </w:tc>
        <w:tc>
          <w:tcPr>
            <w:tcW w:w="462" w:type="pct"/>
            <w:tcBorders>
              <w:top w:val="nil"/>
              <w:left w:val="nil"/>
              <w:bottom w:val="nil"/>
              <w:right w:val="nil"/>
            </w:tcBorders>
            <w:shd w:val="clear" w:color="auto" w:fill="FFFFFF"/>
            <w:tcMar>
              <w:left w:w="67" w:type="dxa"/>
              <w:right w:w="67" w:type="dxa"/>
            </w:tcMar>
          </w:tcPr>
          <w:p w14:paraId="0C55A4D3"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255 (76.1%) 1</w:t>
            </w:r>
          </w:p>
        </w:tc>
        <w:tc>
          <w:tcPr>
            <w:tcW w:w="462" w:type="pct"/>
            <w:tcBorders>
              <w:top w:val="nil"/>
              <w:left w:val="nil"/>
              <w:bottom w:val="nil"/>
              <w:right w:val="nil"/>
            </w:tcBorders>
            <w:shd w:val="clear" w:color="auto" w:fill="FFFFFF"/>
            <w:tcMar>
              <w:left w:w="67" w:type="dxa"/>
              <w:right w:w="67" w:type="dxa"/>
            </w:tcMar>
          </w:tcPr>
          <w:p w14:paraId="4CA0F962"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492 (72.2%) 1</w:t>
            </w:r>
          </w:p>
        </w:tc>
        <w:tc>
          <w:tcPr>
            <w:tcW w:w="462" w:type="pct"/>
            <w:tcBorders>
              <w:top w:val="nil"/>
              <w:left w:val="nil"/>
              <w:bottom w:val="nil"/>
              <w:right w:val="nil"/>
            </w:tcBorders>
            <w:shd w:val="clear" w:color="auto" w:fill="FFFFFF"/>
            <w:tcMar>
              <w:left w:w="67" w:type="dxa"/>
              <w:right w:w="67" w:type="dxa"/>
            </w:tcMar>
          </w:tcPr>
          <w:p w14:paraId="568C106C"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193 (70.5%) 0</w:t>
            </w:r>
          </w:p>
        </w:tc>
        <w:tc>
          <w:tcPr>
            <w:tcW w:w="462" w:type="pct"/>
            <w:tcBorders>
              <w:top w:val="nil"/>
              <w:left w:val="nil"/>
              <w:bottom w:val="nil"/>
              <w:right w:val="nil"/>
            </w:tcBorders>
            <w:shd w:val="clear" w:color="auto" w:fill="FFFFFF"/>
            <w:tcMar>
              <w:left w:w="67" w:type="dxa"/>
              <w:right w:w="67" w:type="dxa"/>
            </w:tcMar>
          </w:tcPr>
          <w:p w14:paraId="565EE7AF"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299 (88.6%) 0</w:t>
            </w:r>
          </w:p>
        </w:tc>
        <w:tc>
          <w:tcPr>
            <w:tcW w:w="462" w:type="pct"/>
            <w:tcBorders>
              <w:top w:val="nil"/>
              <w:left w:val="nil"/>
              <w:bottom w:val="nil"/>
              <w:right w:val="nil"/>
            </w:tcBorders>
            <w:shd w:val="clear" w:color="auto" w:fill="FFFFFF"/>
            <w:tcMar>
              <w:left w:w="67" w:type="dxa"/>
              <w:right w:w="67" w:type="dxa"/>
            </w:tcMar>
          </w:tcPr>
          <w:p w14:paraId="11EB065C"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492 (81.5%) 0</w:t>
            </w:r>
          </w:p>
        </w:tc>
        <w:tc>
          <w:tcPr>
            <w:tcW w:w="462" w:type="pct"/>
            <w:tcBorders>
              <w:top w:val="nil"/>
              <w:left w:val="nil"/>
              <w:bottom w:val="nil"/>
              <w:right w:val="nil"/>
            </w:tcBorders>
            <w:shd w:val="clear" w:color="auto" w:fill="FFFFFF"/>
            <w:tcMar>
              <w:left w:w="67" w:type="dxa"/>
              <w:right w:w="67" w:type="dxa"/>
            </w:tcMar>
          </w:tcPr>
          <w:p w14:paraId="005FAC7A"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171 (83%) 0</w:t>
            </w:r>
          </w:p>
        </w:tc>
        <w:tc>
          <w:tcPr>
            <w:tcW w:w="462" w:type="pct"/>
            <w:tcBorders>
              <w:top w:val="nil"/>
              <w:left w:val="nil"/>
              <w:bottom w:val="nil"/>
              <w:right w:val="nil"/>
            </w:tcBorders>
            <w:shd w:val="clear" w:color="auto" w:fill="FFFFFF"/>
            <w:tcMar>
              <w:left w:w="67" w:type="dxa"/>
              <w:right w:w="67" w:type="dxa"/>
            </w:tcMar>
          </w:tcPr>
          <w:p w14:paraId="71686882"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233 (89.3%) 0</w:t>
            </w:r>
          </w:p>
        </w:tc>
        <w:tc>
          <w:tcPr>
            <w:tcW w:w="456" w:type="pct"/>
            <w:tcBorders>
              <w:top w:val="nil"/>
              <w:left w:val="nil"/>
              <w:bottom w:val="nil"/>
              <w:right w:val="single" w:sz="11" w:space="0" w:color="000000"/>
            </w:tcBorders>
            <w:shd w:val="clear" w:color="auto" w:fill="FFFFFF"/>
            <w:tcMar>
              <w:left w:w="67" w:type="dxa"/>
              <w:right w:w="67" w:type="dxa"/>
            </w:tcMar>
          </w:tcPr>
          <w:p w14:paraId="4D7E392A" w14:textId="77777777" w:rsidR="00E07CDE" w:rsidRPr="00083982" w:rsidRDefault="00E07CDE" w:rsidP="009B13F3">
            <w:pPr>
              <w:spacing w:before="67" w:after="67"/>
              <w:jc w:val="right"/>
              <w:rPr>
                <w:rFonts w:eastAsia="Times New Roman"/>
                <w:color w:val="000000"/>
                <w:sz w:val="16"/>
                <w:szCs w:val="16"/>
              </w:rPr>
            </w:pPr>
            <w:r w:rsidRPr="00083982">
              <w:rPr>
                <w:rFonts w:eastAsia="Times New Roman"/>
                <w:color w:val="000000"/>
                <w:sz w:val="16"/>
                <w:szCs w:val="16"/>
              </w:rPr>
              <w:t>404 (86.6%) 0</w:t>
            </w:r>
          </w:p>
        </w:tc>
      </w:tr>
      <w:tr w:rsidR="00E07CDE" w:rsidRPr="00563AD3" w14:paraId="6BA49D8B" w14:textId="77777777" w:rsidTr="00C163F3">
        <w:trPr>
          <w:cantSplit/>
          <w:jc w:val="center"/>
        </w:trPr>
        <w:tc>
          <w:tcPr>
            <w:tcW w:w="265" w:type="pct"/>
            <w:vMerge w:val="restart"/>
            <w:tcBorders>
              <w:top w:val="nil"/>
              <w:left w:val="single" w:sz="11" w:space="0" w:color="000000"/>
              <w:right w:val="nil"/>
            </w:tcBorders>
            <w:shd w:val="clear" w:color="auto" w:fill="FFFFFF"/>
            <w:tcMar>
              <w:left w:w="67" w:type="dxa"/>
              <w:right w:w="67" w:type="dxa"/>
            </w:tcMar>
          </w:tcPr>
          <w:p w14:paraId="594AF063" w14:textId="77777777" w:rsidR="00E07CDE" w:rsidRPr="00563AD3" w:rsidRDefault="00E07CDE" w:rsidP="009B13F3">
            <w:pPr>
              <w:spacing w:before="67" w:after="67"/>
              <w:jc w:val="center"/>
              <w:rPr>
                <w:rFonts w:eastAsia="Times New Roman"/>
                <w:color w:val="000000"/>
                <w:sz w:val="18"/>
                <w:szCs w:val="18"/>
              </w:rPr>
            </w:pPr>
            <w:r w:rsidRPr="00563AD3">
              <w:rPr>
                <w:rFonts w:eastAsia="Times New Roman"/>
                <w:color w:val="000000"/>
                <w:sz w:val="18"/>
                <w:szCs w:val="18"/>
              </w:rPr>
              <w:t>Both AM/PM</w:t>
            </w:r>
          </w:p>
        </w:tc>
        <w:tc>
          <w:tcPr>
            <w:tcW w:w="584" w:type="pct"/>
            <w:tcBorders>
              <w:top w:val="nil"/>
              <w:left w:val="nil"/>
              <w:bottom w:val="nil"/>
              <w:right w:val="nil"/>
            </w:tcBorders>
            <w:shd w:val="clear" w:color="auto" w:fill="FFFFFF"/>
            <w:tcMar>
              <w:left w:w="67" w:type="dxa"/>
              <w:right w:w="67" w:type="dxa"/>
            </w:tcMar>
          </w:tcPr>
          <w:p w14:paraId="2AF4FBFA" w14:textId="77777777" w:rsidR="00E07CDE" w:rsidRPr="00563AD3" w:rsidRDefault="00E07CDE" w:rsidP="009B13F3">
            <w:pPr>
              <w:spacing w:before="67" w:after="67"/>
              <w:rPr>
                <w:rFonts w:eastAsia="Times New Roman"/>
                <w:color w:val="000000"/>
                <w:sz w:val="18"/>
                <w:szCs w:val="18"/>
              </w:rPr>
            </w:pPr>
            <w:r w:rsidRPr="00563AD3">
              <w:rPr>
                <w:rFonts w:eastAsia="Calibri"/>
                <w:color w:val="000000"/>
                <w:sz w:val="18"/>
                <w:szCs w:val="18"/>
                <w:lang w:eastAsia="en-US"/>
              </w:rPr>
              <w:t>0-15 min interval</w:t>
            </w:r>
          </w:p>
        </w:tc>
        <w:tc>
          <w:tcPr>
            <w:tcW w:w="462" w:type="pct"/>
            <w:tcBorders>
              <w:top w:val="nil"/>
              <w:left w:val="nil"/>
              <w:bottom w:val="nil"/>
              <w:right w:val="nil"/>
            </w:tcBorders>
            <w:shd w:val="clear" w:color="auto" w:fill="FFFFFF"/>
            <w:tcMar>
              <w:left w:w="67" w:type="dxa"/>
              <w:right w:w="67" w:type="dxa"/>
            </w:tcMar>
          </w:tcPr>
          <w:p w14:paraId="137382E2"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553 (78.5%) 0</w:t>
            </w:r>
          </w:p>
        </w:tc>
        <w:tc>
          <w:tcPr>
            <w:tcW w:w="462" w:type="pct"/>
            <w:tcBorders>
              <w:top w:val="nil"/>
              <w:left w:val="nil"/>
              <w:bottom w:val="nil"/>
              <w:right w:val="nil"/>
            </w:tcBorders>
            <w:shd w:val="clear" w:color="auto" w:fill="FFFFFF"/>
            <w:tcMar>
              <w:left w:w="67" w:type="dxa"/>
              <w:right w:w="67" w:type="dxa"/>
            </w:tcMar>
          </w:tcPr>
          <w:p w14:paraId="5170E281"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614 (81.6%) 4</w:t>
            </w:r>
          </w:p>
        </w:tc>
        <w:tc>
          <w:tcPr>
            <w:tcW w:w="462" w:type="pct"/>
            <w:tcBorders>
              <w:top w:val="nil"/>
              <w:left w:val="nil"/>
              <w:bottom w:val="nil"/>
              <w:right w:val="nil"/>
            </w:tcBorders>
            <w:shd w:val="clear" w:color="auto" w:fill="FFFFFF"/>
            <w:tcMar>
              <w:left w:w="67" w:type="dxa"/>
              <w:right w:w="67" w:type="dxa"/>
            </w:tcMar>
          </w:tcPr>
          <w:p w14:paraId="72AE56DC"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1167 (80.1%) 4</w:t>
            </w:r>
          </w:p>
        </w:tc>
        <w:tc>
          <w:tcPr>
            <w:tcW w:w="462" w:type="pct"/>
            <w:tcBorders>
              <w:top w:val="nil"/>
              <w:left w:val="nil"/>
              <w:bottom w:val="nil"/>
              <w:right w:val="nil"/>
            </w:tcBorders>
            <w:shd w:val="clear" w:color="auto" w:fill="FFFFFF"/>
            <w:tcMar>
              <w:left w:w="67" w:type="dxa"/>
              <w:right w:w="67" w:type="dxa"/>
            </w:tcMar>
          </w:tcPr>
          <w:p w14:paraId="25473A9F"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485 (84.3%) 0</w:t>
            </w:r>
          </w:p>
        </w:tc>
        <w:tc>
          <w:tcPr>
            <w:tcW w:w="462" w:type="pct"/>
            <w:tcBorders>
              <w:top w:val="nil"/>
              <w:left w:val="nil"/>
              <w:bottom w:val="nil"/>
              <w:right w:val="nil"/>
            </w:tcBorders>
            <w:shd w:val="clear" w:color="auto" w:fill="FFFFFF"/>
            <w:tcMar>
              <w:left w:w="67" w:type="dxa"/>
              <w:right w:w="67" w:type="dxa"/>
            </w:tcMar>
          </w:tcPr>
          <w:p w14:paraId="38A0B39D"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624 (90.9%) 0</w:t>
            </w:r>
          </w:p>
        </w:tc>
        <w:tc>
          <w:tcPr>
            <w:tcW w:w="462" w:type="pct"/>
            <w:tcBorders>
              <w:top w:val="nil"/>
              <w:left w:val="nil"/>
              <w:bottom w:val="nil"/>
              <w:right w:val="nil"/>
            </w:tcBorders>
            <w:shd w:val="clear" w:color="auto" w:fill="FFFFFF"/>
            <w:tcMar>
              <w:left w:w="67" w:type="dxa"/>
              <w:right w:w="67" w:type="dxa"/>
            </w:tcMar>
          </w:tcPr>
          <w:p w14:paraId="08175D50"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1109 (88%) 0</w:t>
            </w:r>
          </w:p>
        </w:tc>
        <w:tc>
          <w:tcPr>
            <w:tcW w:w="462" w:type="pct"/>
            <w:tcBorders>
              <w:top w:val="nil"/>
              <w:left w:val="nil"/>
              <w:bottom w:val="nil"/>
              <w:right w:val="nil"/>
            </w:tcBorders>
            <w:shd w:val="clear" w:color="auto" w:fill="FFFFFF"/>
            <w:tcMar>
              <w:left w:w="67" w:type="dxa"/>
              <w:right w:w="67" w:type="dxa"/>
            </w:tcMar>
          </w:tcPr>
          <w:p w14:paraId="03638049"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391 (83.4%) 0</w:t>
            </w:r>
          </w:p>
        </w:tc>
        <w:tc>
          <w:tcPr>
            <w:tcW w:w="462" w:type="pct"/>
            <w:tcBorders>
              <w:top w:val="nil"/>
              <w:left w:val="nil"/>
              <w:bottom w:val="nil"/>
              <w:right w:val="nil"/>
            </w:tcBorders>
            <w:shd w:val="clear" w:color="auto" w:fill="FFFFFF"/>
            <w:tcMar>
              <w:left w:w="67" w:type="dxa"/>
              <w:right w:w="67" w:type="dxa"/>
            </w:tcMar>
          </w:tcPr>
          <w:p w14:paraId="1B3D292B"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700 (83.3%) 0</w:t>
            </w:r>
          </w:p>
        </w:tc>
        <w:tc>
          <w:tcPr>
            <w:tcW w:w="456" w:type="pct"/>
            <w:tcBorders>
              <w:top w:val="nil"/>
              <w:left w:val="nil"/>
              <w:bottom w:val="nil"/>
              <w:right w:val="single" w:sz="11" w:space="0" w:color="000000"/>
            </w:tcBorders>
            <w:shd w:val="clear" w:color="auto" w:fill="FFFFFF"/>
            <w:tcMar>
              <w:left w:w="67" w:type="dxa"/>
              <w:right w:w="67" w:type="dxa"/>
            </w:tcMar>
          </w:tcPr>
          <w:p w14:paraId="14611663"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1091 (83.3%) 0</w:t>
            </w:r>
          </w:p>
        </w:tc>
      </w:tr>
      <w:tr w:rsidR="00E07CDE" w:rsidRPr="00563AD3" w14:paraId="68D88811" w14:textId="77777777" w:rsidTr="00C163F3">
        <w:trPr>
          <w:cantSplit/>
          <w:jc w:val="center"/>
        </w:trPr>
        <w:tc>
          <w:tcPr>
            <w:tcW w:w="265" w:type="pct"/>
            <w:vMerge/>
            <w:tcBorders>
              <w:left w:val="single" w:sz="11" w:space="0" w:color="000000"/>
              <w:bottom w:val="nil"/>
              <w:right w:val="nil"/>
            </w:tcBorders>
            <w:shd w:val="clear" w:color="auto" w:fill="FFFFFF"/>
            <w:tcMar>
              <w:left w:w="67" w:type="dxa"/>
              <w:right w:w="67" w:type="dxa"/>
            </w:tcMar>
          </w:tcPr>
          <w:p w14:paraId="253CC593" w14:textId="77777777" w:rsidR="00E07CDE" w:rsidRPr="00563AD3" w:rsidRDefault="00E07CDE" w:rsidP="009B13F3">
            <w:pPr>
              <w:spacing w:before="67" w:after="67"/>
              <w:jc w:val="center"/>
              <w:rPr>
                <w:rFonts w:eastAsia="Times New Roman"/>
                <w:color w:val="000000"/>
                <w:sz w:val="18"/>
                <w:szCs w:val="18"/>
              </w:rPr>
            </w:pPr>
          </w:p>
        </w:tc>
        <w:tc>
          <w:tcPr>
            <w:tcW w:w="584" w:type="pct"/>
            <w:tcBorders>
              <w:top w:val="nil"/>
              <w:left w:val="nil"/>
              <w:bottom w:val="nil"/>
              <w:right w:val="nil"/>
            </w:tcBorders>
            <w:shd w:val="clear" w:color="auto" w:fill="FFFFFF"/>
            <w:tcMar>
              <w:left w:w="67" w:type="dxa"/>
              <w:right w:w="67" w:type="dxa"/>
            </w:tcMar>
          </w:tcPr>
          <w:p w14:paraId="2774576B" w14:textId="77777777" w:rsidR="00E07CDE" w:rsidRPr="00563AD3" w:rsidRDefault="00E07CDE" w:rsidP="009B13F3">
            <w:pPr>
              <w:spacing w:before="67" w:after="67"/>
              <w:rPr>
                <w:rFonts w:eastAsia="Times New Roman"/>
                <w:color w:val="000000"/>
                <w:sz w:val="18"/>
                <w:szCs w:val="18"/>
              </w:rPr>
            </w:pPr>
            <w:r w:rsidRPr="00563AD3">
              <w:rPr>
                <w:rFonts w:eastAsia="Calibri"/>
                <w:color w:val="000000"/>
                <w:sz w:val="18"/>
                <w:szCs w:val="18"/>
                <w:lang w:eastAsia="en-US"/>
              </w:rPr>
              <w:t>15-30 min interval</w:t>
            </w:r>
          </w:p>
        </w:tc>
        <w:tc>
          <w:tcPr>
            <w:tcW w:w="462" w:type="pct"/>
            <w:tcBorders>
              <w:top w:val="nil"/>
              <w:left w:val="nil"/>
              <w:bottom w:val="nil"/>
              <w:right w:val="nil"/>
            </w:tcBorders>
            <w:shd w:val="clear" w:color="auto" w:fill="FFFFFF"/>
            <w:tcMar>
              <w:left w:w="67" w:type="dxa"/>
              <w:right w:w="67" w:type="dxa"/>
            </w:tcMar>
          </w:tcPr>
          <w:p w14:paraId="354A747F"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552 (73.6%) 0</w:t>
            </w:r>
          </w:p>
        </w:tc>
        <w:tc>
          <w:tcPr>
            <w:tcW w:w="462" w:type="pct"/>
            <w:tcBorders>
              <w:top w:val="nil"/>
              <w:left w:val="nil"/>
              <w:bottom w:val="nil"/>
              <w:right w:val="nil"/>
            </w:tcBorders>
            <w:shd w:val="clear" w:color="auto" w:fill="FFFFFF"/>
            <w:tcMar>
              <w:left w:w="67" w:type="dxa"/>
              <w:right w:w="67" w:type="dxa"/>
            </w:tcMar>
          </w:tcPr>
          <w:p w14:paraId="0463F0B3"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646 (83.1%) 4</w:t>
            </w:r>
          </w:p>
        </w:tc>
        <w:tc>
          <w:tcPr>
            <w:tcW w:w="462" w:type="pct"/>
            <w:tcBorders>
              <w:top w:val="nil"/>
              <w:left w:val="nil"/>
              <w:bottom w:val="nil"/>
              <w:right w:val="nil"/>
            </w:tcBorders>
            <w:shd w:val="clear" w:color="auto" w:fill="FFFFFF"/>
            <w:tcMar>
              <w:left w:w="67" w:type="dxa"/>
              <w:right w:w="67" w:type="dxa"/>
            </w:tcMar>
          </w:tcPr>
          <w:p w14:paraId="0915BE39"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1198 (78.7%) 4</w:t>
            </w:r>
          </w:p>
        </w:tc>
        <w:tc>
          <w:tcPr>
            <w:tcW w:w="462" w:type="pct"/>
            <w:tcBorders>
              <w:top w:val="nil"/>
              <w:left w:val="nil"/>
              <w:bottom w:val="nil"/>
              <w:right w:val="nil"/>
            </w:tcBorders>
            <w:shd w:val="clear" w:color="auto" w:fill="FFFFFF"/>
            <w:tcMar>
              <w:left w:w="67" w:type="dxa"/>
              <w:right w:w="67" w:type="dxa"/>
            </w:tcMar>
          </w:tcPr>
          <w:p w14:paraId="222F5737"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418 (83%) 0</w:t>
            </w:r>
          </w:p>
        </w:tc>
        <w:tc>
          <w:tcPr>
            <w:tcW w:w="462" w:type="pct"/>
            <w:tcBorders>
              <w:top w:val="nil"/>
              <w:left w:val="nil"/>
              <w:bottom w:val="nil"/>
              <w:right w:val="nil"/>
            </w:tcBorders>
            <w:shd w:val="clear" w:color="auto" w:fill="FFFFFF"/>
            <w:tcMar>
              <w:left w:w="67" w:type="dxa"/>
              <w:right w:w="67" w:type="dxa"/>
            </w:tcMar>
          </w:tcPr>
          <w:p w14:paraId="0D31AFE7"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543 (88.2%) 0</w:t>
            </w:r>
          </w:p>
        </w:tc>
        <w:tc>
          <w:tcPr>
            <w:tcW w:w="462" w:type="pct"/>
            <w:tcBorders>
              <w:top w:val="nil"/>
              <w:left w:val="nil"/>
              <w:bottom w:val="nil"/>
              <w:right w:val="nil"/>
            </w:tcBorders>
            <w:shd w:val="clear" w:color="auto" w:fill="FFFFFF"/>
            <w:tcMar>
              <w:left w:w="67" w:type="dxa"/>
              <w:right w:w="67" w:type="dxa"/>
            </w:tcMar>
          </w:tcPr>
          <w:p w14:paraId="4635D901"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961 (86%) 0</w:t>
            </w:r>
          </w:p>
        </w:tc>
        <w:tc>
          <w:tcPr>
            <w:tcW w:w="462" w:type="pct"/>
            <w:tcBorders>
              <w:top w:val="nil"/>
              <w:left w:val="nil"/>
              <w:bottom w:val="nil"/>
              <w:right w:val="nil"/>
            </w:tcBorders>
            <w:shd w:val="clear" w:color="auto" w:fill="FFFFFF"/>
            <w:tcMar>
              <w:left w:w="67" w:type="dxa"/>
              <w:right w:w="67" w:type="dxa"/>
            </w:tcMar>
          </w:tcPr>
          <w:p w14:paraId="1AD2DC06"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381 (82.9%) 0</w:t>
            </w:r>
          </w:p>
        </w:tc>
        <w:tc>
          <w:tcPr>
            <w:tcW w:w="462" w:type="pct"/>
            <w:tcBorders>
              <w:top w:val="nil"/>
              <w:left w:val="nil"/>
              <w:bottom w:val="nil"/>
              <w:right w:val="nil"/>
            </w:tcBorders>
            <w:shd w:val="clear" w:color="auto" w:fill="FFFFFF"/>
            <w:tcMar>
              <w:left w:w="67" w:type="dxa"/>
              <w:right w:w="67" w:type="dxa"/>
            </w:tcMar>
          </w:tcPr>
          <w:p w14:paraId="264F91CC"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570 (83%) 0</w:t>
            </w:r>
          </w:p>
        </w:tc>
        <w:tc>
          <w:tcPr>
            <w:tcW w:w="456" w:type="pct"/>
            <w:tcBorders>
              <w:top w:val="nil"/>
              <w:left w:val="nil"/>
              <w:bottom w:val="nil"/>
              <w:right w:val="single" w:sz="11" w:space="0" w:color="000000"/>
            </w:tcBorders>
            <w:shd w:val="clear" w:color="auto" w:fill="FFFFFF"/>
            <w:tcMar>
              <w:left w:w="67" w:type="dxa"/>
              <w:right w:w="67" w:type="dxa"/>
            </w:tcMar>
          </w:tcPr>
          <w:p w14:paraId="5598FAC0"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951 (83%) 0</w:t>
            </w:r>
          </w:p>
        </w:tc>
      </w:tr>
      <w:tr w:rsidR="00E07CDE" w:rsidRPr="00563AD3" w14:paraId="5B16D24C" w14:textId="77777777" w:rsidTr="00C163F3">
        <w:trPr>
          <w:cantSplit/>
          <w:jc w:val="center"/>
        </w:trPr>
        <w:tc>
          <w:tcPr>
            <w:tcW w:w="265" w:type="pct"/>
            <w:tcBorders>
              <w:top w:val="nil"/>
              <w:left w:val="single" w:sz="11" w:space="0" w:color="000000"/>
              <w:bottom w:val="nil"/>
              <w:right w:val="nil"/>
            </w:tcBorders>
            <w:shd w:val="clear" w:color="auto" w:fill="FFFFFF"/>
            <w:tcMar>
              <w:left w:w="67" w:type="dxa"/>
              <w:right w:w="67" w:type="dxa"/>
            </w:tcMar>
          </w:tcPr>
          <w:p w14:paraId="55E8D8BB" w14:textId="77777777" w:rsidR="00E07CDE" w:rsidRPr="00563AD3" w:rsidRDefault="00E07CDE" w:rsidP="009B13F3">
            <w:pPr>
              <w:spacing w:before="67" w:after="67"/>
              <w:jc w:val="center"/>
              <w:rPr>
                <w:rFonts w:eastAsia="Times New Roman"/>
                <w:color w:val="000000"/>
                <w:sz w:val="18"/>
                <w:szCs w:val="18"/>
              </w:rPr>
            </w:pPr>
          </w:p>
        </w:tc>
        <w:tc>
          <w:tcPr>
            <w:tcW w:w="584" w:type="pct"/>
            <w:tcBorders>
              <w:top w:val="nil"/>
              <w:left w:val="nil"/>
              <w:bottom w:val="nil"/>
              <w:right w:val="nil"/>
            </w:tcBorders>
            <w:shd w:val="clear" w:color="auto" w:fill="FFFFFF"/>
            <w:tcMar>
              <w:left w:w="67" w:type="dxa"/>
              <w:right w:w="67" w:type="dxa"/>
            </w:tcMar>
          </w:tcPr>
          <w:p w14:paraId="60CF4EA1" w14:textId="77777777" w:rsidR="00E07CDE" w:rsidRPr="00563AD3" w:rsidRDefault="00E07CDE" w:rsidP="009B13F3">
            <w:pPr>
              <w:spacing w:before="67" w:after="67"/>
              <w:rPr>
                <w:rFonts w:eastAsia="Times New Roman"/>
                <w:color w:val="000000"/>
                <w:sz w:val="18"/>
                <w:szCs w:val="18"/>
              </w:rPr>
            </w:pPr>
            <w:r w:rsidRPr="00563AD3">
              <w:rPr>
                <w:rFonts w:eastAsia="Calibri"/>
                <w:color w:val="000000"/>
                <w:sz w:val="18"/>
                <w:szCs w:val="18"/>
                <w:lang w:eastAsia="en-US"/>
              </w:rPr>
              <w:t>30-45 min interval</w:t>
            </w:r>
          </w:p>
        </w:tc>
        <w:tc>
          <w:tcPr>
            <w:tcW w:w="462" w:type="pct"/>
            <w:tcBorders>
              <w:top w:val="nil"/>
              <w:left w:val="nil"/>
              <w:bottom w:val="nil"/>
              <w:right w:val="nil"/>
            </w:tcBorders>
            <w:shd w:val="clear" w:color="auto" w:fill="FFFFFF"/>
            <w:tcMar>
              <w:left w:w="67" w:type="dxa"/>
              <w:right w:w="67" w:type="dxa"/>
            </w:tcMar>
          </w:tcPr>
          <w:p w14:paraId="0C086862"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459 (70.6%) 0</w:t>
            </w:r>
          </w:p>
        </w:tc>
        <w:tc>
          <w:tcPr>
            <w:tcW w:w="462" w:type="pct"/>
            <w:tcBorders>
              <w:top w:val="nil"/>
              <w:left w:val="nil"/>
              <w:bottom w:val="nil"/>
              <w:right w:val="nil"/>
            </w:tcBorders>
            <w:shd w:val="clear" w:color="auto" w:fill="FFFFFF"/>
            <w:tcMar>
              <w:left w:w="67" w:type="dxa"/>
              <w:right w:w="67" w:type="dxa"/>
            </w:tcMar>
          </w:tcPr>
          <w:p w14:paraId="39992EAD"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587 (80.1%) 2</w:t>
            </w:r>
          </w:p>
        </w:tc>
        <w:tc>
          <w:tcPr>
            <w:tcW w:w="462" w:type="pct"/>
            <w:tcBorders>
              <w:top w:val="nil"/>
              <w:left w:val="nil"/>
              <w:bottom w:val="nil"/>
              <w:right w:val="nil"/>
            </w:tcBorders>
            <w:shd w:val="clear" w:color="auto" w:fill="FFFFFF"/>
            <w:tcMar>
              <w:left w:w="67" w:type="dxa"/>
              <w:right w:w="67" w:type="dxa"/>
            </w:tcMar>
          </w:tcPr>
          <w:p w14:paraId="44A069BB"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1046 (75.9%) 2</w:t>
            </w:r>
          </w:p>
        </w:tc>
        <w:tc>
          <w:tcPr>
            <w:tcW w:w="462" w:type="pct"/>
            <w:tcBorders>
              <w:top w:val="nil"/>
              <w:left w:val="nil"/>
              <w:bottom w:val="nil"/>
              <w:right w:val="nil"/>
            </w:tcBorders>
            <w:shd w:val="clear" w:color="auto" w:fill="FFFFFF"/>
            <w:tcMar>
              <w:left w:w="67" w:type="dxa"/>
              <w:right w:w="67" w:type="dxa"/>
            </w:tcMar>
          </w:tcPr>
          <w:p w14:paraId="5904FE54"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412 (79.9%) 0</w:t>
            </w:r>
          </w:p>
        </w:tc>
        <w:tc>
          <w:tcPr>
            <w:tcW w:w="462" w:type="pct"/>
            <w:tcBorders>
              <w:top w:val="nil"/>
              <w:left w:val="nil"/>
              <w:bottom w:val="nil"/>
              <w:right w:val="nil"/>
            </w:tcBorders>
            <w:shd w:val="clear" w:color="auto" w:fill="FFFFFF"/>
            <w:tcMar>
              <w:left w:w="67" w:type="dxa"/>
              <w:right w:w="67" w:type="dxa"/>
            </w:tcMar>
          </w:tcPr>
          <w:p w14:paraId="2F9DBCBA"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599 (89.1%) 0</w:t>
            </w:r>
          </w:p>
        </w:tc>
        <w:tc>
          <w:tcPr>
            <w:tcW w:w="462" w:type="pct"/>
            <w:tcBorders>
              <w:top w:val="nil"/>
              <w:left w:val="nil"/>
              <w:bottom w:val="nil"/>
              <w:right w:val="nil"/>
            </w:tcBorders>
            <w:shd w:val="clear" w:color="auto" w:fill="FFFFFF"/>
            <w:tcMar>
              <w:left w:w="67" w:type="dxa"/>
              <w:right w:w="67" w:type="dxa"/>
            </w:tcMar>
          </w:tcPr>
          <w:p w14:paraId="515DE7BD"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1011 (85.4%) 0</w:t>
            </w:r>
          </w:p>
        </w:tc>
        <w:tc>
          <w:tcPr>
            <w:tcW w:w="462" w:type="pct"/>
            <w:tcBorders>
              <w:top w:val="nil"/>
              <w:left w:val="nil"/>
              <w:bottom w:val="nil"/>
              <w:right w:val="nil"/>
            </w:tcBorders>
            <w:shd w:val="clear" w:color="auto" w:fill="FFFFFF"/>
            <w:tcMar>
              <w:left w:w="67" w:type="dxa"/>
              <w:right w:w="67" w:type="dxa"/>
            </w:tcMar>
          </w:tcPr>
          <w:p w14:paraId="1A901208"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404 (84.7%) 0</w:t>
            </w:r>
          </w:p>
        </w:tc>
        <w:tc>
          <w:tcPr>
            <w:tcW w:w="462" w:type="pct"/>
            <w:tcBorders>
              <w:top w:val="nil"/>
              <w:left w:val="nil"/>
              <w:bottom w:val="nil"/>
              <w:right w:val="nil"/>
            </w:tcBorders>
            <w:shd w:val="clear" w:color="auto" w:fill="FFFFFF"/>
            <w:tcMar>
              <w:left w:w="67" w:type="dxa"/>
              <w:right w:w="67" w:type="dxa"/>
            </w:tcMar>
          </w:tcPr>
          <w:p w14:paraId="2410849D"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541 (83.9%) 1</w:t>
            </w:r>
          </w:p>
        </w:tc>
        <w:tc>
          <w:tcPr>
            <w:tcW w:w="456" w:type="pct"/>
            <w:tcBorders>
              <w:top w:val="nil"/>
              <w:left w:val="nil"/>
              <w:bottom w:val="nil"/>
              <w:right w:val="single" w:sz="11" w:space="0" w:color="000000"/>
            </w:tcBorders>
            <w:shd w:val="clear" w:color="auto" w:fill="FFFFFF"/>
            <w:tcMar>
              <w:left w:w="67" w:type="dxa"/>
              <w:right w:w="67" w:type="dxa"/>
            </w:tcMar>
          </w:tcPr>
          <w:p w14:paraId="28BC4E5B"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945 (84.2%) 1</w:t>
            </w:r>
          </w:p>
        </w:tc>
      </w:tr>
      <w:tr w:rsidR="00E07CDE" w:rsidRPr="00563AD3" w14:paraId="2C7D03F6" w14:textId="77777777" w:rsidTr="00C163F3">
        <w:trPr>
          <w:cantSplit/>
          <w:jc w:val="center"/>
        </w:trPr>
        <w:tc>
          <w:tcPr>
            <w:tcW w:w="265" w:type="pct"/>
            <w:tcBorders>
              <w:top w:val="nil"/>
              <w:left w:val="single" w:sz="11" w:space="0" w:color="000000"/>
              <w:bottom w:val="nil"/>
              <w:right w:val="nil"/>
            </w:tcBorders>
            <w:shd w:val="clear" w:color="auto" w:fill="FFFFFF"/>
            <w:tcMar>
              <w:left w:w="67" w:type="dxa"/>
              <w:right w:w="67" w:type="dxa"/>
            </w:tcMar>
          </w:tcPr>
          <w:p w14:paraId="158E9444" w14:textId="77777777" w:rsidR="00E07CDE" w:rsidRPr="00563AD3" w:rsidRDefault="00E07CDE" w:rsidP="009B13F3">
            <w:pPr>
              <w:spacing w:before="67" w:after="67"/>
              <w:jc w:val="center"/>
              <w:rPr>
                <w:rFonts w:eastAsia="Times New Roman"/>
                <w:color w:val="000000"/>
                <w:sz w:val="18"/>
                <w:szCs w:val="18"/>
              </w:rPr>
            </w:pPr>
          </w:p>
        </w:tc>
        <w:tc>
          <w:tcPr>
            <w:tcW w:w="584" w:type="pct"/>
            <w:tcBorders>
              <w:top w:val="nil"/>
              <w:left w:val="nil"/>
              <w:bottom w:val="nil"/>
              <w:right w:val="nil"/>
            </w:tcBorders>
            <w:shd w:val="clear" w:color="auto" w:fill="FFFFFF"/>
            <w:tcMar>
              <w:left w:w="67" w:type="dxa"/>
              <w:right w:w="67" w:type="dxa"/>
            </w:tcMar>
          </w:tcPr>
          <w:p w14:paraId="19DAA256" w14:textId="77777777" w:rsidR="00E07CDE" w:rsidRPr="00563AD3" w:rsidRDefault="00E07CDE" w:rsidP="009B13F3">
            <w:pPr>
              <w:spacing w:before="67" w:after="67"/>
              <w:rPr>
                <w:rFonts w:eastAsia="Times New Roman"/>
                <w:color w:val="000000"/>
                <w:sz w:val="18"/>
                <w:szCs w:val="18"/>
              </w:rPr>
            </w:pPr>
            <w:r w:rsidRPr="00563AD3">
              <w:rPr>
                <w:rFonts w:eastAsia="Calibri"/>
                <w:color w:val="000000"/>
                <w:sz w:val="18"/>
                <w:szCs w:val="18"/>
                <w:lang w:eastAsia="en-US"/>
              </w:rPr>
              <w:t>45-60 min interval</w:t>
            </w:r>
          </w:p>
        </w:tc>
        <w:tc>
          <w:tcPr>
            <w:tcW w:w="462" w:type="pct"/>
            <w:tcBorders>
              <w:top w:val="nil"/>
              <w:left w:val="nil"/>
              <w:bottom w:val="nil"/>
              <w:right w:val="nil"/>
            </w:tcBorders>
            <w:shd w:val="clear" w:color="auto" w:fill="FFFFFF"/>
            <w:tcMar>
              <w:left w:w="67" w:type="dxa"/>
              <w:right w:w="67" w:type="dxa"/>
            </w:tcMar>
          </w:tcPr>
          <w:p w14:paraId="73928878"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501 (76.2%) 0</w:t>
            </w:r>
          </w:p>
        </w:tc>
        <w:tc>
          <w:tcPr>
            <w:tcW w:w="462" w:type="pct"/>
            <w:tcBorders>
              <w:top w:val="nil"/>
              <w:left w:val="nil"/>
              <w:bottom w:val="nil"/>
              <w:right w:val="nil"/>
            </w:tcBorders>
            <w:shd w:val="clear" w:color="auto" w:fill="FFFFFF"/>
            <w:tcMar>
              <w:left w:w="67" w:type="dxa"/>
              <w:right w:w="67" w:type="dxa"/>
            </w:tcMar>
          </w:tcPr>
          <w:p w14:paraId="578A4B85"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558 (82.1%) 2</w:t>
            </w:r>
          </w:p>
        </w:tc>
        <w:tc>
          <w:tcPr>
            <w:tcW w:w="462" w:type="pct"/>
            <w:tcBorders>
              <w:top w:val="nil"/>
              <w:left w:val="nil"/>
              <w:bottom w:val="nil"/>
              <w:right w:val="nil"/>
            </w:tcBorders>
            <w:shd w:val="clear" w:color="auto" w:fill="FFFFFF"/>
            <w:tcMar>
              <w:left w:w="67" w:type="dxa"/>
              <w:right w:w="67" w:type="dxa"/>
            </w:tcMar>
          </w:tcPr>
          <w:p w14:paraId="6F8004C1"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1059 (79.3%) 2</w:t>
            </w:r>
          </w:p>
        </w:tc>
        <w:tc>
          <w:tcPr>
            <w:tcW w:w="462" w:type="pct"/>
            <w:tcBorders>
              <w:top w:val="nil"/>
              <w:left w:val="nil"/>
              <w:bottom w:val="nil"/>
              <w:right w:val="nil"/>
            </w:tcBorders>
            <w:shd w:val="clear" w:color="auto" w:fill="FFFFFF"/>
            <w:tcMar>
              <w:left w:w="67" w:type="dxa"/>
              <w:right w:w="67" w:type="dxa"/>
            </w:tcMar>
          </w:tcPr>
          <w:p w14:paraId="1D435F58"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451 (79.2%) 0</w:t>
            </w:r>
          </w:p>
        </w:tc>
        <w:tc>
          <w:tcPr>
            <w:tcW w:w="462" w:type="pct"/>
            <w:tcBorders>
              <w:top w:val="nil"/>
              <w:left w:val="nil"/>
              <w:bottom w:val="nil"/>
              <w:right w:val="nil"/>
            </w:tcBorders>
            <w:shd w:val="clear" w:color="auto" w:fill="FFFFFF"/>
            <w:tcMar>
              <w:left w:w="67" w:type="dxa"/>
              <w:right w:w="67" w:type="dxa"/>
            </w:tcMar>
          </w:tcPr>
          <w:p w14:paraId="3CAD76EE"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525 (85.7%) 0</w:t>
            </w:r>
          </w:p>
        </w:tc>
        <w:tc>
          <w:tcPr>
            <w:tcW w:w="462" w:type="pct"/>
            <w:tcBorders>
              <w:top w:val="nil"/>
              <w:left w:val="nil"/>
              <w:bottom w:val="nil"/>
              <w:right w:val="nil"/>
            </w:tcBorders>
            <w:shd w:val="clear" w:color="auto" w:fill="FFFFFF"/>
            <w:tcMar>
              <w:left w:w="67" w:type="dxa"/>
              <w:right w:w="67" w:type="dxa"/>
            </w:tcMar>
          </w:tcPr>
          <w:p w14:paraId="65B858A2"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976 (82.7%) 0</w:t>
            </w:r>
          </w:p>
        </w:tc>
        <w:tc>
          <w:tcPr>
            <w:tcW w:w="462" w:type="pct"/>
            <w:tcBorders>
              <w:top w:val="nil"/>
              <w:left w:val="nil"/>
              <w:bottom w:val="nil"/>
              <w:right w:val="nil"/>
            </w:tcBorders>
            <w:shd w:val="clear" w:color="auto" w:fill="FFFFFF"/>
            <w:tcMar>
              <w:left w:w="67" w:type="dxa"/>
              <w:right w:w="67" w:type="dxa"/>
            </w:tcMar>
          </w:tcPr>
          <w:p w14:paraId="6C2D2653"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402 (83.6%) 0</w:t>
            </w:r>
          </w:p>
        </w:tc>
        <w:tc>
          <w:tcPr>
            <w:tcW w:w="462" w:type="pct"/>
            <w:tcBorders>
              <w:top w:val="nil"/>
              <w:left w:val="nil"/>
              <w:bottom w:val="nil"/>
              <w:right w:val="nil"/>
            </w:tcBorders>
            <w:shd w:val="clear" w:color="auto" w:fill="FFFFFF"/>
            <w:tcMar>
              <w:left w:w="67" w:type="dxa"/>
              <w:right w:w="67" w:type="dxa"/>
            </w:tcMar>
          </w:tcPr>
          <w:p w14:paraId="1B243870"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509 (84.9%) 1</w:t>
            </w:r>
          </w:p>
        </w:tc>
        <w:tc>
          <w:tcPr>
            <w:tcW w:w="456" w:type="pct"/>
            <w:tcBorders>
              <w:top w:val="nil"/>
              <w:left w:val="nil"/>
              <w:bottom w:val="nil"/>
              <w:right w:val="single" w:sz="11" w:space="0" w:color="000000"/>
            </w:tcBorders>
            <w:shd w:val="clear" w:color="auto" w:fill="FFFFFF"/>
            <w:tcMar>
              <w:left w:w="67" w:type="dxa"/>
              <w:right w:w="67" w:type="dxa"/>
            </w:tcMar>
          </w:tcPr>
          <w:p w14:paraId="5795E4F2"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911 (84.3%) 1</w:t>
            </w:r>
          </w:p>
        </w:tc>
      </w:tr>
      <w:tr w:rsidR="00E07CDE" w:rsidRPr="00563AD3" w14:paraId="08E1F758" w14:textId="77777777" w:rsidTr="00C163F3">
        <w:trPr>
          <w:cantSplit/>
          <w:jc w:val="center"/>
        </w:trPr>
        <w:tc>
          <w:tcPr>
            <w:tcW w:w="849" w:type="pct"/>
            <w:gridSpan w:val="2"/>
            <w:tcBorders>
              <w:top w:val="nil"/>
              <w:left w:val="single" w:sz="11" w:space="0" w:color="000000"/>
              <w:bottom w:val="single" w:sz="11" w:space="0" w:color="000000"/>
              <w:right w:val="nil"/>
            </w:tcBorders>
            <w:shd w:val="clear" w:color="auto" w:fill="FFFFFF"/>
            <w:tcMar>
              <w:left w:w="67" w:type="dxa"/>
              <w:right w:w="67" w:type="dxa"/>
            </w:tcMar>
          </w:tcPr>
          <w:p w14:paraId="530DCB5C" w14:textId="77777777" w:rsidR="00E07CDE" w:rsidRPr="00563AD3" w:rsidRDefault="00E07CDE" w:rsidP="009B13F3">
            <w:pPr>
              <w:spacing w:before="67" w:after="67"/>
              <w:rPr>
                <w:rFonts w:eastAsia="Times New Roman"/>
                <w:color w:val="000000"/>
                <w:sz w:val="18"/>
                <w:szCs w:val="18"/>
              </w:rPr>
            </w:pPr>
            <w:r w:rsidRPr="00563AD3">
              <w:rPr>
                <w:rFonts w:eastAsia="Times New Roman"/>
                <w:color w:val="000000"/>
                <w:sz w:val="18"/>
                <w:szCs w:val="18"/>
              </w:rPr>
              <w:t>All interactions</w:t>
            </w:r>
          </w:p>
        </w:tc>
        <w:tc>
          <w:tcPr>
            <w:tcW w:w="462" w:type="pct"/>
            <w:tcBorders>
              <w:top w:val="nil"/>
              <w:left w:val="nil"/>
              <w:bottom w:val="single" w:sz="11" w:space="0" w:color="000000"/>
              <w:right w:val="nil"/>
            </w:tcBorders>
            <w:shd w:val="clear" w:color="auto" w:fill="FFFFFF"/>
            <w:tcMar>
              <w:left w:w="67" w:type="dxa"/>
              <w:right w:w="67" w:type="dxa"/>
            </w:tcMar>
          </w:tcPr>
          <w:p w14:paraId="533F5DD7"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2065 (74.9%) 0</w:t>
            </w:r>
          </w:p>
        </w:tc>
        <w:tc>
          <w:tcPr>
            <w:tcW w:w="462" w:type="pct"/>
            <w:tcBorders>
              <w:top w:val="nil"/>
              <w:left w:val="nil"/>
              <w:bottom w:val="single" w:sz="11" w:space="0" w:color="000000"/>
              <w:right w:val="nil"/>
            </w:tcBorders>
            <w:shd w:val="clear" w:color="auto" w:fill="FFFFFF"/>
            <w:tcMar>
              <w:left w:w="67" w:type="dxa"/>
              <w:right w:w="67" w:type="dxa"/>
            </w:tcMar>
          </w:tcPr>
          <w:p w14:paraId="40FFDDA4"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2405 (81.7%) 1</w:t>
            </w:r>
          </w:p>
        </w:tc>
        <w:tc>
          <w:tcPr>
            <w:tcW w:w="462" w:type="pct"/>
            <w:tcBorders>
              <w:top w:val="nil"/>
              <w:left w:val="nil"/>
              <w:bottom w:val="single" w:sz="11" w:space="0" w:color="000000"/>
              <w:right w:val="nil"/>
            </w:tcBorders>
            <w:shd w:val="clear" w:color="auto" w:fill="FFFFFF"/>
            <w:tcMar>
              <w:left w:w="67" w:type="dxa"/>
              <w:right w:w="67" w:type="dxa"/>
            </w:tcMar>
          </w:tcPr>
          <w:p w14:paraId="32E6C2EE"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4470 (78.6%) 1</w:t>
            </w:r>
          </w:p>
        </w:tc>
        <w:tc>
          <w:tcPr>
            <w:tcW w:w="462" w:type="pct"/>
            <w:tcBorders>
              <w:top w:val="nil"/>
              <w:left w:val="nil"/>
              <w:bottom w:val="single" w:sz="11" w:space="0" w:color="000000"/>
              <w:right w:val="nil"/>
            </w:tcBorders>
            <w:shd w:val="clear" w:color="auto" w:fill="FFFFFF"/>
            <w:tcMar>
              <w:left w:w="67" w:type="dxa"/>
              <w:right w:w="67" w:type="dxa"/>
            </w:tcMar>
          </w:tcPr>
          <w:p w14:paraId="59D102F2"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1766 (81.7%) 0</w:t>
            </w:r>
          </w:p>
        </w:tc>
        <w:tc>
          <w:tcPr>
            <w:tcW w:w="462" w:type="pct"/>
            <w:tcBorders>
              <w:top w:val="nil"/>
              <w:left w:val="nil"/>
              <w:bottom w:val="single" w:sz="11" w:space="0" w:color="000000"/>
              <w:right w:val="nil"/>
            </w:tcBorders>
            <w:shd w:val="clear" w:color="auto" w:fill="FFFFFF"/>
            <w:tcMar>
              <w:left w:w="67" w:type="dxa"/>
              <w:right w:w="67" w:type="dxa"/>
            </w:tcMar>
          </w:tcPr>
          <w:p w14:paraId="426AD9A0"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2291 (88.6%) 0</w:t>
            </w:r>
          </w:p>
        </w:tc>
        <w:tc>
          <w:tcPr>
            <w:tcW w:w="462" w:type="pct"/>
            <w:tcBorders>
              <w:top w:val="nil"/>
              <w:left w:val="nil"/>
              <w:bottom w:val="single" w:sz="11" w:space="0" w:color="000000"/>
              <w:right w:val="nil"/>
            </w:tcBorders>
            <w:shd w:val="clear" w:color="auto" w:fill="FFFFFF"/>
            <w:tcMar>
              <w:left w:w="67" w:type="dxa"/>
              <w:right w:w="67" w:type="dxa"/>
            </w:tcMar>
          </w:tcPr>
          <w:p w14:paraId="182BB58E"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4057 (85.6%) 0</w:t>
            </w:r>
          </w:p>
        </w:tc>
        <w:tc>
          <w:tcPr>
            <w:tcW w:w="462" w:type="pct"/>
            <w:tcBorders>
              <w:top w:val="nil"/>
              <w:left w:val="nil"/>
              <w:bottom w:val="single" w:sz="11" w:space="0" w:color="000000"/>
              <w:right w:val="nil"/>
            </w:tcBorders>
            <w:shd w:val="clear" w:color="auto" w:fill="FFFFFF"/>
            <w:tcMar>
              <w:left w:w="67" w:type="dxa"/>
              <w:right w:w="67" w:type="dxa"/>
            </w:tcMar>
          </w:tcPr>
          <w:p w14:paraId="5FE0C7AD"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1578 (83.7%) 0</w:t>
            </w:r>
          </w:p>
        </w:tc>
        <w:tc>
          <w:tcPr>
            <w:tcW w:w="462" w:type="pct"/>
            <w:tcBorders>
              <w:top w:val="nil"/>
              <w:left w:val="nil"/>
              <w:bottom w:val="single" w:sz="11" w:space="0" w:color="000000"/>
              <w:right w:val="nil"/>
            </w:tcBorders>
            <w:shd w:val="clear" w:color="auto" w:fill="FFFFFF"/>
            <w:tcMar>
              <w:left w:w="67" w:type="dxa"/>
              <w:right w:w="67" w:type="dxa"/>
            </w:tcMar>
          </w:tcPr>
          <w:p w14:paraId="4D590F70"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2320 (83.7%) 0</w:t>
            </w:r>
          </w:p>
        </w:tc>
        <w:tc>
          <w:tcPr>
            <w:tcW w:w="456" w:type="pct"/>
            <w:tcBorders>
              <w:top w:val="nil"/>
              <w:left w:val="nil"/>
              <w:bottom w:val="single" w:sz="11" w:space="0" w:color="000000"/>
              <w:right w:val="single" w:sz="11" w:space="0" w:color="000000"/>
            </w:tcBorders>
            <w:shd w:val="clear" w:color="auto" w:fill="FFFFFF"/>
            <w:tcMar>
              <w:left w:w="67" w:type="dxa"/>
              <w:right w:w="67" w:type="dxa"/>
            </w:tcMar>
          </w:tcPr>
          <w:p w14:paraId="6CB2227D" w14:textId="77777777" w:rsidR="00E07CDE" w:rsidRPr="00083982" w:rsidRDefault="00E07CDE" w:rsidP="009B13F3">
            <w:pPr>
              <w:spacing w:before="67" w:after="67"/>
              <w:jc w:val="right"/>
              <w:rPr>
                <w:rFonts w:eastAsia="Times New Roman"/>
                <w:color w:val="000000"/>
                <w:sz w:val="16"/>
                <w:szCs w:val="16"/>
              </w:rPr>
            </w:pPr>
            <w:r w:rsidRPr="00083982">
              <w:rPr>
                <w:rFonts w:eastAsia="Calibri"/>
                <w:color w:val="000000"/>
                <w:sz w:val="16"/>
                <w:szCs w:val="16"/>
                <w:lang w:eastAsia="en-US"/>
              </w:rPr>
              <w:t>3898 (83.7%) 0</w:t>
            </w:r>
          </w:p>
        </w:tc>
      </w:tr>
    </w:tbl>
    <w:p w14:paraId="6353322F" w14:textId="63A416A7" w:rsidR="00E07CDE" w:rsidRPr="00563AD3" w:rsidRDefault="00E07CDE" w:rsidP="009B13F3">
      <w:pPr>
        <w:tabs>
          <w:tab w:val="left" w:pos="2280"/>
        </w:tabs>
        <w:autoSpaceDE/>
        <w:autoSpaceDN/>
        <w:adjustRightInd/>
        <w:spacing w:before="120" w:after="0"/>
        <w:rPr>
          <w:rFonts w:eastAsia="Calibri"/>
          <w:sz w:val="24"/>
          <w:szCs w:val="24"/>
          <w:lang w:eastAsia="en-US"/>
        </w:rPr>
        <w:sectPr w:rsidR="00E07CDE" w:rsidRPr="00563AD3" w:rsidSect="00CD4C4F">
          <w:pgSz w:w="16838" w:h="11906" w:orient="landscape"/>
          <w:pgMar w:top="1440" w:right="1440" w:bottom="1440" w:left="1440" w:header="708" w:footer="708" w:gutter="0"/>
          <w:cols w:space="708"/>
          <w:docGrid w:linePitch="360"/>
        </w:sectPr>
      </w:pPr>
    </w:p>
    <w:p w14:paraId="09B927A5" w14:textId="77777777" w:rsidR="00E07CDE" w:rsidRPr="00563AD3" w:rsidRDefault="00E07CDE" w:rsidP="009B13F3">
      <w:pPr>
        <w:pStyle w:val="Heading3"/>
        <w:rPr>
          <w:rFonts w:eastAsia="Times New Roman"/>
          <w:lang w:eastAsia="en-US"/>
        </w:rPr>
      </w:pPr>
      <w:bookmarkStart w:id="357" w:name="_Toc500934966"/>
      <w:bookmarkStart w:id="358" w:name="_Toc525544069"/>
      <w:r w:rsidRPr="00563AD3">
        <w:rPr>
          <w:rFonts w:eastAsia="Times New Roman"/>
          <w:lang w:eastAsia="en-US"/>
        </w:rPr>
        <w:t>Predictive and process measures</w:t>
      </w:r>
      <w:bookmarkEnd w:id="357"/>
      <w:bookmarkEnd w:id="358"/>
    </w:p>
    <w:p w14:paraId="1F328E01" w14:textId="52307777" w:rsidR="00E07CDE" w:rsidRPr="00563AD3" w:rsidRDefault="00E07CDE" w:rsidP="006C0B32">
      <w:pPr>
        <w:pStyle w:val="Tableheading"/>
        <w:rPr>
          <w:rFonts w:eastAsia="Calibri"/>
          <w:lang w:eastAsia="en-US"/>
        </w:rPr>
      </w:pPr>
      <w:bookmarkStart w:id="359" w:name="_Toc500935033"/>
      <w:bookmarkStart w:id="360" w:name="_Toc948259"/>
      <w:r w:rsidRPr="00563AD3">
        <w:rPr>
          <w:rFonts w:eastAsia="Calibri"/>
          <w:lang w:eastAsia="en-US"/>
        </w:rPr>
        <w:t xml:space="preserve">Table </w:t>
      </w:r>
      <w:r w:rsidR="006311A8">
        <w:rPr>
          <w:rFonts w:eastAsia="Calibri"/>
          <w:lang w:eastAsia="en-US"/>
        </w:rPr>
        <w:t>62</w:t>
      </w:r>
      <w:r w:rsidRPr="00563AD3">
        <w:rPr>
          <w:rFonts w:eastAsia="Calibri"/>
          <w:lang w:eastAsia="en-US"/>
        </w:rPr>
        <w:t xml:space="preserve"> Care home CDR summaries</w:t>
      </w:r>
      <w:bookmarkEnd w:id="359"/>
      <w:bookmarkEnd w:id="360"/>
    </w:p>
    <w:tbl>
      <w:tblPr>
        <w:tblW w:w="0" w:type="auto"/>
        <w:jc w:val="center"/>
        <w:tblCellMar>
          <w:left w:w="0" w:type="dxa"/>
          <w:right w:w="0" w:type="dxa"/>
        </w:tblCellMar>
        <w:tblLook w:val="0000" w:firstRow="0" w:lastRow="0" w:firstColumn="0" w:lastColumn="0" w:noHBand="0" w:noVBand="0"/>
      </w:tblPr>
      <w:tblGrid>
        <w:gridCol w:w="1964"/>
        <w:gridCol w:w="921"/>
        <w:gridCol w:w="993"/>
        <w:gridCol w:w="919"/>
        <w:gridCol w:w="987"/>
        <w:gridCol w:w="1053"/>
        <w:gridCol w:w="1052"/>
        <w:gridCol w:w="1054"/>
        <w:gridCol w:w="1120"/>
        <w:gridCol w:w="1052"/>
        <w:gridCol w:w="921"/>
        <w:gridCol w:w="993"/>
        <w:gridCol w:w="919"/>
      </w:tblGrid>
      <w:tr w:rsidR="006C1524" w:rsidRPr="00563AD3" w14:paraId="52FF41A8" w14:textId="77777777" w:rsidTr="006C1524">
        <w:trPr>
          <w:cantSplit/>
          <w:tblHeader/>
          <w:jc w:val="center"/>
        </w:trPr>
        <w:tc>
          <w:tcPr>
            <w:tcW w:w="0" w:type="auto"/>
            <w:tcBorders>
              <w:top w:val="single" w:sz="4" w:space="0" w:color="auto"/>
              <w:left w:val="single" w:sz="4" w:space="0" w:color="auto"/>
              <w:bottom w:val="nil"/>
              <w:right w:val="nil"/>
            </w:tcBorders>
            <w:shd w:val="clear" w:color="auto" w:fill="FFFFFF"/>
            <w:tcMar>
              <w:left w:w="67" w:type="dxa"/>
              <w:right w:w="67" w:type="dxa"/>
            </w:tcMar>
            <w:vAlign w:val="bottom"/>
          </w:tcPr>
          <w:p w14:paraId="717E8484" w14:textId="77777777" w:rsidR="006C1524" w:rsidRPr="00563AD3" w:rsidRDefault="006C1524" w:rsidP="006C0B32">
            <w:pPr>
              <w:keepNext/>
              <w:spacing w:after="0" w:line="240" w:lineRule="auto"/>
              <w:jc w:val="center"/>
              <w:rPr>
                <w:rFonts w:eastAsia="Times New Roman"/>
                <w:b/>
                <w:bCs/>
                <w:color w:val="000000"/>
                <w:sz w:val="15"/>
                <w:szCs w:val="15"/>
              </w:rPr>
            </w:pPr>
          </w:p>
        </w:tc>
        <w:tc>
          <w:tcPr>
            <w:tcW w:w="0" w:type="auto"/>
            <w:gridSpan w:val="12"/>
            <w:tcBorders>
              <w:top w:val="single" w:sz="4" w:space="0" w:color="auto"/>
              <w:left w:val="nil"/>
              <w:bottom w:val="nil"/>
              <w:right w:val="single" w:sz="4" w:space="0" w:color="auto"/>
            </w:tcBorders>
            <w:shd w:val="clear" w:color="auto" w:fill="FFFFFF"/>
            <w:tcMar>
              <w:left w:w="67" w:type="dxa"/>
              <w:right w:w="67" w:type="dxa"/>
            </w:tcMar>
            <w:vAlign w:val="bottom"/>
          </w:tcPr>
          <w:p w14:paraId="1DAEB916"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CDR summaries</w:t>
            </w:r>
          </w:p>
        </w:tc>
      </w:tr>
      <w:tr w:rsidR="006C1524" w:rsidRPr="00563AD3" w14:paraId="21FFA306" w14:textId="77777777" w:rsidTr="006C1524">
        <w:trPr>
          <w:cantSplit/>
          <w:tblHeader/>
          <w:jc w:val="center"/>
        </w:trPr>
        <w:tc>
          <w:tcPr>
            <w:tcW w:w="0" w:type="auto"/>
            <w:tcBorders>
              <w:top w:val="nil"/>
              <w:left w:val="single" w:sz="4" w:space="0" w:color="auto"/>
              <w:bottom w:val="nil"/>
              <w:right w:val="nil"/>
            </w:tcBorders>
            <w:shd w:val="clear" w:color="auto" w:fill="FFFFFF"/>
            <w:tcMar>
              <w:left w:w="67" w:type="dxa"/>
              <w:right w:w="67" w:type="dxa"/>
            </w:tcMar>
            <w:vAlign w:val="bottom"/>
          </w:tcPr>
          <w:p w14:paraId="25869A82" w14:textId="77777777" w:rsidR="006C1524" w:rsidRPr="00563AD3" w:rsidRDefault="006C1524" w:rsidP="006C0B32">
            <w:pPr>
              <w:keepNext/>
              <w:spacing w:after="0" w:line="240" w:lineRule="auto"/>
              <w:jc w:val="center"/>
              <w:rPr>
                <w:rFonts w:eastAsia="Times New Roman"/>
                <w:b/>
                <w:bCs/>
                <w:color w:val="000000"/>
                <w:sz w:val="15"/>
                <w:szCs w:val="15"/>
              </w:rPr>
            </w:pPr>
          </w:p>
        </w:tc>
        <w:tc>
          <w:tcPr>
            <w:tcW w:w="0" w:type="auto"/>
            <w:gridSpan w:val="3"/>
            <w:tcBorders>
              <w:top w:val="nil"/>
              <w:left w:val="nil"/>
              <w:bottom w:val="nil"/>
              <w:right w:val="nil"/>
            </w:tcBorders>
            <w:shd w:val="clear" w:color="auto" w:fill="FFFFFF"/>
            <w:tcMar>
              <w:left w:w="67" w:type="dxa"/>
              <w:right w:w="67" w:type="dxa"/>
            </w:tcMar>
            <w:vAlign w:val="bottom"/>
          </w:tcPr>
          <w:p w14:paraId="37E223DA"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Baseline</w:t>
            </w:r>
          </w:p>
        </w:tc>
        <w:tc>
          <w:tcPr>
            <w:tcW w:w="0" w:type="auto"/>
            <w:gridSpan w:val="3"/>
            <w:tcBorders>
              <w:top w:val="nil"/>
              <w:left w:val="nil"/>
              <w:bottom w:val="nil"/>
              <w:right w:val="nil"/>
            </w:tcBorders>
            <w:shd w:val="clear" w:color="auto" w:fill="FFFFFF"/>
            <w:tcMar>
              <w:left w:w="67" w:type="dxa"/>
              <w:right w:w="67" w:type="dxa"/>
            </w:tcMar>
            <w:vAlign w:val="bottom"/>
          </w:tcPr>
          <w:p w14:paraId="798625A1" w14:textId="5EB16666"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6</w:t>
            </w:r>
            <w:r w:rsidR="00B80810">
              <w:rPr>
                <w:rFonts w:eastAsia="Times New Roman"/>
                <w:b/>
                <w:bCs/>
                <w:color w:val="000000"/>
                <w:sz w:val="15"/>
                <w:szCs w:val="15"/>
              </w:rPr>
              <w:t>-months</w:t>
            </w:r>
          </w:p>
        </w:tc>
        <w:tc>
          <w:tcPr>
            <w:tcW w:w="0" w:type="auto"/>
            <w:gridSpan w:val="3"/>
            <w:tcBorders>
              <w:top w:val="nil"/>
              <w:left w:val="nil"/>
              <w:bottom w:val="nil"/>
              <w:right w:val="nil"/>
            </w:tcBorders>
            <w:shd w:val="clear" w:color="auto" w:fill="FFFFFF"/>
            <w:tcMar>
              <w:left w:w="67" w:type="dxa"/>
              <w:right w:w="67" w:type="dxa"/>
            </w:tcMar>
            <w:vAlign w:val="bottom"/>
          </w:tcPr>
          <w:p w14:paraId="2A5E7D9D" w14:textId="00D3DDF8"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16</w:t>
            </w:r>
            <w:r w:rsidR="00B80810">
              <w:rPr>
                <w:rFonts w:eastAsia="Times New Roman"/>
                <w:b/>
                <w:bCs/>
                <w:color w:val="000000"/>
                <w:sz w:val="15"/>
                <w:szCs w:val="15"/>
              </w:rPr>
              <w:t>-months</w:t>
            </w:r>
            <w:r w:rsidRPr="00563AD3">
              <w:rPr>
                <w:rFonts w:eastAsia="Times New Roman"/>
                <w:b/>
                <w:bCs/>
                <w:color w:val="000000"/>
                <w:sz w:val="15"/>
                <w:szCs w:val="15"/>
              </w:rPr>
              <w:br/>
              <w:t>original</w:t>
            </w:r>
          </w:p>
        </w:tc>
        <w:tc>
          <w:tcPr>
            <w:tcW w:w="0" w:type="auto"/>
            <w:gridSpan w:val="3"/>
            <w:tcBorders>
              <w:top w:val="nil"/>
              <w:left w:val="nil"/>
              <w:bottom w:val="nil"/>
              <w:right w:val="single" w:sz="4" w:space="0" w:color="auto"/>
            </w:tcBorders>
            <w:shd w:val="clear" w:color="auto" w:fill="FFFFFF"/>
            <w:tcMar>
              <w:left w:w="67" w:type="dxa"/>
              <w:right w:w="67" w:type="dxa"/>
            </w:tcMar>
            <w:vAlign w:val="bottom"/>
          </w:tcPr>
          <w:p w14:paraId="0605A7B6" w14:textId="529ED34D"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16</w:t>
            </w:r>
            <w:r w:rsidR="00B80810">
              <w:rPr>
                <w:rFonts w:eastAsia="Times New Roman"/>
                <w:b/>
                <w:bCs/>
                <w:color w:val="000000"/>
                <w:sz w:val="15"/>
                <w:szCs w:val="15"/>
              </w:rPr>
              <w:t>-months</w:t>
            </w:r>
            <w:r w:rsidRPr="00563AD3">
              <w:rPr>
                <w:rFonts w:eastAsia="Times New Roman"/>
                <w:b/>
                <w:bCs/>
                <w:color w:val="000000"/>
                <w:sz w:val="15"/>
                <w:szCs w:val="15"/>
              </w:rPr>
              <w:br/>
              <w:t>cross-sectional</w:t>
            </w:r>
          </w:p>
        </w:tc>
      </w:tr>
      <w:tr w:rsidR="006C1524" w:rsidRPr="00563AD3" w14:paraId="76BEA934" w14:textId="77777777" w:rsidTr="006C1524">
        <w:trPr>
          <w:cantSplit/>
          <w:tblHeader/>
          <w:jc w:val="center"/>
        </w:trPr>
        <w:tc>
          <w:tcPr>
            <w:tcW w:w="0" w:type="auto"/>
            <w:tcBorders>
              <w:top w:val="nil"/>
              <w:left w:val="single" w:sz="4" w:space="0" w:color="auto"/>
              <w:bottom w:val="single" w:sz="4" w:space="0" w:color="000000"/>
              <w:right w:val="nil"/>
            </w:tcBorders>
            <w:shd w:val="clear" w:color="auto" w:fill="FFFFFF"/>
            <w:tcMar>
              <w:left w:w="67" w:type="dxa"/>
              <w:right w:w="67" w:type="dxa"/>
            </w:tcMar>
            <w:vAlign w:val="bottom"/>
          </w:tcPr>
          <w:p w14:paraId="671DCF9B" w14:textId="77777777" w:rsidR="006C1524" w:rsidRPr="00563AD3" w:rsidRDefault="006C1524" w:rsidP="006C0B32">
            <w:pPr>
              <w:keepNext/>
              <w:spacing w:after="0" w:line="240" w:lineRule="auto"/>
              <w:rPr>
                <w:rFonts w:eastAsia="Times New Roman"/>
                <w:b/>
                <w:bCs/>
                <w:color w:val="000000"/>
                <w:sz w:val="15"/>
                <w:szCs w:val="15"/>
              </w:rPr>
            </w:pPr>
            <w:r w:rsidRPr="00563AD3">
              <w:rPr>
                <w:rFonts w:eastAsia="Times New Roman"/>
                <w:b/>
                <w:bCs/>
                <w:color w:val="000000"/>
                <w:sz w:val="15"/>
                <w:szCs w:val="15"/>
              </w:rPr>
              <w:t>CDR</w:t>
            </w:r>
          </w:p>
        </w:tc>
        <w:tc>
          <w:tcPr>
            <w:tcW w:w="0" w:type="auto"/>
            <w:tcBorders>
              <w:top w:val="nil"/>
              <w:left w:val="nil"/>
              <w:bottom w:val="single" w:sz="4" w:space="0" w:color="000000"/>
              <w:right w:val="nil"/>
            </w:tcBorders>
            <w:shd w:val="clear" w:color="auto" w:fill="FFFFFF"/>
            <w:tcMar>
              <w:left w:w="67" w:type="dxa"/>
              <w:right w:w="67" w:type="dxa"/>
            </w:tcMar>
            <w:vAlign w:val="bottom"/>
          </w:tcPr>
          <w:p w14:paraId="7DB25083"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Control</w:t>
            </w:r>
            <w:r w:rsidRPr="00563AD3">
              <w:rPr>
                <w:rFonts w:eastAsia="Times New Roman"/>
                <w:b/>
                <w:bCs/>
                <w:color w:val="000000"/>
                <w:sz w:val="15"/>
                <w:szCs w:val="15"/>
              </w:rPr>
              <w:br/>
              <w:t>(n = 308)</w:t>
            </w:r>
          </w:p>
        </w:tc>
        <w:tc>
          <w:tcPr>
            <w:tcW w:w="0" w:type="auto"/>
            <w:tcBorders>
              <w:top w:val="nil"/>
              <w:left w:val="nil"/>
              <w:bottom w:val="single" w:sz="4" w:space="0" w:color="000000"/>
              <w:right w:val="nil"/>
            </w:tcBorders>
            <w:shd w:val="clear" w:color="auto" w:fill="FFFFFF"/>
            <w:tcMar>
              <w:left w:w="67" w:type="dxa"/>
              <w:right w:w="67" w:type="dxa"/>
            </w:tcMar>
            <w:vAlign w:val="bottom"/>
          </w:tcPr>
          <w:p w14:paraId="3CC79E50"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Intervention</w:t>
            </w:r>
            <w:r w:rsidRPr="00563AD3">
              <w:rPr>
                <w:rFonts w:eastAsia="Times New Roman"/>
                <w:b/>
                <w:bCs/>
                <w:color w:val="000000"/>
                <w:sz w:val="15"/>
                <w:szCs w:val="15"/>
              </w:rPr>
              <w:br/>
              <w:t>(n = 418)</w:t>
            </w:r>
          </w:p>
        </w:tc>
        <w:tc>
          <w:tcPr>
            <w:tcW w:w="0" w:type="auto"/>
            <w:tcBorders>
              <w:top w:val="nil"/>
              <w:left w:val="nil"/>
              <w:bottom w:val="single" w:sz="4" w:space="0" w:color="000000"/>
              <w:right w:val="nil"/>
            </w:tcBorders>
            <w:shd w:val="clear" w:color="auto" w:fill="FFFFFF"/>
            <w:tcMar>
              <w:left w:w="67" w:type="dxa"/>
              <w:right w:w="67" w:type="dxa"/>
            </w:tcMar>
            <w:vAlign w:val="bottom"/>
          </w:tcPr>
          <w:p w14:paraId="51112C1E"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Total</w:t>
            </w:r>
            <w:r w:rsidRPr="00563AD3">
              <w:rPr>
                <w:rFonts w:eastAsia="Times New Roman"/>
                <w:b/>
                <w:bCs/>
                <w:color w:val="000000"/>
                <w:sz w:val="15"/>
                <w:szCs w:val="15"/>
              </w:rPr>
              <w:br/>
              <w:t>(n = 726)</w:t>
            </w:r>
          </w:p>
        </w:tc>
        <w:tc>
          <w:tcPr>
            <w:tcW w:w="0" w:type="auto"/>
            <w:tcBorders>
              <w:top w:val="nil"/>
              <w:left w:val="nil"/>
              <w:bottom w:val="single" w:sz="4" w:space="0" w:color="000000"/>
              <w:right w:val="nil"/>
            </w:tcBorders>
            <w:shd w:val="clear" w:color="auto" w:fill="FFFFFF"/>
            <w:tcMar>
              <w:left w:w="67" w:type="dxa"/>
              <w:right w:w="67" w:type="dxa"/>
            </w:tcMar>
            <w:vAlign w:val="bottom"/>
          </w:tcPr>
          <w:p w14:paraId="1AD65890"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Control</w:t>
            </w:r>
            <w:r w:rsidRPr="00563AD3">
              <w:rPr>
                <w:rFonts w:eastAsia="Times New Roman"/>
                <w:b/>
                <w:bCs/>
                <w:color w:val="000000"/>
                <w:sz w:val="15"/>
                <w:szCs w:val="15"/>
              </w:rPr>
              <w:br/>
              <w:t>(n = 308)</w:t>
            </w:r>
          </w:p>
        </w:tc>
        <w:tc>
          <w:tcPr>
            <w:tcW w:w="0" w:type="auto"/>
            <w:tcBorders>
              <w:top w:val="nil"/>
              <w:left w:val="nil"/>
              <w:bottom w:val="single" w:sz="4" w:space="0" w:color="000000"/>
              <w:right w:val="nil"/>
            </w:tcBorders>
            <w:shd w:val="clear" w:color="auto" w:fill="FFFFFF"/>
            <w:tcMar>
              <w:left w:w="67" w:type="dxa"/>
              <w:right w:w="67" w:type="dxa"/>
            </w:tcMar>
            <w:vAlign w:val="bottom"/>
          </w:tcPr>
          <w:p w14:paraId="2C1041BD"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Intervention</w:t>
            </w:r>
            <w:r w:rsidRPr="00563AD3">
              <w:rPr>
                <w:rFonts w:eastAsia="Times New Roman"/>
                <w:b/>
                <w:bCs/>
                <w:color w:val="000000"/>
                <w:sz w:val="15"/>
                <w:szCs w:val="15"/>
              </w:rPr>
              <w:br/>
              <w:t>(n = 418)</w:t>
            </w:r>
          </w:p>
        </w:tc>
        <w:tc>
          <w:tcPr>
            <w:tcW w:w="0" w:type="auto"/>
            <w:tcBorders>
              <w:top w:val="nil"/>
              <w:left w:val="nil"/>
              <w:bottom w:val="single" w:sz="4" w:space="0" w:color="000000"/>
              <w:right w:val="nil"/>
            </w:tcBorders>
            <w:shd w:val="clear" w:color="auto" w:fill="FFFFFF"/>
            <w:tcMar>
              <w:left w:w="67" w:type="dxa"/>
              <w:right w:w="67" w:type="dxa"/>
            </w:tcMar>
            <w:vAlign w:val="bottom"/>
          </w:tcPr>
          <w:p w14:paraId="06B6B6B2"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Total</w:t>
            </w:r>
            <w:r w:rsidRPr="00563AD3">
              <w:rPr>
                <w:rFonts w:eastAsia="Times New Roman"/>
                <w:b/>
                <w:bCs/>
                <w:color w:val="000000"/>
                <w:sz w:val="15"/>
                <w:szCs w:val="15"/>
              </w:rPr>
              <w:br/>
              <w:t>(n = 726)</w:t>
            </w:r>
          </w:p>
        </w:tc>
        <w:tc>
          <w:tcPr>
            <w:tcW w:w="0" w:type="auto"/>
            <w:tcBorders>
              <w:top w:val="nil"/>
              <w:left w:val="nil"/>
              <w:bottom w:val="single" w:sz="4" w:space="0" w:color="000000"/>
              <w:right w:val="nil"/>
            </w:tcBorders>
            <w:shd w:val="clear" w:color="auto" w:fill="FFFFFF"/>
            <w:tcMar>
              <w:left w:w="67" w:type="dxa"/>
              <w:right w:w="67" w:type="dxa"/>
            </w:tcMar>
            <w:vAlign w:val="bottom"/>
          </w:tcPr>
          <w:p w14:paraId="2A8B85A2"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Control</w:t>
            </w:r>
            <w:r w:rsidRPr="00563AD3">
              <w:rPr>
                <w:rFonts w:eastAsia="Times New Roman"/>
                <w:b/>
                <w:bCs/>
                <w:color w:val="000000"/>
                <w:sz w:val="15"/>
                <w:szCs w:val="15"/>
              </w:rPr>
              <w:br/>
              <w:t>(n = 308)</w:t>
            </w:r>
          </w:p>
        </w:tc>
        <w:tc>
          <w:tcPr>
            <w:tcW w:w="0" w:type="auto"/>
            <w:tcBorders>
              <w:top w:val="nil"/>
              <w:left w:val="nil"/>
              <w:bottom w:val="single" w:sz="4" w:space="0" w:color="000000"/>
              <w:right w:val="nil"/>
            </w:tcBorders>
            <w:shd w:val="clear" w:color="auto" w:fill="FFFFFF"/>
            <w:tcMar>
              <w:left w:w="67" w:type="dxa"/>
              <w:right w:w="67" w:type="dxa"/>
            </w:tcMar>
            <w:vAlign w:val="bottom"/>
          </w:tcPr>
          <w:p w14:paraId="45926FD1"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Intervention</w:t>
            </w:r>
            <w:r w:rsidRPr="00563AD3">
              <w:rPr>
                <w:rFonts w:eastAsia="Times New Roman"/>
                <w:b/>
                <w:bCs/>
                <w:color w:val="000000"/>
                <w:sz w:val="15"/>
                <w:szCs w:val="15"/>
              </w:rPr>
              <w:br/>
              <w:t>(n = 418)</w:t>
            </w:r>
          </w:p>
        </w:tc>
        <w:tc>
          <w:tcPr>
            <w:tcW w:w="0" w:type="auto"/>
            <w:tcBorders>
              <w:top w:val="nil"/>
              <w:left w:val="nil"/>
              <w:bottom w:val="single" w:sz="4" w:space="0" w:color="000000"/>
              <w:right w:val="nil"/>
            </w:tcBorders>
            <w:shd w:val="clear" w:color="auto" w:fill="FFFFFF"/>
            <w:tcMar>
              <w:left w:w="67" w:type="dxa"/>
              <w:right w:w="67" w:type="dxa"/>
            </w:tcMar>
            <w:vAlign w:val="bottom"/>
          </w:tcPr>
          <w:p w14:paraId="1DD88835"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Total</w:t>
            </w:r>
            <w:r w:rsidRPr="00563AD3">
              <w:rPr>
                <w:rFonts w:eastAsia="Times New Roman"/>
                <w:b/>
                <w:bCs/>
                <w:color w:val="000000"/>
                <w:sz w:val="15"/>
                <w:szCs w:val="15"/>
              </w:rPr>
              <w:br/>
              <w:t>(n = 726)</w:t>
            </w:r>
          </w:p>
        </w:tc>
        <w:tc>
          <w:tcPr>
            <w:tcW w:w="0" w:type="auto"/>
            <w:tcBorders>
              <w:top w:val="nil"/>
              <w:left w:val="nil"/>
              <w:bottom w:val="single" w:sz="4" w:space="0" w:color="000000"/>
              <w:right w:val="nil"/>
            </w:tcBorders>
            <w:shd w:val="clear" w:color="auto" w:fill="FFFFFF"/>
            <w:tcMar>
              <w:left w:w="67" w:type="dxa"/>
              <w:right w:w="67" w:type="dxa"/>
            </w:tcMar>
            <w:vAlign w:val="bottom"/>
          </w:tcPr>
          <w:p w14:paraId="16EE2695"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Control</w:t>
            </w:r>
            <w:r w:rsidRPr="00563AD3">
              <w:rPr>
                <w:rFonts w:eastAsia="Times New Roman"/>
                <w:b/>
                <w:bCs/>
                <w:color w:val="000000"/>
                <w:sz w:val="15"/>
                <w:szCs w:val="15"/>
              </w:rPr>
              <w:br/>
              <w:t>(n = 287)</w:t>
            </w:r>
          </w:p>
        </w:tc>
        <w:tc>
          <w:tcPr>
            <w:tcW w:w="0" w:type="auto"/>
            <w:tcBorders>
              <w:top w:val="nil"/>
              <w:left w:val="nil"/>
              <w:bottom w:val="single" w:sz="4" w:space="0" w:color="000000"/>
              <w:right w:val="nil"/>
            </w:tcBorders>
            <w:shd w:val="clear" w:color="auto" w:fill="FFFFFF"/>
            <w:tcMar>
              <w:left w:w="67" w:type="dxa"/>
              <w:right w:w="67" w:type="dxa"/>
            </w:tcMar>
            <w:vAlign w:val="bottom"/>
          </w:tcPr>
          <w:p w14:paraId="494AE6FD"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Intervention</w:t>
            </w:r>
            <w:r w:rsidRPr="00563AD3">
              <w:rPr>
                <w:rFonts w:eastAsia="Times New Roman"/>
                <w:b/>
                <w:bCs/>
                <w:color w:val="000000"/>
                <w:sz w:val="15"/>
                <w:szCs w:val="15"/>
              </w:rPr>
              <w:br/>
              <w:t>(n = 388)</w:t>
            </w:r>
          </w:p>
        </w:tc>
        <w:tc>
          <w:tcPr>
            <w:tcW w:w="0" w:type="auto"/>
            <w:tcBorders>
              <w:top w:val="nil"/>
              <w:left w:val="nil"/>
              <w:bottom w:val="single" w:sz="4" w:space="0" w:color="000000"/>
              <w:right w:val="single" w:sz="4" w:space="0" w:color="auto"/>
            </w:tcBorders>
            <w:shd w:val="clear" w:color="auto" w:fill="FFFFFF"/>
            <w:tcMar>
              <w:left w:w="67" w:type="dxa"/>
              <w:right w:w="67" w:type="dxa"/>
            </w:tcMar>
            <w:vAlign w:val="bottom"/>
          </w:tcPr>
          <w:p w14:paraId="598C4EFA" w14:textId="77777777" w:rsidR="006C1524" w:rsidRPr="00563AD3" w:rsidRDefault="006C1524" w:rsidP="006C0B32">
            <w:pPr>
              <w:keepNext/>
              <w:spacing w:after="0" w:line="240" w:lineRule="auto"/>
              <w:jc w:val="center"/>
              <w:rPr>
                <w:rFonts w:eastAsia="Times New Roman"/>
                <w:b/>
                <w:bCs/>
                <w:color w:val="000000"/>
                <w:sz w:val="15"/>
                <w:szCs w:val="15"/>
              </w:rPr>
            </w:pPr>
            <w:r w:rsidRPr="00563AD3">
              <w:rPr>
                <w:rFonts w:eastAsia="Times New Roman"/>
                <w:b/>
                <w:bCs/>
                <w:color w:val="000000"/>
                <w:sz w:val="15"/>
                <w:szCs w:val="15"/>
              </w:rPr>
              <w:t>Total</w:t>
            </w:r>
            <w:r w:rsidRPr="00563AD3">
              <w:rPr>
                <w:rFonts w:eastAsia="Times New Roman"/>
                <w:b/>
                <w:bCs/>
                <w:color w:val="000000"/>
                <w:sz w:val="15"/>
                <w:szCs w:val="15"/>
              </w:rPr>
              <w:br/>
              <w:t>(n = 675)</w:t>
            </w:r>
          </w:p>
        </w:tc>
      </w:tr>
      <w:tr w:rsidR="006C1524" w:rsidRPr="00563AD3" w14:paraId="50FA11EC"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0B6E2EAC" w14:textId="77777777" w:rsidR="006C1524" w:rsidRPr="00EC0517" w:rsidRDefault="006C1524" w:rsidP="006C0B32">
            <w:pPr>
              <w:spacing w:after="0" w:line="240" w:lineRule="auto"/>
              <w:rPr>
                <w:rFonts w:eastAsia="Times New Roman"/>
                <w:b/>
                <w:bCs/>
                <w:color w:val="000000"/>
                <w:sz w:val="14"/>
                <w:szCs w:val="14"/>
              </w:rPr>
            </w:pPr>
            <w:r w:rsidRPr="00EC0517">
              <w:rPr>
                <w:rFonts w:eastAsia="Times New Roman"/>
                <w:b/>
                <w:bCs/>
                <w:color w:val="000000"/>
                <w:sz w:val="14"/>
                <w:szCs w:val="14"/>
              </w:rPr>
              <w:t>Global CDR as categories N (%)</w:t>
            </w:r>
          </w:p>
        </w:tc>
        <w:tc>
          <w:tcPr>
            <w:tcW w:w="0" w:type="auto"/>
            <w:tcBorders>
              <w:top w:val="nil"/>
              <w:left w:val="nil"/>
              <w:bottom w:val="nil"/>
              <w:right w:val="nil"/>
            </w:tcBorders>
            <w:shd w:val="clear" w:color="auto" w:fill="FFFFFF"/>
            <w:tcMar>
              <w:left w:w="67" w:type="dxa"/>
              <w:right w:w="67" w:type="dxa"/>
            </w:tcMar>
          </w:tcPr>
          <w:p w14:paraId="1D013CDA"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53882BCB"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2A04F838"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1BB33E48"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46692400"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4A96F7A8"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1CA7B1D7"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685E355B"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0131E35E"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71EC3190"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0D3645CC"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single" w:sz="4" w:space="0" w:color="auto"/>
            </w:tcBorders>
            <w:shd w:val="clear" w:color="auto" w:fill="FFFFFF"/>
            <w:tcMar>
              <w:left w:w="67" w:type="dxa"/>
              <w:right w:w="67" w:type="dxa"/>
            </w:tcMar>
          </w:tcPr>
          <w:p w14:paraId="76205216" w14:textId="77777777" w:rsidR="006C1524" w:rsidRPr="00563AD3" w:rsidRDefault="006C1524" w:rsidP="006C0B32">
            <w:pPr>
              <w:spacing w:after="0" w:line="240" w:lineRule="auto"/>
              <w:jc w:val="right"/>
              <w:rPr>
                <w:rFonts w:eastAsia="Times New Roman"/>
                <w:color w:val="000000"/>
                <w:sz w:val="15"/>
                <w:szCs w:val="15"/>
              </w:rPr>
            </w:pPr>
          </w:p>
        </w:tc>
      </w:tr>
      <w:tr w:rsidR="006C1524" w:rsidRPr="00563AD3" w14:paraId="765F2DDD"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248E755C" w14:textId="77777777" w:rsidR="006C1524" w:rsidRPr="00EC0517" w:rsidRDefault="006C1524" w:rsidP="006C0B32">
            <w:pPr>
              <w:spacing w:after="0" w:line="240" w:lineRule="auto"/>
              <w:rPr>
                <w:rFonts w:eastAsia="Times New Roman"/>
                <w:b/>
                <w:bCs/>
                <w:color w:val="000000"/>
                <w:sz w:val="14"/>
                <w:szCs w:val="14"/>
              </w:rPr>
            </w:pPr>
            <w:r w:rsidRPr="00EC0517">
              <w:rPr>
                <w:rFonts w:eastAsia="Times New Roman"/>
                <w:b/>
                <w:bCs/>
                <w:color w:val="000000"/>
                <w:sz w:val="14"/>
                <w:szCs w:val="14"/>
              </w:rPr>
              <w:t>0</w:t>
            </w:r>
          </w:p>
        </w:tc>
        <w:tc>
          <w:tcPr>
            <w:tcW w:w="0" w:type="auto"/>
            <w:tcBorders>
              <w:top w:val="nil"/>
              <w:left w:val="nil"/>
              <w:bottom w:val="nil"/>
              <w:right w:val="nil"/>
            </w:tcBorders>
            <w:shd w:val="clear" w:color="auto" w:fill="FFFFFF"/>
            <w:tcMar>
              <w:left w:w="67" w:type="dxa"/>
              <w:right w:w="67" w:type="dxa"/>
            </w:tcMar>
          </w:tcPr>
          <w:p w14:paraId="0839101C"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 (0.3%)</w:t>
            </w:r>
          </w:p>
        </w:tc>
        <w:tc>
          <w:tcPr>
            <w:tcW w:w="0" w:type="auto"/>
            <w:tcBorders>
              <w:top w:val="nil"/>
              <w:left w:val="nil"/>
              <w:bottom w:val="nil"/>
              <w:right w:val="nil"/>
            </w:tcBorders>
            <w:shd w:val="clear" w:color="auto" w:fill="FFFFFF"/>
            <w:tcMar>
              <w:left w:w="67" w:type="dxa"/>
              <w:right w:w="67" w:type="dxa"/>
            </w:tcMar>
          </w:tcPr>
          <w:p w14:paraId="102BB2C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(0.5%)</w:t>
            </w:r>
          </w:p>
        </w:tc>
        <w:tc>
          <w:tcPr>
            <w:tcW w:w="0" w:type="auto"/>
            <w:tcBorders>
              <w:top w:val="nil"/>
              <w:left w:val="nil"/>
              <w:bottom w:val="nil"/>
              <w:right w:val="nil"/>
            </w:tcBorders>
            <w:shd w:val="clear" w:color="auto" w:fill="FFFFFF"/>
            <w:tcMar>
              <w:left w:w="67" w:type="dxa"/>
              <w:right w:w="67" w:type="dxa"/>
            </w:tcMar>
          </w:tcPr>
          <w:p w14:paraId="777737E3"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3 (0.4%)</w:t>
            </w:r>
          </w:p>
        </w:tc>
        <w:tc>
          <w:tcPr>
            <w:tcW w:w="0" w:type="auto"/>
            <w:tcBorders>
              <w:top w:val="nil"/>
              <w:left w:val="nil"/>
              <w:bottom w:val="nil"/>
              <w:right w:val="nil"/>
            </w:tcBorders>
            <w:shd w:val="clear" w:color="auto" w:fill="FFFFFF"/>
            <w:tcMar>
              <w:left w:w="67" w:type="dxa"/>
              <w:right w:w="67" w:type="dxa"/>
            </w:tcMar>
          </w:tcPr>
          <w:p w14:paraId="33A8025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0 ( 0.0%)</w:t>
            </w:r>
          </w:p>
        </w:tc>
        <w:tc>
          <w:tcPr>
            <w:tcW w:w="0" w:type="auto"/>
            <w:tcBorders>
              <w:top w:val="nil"/>
              <w:left w:val="nil"/>
              <w:bottom w:val="nil"/>
              <w:right w:val="nil"/>
            </w:tcBorders>
            <w:shd w:val="clear" w:color="auto" w:fill="FFFFFF"/>
            <w:tcMar>
              <w:left w:w="67" w:type="dxa"/>
              <w:right w:w="67" w:type="dxa"/>
            </w:tcMar>
          </w:tcPr>
          <w:p w14:paraId="4F6F9036"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 (0.2%)</w:t>
            </w:r>
          </w:p>
        </w:tc>
        <w:tc>
          <w:tcPr>
            <w:tcW w:w="0" w:type="auto"/>
            <w:tcBorders>
              <w:top w:val="nil"/>
              <w:left w:val="nil"/>
              <w:bottom w:val="nil"/>
              <w:right w:val="nil"/>
            </w:tcBorders>
            <w:shd w:val="clear" w:color="auto" w:fill="FFFFFF"/>
            <w:tcMar>
              <w:left w:w="67" w:type="dxa"/>
              <w:right w:w="67" w:type="dxa"/>
            </w:tcMar>
          </w:tcPr>
          <w:p w14:paraId="05FC4D13"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 (0.1%)</w:t>
            </w:r>
          </w:p>
        </w:tc>
        <w:tc>
          <w:tcPr>
            <w:tcW w:w="0" w:type="auto"/>
            <w:tcBorders>
              <w:top w:val="nil"/>
              <w:left w:val="nil"/>
              <w:bottom w:val="nil"/>
              <w:right w:val="nil"/>
            </w:tcBorders>
            <w:shd w:val="clear" w:color="auto" w:fill="FFFFFF"/>
            <w:tcMar>
              <w:left w:w="67" w:type="dxa"/>
              <w:right w:w="67" w:type="dxa"/>
            </w:tcMar>
          </w:tcPr>
          <w:p w14:paraId="3B258321"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0 ( 0.0%)</w:t>
            </w:r>
          </w:p>
        </w:tc>
        <w:tc>
          <w:tcPr>
            <w:tcW w:w="0" w:type="auto"/>
            <w:tcBorders>
              <w:top w:val="nil"/>
              <w:left w:val="nil"/>
              <w:bottom w:val="nil"/>
              <w:right w:val="nil"/>
            </w:tcBorders>
            <w:shd w:val="clear" w:color="auto" w:fill="FFFFFF"/>
            <w:tcMar>
              <w:left w:w="67" w:type="dxa"/>
              <w:right w:w="67" w:type="dxa"/>
            </w:tcMar>
          </w:tcPr>
          <w:p w14:paraId="29246FCB"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 (0.2%)</w:t>
            </w:r>
          </w:p>
        </w:tc>
        <w:tc>
          <w:tcPr>
            <w:tcW w:w="0" w:type="auto"/>
            <w:tcBorders>
              <w:top w:val="nil"/>
              <w:left w:val="nil"/>
              <w:bottom w:val="nil"/>
              <w:right w:val="nil"/>
            </w:tcBorders>
            <w:shd w:val="clear" w:color="auto" w:fill="FFFFFF"/>
            <w:tcMar>
              <w:left w:w="67" w:type="dxa"/>
              <w:right w:w="67" w:type="dxa"/>
            </w:tcMar>
          </w:tcPr>
          <w:p w14:paraId="75E17A50"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 (0.1%)</w:t>
            </w:r>
          </w:p>
        </w:tc>
        <w:tc>
          <w:tcPr>
            <w:tcW w:w="0" w:type="auto"/>
            <w:tcBorders>
              <w:top w:val="nil"/>
              <w:left w:val="nil"/>
              <w:bottom w:val="nil"/>
              <w:right w:val="nil"/>
            </w:tcBorders>
            <w:shd w:val="clear" w:color="auto" w:fill="FFFFFF"/>
            <w:tcMar>
              <w:left w:w="67" w:type="dxa"/>
              <w:right w:w="67" w:type="dxa"/>
            </w:tcMar>
          </w:tcPr>
          <w:p w14:paraId="661E3869"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0 ( 0.0%)</w:t>
            </w:r>
          </w:p>
        </w:tc>
        <w:tc>
          <w:tcPr>
            <w:tcW w:w="0" w:type="auto"/>
            <w:tcBorders>
              <w:top w:val="nil"/>
              <w:left w:val="nil"/>
              <w:bottom w:val="nil"/>
              <w:right w:val="nil"/>
            </w:tcBorders>
            <w:shd w:val="clear" w:color="auto" w:fill="FFFFFF"/>
            <w:tcMar>
              <w:left w:w="67" w:type="dxa"/>
              <w:right w:w="67" w:type="dxa"/>
            </w:tcMar>
          </w:tcPr>
          <w:p w14:paraId="3066FCF8"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 (0.3%)</w:t>
            </w:r>
          </w:p>
        </w:tc>
        <w:tc>
          <w:tcPr>
            <w:tcW w:w="0" w:type="auto"/>
            <w:tcBorders>
              <w:top w:val="nil"/>
              <w:left w:val="nil"/>
              <w:bottom w:val="nil"/>
              <w:right w:val="single" w:sz="4" w:space="0" w:color="auto"/>
            </w:tcBorders>
            <w:shd w:val="clear" w:color="auto" w:fill="FFFFFF"/>
            <w:tcMar>
              <w:left w:w="67" w:type="dxa"/>
              <w:right w:w="67" w:type="dxa"/>
            </w:tcMar>
          </w:tcPr>
          <w:p w14:paraId="7A03945A"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 (0.1%)</w:t>
            </w:r>
          </w:p>
        </w:tc>
      </w:tr>
      <w:tr w:rsidR="006C1524" w:rsidRPr="00563AD3" w14:paraId="30BD720A"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3C6F6A27" w14:textId="77777777" w:rsidR="006C1524" w:rsidRPr="00EC0517" w:rsidRDefault="006C1524" w:rsidP="006C0B32">
            <w:pPr>
              <w:spacing w:after="0" w:line="240" w:lineRule="auto"/>
              <w:rPr>
                <w:rFonts w:eastAsia="Times New Roman"/>
                <w:b/>
                <w:bCs/>
                <w:color w:val="000000"/>
                <w:sz w:val="14"/>
                <w:szCs w:val="14"/>
              </w:rPr>
            </w:pPr>
            <w:r w:rsidRPr="00EC0517">
              <w:rPr>
                <w:rFonts w:eastAsia="Times New Roman"/>
                <w:b/>
                <w:bCs/>
                <w:color w:val="000000"/>
                <w:sz w:val="14"/>
                <w:szCs w:val="14"/>
              </w:rPr>
              <w:t>0.5</w:t>
            </w:r>
          </w:p>
        </w:tc>
        <w:tc>
          <w:tcPr>
            <w:tcW w:w="0" w:type="auto"/>
            <w:tcBorders>
              <w:top w:val="nil"/>
              <w:left w:val="nil"/>
              <w:bottom w:val="nil"/>
              <w:right w:val="nil"/>
            </w:tcBorders>
            <w:shd w:val="clear" w:color="auto" w:fill="FFFFFF"/>
            <w:tcMar>
              <w:left w:w="67" w:type="dxa"/>
              <w:right w:w="67" w:type="dxa"/>
            </w:tcMar>
          </w:tcPr>
          <w:p w14:paraId="19481F2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17 (5.5%)</w:t>
            </w:r>
          </w:p>
        </w:tc>
        <w:tc>
          <w:tcPr>
            <w:tcW w:w="0" w:type="auto"/>
            <w:tcBorders>
              <w:top w:val="nil"/>
              <w:left w:val="nil"/>
              <w:bottom w:val="nil"/>
              <w:right w:val="nil"/>
            </w:tcBorders>
            <w:shd w:val="clear" w:color="auto" w:fill="FFFFFF"/>
            <w:tcMar>
              <w:left w:w="67" w:type="dxa"/>
              <w:right w:w="67" w:type="dxa"/>
            </w:tcMar>
          </w:tcPr>
          <w:p w14:paraId="7EE0E659"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23 (5.5%)</w:t>
            </w:r>
          </w:p>
        </w:tc>
        <w:tc>
          <w:tcPr>
            <w:tcW w:w="0" w:type="auto"/>
            <w:tcBorders>
              <w:top w:val="nil"/>
              <w:left w:val="nil"/>
              <w:bottom w:val="nil"/>
              <w:right w:val="nil"/>
            </w:tcBorders>
            <w:shd w:val="clear" w:color="auto" w:fill="FFFFFF"/>
            <w:tcMar>
              <w:left w:w="67" w:type="dxa"/>
              <w:right w:w="67" w:type="dxa"/>
            </w:tcMar>
          </w:tcPr>
          <w:p w14:paraId="14F1DED8"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40 (5.5%)</w:t>
            </w:r>
          </w:p>
        </w:tc>
        <w:tc>
          <w:tcPr>
            <w:tcW w:w="0" w:type="auto"/>
            <w:tcBorders>
              <w:top w:val="nil"/>
              <w:left w:val="nil"/>
              <w:bottom w:val="nil"/>
              <w:right w:val="nil"/>
            </w:tcBorders>
            <w:shd w:val="clear" w:color="auto" w:fill="FFFFFF"/>
            <w:tcMar>
              <w:left w:w="67" w:type="dxa"/>
              <w:right w:w="67" w:type="dxa"/>
            </w:tcMar>
          </w:tcPr>
          <w:p w14:paraId="1DFEB759"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6 (1.9%)</w:t>
            </w:r>
          </w:p>
        </w:tc>
        <w:tc>
          <w:tcPr>
            <w:tcW w:w="0" w:type="auto"/>
            <w:tcBorders>
              <w:top w:val="nil"/>
              <w:left w:val="nil"/>
              <w:bottom w:val="nil"/>
              <w:right w:val="nil"/>
            </w:tcBorders>
            <w:shd w:val="clear" w:color="auto" w:fill="FFFFFF"/>
            <w:tcMar>
              <w:left w:w="67" w:type="dxa"/>
              <w:right w:w="67" w:type="dxa"/>
            </w:tcMar>
          </w:tcPr>
          <w:p w14:paraId="4FCC919F"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7 (1.7%)</w:t>
            </w:r>
          </w:p>
        </w:tc>
        <w:tc>
          <w:tcPr>
            <w:tcW w:w="0" w:type="auto"/>
            <w:tcBorders>
              <w:top w:val="nil"/>
              <w:left w:val="nil"/>
              <w:bottom w:val="nil"/>
              <w:right w:val="nil"/>
            </w:tcBorders>
            <w:shd w:val="clear" w:color="auto" w:fill="FFFFFF"/>
            <w:tcMar>
              <w:left w:w="67" w:type="dxa"/>
              <w:right w:w="67" w:type="dxa"/>
            </w:tcMar>
          </w:tcPr>
          <w:p w14:paraId="75FB54C1"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13 (1.8%)</w:t>
            </w:r>
          </w:p>
        </w:tc>
        <w:tc>
          <w:tcPr>
            <w:tcW w:w="0" w:type="auto"/>
            <w:tcBorders>
              <w:top w:val="nil"/>
              <w:left w:val="nil"/>
              <w:bottom w:val="nil"/>
              <w:right w:val="nil"/>
            </w:tcBorders>
            <w:shd w:val="clear" w:color="auto" w:fill="FFFFFF"/>
            <w:tcMar>
              <w:left w:w="67" w:type="dxa"/>
              <w:right w:w="67" w:type="dxa"/>
            </w:tcMar>
          </w:tcPr>
          <w:p w14:paraId="45EF61B4"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5 (1.6%)</w:t>
            </w:r>
          </w:p>
        </w:tc>
        <w:tc>
          <w:tcPr>
            <w:tcW w:w="0" w:type="auto"/>
            <w:tcBorders>
              <w:top w:val="nil"/>
              <w:left w:val="nil"/>
              <w:bottom w:val="nil"/>
              <w:right w:val="nil"/>
            </w:tcBorders>
            <w:shd w:val="clear" w:color="auto" w:fill="FFFFFF"/>
            <w:tcMar>
              <w:left w:w="67" w:type="dxa"/>
              <w:right w:w="67" w:type="dxa"/>
            </w:tcMar>
          </w:tcPr>
          <w:p w14:paraId="0B841E52"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0 ( 0.0%)</w:t>
            </w:r>
          </w:p>
        </w:tc>
        <w:tc>
          <w:tcPr>
            <w:tcW w:w="0" w:type="auto"/>
            <w:tcBorders>
              <w:top w:val="nil"/>
              <w:left w:val="nil"/>
              <w:bottom w:val="nil"/>
              <w:right w:val="nil"/>
            </w:tcBorders>
            <w:shd w:val="clear" w:color="auto" w:fill="FFFFFF"/>
            <w:tcMar>
              <w:left w:w="67" w:type="dxa"/>
              <w:right w:w="67" w:type="dxa"/>
            </w:tcMar>
          </w:tcPr>
          <w:p w14:paraId="668BE0CA"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5 (0.7%)</w:t>
            </w:r>
          </w:p>
        </w:tc>
        <w:tc>
          <w:tcPr>
            <w:tcW w:w="0" w:type="auto"/>
            <w:tcBorders>
              <w:top w:val="nil"/>
              <w:left w:val="nil"/>
              <w:bottom w:val="nil"/>
              <w:right w:val="nil"/>
            </w:tcBorders>
            <w:shd w:val="clear" w:color="auto" w:fill="FFFFFF"/>
            <w:tcMar>
              <w:left w:w="67" w:type="dxa"/>
              <w:right w:w="67" w:type="dxa"/>
            </w:tcMar>
          </w:tcPr>
          <w:p w14:paraId="1F3B9DA5"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11 (3.8%)</w:t>
            </w:r>
          </w:p>
        </w:tc>
        <w:tc>
          <w:tcPr>
            <w:tcW w:w="0" w:type="auto"/>
            <w:tcBorders>
              <w:top w:val="nil"/>
              <w:left w:val="nil"/>
              <w:bottom w:val="nil"/>
              <w:right w:val="nil"/>
            </w:tcBorders>
            <w:shd w:val="clear" w:color="auto" w:fill="FFFFFF"/>
            <w:tcMar>
              <w:left w:w="67" w:type="dxa"/>
              <w:right w:w="67" w:type="dxa"/>
            </w:tcMar>
          </w:tcPr>
          <w:p w14:paraId="4D1B8ADF"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6 (1.5%)</w:t>
            </w:r>
          </w:p>
        </w:tc>
        <w:tc>
          <w:tcPr>
            <w:tcW w:w="0" w:type="auto"/>
            <w:tcBorders>
              <w:top w:val="nil"/>
              <w:left w:val="nil"/>
              <w:bottom w:val="nil"/>
              <w:right w:val="single" w:sz="4" w:space="0" w:color="auto"/>
            </w:tcBorders>
            <w:shd w:val="clear" w:color="auto" w:fill="FFFFFF"/>
            <w:tcMar>
              <w:left w:w="67" w:type="dxa"/>
              <w:right w:w="67" w:type="dxa"/>
            </w:tcMar>
          </w:tcPr>
          <w:p w14:paraId="34AB753D"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17 (2.5%)</w:t>
            </w:r>
          </w:p>
        </w:tc>
      </w:tr>
      <w:tr w:rsidR="006C1524" w:rsidRPr="00563AD3" w14:paraId="508DBADB"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6ECCAB0B" w14:textId="77777777" w:rsidR="006C1524" w:rsidRPr="00EC0517" w:rsidRDefault="006C1524" w:rsidP="006C0B32">
            <w:pPr>
              <w:spacing w:after="0" w:line="240" w:lineRule="auto"/>
              <w:rPr>
                <w:rFonts w:eastAsia="Times New Roman"/>
                <w:b/>
                <w:bCs/>
                <w:color w:val="000000"/>
                <w:sz w:val="14"/>
                <w:szCs w:val="14"/>
              </w:rPr>
            </w:pPr>
            <w:r w:rsidRPr="00EC0517">
              <w:rPr>
                <w:rFonts w:eastAsia="Times New Roman"/>
                <w:b/>
                <w:bCs/>
                <w:color w:val="000000"/>
                <w:sz w:val="14"/>
                <w:szCs w:val="14"/>
              </w:rPr>
              <w:t>1</w:t>
            </w:r>
          </w:p>
        </w:tc>
        <w:tc>
          <w:tcPr>
            <w:tcW w:w="0" w:type="auto"/>
            <w:tcBorders>
              <w:top w:val="nil"/>
              <w:left w:val="nil"/>
              <w:bottom w:val="nil"/>
              <w:right w:val="nil"/>
            </w:tcBorders>
            <w:shd w:val="clear" w:color="auto" w:fill="FFFFFF"/>
            <w:tcMar>
              <w:left w:w="67" w:type="dxa"/>
              <w:right w:w="67" w:type="dxa"/>
            </w:tcMar>
          </w:tcPr>
          <w:p w14:paraId="3CCAB4CA"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79 (25.6%)</w:t>
            </w:r>
          </w:p>
        </w:tc>
        <w:tc>
          <w:tcPr>
            <w:tcW w:w="0" w:type="auto"/>
            <w:tcBorders>
              <w:top w:val="nil"/>
              <w:left w:val="nil"/>
              <w:bottom w:val="nil"/>
              <w:right w:val="nil"/>
            </w:tcBorders>
            <w:shd w:val="clear" w:color="auto" w:fill="FFFFFF"/>
            <w:tcMar>
              <w:left w:w="67" w:type="dxa"/>
              <w:right w:w="67" w:type="dxa"/>
            </w:tcMar>
          </w:tcPr>
          <w:p w14:paraId="47868385"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101 (24.2%)</w:t>
            </w:r>
          </w:p>
        </w:tc>
        <w:tc>
          <w:tcPr>
            <w:tcW w:w="0" w:type="auto"/>
            <w:tcBorders>
              <w:top w:val="nil"/>
              <w:left w:val="nil"/>
              <w:bottom w:val="nil"/>
              <w:right w:val="nil"/>
            </w:tcBorders>
            <w:shd w:val="clear" w:color="auto" w:fill="FFFFFF"/>
            <w:tcMar>
              <w:left w:w="67" w:type="dxa"/>
              <w:right w:w="67" w:type="dxa"/>
            </w:tcMar>
          </w:tcPr>
          <w:p w14:paraId="0E7072DD"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180 (24.8%)</w:t>
            </w:r>
          </w:p>
        </w:tc>
        <w:tc>
          <w:tcPr>
            <w:tcW w:w="0" w:type="auto"/>
            <w:tcBorders>
              <w:top w:val="nil"/>
              <w:left w:val="nil"/>
              <w:bottom w:val="nil"/>
              <w:right w:val="nil"/>
            </w:tcBorders>
            <w:shd w:val="clear" w:color="auto" w:fill="FFFFFF"/>
            <w:tcMar>
              <w:left w:w="67" w:type="dxa"/>
              <w:right w:w="67" w:type="dxa"/>
            </w:tcMar>
          </w:tcPr>
          <w:p w14:paraId="0AF35132"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37 (12.0%)</w:t>
            </w:r>
          </w:p>
        </w:tc>
        <w:tc>
          <w:tcPr>
            <w:tcW w:w="0" w:type="auto"/>
            <w:tcBorders>
              <w:top w:val="nil"/>
              <w:left w:val="nil"/>
              <w:bottom w:val="nil"/>
              <w:right w:val="nil"/>
            </w:tcBorders>
            <w:shd w:val="clear" w:color="auto" w:fill="FFFFFF"/>
            <w:tcMar>
              <w:left w:w="67" w:type="dxa"/>
              <w:right w:w="67" w:type="dxa"/>
            </w:tcMar>
          </w:tcPr>
          <w:p w14:paraId="337E9487"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77 (18.4%)</w:t>
            </w:r>
          </w:p>
        </w:tc>
        <w:tc>
          <w:tcPr>
            <w:tcW w:w="0" w:type="auto"/>
            <w:tcBorders>
              <w:top w:val="nil"/>
              <w:left w:val="nil"/>
              <w:bottom w:val="nil"/>
              <w:right w:val="nil"/>
            </w:tcBorders>
            <w:shd w:val="clear" w:color="auto" w:fill="FFFFFF"/>
            <w:tcMar>
              <w:left w:w="67" w:type="dxa"/>
              <w:right w:w="67" w:type="dxa"/>
            </w:tcMar>
          </w:tcPr>
          <w:p w14:paraId="1A14BCB6"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114 (15.7%)</w:t>
            </w:r>
          </w:p>
        </w:tc>
        <w:tc>
          <w:tcPr>
            <w:tcW w:w="0" w:type="auto"/>
            <w:tcBorders>
              <w:top w:val="nil"/>
              <w:left w:val="nil"/>
              <w:bottom w:val="nil"/>
              <w:right w:val="nil"/>
            </w:tcBorders>
            <w:shd w:val="clear" w:color="auto" w:fill="FFFFFF"/>
            <w:tcMar>
              <w:left w:w="67" w:type="dxa"/>
              <w:right w:w="67" w:type="dxa"/>
            </w:tcMar>
          </w:tcPr>
          <w:p w14:paraId="28985867"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27 (8.8%)</w:t>
            </w:r>
          </w:p>
        </w:tc>
        <w:tc>
          <w:tcPr>
            <w:tcW w:w="0" w:type="auto"/>
            <w:tcBorders>
              <w:top w:val="nil"/>
              <w:left w:val="nil"/>
              <w:bottom w:val="nil"/>
              <w:right w:val="nil"/>
            </w:tcBorders>
            <w:shd w:val="clear" w:color="auto" w:fill="FFFFFF"/>
            <w:tcMar>
              <w:left w:w="67" w:type="dxa"/>
              <w:right w:w="67" w:type="dxa"/>
            </w:tcMar>
          </w:tcPr>
          <w:p w14:paraId="7784296D"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49 (11.7%)</w:t>
            </w:r>
          </w:p>
        </w:tc>
        <w:tc>
          <w:tcPr>
            <w:tcW w:w="0" w:type="auto"/>
            <w:tcBorders>
              <w:top w:val="nil"/>
              <w:left w:val="nil"/>
              <w:bottom w:val="nil"/>
              <w:right w:val="nil"/>
            </w:tcBorders>
            <w:shd w:val="clear" w:color="auto" w:fill="FFFFFF"/>
            <w:tcMar>
              <w:left w:w="67" w:type="dxa"/>
              <w:right w:w="67" w:type="dxa"/>
            </w:tcMar>
          </w:tcPr>
          <w:p w14:paraId="24363BC7"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76 (10.5%)</w:t>
            </w:r>
          </w:p>
        </w:tc>
        <w:tc>
          <w:tcPr>
            <w:tcW w:w="0" w:type="auto"/>
            <w:tcBorders>
              <w:top w:val="nil"/>
              <w:left w:val="nil"/>
              <w:bottom w:val="nil"/>
              <w:right w:val="nil"/>
            </w:tcBorders>
            <w:shd w:val="clear" w:color="auto" w:fill="FFFFFF"/>
            <w:tcMar>
              <w:left w:w="67" w:type="dxa"/>
              <w:right w:w="67" w:type="dxa"/>
            </w:tcMar>
          </w:tcPr>
          <w:p w14:paraId="4F9FFA76"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55 (19.2%)</w:t>
            </w:r>
          </w:p>
        </w:tc>
        <w:tc>
          <w:tcPr>
            <w:tcW w:w="0" w:type="auto"/>
            <w:tcBorders>
              <w:top w:val="nil"/>
              <w:left w:val="nil"/>
              <w:bottom w:val="nil"/>
              <w:right w:val="nil"/>
            </w:tcBorders>
            <w:shd w:val="clear" w:color="auto" w:fill="FFFFFF"/>
            <w:tcMar>
              <w:left w:w="67" w:type="dxa"/>
              <w:right w:w="67" w:type="dxa"/>
            </w:tcMar>
          </w:tcPr>
          <w:p w14:paraId="47587169"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101 (26.0%)</w:t>
            </w:r>
          </w:p>
        </w:tc>
        <w:tc>
          <w:tcPr>
            <w:tcW w:w="0" w:type="auto"/>
            <w:tcBorders>
              <w:top w:val="nil"/>
              <w:left w:val="nil"/>
              <w:bottom w:val="nil"/>
              <w:right w:val="single" w:sz="4" w:space="0" w:color="auto"/>
            </w:tcBorders>
            <w:shd w:val="clear" w:color="auto" w:fill="FFFFFF"/>
            <w:tcMar>
              <w:left w:w="67" w:type="dxa"/>
              <w:right w:w="67" w:type="dxa"/>
            </w:tcMar>
          </w:tcPr>
          <w:p w14:paraId="27039C3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156 (23.1%)</w:t>
            </w:r>
          </w:p>
        </w:tc>
      </w:tr>
      <w:tr w:rsidR="006C1524" w:rsidRPr="00563AD3" w14:paraId="63BF8932"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68465692" w14:textId="77777777" w:rsidR="006C1524" w:rsidRPr="00EC0517" w:rsidRDefault="006C1524" w:rsidP="006C0B32">
            <w:pPr>
              <w:spacing w:after="0" w:line="240" w:lineRule="auto"/>
              <w:rPr>
                <w:rFonts w:eastAsia="Times New Roman"/>
                <w:b/>
                <w:bCs/>
                <w:color w:val="000000"/>
                <w:sz w:val="14"/>
                <w:szCs w:val="14"/>
              </w:rPr>
            </w:pPr>
            <w:r w:rsidRPr="00EC0517">
              <w:rPr>
                <w:rFonts w:eastAsia="Times New Roman"/>
                <w:b/>
                <w:bCs/>
                <w:color w:val="000000"/>
                <w:sz w:val="14"/>
                <w:szCs w:val="14"/>
              </w:rPr>
              <w:t>2</w:t>
            </w:r>
          </w:p>
        </w:tc>
        <w:tc>
          <w:tcPr>
            <w:tcW w:w="0" w:type="auto"/>
            <w:tcBorders>
              <w:top w:val="nil"/>
              <w:left w:val="nil"/>
              <w:bottom w:val="nil"/>
              <w:right w:val="nil"/>
            </w:tcBorders>
            <w:shd w:val="clear" w:color="auto" w:fill="FFFFFF"/>
            <w:tcMar>
              <w:left w:w="67" w:type="dxa"/>
              <w:right w:w="67" w:type="dxa"/>
            </w:tcMar>
          </w:tcPr>
          <w:p w14:paraId="6D741845"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111 (36.0%)</w:t>
            </w:r>
          </w:p>
        </w:tc>
        <w:tc>
          <w:tcPr>
            <w:tcW w:w="0" w:type="auto"/>
            <w:tcBorders>
              <w:top w:val="nil"/>
              <w:left w:val="nil"/>
              <w:bottom w:val="nil"/>
              <w:right w:val="nil"/>
            </w:tcBorders>
            <w:shd w:val="clear" w:color="auto" w:fill="FFFFFF"/>
            <w:tcMar>
              <w:left w:w="67" w:type="dxa"/>
              <w:right w:w="67" w:type="dxa"/>
            </w:tcMar>
          </w:tcPr>
          <w:p w14:paraId="19D40B3A"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160 (38.3%)</w:t>
            </w:r>
          </w:p>
        </w:tc>
        <w:tc>
          <w:tcPr>
            <w:tcW w:w="0" w:type="auto"/>
            <w:tcBorders>
              <w:top w:val="nil"/>
              <w:left w:val="nil"/>
              <w:bottom w:val="nil"/>
              <w:right w:val="nil"/>
            </w:tcBorders>
            <w:shd w:val="clear" w:color="auto" w:fill="FFFFFF"/>
            <w:tcMar>
              <w:left w:w="67" w:type="dxa"/>
              <w:right w:w="67" w:type="dxa"/>
            </w:tcMar>
          </w:tcPr>
          <w:p w14:paraId="76BF62CB"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271 (37.3%)</w:t>
            </w:r>
          </w:p>
        </w:tc>
        <w:tc>
          <w:tcPr>
            <w:tcW w:w="0" w:type="auto"/>
            <w:tcBorders>
              <w:top w:val="nil"/>
              <w:left w:val="nil"/>
              <w:bottom w:val="nil"/>
              <w:right w:val="nil"/>
            </w:tcBorders>
            <w:shd w:val="clear" w:color="auto" w:fill="FFFFFF"/>
            <w:tcMar>
              <w:left w:w="67" w:type="dxa"/>
              <w:right w:w="67" w:type="dxa"/>
            </w:tcMar>
          </w:tcPr>
          <w:p w14:paraId="273E04D4"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110 (35.7%)</w:t>
            </w:r>
          </w:p>
        </w:tc>
        <w:tc>
          <w:tcPr>
            <w:tcW w:w="0" w:type="auto"/>
            <w:tcBorders>
              <w:top w:val="nil"/>
              <w:left w:val="nil"/>
              <w:bottom w:val="nil"/>
              <w:right w:val="nil"/>
            </w:tcBorders>
            <w:shd w:val="clear" w:color="auto" w:fill="FFFFFF"/>
            <w:tcMar>
              <w:left w:w="67" w:type="dxa"/>
              <w:right w:w="67" w:type="dxa"/>
            </w:tcMar>
          </w:tcPr>
          <w:p w14:paraId="114BEEE4"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145 (34.7%)</w:t>
            </w:r>
          </w:p>
        </w:tc>
        <w:tc>
          <w:tcPr>
            <w:tcW w:w="0" w:type="auto"/>
            <w:tcBorders>
              <w:top w:val="nil"/>
              <w:left w:val="nil"/>
              <w:bottom w:val="nil"/>
              <w:right w:val="nil"/>
            </w:tcBorders>
            <w:shd w:val="clear" w:color="auto" w:fill="FFFFFF"/>
            <w:tcMar>
              <w:left w:w="67" w:type="dxa"/>
              <w:right w:w="67" w:type="dxa"/>
            </w:tcMar>
          </w:tcPr>
          <w:p w14:paraId="29186B4F"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255 (35.1%)</w:t>
            </w:r>
          </w:p>
        </w:tc>
        <w:tc>
          <w:tcPr>
            <w:tcW w:w="0" w:type="auto"/>
            <w:tcBorders>
              <w:top w:val="nil"/>
              <w:left w:val="nil"/>
              <w:bottom w:val="nil"/>
              <w:right w:val="nil"/>
            </w:tcBorders>
            <w:shd w:val="clear" w:color="auto" w:fill="FFFFFF"/>
            <w:tcMar>
              <w:left w:w="67" w:type="dxa"/>
              <w:right w:w="67" w:type="dxa"/>
            </w:tcMar>
          </w:tcPr>
          <w:p w14:paraId="28D97E4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54 (17.5%)</w:t>
            </w:r>
          </w:p>
        </w:tc>
        <w:tc>
          <w:tcPr>
            <w:tcW w:w="0" w:type="auto"/>
            <w:tcBorders>
              <w:top w:val="nil"/>
              <w:left w:val="nil"/>
              <w:bottom w:val="nil"/>
              <w:right w:val="nil"/>
            </w:tcBorders>
            <w:shd w:val="clear" w:color="auto" w:fill="FFFFFF"/>
            <w:tcMar>
              <w:left w:w="67" w:type="dxa"/>
              <w:right w:w="67" w:type="dxa"/>
            </w:tcMar>
          </w:tcPr>
          <w:p w14:paraId="3ACF508D"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89 (21.3%)</w:t>
            </w:r>
          </w:p>
        </w:tc>
        <w:tc>
          <w:tcPr>
            <w:tcW w:w="0" w:type="auto"/>
            <w:tcBorders>
              <w:top w:val="nil"/>
              <w:left w:val="nil"/>
              <w:bottom w:val="nil"/>
              <w:right w:val="nil"/>
            </w:tcBorders>
            <w:shd w:val="clear" w:color="auto" w:fill="FFFFFF"/>
            <w:tcMar>
              <w:left w:w="67" w:type="dxa"/>
              <w:right w:w="67" w:type="dxa"/>
            </w:tcMar>
          </w:tcPr>
          <w:p w14:paraId="3E51FF60"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143 (19.7%)</w:t>
            </w:r>
          </w:p>
        </w:tc>
        <w:tc>
          <w:tcPr>
            <w:tcW w:w="0" w:type="auto"/>
            <w:tcBorders>
              <w:top w:val="nil"/>
              <w:left w:val="nil"/>
              <w:bottom w:val="nil"/>
              <w:right w:val="nil"/>
            </w:tcBorders>
            <w:shd w:val="clear" w:color="auto" w:fill="FFFFFF"/>
            <w:tcMar>
              <w:left w:w="67" w:type="dxa"/>
              <w:right w:w="67" w:type="dxa"/>
            </w:tcMar>
          </w:tcPr>
          <w:p w14:paraId="6ABECAA8"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90 (31.4%)</w:t>
            </w:r>
          </w:p>
        </w:tc>
        <w:tc>
          <w:tcPr>
            <w:tcW w:w="0" w:type="auto"/>
            <w:tcBorders>
              <w:top w:val="nil"/>
              <w:left w:val="nil"/>
              <w:bottom w:val="nil"/>
              <w:right w:val="nil"/>
            </w:tcBorders>
            <w:shd w:val="clear" w:color="auto" w:fill="FFFFFF"/>
            <w:tcMar>
              <w:left w:w="67" w:type="dxa"/>
              <w:right w:w="67" w:type="dxa"/>
            </w:tcMar>
          </w:tcPr>
          <w:p w14:paraId="3471857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151 (38.9%)</w:t>
            </w:r>
          </w:p>
        </w:tc>
        <w:tc>
          <w:tcPr>
            <w:tcW w:w="0" w:type="auto"/>
            <w:tcBorders>
              <w:top w:val="nil"/>
              <w:left w:val="nil"/>
              <w:bottom w:val="nil"/>
              <w:right w:val="single" w:sz="4" w:space="0" w:color="auto"/>
            </w:tcBorders>
            <w:shd w:val="clear" w:color="auto" w:fill="FFFFFF"/>
            <w:tcMar>
              <w:left w:w="67" w:type="dxa"/>
              <w:right w:w="67" w:type="dxa"/>
            </w:tcMar>
          </w:tcPr>
          <w:p w14:paraId="021B1349"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241 (35.7%)</w:t>
            </w:r>
          </w:p>
        </w:tc>
      </w:tr>
      <w:tr w:rsidR="006C1524" w:rsidRPr="00563AD3" w14:paraId="6C9020E5"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45FF2D6A" w14:textId="77777777" w:rsidR="006C1524" w:rsidRPr="00EC0517" w:rsidRDefault="006C1524" w:rsidP="006C0B32">
            <w:pPr>
              <w:spacing w:after="0" w:line="240" w:lineRule="auto"/>
              <w:rPr>
                <w:rFonts w:eastAsia="Times New Roman"/>
                <w:b/>
                <w:bCs/>
                <w:color w:val="000000"/>
                <w:sz w:val="14"/>
                <w:szCs w:val="14"/>
              </w:rPr>
            </w:pPr>
            <w:r w:rsidRPr="00EC0517">
              <w:rPr>
                <w:rFonts w:eastAsia="Times New Roman"/>
                <w:b/>
                <w:bCs/>
                <w:color w:val="000000"/>
                <w:sz w:val="14"/>
                <w:szCs w:val="14"/>
              </w:rPr>
              <w:t>3</w:t>
            </w:r>
          </w:p>
        </w:tc>
        <w:tc>
          <w:tcPr>
            <w:tcW w:w="0" w:type="auto"/>
            <w:tcBorders>
              <w:top w:val="nil"/>
              <w:left w:val="nil"/>
              <w:bottom w:val="nil"/>
              <w:right w:val="nil"/>
            </w:tcBorders>
            <w:shd w:val="clear" w:color="auto" w:fill="FFFFFF"/>
            <w:tcMar>
              <w:left w:w="67" w:type="dxa"/>
              <w:right w:w="67" w:type="dxa"/>
            </w:tcMar>
          </w:tcPr>
          <w:p w14:paraId="697E1BB7"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98 (31.8%)</w:t>
            </w:r>
          </w:p>
        </w:tc>
        <w:tc>
          <w:tcPr>
            <w:tcW w:w="0" w:type="auto"/>
            <w:tcBorders>
              <w:top w:val="nil"/>
              <w:left w:val="nil"/>
              <w:bottom w:val="nil"/>
              <w:right w:val="nil"/>
            </w:tcBorders>
            <w:shd w:val="clear" w:color="auto" w:fill="FFFFFF"/>
            <w:tcMar>
              <w:left w:w="67" w:type="dxa"/>
              <w:right w:w="67" w:type="dxa"/>
            </w:tcMar>
          </w:tcPr>
          <w:p w14:paraId="25FA1E03"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130 (31.1%)</w:t>
            </w:r>
          </w:p>
        </w:tc>
        <w:tc>
          <w:tcPr>
            <w:tcW w:w="0" w:type="auto"/>
            <w:tcBorders>
              <w:top w:val="nil"/>
              <w:left w:val="nil"/>
              <w:bottom w:val="nil"/>
              <w:right w:val="nil"/>
            </w:tcBorders>
            <w:shd w:val="clear" w:color="auto" w:fill="FFFFFF"/>
            <w:tcMar>
              <w:left w:w="67" w:type="dxa"/>
              <w:right w:w="67" w:type="dxa"/>
            </w:tcMar>
          </w:tcPr>
          <w:p w14:paraId="075E2D76"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228 (31.4%)</w:t>
            </w:r>
          </w:p>
        </w:tc>
        <w:tc>
          <w:tcPr>
            <w:tcW w:w="0" w:type="auto"/>
            <w:tcBorders>
              <w:top w:val="nil"/>
              <w:left w:val="nil"/>
              <w:bottom w:val="nil"/>
              <w:right w:val="nil"/>
            </w:tcBorders>
            <w:shd w:val="clear" w:color="auto" w:fill="FFFFFF"/>
            <w:tcMar>
              <w:left w:w="67" w:type="dxa"/>
              <w:right w:w="67" w:type="dxa"/>
            </w:tcMar>
          </w:tcPr>
          <w:p w14:paraId="4302CF93"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92 (29.9%)</w:t>
            </w:r>
          </w:p>
        </w:tc>
        <w:tc>
          <w:tcPr>
            <w:tcW w:w="0" w:type="auto"/>
            <w:tcBorders>
              <w:top w:val="nil"/>
              <w:left w:val="nil"/>
              <w:bottom w:val="nil"/>
              <w:right w:val="nil"/>
            </w:tcBorders>
            <w:shd w:val="clear" w:color="auto" w:fill="FFFFFF"/>
            <w:tcMar>
              <w:left w:w="67" w:type="dxa"/>
              <w:right w:w="67" w:type="dxa"/>
            </w:tcMar>
          </w:tcPr>
          <w:p w14:paraId="5DE20DB9"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92 (22.0%)</w:t>
            </w:r>
          </w:p>
        </w:tc>
        <w:tc>
          <w:tcPr>
            <w:tcW w:w="0" w:type="auto"/>
            <w:tcBorders>
              <w:top w:val="nil"/>
              <w:left w:val="nil"/>
              <w:bottom w:val="nil"/>
              <w:right w:val="nil"/>
            </w:tcBorders>
            <w:shd w:val="clear" w:color="auto" w:fill="FFFFFF"/>
            <w:tcMar>
              <w:left w:w="67" w:type="dxa"/>
              <w:right w:w="67" w:type="dxa"/>
            </w:tcMar>
          </w:tcPr>
          <w:p w14:paraId="44354B72"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184 (25.3%)</w:t>
            </w:r>
          </w:p>
        </w:tc>
        <w:tc>
          <w:tcPr>
            <w:tcW w:w="0" w:type="auto"/>
            <w:tcBorders>
              <w:top w:val="nil"/>
              <w:left w:val="nil"/>
              <w:bottom w:val="nil"/>
              <w:right w:val="nil"/>
            </w:tcBorders>
            <w:shd w:val="clear" w:color="auto" w:fill="FFFFFF"/>
            <w:tcMar>
              <w:left w:w="67" w:type="dxa"/>
              <w:right w:w="67" w:type="dxa"/>
            </w:tcMar>
          </w:tcPr>
          <w:p w14:paraId="4B9C3B11"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99 (32.1%)</w:t>
            </w:r>
          </w:p>
        </w:tc>
        <w:tc>
          <w:tcPr>
            <w:tcW w:w="0" w:type="auto"/>
            <w:tcBorders>
              <w:top w:val="nil"/>
              <w:left w:val="nil"/>
              <w:bottom w:val="nil"/>
              <w:right w:val="nil"/>
            </w:tcBorders>
            <w:shd w:val="clear" w:color="auto" w:fill="FFFFFF"/>
            <w:tcMar>
              <w:left w:w="67" w:type="dxa"/>
              <w:right w:w="67" w:type="dxa"/>
            </w:tcMar>
          </w:tcPr>
          <w:p w14:paraId="4392CF2C"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83 (19.9%)</w:t>
            </w:r>
          </w:p>
        </w:tc>
        <w:tc>
          <w:tcPr>
            <w:tcW w:w="0" w:type="auto"/>
            <w:tcBorders>
              <w:top w:val="nil"/>
              <w:left w:val="nil"/>
              <w:bottom w:val="nil"/>
              <w:right w:val="nil"/>
            </w:tcBorders>
            <w:shd w:val="clear" w:color="auto" w:fill="FFFFFF"/>
            <w:tcMar>
              <w:left w:w="67" w:type="dxa"/>
              <w:right w:w="67" w:type="dxa"/>
            </w:tcMar>
          </w:tcPr>
          <w:p w14:paraId="72229636"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182 (25.1%)</w:t>
            </w:r>
          </w:p>
        </w:tc>
        <w:tc>
          <w:tcPr>
            <w:tcW w:w="0" w:type="auto"/>
            <w:tcBorders>
              <w:top w:val="nil"/>
              <w:left w:val="nil"/>
              <w:bottom w:val="nil"/>
              <w:right w:val="nil"/>
            </w:tcBorders>
            <w:shd w:val="clear" w:color="auto" w:fill="FFFFFF"/>
            <w:tcMar>
              <w:left w:w="67" w:type="dxa"/>
              <w:right w:w="67" w:type="dxa"/>
            </w:tcMar>
          </w:tcPr>
          <w:p w14:paraId="33E97D8B"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128 (44.6%)</w:t>
            </w:r>
          </w:p>
        </w:tc>
        <w:tc>
          <w:tcPr>
            <w:tcW w:w="0" w:type="auto"/>
            <w:tcBorders>
              <w:top w:val="nil"/>
              <w:left w:val="nil"/>
              <w:bottom w:val="nil"/>
              <w:right w:val="nil"/>
            </w:tcBorders>
            <w:shd w:val="clear" w:color="auto" w:fill="FFFFFF"/>
            <w:tcMar>
              <w:left w:w="67" w:type="dxa"/>
              <w:right w:w="67" w:type="dxa"/>
            </w:tcMar>
          </w:tcPr>
          <w:p w14:paraId="1F8214F1"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125 (32.2%)</w:t>
            </w:r>
          </w:p>
        </w:tc>
        <w:tc>
          <w:tcPr>
            <w:tcW w:w="0" w:type="auto"/>
            <w:tcBorders>
              <w:top w:val="nil"/>
              <w:left w:val="nil"/>
              <w:bottom w:val="nil"/>
              <w:right w:val="single" w:sz="4" w:space="0" w:color="auto"/>
            </w:tcBorders>
            <w:shd w:val="clear" w:color="auto" w:fill="FFFFFF"/>
            <w:tcMar>
              <w:left w:w="67" w:type="dxa"/>
              <w:right w:w="67" w:type="dxa"/>
            </w:tcMar>
          </w:tcPr>
          <w:p w14:paraId="5C6A140D"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253 (37.5%)</w:t>
            </w:r>
          </w:p>
        </w:tc>
      </w:tr>
      <w:tr w:rsidR="006C1524" w:rsidRPr="00563AD3" w14:paraId="271CFFEF"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704AD9CA" w14:textId="77777777" w:rsidR="006C1524" w:rsidRPr="00EC0517" w:rsidRDefault="006C1524" w:rsidP="006C0B32">
            <w:pPr>
              <w:spacing w:after="0" w:line="240" w:lineRule="auto"/>
              <w:rPr>
                <w:rFonts w:eastAsia="Times New Roman"/>
                <w:bCs/>
                <w:color w:val="000000"/>
                <w:sz w:val="14"/>
                <w:szCs w:val="14"/>
              </w:rPr>
            </w:pPr>
            <w:r w:rsidRPr="00EC0517">
              <w:rPr>
                <w:rFonts w:eastAsia="Times New Roman"/>
                <w:bCs/>
                <w:color w:val="000000"/>
                <w:sz w:val="14"/>
                <w:szCs w:val="14"/>
              </w:rPr>
              <w:t>Missing</w:t>
            </w:r>
          </w:p>
        </w:tc>
        <w:tc>
          <w:tcPr>
            <w:tcW w:w="0" w:type="auto"/>
            <w:tcBorders>
              <w:top w:val="nil"/>
              <w:left w:val="nil"/>
              <w:bottom w:val="nil"/>
              <w:right w:val="nil"/>
            </w:tcBorders>
            <w:shd w:val="clear" w:color="auto" w:fill="FFFFFF"/>
            <w:tcMar>
              <w:left w:w="67" w:type="dxa"/>
              <w:right w:w="67" w:type="dxa"/>
            </w:tcMar>
          </w:tcPr>
          <w:p w14:paraId="02920A1B"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(0.6%)</w:t>
            </w:r>
          </w:p>
        </w:tc>
        <w:tc>
          <w:tcPr>
            <w:tcW w:w="0" w:type="auto"/>
            <w:tcBorders>
              <w:top w:val="nil"/>
              <w:left w:val="nil"/>
              <w:bottom w:val="nil"/>
              <w:right w:val="nil"/>
            </w:tcBorders>
            <w:shd w:val="clear" w:color="auto" w:fill="FFFFFF"/>
            <w:tcMar>
              <w:left w:w="67" w:type="dxa"/>
              <w:right w:w="67" w:type="dxa"/>
            </w:tcMar>
          </w:tcPr>
          <w:p w14:paraId="379A5AB1"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(0.5%)</w:t>
            </w:r>
          </w:p>
        </w:tc>
        <w:tc>
          <w:tcPr>
            <w:tcW w:w="0" w:type="auto"/>
            <w:tcBorders>
              <w:top w:val="nil"/>
              <w:left w:val="nil"/>
              <w:bottom w:val="nil"/>
              <w:right w:val="nil"/>
            </w:tcBorders>
            <w:shd w:val="clear" w:color="auto" w:fill="FFFFFF"/>
            <w:tcMar>
              <w:left w:w="67" w:type="dxa"/>
              <w:right w:w="67" w:type="dxa"/>
            </w:tcMar>
          </w:tcPr>
          <w:p w14:paraId="37960A93"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4 (0.6%)</w:t>
            </w:r>
          </w:p>
        </w:tc>
        <w:tc>
          <w:tcPr>
            <w:tcW w:w="0" w:type="auto"/>
            <w:tcBorders>
              <w:top w:val="nil"/>
              <w:left w:val="nil"/>
              <w:bottom w:val="nil"/>
              <w:right w:val="nil"/>
            </w:tcBorders>
            <w:shd w:val="clear" w:color="auto" w:fill="FFFFFF"/>
            <w:tcMar>
              <w:left w:w="67" w:type="dxa"/>
              <w:right w:w="67" w:type="dxa"/>
            </w:tcMar>
          </w:tcPr>
          <w:p w14:paraId="122084D1"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63 (20.5%)</w:t>
            </w:r>
          </w:p>
        </w:tc>
        <w:tc>
          <w:tcPr>
            <w:tcW w:w="0" w:type="auto"/>
            <w:tcBorders>
              <w:top w:val="nil"/>
              <w:left w:val="nil"/>
              <w:bottom w:val="nil"/>
              <w:right w:val="nil"/>
            </w:tcBorders>
            <w:shd w:val="clear" w:color="auto" w:fill="FFFFFF"/>
            <w:tcMar>
              <w:left w:w="67" w:type="dxa"/>
              <w:right w:w="67" w:type="dxa"/>
            </w:tcMar>
          </w:tcPr>
          <w:p w14:paraId="0494107C"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96 (23.0%)</w:t>
            </w:r>
          </w:p>
        </w:tc>
        <w:tc>
          <w:tcPr>
            <w:tcW w:w="0" w:type="auto"/>
            <w:tcBorders>
              <w:top w:val="nil"/>
              <w:left w:val="nil"/>
              <w:bottom w:val="nil"/>
              <w:right w:val="nil"/>
            </w:tcBorders>
            <w:shd w:val="clear" w:color="auto" w:fill="FFFFFF"/>
            <w:tcMar>
              <w:left w:w="67" w:type="dxa"/>
              <w:right w:w="67" w:type="dxa"/>
            </w:tcMar>
          </w:tcPr>
          <w:p w14:paraId="3F490E42"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159 (21.9%)</w:t>
            </w:r>
          </w:p>
        </w:tc>
        <w:tc>
          <w:tcPr>
            <w:tcW w:w="0" w:type="auto"/>
            <w:tcBorders>
              <w:top w:val="nil"/>
              <w:left w:val="nil"/>
              <w:bottom w:val="nil"/>
              <w:right w:val="nil"/>
            </w:tcBorders>
            <w:shd w:val="clear" w:color="auto" w:fill="FFFFFF"/>
            <w:tcMar>
              <w:left w:w="67" w:type="dxa"/>
              <w:right w:w="67" w:type="dxa"/>
            </w:tcMar>
          </w:tcPr>
          <w:p w14:paraId="70B4D011"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123 (39.9%)</w:t>
            </w:r>
          </w:p>
        </w:tc>
        <w:tc>
          <w:tcPr>
            <w:tcW w:w="0" w:type="auto"/>
            <w:tcBorders>
              <w:top w:val="nil"/>
              <w:left w:val="nil"/>
              <w:bottom w:val="nil"/>
              <w:right w:val="nil"/>
            </w:tcBorders>
            <w:shd w:val="clear" w:color="auto" w:fill="FFFFFF"/>
            <w:tcMar>
              <w:left w:w="67" w:type="dxa"/>
              <w:right w:w="67" w:type="dxa"/>
            </w:tcMar>
          </w:tcPr>
          <w:p w14:paraId="639F1110"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196 (46.9%)</w:t>
            </w:r>
          </w:p>
        </w:tc>
        <w:tc>
          <w:tcPr>
            <w:tcW w:w="0" w:type="auto"/>
            <w:tcBorders>
              <w:top w:val="nil"/>
              <w:left w:val="nil"/>
              <w:bottom w:val="nil"/>
              <w:right w:val="nil"/>
            </w:tcBorders>
            <w:shd w:val="clear" w:color="auto" w:fill="FFFFFF"/>
            <w:tcMar>
              <w:left w:w="67" w:type="dxa"/>
              <w:right w:w="67" w:type="dxa"/>
            </w:tcMar>
          </w:tcPr>
          <w:p w14:paraId="685E7A70"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319 (43.9%)</w:t>
            </w:r>
          </w:p>
        </w:tc>
        <w:tc>
          <w:tcPr>
            <w:tcW w:w="0" w:type="auto"/>
            <w:tcBorders>
              <w:top w:val="nil"/>
              <w:left w:val="nil"/>
              <w:bottom w:val="nil"/>
              <w:right w:val="nil"/>
            </w:tcBorders>
            <w:shd w:val="clear" w:color="auto" w:fill="FFFFFF"/>
            <w:tcMar>
              <w:left w:w="67" w:type="dxa"/>
              <w:right w:w="67" w:type="dxa"/>
            </w:tcMar>
          </w:tcPr>
          <w:p w14:paraId="0B8BFC8C"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3 (1.0%)</w:t>
            </w:r>
          </w:p>
        </w:tc>
        <w:tc>
          <w:tcPr>
            <w:tcW w:w="0" w:type="auto"/>
            <w:tcBorders>
              <w:top w:val="nil"/>
              <w:left w:val="nil"/>
              <w:bottom w:val="nil"/>
              <w:right w:val="nil"/>
            </w:tcBorders>
            <w:shd w:val="clear" w:color="auto" w:fill="FFFFFF"/>
            <w:tcMar>
              <w:left w:w="67" w:type="dxa"/>
              <w:right w:w="67" w:type="dxa"/>
            </w:tcMar>
          </w:tcPr>
          <w:p w14:paraId="146442E1"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4 (1.0%)</w:t>
            </w:r>
          </w:p>
        </w:tc>
        <w:tc>
          <w:tcPr>
            <w:tcW w:w="0" w:type="auto"/>
            <w:tcBorders>
              <w:top w:val="nil"/>
              <w:left w:val="nil"/>
              <w:bottom w:val="nil"/>
              <w:right w:val="single" w:sz="4" w:space="0" w:color="auto"/>
            </w:tcBorders>
            <w:shd w:val="clear" w:color="auto" w:fill="FFFFFF"/>
            <w:tcMar>
              <w:left w:w="67" w:type="dxa"/>
              <w:right w:w="67" w:type="dxa"/>
            </w:tcMar>
          </w:tcPr>
          <w:p w14:paraId="6566782B"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7 (1.0%)</w:t>
            </w:r>
          </w:p>
        </w:tc>
      </w:tr>
      <w:tr w:rsidR="006C1524" w:rsidRPr="00563AD3" w14:paraId="79D5812A"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1E934666" w14:textId="77777777" w:rsidR="006C1524" w:rsidRPr="00EC0517" w:rsidRDefault="006C1524" w:rsidP="006C0B32">
            <w:pPr>
              <w:spacing w:after="0" w:line="240" w:lineRule="auto"/>
              <w:rPr>
                <w:rFonts w:eastAsia="Times New Roman"/>
                <w:b/>
                <w:bCs/>
                <w:color w:val="000000"/>
                <w:sz w:val="14"/>
                <w:szCs w:val="14"/>
              </w:rPr>
            </w:pPr>
            <w:r w:rsidRPr="00EC0517">
              <w:rPr>
                <w:rFonts w:eastAsia="Times New Roman"/>
                <w:b/>
                <w:bCs/>
                <w:color w:val="000000"/>
                <w:sz w:val="14"/>
                <w:szCs w:val="14"/>
              </w:rPr>
              <w:t>Global CDR score</w:t>
            </w:r>
          </w:p>
        </w:tc>
        <w:tc>
          <w:tcPr>
            <w:tcW w:w="0" w:type="auto"/>
            <w:tcBorders>
              <w:top w:val="nil"/>
              <w:left w:val="nil"/>
              <w:bottom w:val="nil"/>
              <w:right w:val="nil"/>
            </w:tcBorders>
            <w:shd w:val="clear" w:color="auto" w:fill="FFFFFF"/>
            <w:tcMar>
              <w:left w:w="67" w:type="dxa"/>
              <w:right w:w="67" w:type="dxa"/>
            </w:tcMar>
          </w:tcPr>
          <w:p w14:paraId="130070FA"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12FAE9F6"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3EEE2C41"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522481B2"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5D905976"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05C4EEDE"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6F0C7CCF"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4D1CF9F3"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6BADB6B7"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024789B6"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0D7ACF15"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single" w:sz="4" w:space="0" w:color="auto"/>
            </w:tcBorders>
            <w:shd w:val="clear" w:color="auto" w:fill="FFFFFF"/>
            <w:tcMar>
              <w:left w:w="67" w:type="dxa"/>
              <w:right w:w="67" w:type="dxa"/>
            </w:tcMar>
          </w:tcPr>
          <w:p w14:paraId="3B670271" w14:textId="77777777" w:rsidR="006C1524" w:rsidRPr="00563AD3" w:rsidRDefault="006C1524" w:rsidP="006C0B32">
            <w:pPr>
              <w:spacing w:after="0" w:line="240" w:lineRule="auto"/>
              <w:jc w:val="right"/>
              <w:rPr>
                <w:rFonts w:eastAsia="Times New Roman"/>
                <w:color w:val="000000"/>
                <w:sz w:val="15"/>
                <w:szCs w:val="15"/>
              </w:rPr>
            </w:pPr>
          </w:p>
        </w:tc>
      </w:tr>
      <w:tr w:rsidR="006C1524" w:rsidRPr="00563AD3" w14:paraId="2B9A6990"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0EC9197A" w14:textId="77777777" w:rsidR="006C1524" w:rsidRPr="00EC0517" w:rsidRDefault="006C1524" w:rsidP="006C0B32">
            <w:pPr>
              <w:spacing w:after="0" w:line="240" w:lineRule="auto"/>
              <w:rPr>
                <w:rFonts w:eastAsia="Times New Roman"/>
                <w:b/>
                <w:bCs/>
                <w:color w:val="000000"/>
                <w:sz w:val="14"/>
                <w:szCs w:val="14"/>
              </w:rPr>
            </w:pPr>
            <w:r w:rsidRPr="00EC0517">
              <w:rPr>
                <w:rFonts w:eastAsia="Times New Roman"/>
                <w:b/>
                <w:bCs/>
                <w:color w:val="000000"/>
                <w:sz w:val="14"/>
                <w:szCs w:val="14"/>
              </w:rPr>
              <w:t>Mean (SD) missing</w:t>
            </w:r>
          </w:p>
        </w:tc>
        <w:tc>
          <w:tcPr>
            <w:tcW w:w="0" w:type="auto"/>
            <w:tcBorders>
              <w:top w:val="nil"/>
              <w:left w:val="nil"/>
              <w:bottom w:val="nil"/>
              <w:right w:val="nil"/>
            </w:tcBorders>
            <w:shd w:val="clear" w:color="auto" w:fill="FFFFFF"/>
            <w:tcMar>
              <w:left w:w="67" w:type="dxa"/>
              <w:right w:w="67" w:type="dxa"/>
            </w:tcMar>
          </w:tcPr>
          <w:p w14:paraId="53E3227A"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1.97 (0.85) 2</w:t>
            </w:r>
          </w:p>
        </w:tc>
        <w:tc>
          <w:tcPr>
            <w:tcW w:w="0" w:type="auto"/>
            <w:tcBorders>
              <w:top w:val="nil"/>
              <w:left w:val="nil"/>
              <w:bottom w:val="nil"/>
              <w:right w:val="nil"/>
            </w:tcBorders>
            <w:shd w:val="clear" w:color="auto" w:fill="FFFFFF"/>
            <w:tcMar>
              <w:left w:w="67" w:type="dxa"/>
              <w:right w:w="67" w:type="dxa"/>
            </w:tcMar>
          </w:tcPr>
          <w:p w14:paraId="4BAE9543"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1.98 (0.84) 2</w:t>
            </w:r>
          </w:p>
        </w:tc>
        <w:tc>
          <w:tcPr>
            <w:tcW w:w="0" w:type="auto"/>
            <w:tcBorders>
              <w:top w:val="nil"/>
              <w:left w:val="nil"/>
              <w:bottom w:val="nil"/>
              <w:right w:val="nil"/>
            </w:tcBorders>
            <w:shd w:val="clear" w:color="auto" w:fill="FFFFFF"/>
            <w:tcMar>
              <w:left w:w="67" w:type="dxa"/>
              <w:right w:w="67" w:type="dxa"/>
            </w:tcMar>
          </w:tcPr>
          <w:p w14:paraId="03A0F73F"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1.98 (0.84) 4</w:t>
            </w:r>
          </w:p>
        </w:tc>
        <w:tc>
          <w:tcPr>
            <w:tcW w:w="0" w:type="auto"/>
            <w:tcBorders>
              <w:top w:val="nil"/>
              <w:left w:val="nil"/>
              <w:bottom w:val="nil"/>
              <w:right w:val="nil"/>
            </w:tcBorders>
            <w:shd w:val="clear" w:color="auto" w:fill="FFFFFF"/>
            <w:tcMar>
              <w:left w:w="67" w:type="dxa"/>
              <w:right w:w="67" w:type="dxa"/>
            </w:tcMar>
          </w:tcPr>
          <w:p w14:paraId="5139DF70"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2.19 (0.74) 63</w:t>
            </w:r>
          </w:p>
        </w:tc>
        <w:tc>
          <w:tcPr>
            <w:tcW w:w="0" w:type="auto"/>
            <w:tcBorders>
              <w:top w:val="nil"/>
              <w:left w:val="nil"/>
              <w:bottom w:val="nil"/>
              <w:right w:val="nil"/>
            </w:tcBorders>
            <w:shd w:val="clear" w:color="auto" w:fill="FFFFFF"/>
            <w:tcMar>
              <w:left w:w="67" w:type="dxa"/>
              <w:right w:w="67" w:type="dxa"/>
            </w:tcMar>
          </w:tcPr>
          <w:p w14:paraId="343DA454"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2.01 (0.77) 96</w:t>
            </w:r>
          </w:p>
        </w:tc>
        <w:tc>
          <w:tcPr>
            <w:tcW w:w="0" w:type="auto"/>
            <w:tcBorders>
              <w:top w:val="nil"/>
              <w:left w:val="nil"/>
              <w:bottom w:val="nil"/>
              <w:right w:val="nil"/>
            </w:tcBorders>
            <w:shd w:val="clear" w:color="auto" w:fill="FFFFFF"/>
            <w:tcMar>
              <w:left w:w="67" w:type="dxa"/>
              <w:right w:w="67" w:type="dxa"/>
            </w:tcMar>
          </w:tcPr>
          <w:p w14:paraId="3BD5FFC9"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2.09 (0.76) 159</w:t>
            </w:r>
          </w:p>
        </w:tc>
        <w:tc>
          <w:tcPr>
            <w:tcW w:w="0" w:type="auto"/>
            <w:tcBorders>
              <w:top w:val="nil"/>
              <w:left w:val="nil"/>
              <w:bottom w:val="nil"/>
              <w:right w:val="nil"/>
            </w:tcBorders>
            <w:shd w:val="clear" w:color="auto" w:fill="FFFFFF"/>
            <w:tcMar>
              <w:left w:w="67" w:type="dxa"/>
              <w:right w:w="67" w:type="dxa"/>
            </w:tcMar>
          </w:tcPr>
          <w:p w14:paraId="1BC2909F"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2.35 (0.79) 123</w:t>
            </w:r>
          </w:p>
        </w:tc>
        <w:tc>
          <w:tcPr>
            <w:tcW w:w="0" w:type="auto"/>
            <w:tcBorders>
              <w:top w:val="nil"/>
              <w:left w:val="nil"/>
              <w:bottom w:val="nil"/>
              <w:right w:val="nil"/>
            </w:tcBorders>
            <w:shd w:val="clear" w:color="auto" w:fill="FFFFFF"/>
            <w:tcMar>
              <w:left w:w="67" w:type="dxa"/>
              <w:right w:w="67" w:type="dxa"/>
            </w:tcMar>
          </w:tcPr>
          <w:p w14:paraId="1232EBFF"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2.14 (0.77) 196</w:t>
            </w:r>
          </w:p>
        </w:tc>
        <w:tc>
          <w:tcPr>
            <w:tcW w:w="0" w:type="auto"/>
            <w:tcBorders>
              <w:top w:val="nil"/>
              <w:left w:val="nil"/>
              <w:bottom w:val="nil"/>
              <w:right w:val="nil"/>
            </w:tcBorders>
            <w:shd w:val="clear" w:color="auto" w:fill="FFFFFF"/>
            <w:tcMar>
              <w:left w:w="67" w:type="dxa"/>
              <w:right w:w="67" w:type="dxa"/>
            </w:tcMar>
          </w:tcPr>
          <w:p w14:paraId="46944D02"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2.24 (0.79) 319</w:t>
            </w:r>
          </w:p>
        </w:tc>
        <w:tc>
          <w:tcPr>
            <w:tcW w:w="0" w:type="auto"/>
            <w:tcBorders>
              <w:top w:val="nil"/>
              <w:left w:val="nil"/>
              <w:bottom w:val="nil"/>
              <w:right w:val="nil"/>
            </w:tcBorders>
            <w:shd w:val="clear" w:color="auto" w:fill="FFFFFF"/>
            <w:tcMar>
              <w:left w:w="67" w:type="dxa"/>
              <w:right w:w="67" w:type="dxa"/>
            </w:tcMar>
          </w:tcPr>
          <w:p w14:paraId="425B287B"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2.2 (0.83) 3</w:t>
            </w:r>
          </w:p>
        </w:tc>
        <w:tc>
          <w:tcPr>
            <w:tcW w:w="0" w:type="auto"/>
            <w:tcBorders>
              <w:top w:val="nil"/>
              <w:left w:val="nil"/>
              <w:bottom w:val="nil"/>
              <w:right w:val="nil"/>
            </w:tcBorders>
            <w:shd w:val="clear" w:color="auto" w:fill="FFFFFF"/>
            <w:tcMar>
              <w:left w:w="67" w:type="dxa"/>
              <w:right w:w="67" w:type="dxa"/>
            </w:tcMar>
          </w:tcPr>
          <w:p w14:paraId="3E2CDFF5"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2.03 (0.8) 4</w:t>
            </w:r>
          </w:p>
        </w:tc>
        <w:tc>
          <w:tcPr>
            <w:tcW w:w="0" w:type="auto"/>
            <w:tcBorders>
              <w:top w:val="nil"/>
              <w:left w:val="nil"/>
              <w:bottom w:val="nil"/>
              <w:right w:val="single" w:sz="4" w:space="0" w:color="auto"/>
            </w:tcBorders>
            <w:shd w:val="clear" w:color="auto" w:fill="FFFFFF"/>
            <w:tcMar>
              <w:left w:w="67" w:type="dxa"/>
              <w:right w:w="67" w:type="dxa"/>
            </w:tcMar>
          </w:tcPr>
          <w:p w14:paraId="5A989BB6"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 (0.82) 7</w:t>
            </w:r>
          </w:p>
        </w:tc>
      </w:tr>
      <w:tr w:rsidR="006C1524" w:rsidRPr="00563AD3" w14:paraId="129E68D6"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5DD087FC" w14:textId="77777777" w:rsidR="006C1524" w:rsidRPr="00EC0517" w:rsidRDefault="006C1524" w:rsidP="006C0B32">
            <w:pPr>
              <w:spacing w:after="0" w:line="240" w:lineRule="auto"/>
              <w:rPr>
                <w:rFonts w:eastAsia="Times New Roman"/>
                <w:b/>
                <w:bCs/>
                <w:color w:val="000000"/>
                <w:sz w:val="14"/>
                <w:szCs w:val="14"/>
              </w:rPr>
            </w:pPr>
            <w:r w:rsidRPr="00EC0517">
              <w:rPr>
                <w:rFonts w:eastAsia="Times New Roman"/>
                <w:b/>
                <w:bCs/>
                <w:color w:val="000000"/>
                <w:sz w:val="14"/>
                <w:szCs w:val="14"/>
              </w:rPr>
              <w:t>Median (IQR)</w:t>
            </w:r>
          </w:p>
        </w:tc>
        <w:tc>
          <w:tcPr>
            <w:tcW w:w="0" w:type="auto"/>
            <w:tcBorders>
              <w:top w:val="nil"/>
              <w:left w:val="nil"/>
              <w:bottom w:val="nil"/>
              <w:right w:val="nil"/>
            </w:tcBorders>
            <w:shd w:val="clear" w:color="auto" w:fill="FFFFFF"/>
            <w:tcMar>
              <w:left w:w="67" w:type="dxa"/>
              <w:right w:w="67" w:type="dxa"/>
            </w:tcMar>
          </w:tcPr>
          <w:p w14:paraId="23FDC41D"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(1, 3)</w:t>
            </w:r>
          </w:p>
        </w:tc>
        <w:tc>
          <w:tcPr>
            <w:tcW w:w="0" w:type="auto"/>
            <w:tcBorders>
              <w:top w:val="nil"/>
              <w:left w:val="nil"/>
              <w:bottom w:val="nil"/>
              <w:right w:val="nil"/>
            </w:tcBorders>
            <w:shd w:val="clear" w:color="auto" w:fill="FFFFFF"/>
            <w:tcMar>
              <w:left w:w="67" w:type="dxa"/>
              <w:right w:w="67" w:type="dxa"/>
            </w:tcMar>
          </w:tcPr>
          <w:p w14:paraId="59593FC9"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(1, 3)</w:t>
            </w:r>
          </w:p>
        </w:tc>
        <w:tc>
          <w:tcPr>
            <w:tcW w:w="0" w:type="auto"/>
            <w:tcBorders>
              <w:top w:val="nil"/>
              <w:left w:val="nil"/>
              <w:bottom w:val="nil"/>
              <w:right w:val="nil"/>
            </w:tcBorders>
            <w:shd w:val="clear" w:color="auto" w:fill="FFFFFF"/>
            <w:tcMar>
              <w:left w:w="67" w:type="dxa"/>
              <w:right w:w="67" w:type="dxa"/>
            </w:tcMar>
          </w:tcPr>
          <w:p w14:paraId="4FF0E526"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(1, 3)</w:t>
            </w:r>
          </w:p>
        </w:tc>
        <w:tc>
          <w:tcPr>
            <w:tcW w:w="0" w:type="auto"/>
            <w:tcBorders>
              <w:top w:val="nil"/>
              <w:left w:val="nil"/>
              <w:bottom w:val="nil"/>
              <w:right w:val="nil"/>
            </w:tcBorders>
            <w:shd w:val="clear" w:color="auto" w:fill="FFFFFF"/>
            <w:tcMar>
              <w:left w:w="67" w:type="dxa"/>
              <w:right w:w="67" w:type="dxa"/>
            </w:tcMar>
          </w:tcPr>
          <w:p w14:paraId="6793C88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(2, 3)</w:t>
            </w:r>
          </w:p>
        </w:tc>
        <w:tc>
          <w:tcPr>
            <w:tcW w:w="0" w:type="auto"/>
            <w:tcBorders>
              <w:top w:val="nil"/>
              <w:left w:val="nil"/>
              <w:bottom w:val="nil"/>
              <w:right w:val="nil"/>
            </w:tcBorders>
            <w:shd w:val="clear" w:color="auto" w:fill="FFFFFF"/>
            <w:tcMar>
              <w:left w:w="67" w:type="dxa"/>
              <w:right w:w="67" w:type="dxa"/>
            </w:tcMar>
          </w:tcPr>
          <w:p w14:paraId="2B81E30D"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(1, 3)</w:t>
            </w:r>
          </w:p>
        </w:tc>
        <w:tc>
          <w:tcPr>
            <w:tcW w:w="0" w:type="auto"/>
            <w:tcBorders>
              <w:top w:val="nil"/>
              <w:left w:val="nil"/>
              <w:bottom w:val="nil"/>
              <w:right w:val="nil"/>
            </w:tcBorders>
            <w:shd w:val="clear" w:color="auto" w:fill="FFFFFF"/>
            <w:tcMar>
              <w:left w:w="67" w:type="dxa"/>
              <w:right w:w="67" w:type="dxa"/>
            </w:tcMar>
          </w:tcPr>
          <w:p w14:paraId="30F0400B"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(2, 3)</w:t>
            </w:r>
          </w:p>
        </w:tc>
        <w:tc>
          <w:tcPr>
            <w:tcW w:w="0" w:type="auto"/>
            <w:tcBorders>
              <w:top w:val="nil"/>
              <w:left w:val="nil"/>
              <w:bottom w:val="nil"/>
              <w:right w:val="nil"/>
            </w:tcBorders>
            <w:shd w:val="clear" w:color="auto" w:fill="FFFFFF"/>
            <w:tcMar>
              <w:left w:w="67" w:type="dxa"/>
              <w:right w:w="67" w:type="dxa"/>
            </w:tcMar>
          </w:tcPr>
          <w:p w14:paraId="0BD5A311"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3 (2, 3)</w:t>
            </w:r>
          </w:p>
        </w:tc>
        <w:tc>
          <w:tcPr>
            <w:tcW w:w="0" w:type="auto"/>
            <w:tcBorders>
              <w:top w:val="nil"/>
              <w:left w:val="nil"/>
              <w:bottom w:val="nil"/>
              <w:right w:val="nil"/>
            </w:tcBorders>
            <w:shd w:val="clear" w:color="auto" w:fill="FFFFFF"/>
            <w:tcMar>
              <w:left w:w="67" w:type="dxa"/>
              <w:right w:w="67" w:type="dxa"/>
            </w:tcMar>
          </w:tcPr>
          <w:p w14:paraId="1DDD7814"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(2, 3)</w:t>
            </w:r>
          </w:p>
        </w:tc>
        <w:tc>
          <w:tcPr>
            <w:tcW w:w="0" w:type="auto"/>
            <w:tcBorders>
              <w:top w:val="nil"/>
              <w:left w:val="nil"/>
              <w:bottom w:val="nil"/>
              <w:right w:val="nil"/>
            </w:tcBorders>
            <w:shd w:val="clear" w:color="auto" w:fill="FFFFFF"/>
            <w:tcMar>
              <w:left w:w="67" w:type="dxa"/>
              <w:right w:w="67" w:type="dxa"/>
            </w:tcMar>
          </w:tcPr>
          <w:p w14:paraId="545453E2"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(2, 3)</w:t>
            </w:r>
          </w:p>
        </w:tc>
        <w:tc>
          <w:tcPr>
            <w:tcW w:w="0" w:type="auto"/>
            <w:tcBorders>
              <w:top w:val="nil"/>
              <w:left w:val="nil"/>
              <w:bottom w:val="nil"/>
              <w:right w:val="nil"/>
            </w:tcBorders>
            <w:shd w:val="clear" w:color="auto" w:fill="FFFFFF"/>
            <w:tcMar>
              <w:left w:w="67" w:type="dxa"/>
              <w:right w:w="67" w:type="dxa"/>
            </w:tcMar>
          </w:tcPr>
          <w:p w14:paraId="4222DCEB"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(2, 3)</w:t>
            </w:r>
          </w:p>
        </w:tc>
        <w:tc>
          <w:tcPr>
            <w:tcW w:w="0" w:type="auto"/>
            <w:tcBorders>
              <w:top w:val="nil"/>
              <w:left w:val="nil"/>
              <w:bottom w:val="nil"/>
              <w:right w:val="nil"/>
            </w:tcBorders>
            <w:shd w:val="clear" w:color="auto" w:fill="FFFFFF"/>
            <w:tcMar>
              <w:left w:w="67" w:type="dxa"/>
              <w:right w:w="67" w:type="dxa"/>
            </w:tcMar>
          </w:tcPr>
          <w:p w14:paraId="4E81F8B7"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(1, 3)</w:t>
            </w:r>
          </w:p>
        </w:tc>
        <w:tc>
          <w:tcPr>
            <w:tcW w:w="0" w:type="auto"/>
            <w:tcBorders>
              <w:top w:val="nil"/>
              <w:left w:val="nil"/>
              <w:bottom w:val="nil"/>
              <w:right w:val="single" w:sz="4" w:space="0" w:color="auto"/>
            </w:tcBorders>
            <w:shd w:val="clear" w:color="auto" w:fill="FFFFFF"/>
            <w:tcMar>
              <w:left w:w="67" w:type="dxa"/>
              <w:right w:w="67" w:type="dxa"/>
            </w:tcMar>
          </w:tcPr>
          <w:p w14:paraId="6B2F5A0C"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(1, 3)</w:t>
            </w:r>
          </w:p>
        </w:tc>
      </w:tr>
      <w:tr w:rsidR="006C1524" w:rsidRPr="00563AD3" w14:paraId="427B9148"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62289190" w14:textId="77777777" w:rsidR="006C1524" w:rsidRPr="00EC0517" w:rsidRDefault="006C1524" w:rsidP="006C0B32">
            <w:pPr>
              <w:spacing w:after="0" w:line="240" w:lineRule="auto"/>
              <w:rPr>
                <w:rFonts w:eastAsia="Times New Roman"/>
                <w:b/>
                <w:bCs/>
                <w:color w:val="000000"/>
                <w:sz w:val="14"/>
                <w:szCs w:val="14"/>
              </w:rPr>
            </w:pPr>
            <w:r w:rsidRPr="00EC0517">
              <w:rPr>
                <w:rFonts w:eastAsia="Times New Roman"/>
                <w:b/>
                <w:bCs/>
                <w:color w:val="000000"/>
                <w:sz w:val="14"/>
                <w:szCs w:val="14"/>
              </w:rPr>
              <w:t>Subscales:</w:t>
            </w:r>
          </w:p>
        </w:tc>
        <w:tc>
          <w:tcPr>
            <w:tcW w:w="0" w:type="auto"/>
            <w:tcBorders>
              <w:top w:val="nil"/>
              <w:left w:val="nil"/>
              <w:bottom w:val="nil"/>
              <w:right w:val="nil"/>
            </w:tcBorders>
            <w:shd w:val="clear" w:color="auto" w:fill="FFFFFF"/>
            <w:tcMar>
              <w:left w:w="67" w:type="dxa"/>
              <w:right w:w="67" w:type="dxa"/>
            </w:tcMar>
          </w:tcPr>
          <w:p w14:paraId="49652784"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48A9C380"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33BDE975"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17B1ECD2"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1FD6FA6D"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1551DBAD"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0065388B"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4636E4EB"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42F8DC98"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6033978C"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nil"/>
            </w:tcBorders>
            <w:shd w:val="clear" w:color="auto" w:fill="FFFFFF"/>
            <w:tcMar>
              <w:left w:w="67" w:type="dxa"/>
              <w:right w:w="67" w:type="dxa"/>
            </w:tcMar>
          </w:tcPr>
          <w:p w14:paraId="3649B804" w14:textId="77777777" w:rsidR="006C1524" w:rsidRPr="00563AD3" w:rsidRDefault="006C1524" w:rsidP="006C0B32">
            <w:pPr>
              <w:spacing w:after="0" w:line="240" w:lineRule="auto"/>
              <w:jc w:val="right"/>
              <w:rPr>
                <w:rFonts w:eastAsia="Times New Roman"/>
                <w:color w:val="000000"/>
                <w:sz w:val="15"/>
                <w:szCs w:val="15"/>
              </w:rPr>
            </w:pPr>
          </w:p>
        </w:tc>
        <w:tc>
          <w:tcPr>
            <w:tcW w:w="0" w:type="auto"/>
            <w:tcBorders>
              <w:top w:val="nil"/>
              <w:left w:val="nil"/>
              <w:bottom w:val="nil"/>
              <w:right w:val="single" w:sz="4" w:space="0" w:color="auto"/>
            </w:tcBorders>
            <w:shd w:val="clear" w:color="auto" w:fill="FFFFFF"/>
            <w:tcMar>
              <w:left w:w="67" w:type="dxa"/>
              <w:right w:w="67" w:type="dxa"/>
            </w:tcMar>
          </w:tcPr>
          <w:p w14:paraId="45254958" w14:textId="77777777" w:rsidR="006C1524" w:rsidRPr="00563AD3" w:rsidRDefault="006C1524" w:rsidP="006C0B32">
            <w:pPr>
              <w:spacing w:after="0" w:line="240" w:lineRule="auto"/>
              <w:jc w:val="right"/>
              <w:rPr>
                <w:rFonts w:eastAsia="Times New Roman"/>
                <w:color w:val="000000"/>
                <w:sz w:val="15"/>
                <w:szCs w:val="15"/>
              </w:rPr>
            </w:pPr>
          </w:p>
        </w:tc>
      </w:tr>
      <w:tr w:rsidR="006C1524" w:rsidRPr="00563AD3" w14:paraId="4ED0B7AF"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1981489B" w14:textId="77777777" w:rsidR="006C1524" w:rsidRPr="00EC0517" w:rsidRDefault="006C1524" w:rsidP="006C0B32">
            <w:pPr>
              <w:spacing w:after="0" w:line="240" w:lineRule="auto"/>
              <w:rPr>
                <w:rFonts w:eastAsia="Times New Roman"/>
                <w:color w:val="000000"/>
                <w:sz w:val="14"/>
                <w:szCs w:val="14"/>
              </w:rPr>
            </w:pPr>
            <w:r w:rsidRPr="00EC0517">
              <w:rPr>
                <w:rFonts w:eastAsia="Times New Roman"/>
                <w:color w:val="000000"/>
                <w:sz w:val="14"/>
                <w:szCs w:val="14"/>
              </w:rPr>
              <w:t>Memory (primary category)</w:t>
            </w:r>
          </w:p>
        </w:tc>
        <w:tc>
          <w:tcPr>
            <w:tcW w:w="0" w:type="auto"/>
            <w:tcBorders>
              <w:top w:val="nil"/>
              <w:left w:val="nil"/>
              <w:bottom w:val="nil"/>
              <w:right w:val="nil"/>
            </w:tcBorders>
            <w:shd w:val="clear" w:color="auto" w:fill="FFFFFF"/>
            <w:tcMar>
              <w:left w:w="67" w:type="dxa"/>
              <w:right w:w="67" w:type="dxa"/>
            </w:tcMar>
          </w:tcPr>
          <w:p w14:paraId="0FCB26CC"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1.95 (0.81) 2</w:t>
            </w:r>
          </w:p>
        </w:tc>
        <w:tc>
          <w:tcPr>
            <w:tcW w:w="0" w:type="auto"/>
            <w:tcBorders>
              <w:top w:val="nil"/>
              <w:left w:val="nil"/>
              <w:bottom w:val="nil"/>
              <w:right w:val="nil"/>
            </w:tcBorders>
            <w:shd w:val="clear" w:color="auto" w:fill="FFFFFF"/>
            <w:tcMar>
              <w:left w:w="67" w:type="dxa"/>
              <w:right w:w="67" w:type="dxa"/>
            </w:tcMar>
          </w:tcPr>
          <w:p w14:paraId="7F9C1455"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1.91 (0.84) 2</w:t>
            </w:r>
          </w:p>
        </w:tc>
        <w:tc>
          <w:tcPr>
            <w:tcW w:w="0" w:type="auto"/>
            <w:tcBorders>
              <w:top w:val="nil"/>
              <w:left w:val="nil"/>
              <w:bottom w:val="nil"/>
              <w:right w:val="nil"/>
            </w:tcBorders>
            <w:shd w:val="clear" w:color="auto" w:fill="FFFFFF"/>
            <w:tcMar>
              <w:left w:w="67" w:type="dxa"/>
              <w:right w:w="67" w:type="dxa"/>
            </w:tcMar>
          </w:tcPr>
          <w:p w14:paraId="21C4F1DF"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1.93 (0.83) 4</w:t>
            </w:r>
          </w:p>
        </w:tc>
        <w:tc>
          <w:tcPr>
            <w:tcW w:w="0" w:type="auto"/>
            <w:tcBorders>
              <w:top w:val="nil"/>
              <w:left w:val="nil"/>
              <w:bottom w:val="nil"/>
              <w:right w:val="nil"/>
            </w:tcBorders>
            <w:shd w:val="clear" w:color="auto" w:fill="FFFFFF"/>
            <w:tcMar>
              <w:left w:w="67" w:type="dxa"/>
              <w:right w:w="67" w:type="dxa"/>
            </w:tcMar>
          </w:tcPr>
          <w:p w14:paraId="1B7FCE8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2.23 (0.73) 63</w:t>
            </w:r>
          </w:p>
        </w:tc>
        <w:tc>
          <w:tcPr>
            <w:tcW w:w="0" w:type="auto"/>
            <w:tcBorders>
              <w:top w:val="nil"/>
              <w:left w:val="nil"/>
              <w:bottom w:val="nil"/>
              <w:right w:val="nil"/>
            </w:tcBorders>
            <w:shd w:val="clear" w:color="auto" w:fill="FFFFFF"/>
            <w:tcMar>
              <w:left w:w="67" w:type="dxa"/>
              <w:right w:w="67" w:type="dxa"/>
            </w:tcMar>
          </w:tcPr>
          <w:p w14:paraId="1123EF90"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2.03 (0.75) 96</w:t>
            </w:r>
          </w:p>
        </w:tc>
        <w:tc>
          <w:tcPr>
            <w:tcW w:w="0" w:type="auto"/>
            <w:tcBorders>
              <w:top w:val="nil"/>
              <w:left w:val="nil"/>
              <w:bottom w:val="nil"/>
              <w:right w:val="nil"/>
            </w:tcBorders>
            <w:shd w:val="clear" w:color="auto" w:fill="FFFFFF"/>
            <w:tcMar>
              <w:left w:w="67" w:type="dxa"/>
              <w:right w:w="67" w:type="dxa"/>
            </w:tcMar>
          </w:tcPr>
          <w:p w14:paraId="2AAA0FDA"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2.12 (0.75) 159</w:t>
            </w:r>
          </w:p>
        </w:tc>
        <w:tc>
          <w:tcPr>
            <w:tcW w:w="0" w:type="auto"/>
            <w:tcBorders>
              <w:top w:val="nil"/>
              <w:left w:val="nil"/>
              <w:bottom w:val="nil"/>
              <w:right w:val="nil"/>
            </w:tcBorders>
            <w:shd w:val="clear" w:color="auto" w:fill="FFFFFF"/>
            <w:tcMar>
              <w:left w:w="67" w:type="dxa"/>
              <w:right w:w="67" w:type="dxa"/>
            </w:tcMar>
          </w:tcPr>
          <w:p w14:paraId="592EDBEF"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2.34 (0.7) 123</w:t>
            </w:r>
          </w:p>
        </w:tc>
        <w:tc>
          <w:tcPr>
            <w:tcW w:w="0" w:type="auto"/>
            <w:tcBorders>
              <w:top w:val="nil"/>
              <w:left w:val="nil"/>
              <w:bottom w:val="nil"/>
              <w:right w:val="nil"/>
            </w:tcBorders>
            <w:shd w:val="clear" w:color="auto" w:fill="FFFFFF"/>
            <w:tcMar>
              <w:left w:w="67" w:type="dxa"/>
              <w:right w:w="67" w:type="dxa"/>
            </w:tcMar>
          </w:tcPr>
          <w:p w14:paraId="75B85370"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2.14 (0.76) 196</w:t>
            </w:r>
          </w:p>
        </w:tc>
        <w:tc>
          <w:tcPr>
            <w:tcW w:w="0" w:type="auto"/>
            <w:tcBorders>
              <w:top w:val="nil"/>
              <w:left w:val="nil"/>
              <w:bottom w:val="nil"/>
              <w:right w:val="nil"/>
            </w:tcBorders>
            <w:shd w:val="clear" w:color="auto" w:fill="FFFFFF"/>
            <w:tcMar>
              <w:left w:w="67" w:type="dxa"/>
              <w:right w:w="67" w:type="dxa"/>
            </w:tcMar>
          </w:tcPr>
          <w:p w14:paraId="3B65D3F1"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2.23 (0.74) 319</w:t>
            </w:r>
          </w:p>
        </w:tc>
        <w:tc>
          <w:tcPr>
            <w:tcW w:w="0" w:type="auto"/>
            <w:tcBorders>
              <w:top w:val="nil"/>
              <w:left w:val="nil"/>
              <w:bottom w:val="nil"/>
              <w:right w:val="nil"/>
            </w:tcBorders>
            <w:shd w:val="clear" w:color="auto" w:fill="FFFFFF"/>
            <w:tcMar>
              <w:left w:w="67" w:type="dxa"/>
              <w:right w:w="67" w:type="dxa"/>
            </w:tcMar>
          </w:tcPr>
          <w:p w14:paraId="4C809FE3"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2.21 (0.78) 3</w:t>
            </w:r>
          </w:p>
        </w:tc>
        <w:tc>
          <w:tcPr>
            <w:tcW w:w="0" w:type="auto"/>
            <w:tcBorders>
              <w:top w:val="nil"/>
              <w:left w:val="nil"/>
              <w:bottom w:val="nil"/>
              <w:right w:val="nil"/>
            </w:tcBorders>
            <w:shd w:val="clear" w:color="auto" w:fill="FFFFFF"/>
            <w:tcMar>
              <w:left w:w="67" w:type="dxa"/>
              <w:right w:w="67" w:type="dxa"/>
            </w:tcMar>
          </w:tcPr>
          <w:p w14:paraId="7D82B169"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2.04 (0.79) 4</w:t>
            </w:r>
          </w:p>
        </w:tc>
        <w:tc>
          <w:tcPr>
            <w:tcW w:w="0" w:type="auto"/>
            <w:tcBorders>
              <w:top w:val="nil"/>
              <w:left w:val="nil"/>
              <w:bottom w:val="nil"/>
              <w:right w:val="single" w:sz="4" w:space="0" w:color="auto"/>
            </w:tcBorders>
            <w:shd w:val="clear" w:color="auto" w:fill="FFFFFF"/>
            <w:tcMar>
              <w:left w:w="67" w:type="dxa"/>
              <w:right w:w="67" w:type="dxa"/>
            </w:tcMar>
          </w:tcPr>
          <w:p w14:paraId="19DD0335"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2.11 (0.79) 7</w:t>
            </w:r>
          </w:p>
        </w:tc>
      </w:tr>
      <w:tr w:rsidR="006C1524" w:rsidRPr="00563AD3" w14:paraId="6AE016ED"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38238D97" w14:textId="77777777" w:rsidR="006C1524" w:rsidRPr="00EC0517" w:rsidRDefault="006C1524" w:rsidP="006C0B32">
            <w:pPr>
              <w:spacing w:after="0" w:line="240" w:lineRule="auto"/>
              <w:rPr>
                <w:rFonts w:eastAsia="Times New Roman"/>
                <w:color w:val="000000"/>
                <w:sz w:val="14"/>
                <w:szCs w:val="14"/>
              </w:rPr>
            </w:pPr>
            <w:r w:rsidRPr="00EC0517">
              <w:rPr>
                <w:rFonts w:eastAsia="Times New Roman"/>
                <w:color w:val="000000"/>
                <w:sz w:val="14"/>
                <w:szCs w:val="14"/>
              </w:rPr>
              <w:t>Orientation</w:t>
            </w:r>
          </w:p>
        </w:tc>
        <w:tc>
          <w:tcPr>
            <w:tcW w:w="0" w:type="auto"/>
            <w:tcBorders>
              <w:top w:val="nil"/>
              <w:left w:val="nil"/>
              <w:bottom w:val="nil"/>
              <w:right w:val="nil"/>
            </w:tcBorders>
            <w:shd w:val="clear" w:color="auto" w:fill="FFFFFF"/>
            <w:tcMar>
              <w:left w:w="67" w:type="dxa"/>
              <w:right w:w="67" w:type="dxa"/>
            </w:tcMar>
          </w:tcPr>
          <w:p w14:paraId="46FBAB9A"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1.98 (0.86) 1</w:t>
            </w:r>
          </w:p>
        </w:tc>
        <w:tc>
          <w:tcPr>
            <w:tcW w:w="0" w:type="auto"/>
            <w:tcBorders>
              <w:top w:val="nil"/>
              <w:left w:val="nil"/>
              <w:bottom w:val="nil"/>
              <w:right w:val="nil"/>
            </w:tcBorders>
            <w:shd w:val="clear" w:color="auto" w:fill="FFFFFF"/>
            <w:tcMar>
              <w:left w:w="67" w:type="dxa"/>
              <w:right w:w="67" w:type="dxa"/>
            </w:tcMar>
          </w:tcPr>
          <w:p w14:paraId="3FF3134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1.87 (0.93) 3</w:t>
            </w:r>
          </w:p>
        </w:tc>
        <w:tc>
          <w:tcPr>
            <w:tcW w:w="0" w:type="auto"/>
            <w:tcBorders>
              <w:top w:val="nil"/>
              <w:left w:val="nil"/>
              <w:bottom w:val="nil"/>
              <w:right w:val="nil"/>
            </w:tcBorders>
            <w:shd w:val="clear" w:color="auto" w:fill="FFFFFF"/>
            <w:tcMar>
              <w:left w:w="67" w:type="dxa"/>
              <w:right w:w="67" w:type="dxa"/>
            </w:tcMar>
          </w:tcPr>
          <w:p w14:paraId="6B386170"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1.92 (0.9) 4</w:t>
            </w:r>
          </w:p>
        </w:tc>
        <w:tc>
          <w:tcPr>
            <w:tcW w:w="0" w:type="auto"/>
            <w:tcBorders>
              <w:top w:val="nil"/>
              <w:left w:val="nil"/>
              <w:bottom w:val="nil"/>
              <w:right w:val="nil"/>
            </w:tcBorders>
            <w:shd w:val="clear" w:color="auto" w:fill="FFFFFF"/>
            <w:tcMar>
              <w:left w:w="67" w:type="dxa"/>
              <w:right w:w="67" w:type="dxa"/>
            </w:tcMar>
          </w:tcPr>
          <w:p w14:paraId="6CFEF82D"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2.17 (0.78) 63</w:t>
            </w:r>
          </w:p>
        </w:tc>
        <w:tc>
          <w:tcPr>
            <w:tcW w:w="0" w:type="auto"/>
            <w:tcBorders>
              <w:top w:val="nil"/>
              <w:left w:val="nil"/>
              <w:bottom w:val="nil"/>
              <w:right w:val="nil"/>
            </w:tcBorders>
            <w:shd w:val="clear" w:color="auto" w:fill="FFFFFF"/>
            <w:tcMar>
              <w:left w:w="67" w:type="dxa"/>
              <w:right w:w="67" w:type="dxa"/>
            </w:tcMar>
          </w:tcPr>
          <w:p w14:paraId="0C83C52C"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1.96 (0.86) 95</w:t>
            </w:r>
          </w:p>
        </w:tc>
        <w:tc>
          <w:tcPr>
            <w:tcW w:w="0" w:type="auto"/>
            <w:tcBorders>
              <w:top w:val="nil"/>
              <w:left w:val="nil"/>
              <w:bottom w:val="nil"/>
              <w:right w:val="nil"/>
            </w:tcBorders>
            <w:shd w:val="clear" w:color="auto" w:fill="FFFFFF"/>
            <w:tcMar>
              <w:left w:w="67" w:type="dxa"/>
              <w:right w:w="67" w:type="dxa"/>
            </w:tcMar>
          </w:tcPr>
          <w:p w14:paraId="362FCEF9"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2.05 (0.83) 158</w:t>
            </w:r>
          </w:p>
        </w:tc>
        <w:tc>
          <w:tcPr>
            <w:tcW w:w="0" w:type="auto"/>
            <w:tcBorders>
              <w:top w:val="nil"/>
              <w:left w:val="nil"/>
              <w:bottom w:val="nil"/>
              <w:right w:val="nil"/>
            </w:tcBorders>
            <w:shd w:val="clear" w:color="auto" w:fill="FFFFFF"/>
            <w:tcMar>
              <w:left w:w="67" w:type="dxa"/>
              <w:right w:w="67" w:type="dxa"/>
            </w:tcMar>
          </w:tcPr>
          <w:p w14:paraId="632403D1"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2.32 (0.79) 124</w:t>
            </w:r>
          </w:p>
        </w:tc>
        <w:tc>
          <w:tcPr>
            <w:tcW w:w="0" w:type="auto"/>
            <w:tcBorders>
              <w:top w:val="nil"/>
              <w:left w:val="nil"/>
              <w:bottom w:val="nil"/>
              <w:right w:val="nil"/>
            </w:tcBorders>
            <w:shd w:val="clear" w:color="auto" w:fill="FFFFFF"/>
            <w:tcMar>
              <w:left w:w="67" w:type="dxa"/>
              <w:right w:w="67" w:type="dxa"/>
            </w:tcMar>
          </w:tcPr>
          <w:p w14:paraId="77B34F33"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2.12 (0.82) 196</w:t>
            </w:r>
          </w:p>
        </w:tc>
        <w:tc>
          <w:tcPr>
            <w:tcW w:w="0" w:type="auto"/>
            <w:tcBorders>
              <w:top w:val="nil"/>
              <w:left w:val="nil"/>
              <w:bottom w:val="nil"/>
              <w:right w:val="nil"/>
            </w:tcBorders>
            <w:shd w:val="clear" w:color="auto" w:fill="FFFFFF"/>
            <w:tcMar>
              <w:left w:w="67" w:type="dxa"/>
              <w:right w:w="67" w:type="dxa"/>
            </w:tcMar>
          </w:tcPr>
          <w:p w14:paraId="34F25568"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2.21 (0.81) 320</w:t>
            </w:r>
          </w:p>
        </w:tc>
        <w:tc>
          <w:tcPr>
            <w:tcW w:w="0" w:type="auto"/>
            <w:tcBorders>
              <w:top w:val="nil"/>
              <w:left w:val="nil"/>
              <w:bottom w:val="nil"/>
              <w:right w:val="nil"/>
            </w:tcBorders>
            <w:shd w:val="clear" w:color="auto" w:fill="FFFFFF"/>
            <w:tcMar>
              <w:left w:w="67" w:type="dxa"/>
              <w:right w:w="67" w:type="dxa"/>
            </w:tcMar>
          </w:tcPr>
          <w:p w14:paraId="4FC3569D"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2.2 (0.85) 4</w:t>
            </w:r>
          </w:p>
        </w:tc>
        <w:tc>
          <w:tcPr>
            <w:tcW w:w="0" w:type="auto"/>
            <w:tcBorders>
              <w:top w:val="nil"/>
              <w:left w:val="nil"/>
              <w:bottom w:val="nil"/>
              <w:right w:val="nil"/>
            </w:tcBorders>
            <w:shd w:val="clear" w:color="auto" w:fill="FFFFFF"/>
            <w:tcMar>
              <w:left w:w="67" w:type="dxa"/>
              <w:right w:w="67" w:type="dxa"/>
            </w:tcMar>
          </w:tcPr>
          <w:p w14:paraId="13DEAB17"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2.02 (0.86) 4</w:t>
            </w:r>
          </w:p>
        </w:tc>
        <w:tc>
          <w:tcPr>
            <w:tcW w:w="0" w:type="auto"/>
            <w:tcBorders>
              <w:top w:val="nil"/>
              <w:left w:val="nil"/>
              <w:bottom w:val="nil"/>
              <w:right w:val="single" w:sz="4" w:space="0" w:color="auto"/>
            </w:tcBorders>
            <w:shd w:val="clear" w:color="auto" w:fill="FFFFFF"/>
            <w:tcMar>
              <w:left w:w="67" w:type="dxa"/>
              <w:right w:w="67" w:type="dxa"/>
            </w:tcMar>
          </w:tcPr>
          <w:p w14:paraId="605653F7"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 (0.86) 8</w:t>
            </w:r>
          </w:p>
        </w:tc>
      </w:tr>
      <w:tr w:rsidR="006C1524" w:rsidRPr="00563AD3" w14:paraId="220C4125"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31DC6707" w14:textId="77777777" w:rsidR="006C1524" w:rsidRPr="00EC0517" w:rsidRDefault="006C1524" w:rsidP="006C0B32">
            <w:pPr>
              <w:spacing w:after="0" w:line="240" w:lineRule="auto"/>
              <w:rPr>
                <w:rFonts w:eastAsia="Times New Roman"/>
                <w:color w:val="000000"/>
                <w:sz w:val="14"/>
                <w:szCs w:val="14"/>
              </w:rPr>
            </w:pPr>
            <w:r w:rsidRPr="00EC0517">
              <w:rPr>
                <w:rFonts w:eastAsia="Times New Roman"/>
                <w:color w:val="000000"/>
                <w:sz w:val="14"/>
                <w:szCs w:val="14"/>
              </w:rPr>
              <w:t>Judgement and problem solving</w:t>
            </w:r>
          </w:p>
        </w:tc>
        <w:tc>
          <w:tcPr>
            <w:tcW w:w="0" w:type="auto"/>
            <w:tcBorders>
              <w:top w:val="nil"/>
              <w:left w:val="nil"/>
              <w:bottom w:val="nil"/>
              <w:right w:val="nil"/>
            </w:tcBorders>
            <w:shd w:val="clear" w:color="auto" w:fill="FFFFFF"/>
            <w:tcMar>
              <w:left w:w="67" w:type="dxa"/>
              <w:right w:w="67" w:type="dxa"/>
            </w:tcMar>
          </w:tcPr>
          <w:p w14:paraId="6F6944CB"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1.85 (0.91) 2</w:t>
            </w:r>
          </w:p>
        </w:tc>
        <w:tc>
          <w:tcPr>
            <w:tcW w:w="0" w:type="auto"/>
            <w:tcBorders>
              <w:top w:val="nil"/>
              <w:left w:val="nil"/>
              <w:bottom w:val="nil"/>
              <w:right w:val="nil"/>
            </w:tcBorders>
            <w:shd w:val="clear" w:color="auto" w:fill="FFFFFF"/>
            <w:tcMar>
              <w:left w:w="67" w:type="dxa"/>
              <w:right w:w="67" w:type="dxa"/>
            </w:tcMar>
          </w:tcPr>
          <w:p w14:paraId="34810400"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1.89 (0.95) 3</w:t>
            </w:r>
          </w:p>
        </w:tc>
        <w:tc>
          <w:tcPr>
            <w:tcW w:w="0" w:type="auto"/>
            <w:tcBorders>
              <w:top w:val="nil"/>
              <w:left w:val="nil"/>
              <w:bottom w:val="nil"/>
              <w:right w:val="nil"/>
            </w:tcBorders>
            <w:shd w:val="clear" w:color="auto" w:fill="FFFFFF"/>
            <w:tcMar>
              <w:left w:w="67" w:type="dxa"/>
              <w:right w:w="67" w:type="dxa"/>
            </w:tcMar>
          </w:tcPr>
          <w:p w14:paraId="54834F56"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1.88 (0.93) 5</w:t>
            </w:r>
          </w:p>
        </w:tc>
        <w:tc>
          <w:tcPr>
            <w:tcW w:w="0" w:type="auto"/>
            <w:tcBorders>
              <w:top w:val="nil"/>
              <w:left w:val="nil"/>
              <w:bottom w:val="nil"/>
              <w:right w:val="nil"/>
            </w:tcBorders>
            <w:shd w:val="clear" w:color="auto" w:fill="FFFFFF"/>
            <w:tcMar>
              <w:left w:w="67" w:type="dxa"/>
              <w:right w:w="67" w:type="dxa"/>
            </w:tcMar>
          </w:tcPr>
          <w:p w14:paraId="4C878031"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2.12 (0.83) 63</w:t>
            </w:r>
          </w:p>
        </w:tc>
        <w:tc>
          <w:tcPr>
            <w:tcW w:w="0" w:type="auto"/>
            <w:tcBorders>
              <w:top w:val="nil"/>
              <w:left w:val="nil"/>
              <w:bottom w:val="nil"/>
              <w:right w:val="nil"/>
            </w:tcBorders>
            <w:shd w:val="clear" w:color="auto" w:fill="FFFFFF"/>
            <w:tcMar>
              <w:left w:w="67" w:type="dxa"/>
              <w:right w:w="67" w:type="dxa"/>
            </w:tcMar>
          </w:tcPr>
          <w:p w14:paraId="054DAB80"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1.95 (0.87) 92</w:t>
            </w:r>
          </w:p>
        </w:tc>
        <w:tc>
          <w:tcPr>
            <w:tcW w:w="0" w:type="auto"/>
            <w:tcBorders>
              <w:top w:val="nil"/>
              <w:left w:val="nil"/>
              <w:bottom w:val="nil"/>
              <w:right w:val="nil"/>
            </w:tcBorders>
            <w:shd w:val="clear" w:color="auto" w:fill="FFFFFF"/>
            <w:tcMar>
              <w:left w:w="67" w:type="dxa"/>
              <w:right w:w="67" w:type="dxa"/>
            </w:tcMar>
          </w:tcPr>
          <w:p w14:paraId="0FB8FCDC"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2.03 (0.86) 155</w:t>
            </w:r>
          </w:p>
        </w:tc>
        <w:tc>
          <w:tcPr>
            <w:tcW w:w="0" w:type="auto"/>
            <w:tcBorders>
              <w:top w:val="nil"/>
              <w:left w:val="nil"/>
              <w:bottom w:val="nil"/>
              <w:right w:val="nil"/>
            </w:tcBorders>
            <w:shd w:val="clear" w:color="auto" w:fill="FFFFFF"/>
            <w:tcMar>
              <w:left w:w="67" w:type="dxa"/>
              <w:right w:w="67" w:type="dxa"/>
            </w:tcMar>
          </w:tcPr>
          <w:p w14:paraId="46C92F9B"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2.29 (0.83) 123</w:t>
            </w:r>
          </w:p>
        </w:tc>
        <w:tc>
          <w:tcPr>
            <w:tcW w:w="0" w:type="auto"/>
            <w:tcBorders>
              <w:top w:val="nil"/>
              <w:left w:val="nil"/>
              <w:bottom w:val="nil"/>
              <w:right w:val="nil"/>
            </w:tcBorders>
            <w:shd w:val="clear" w:color="auto" w:fill="FFFFFF"/>
            <w:tcMar>
              <w:left w:w="67" w:type="dxa"/>
              <w:right w:w="67" w:type="dxa"/>
            </w:tcMar>
          </w:tcPr>
          <w:p w14:paraId="2F34232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2.12 (0.84) 196</w:t>
            </w:r>
          </w:p>
        </w:tc>
        <w:tc>
          <w:tcPr>
            <w:tcW w:w="0" w:type="auto"/>
            <w:tcBorders>
              <w:top w:val="nil"/>
              <w:left w:val="nil"/>
              <w:bottom w:val="nil"/>
              <w:right w:val="nil"/>
            </w:tcBorders>
            <w:shd w:val="clear" w:color="auto" w:fill="FFFFFF"/>
            <w:tcMar>
              <w:left w:w="67" w:type="dxa"/>
              <w:right w:w="67" w:type="dxa"/>
            </w:tcMar>
          </w:tcPr>
          <w:p w14:paraId="7E365554"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2.2 (0.84) 319</w:t>
            </w:r>
          </w:p>
        </w:tc>
        <w:tc>
          <w:tcPr>
            <w:tcW w:w="0" w:type="auto"/>
            <w:tcBorders>
              <w:top w:val="nil"/>
              <w:left w:val="nil"/>
              <w:bottom w:val="nil"/>
              <w:right w:val="nil"/>
            </w:tcBorders>
            <w:shd w:val="clear" w:color="auto" w:fill="FFFFFF"/>
            <w:tcMar>
              <w:left w:w="67" w:type="dxa"/>
              <w:right w:w="67" w:type="dxa"/>
            </w:tcMar>
          </w:tcPr>
          <w:p w14:paraId="05746B82"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2.14 (0.88) 3</w:t>
            </w:r>
          </w:p>
        </w:tc>
        <w:tc>
          <w:tcPr>
            <w:tcW w:w="0" w:type="auto"/>
            <w:tcBorders>
              <w:top w:val="nil"/>
              <w:left w:val="nil"/>
              <w:bottom w:val="nil"/>
              <w:right w:val="nil"/>
            </w:tcBorders>
            <w:shd w:val="clear" w:color="auto" w:fill="FFFFFF"/>
            <w:tcMar>
              <w:left w:w="67" w:type="dxa"/>
              <w:right w:w="67" w:type="dxa"/>
            </w:tcMar>
          </w:tcPr>
          <w:p w14:paraId="5E4D1498"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1.98 (0.87) 4</w:t>
            </w:r>
          </w:p>
        </w:tc>
        <w:tc>
          <w:tcPr>
            <w:tcW w:w="0" w:type="auto"/>
            <w:tcBorders>
              <w:top w:val="nil"/>
              <w:left w:val="nil"/>
              <w:bottom w:val="nil"/>
              <w:right w:val="single" w:sz="4" w:space="0" w:color="auto"/>
            </w:tcBorders>
            <w:shd w:val="clear" w:color="auto" w:fill="FFFFFF"/>
            <w:tcMar>
              <w:left w:w="67" w:type="dxa"/>
              <w:right w:w="67" w:type="dxa"/>
            </w:tcMar>
          </w:tcPr>
          <w:p w14:paraId="4E1BF82A"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2.05 (0.87) 7</w:t>
            </w:r>
          </w:p>
        </w:tc>
      </w:tr>
      <w:tr w:rsidR="006C1524" w:rsidRPr="00563AD3" w14:paraId="10843376"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4B2BF2C5" w14:textId="77777777" w:rsidR="006C1524" w:rsidRPr="00EC0517" w:rsidRDefault="006C1524" w:rsidP="006C0B32">
            <w:pPr>
              <w:spacing w:after="0" w:line="240" w:lineRule="auto"/>
              <w:rPr>
                <w:rFonts w:eastAsia="Times New Roman"/>
                <w:color w:val="000000"/>
                <w:sz w:val="14"/>
                <w:szCs w:val="14"/>
              </w:rPr>
            </w:pPr>
            <w:r w:rsidRPr="00EC0517">
              <w:rPr>
                <w:rFonts w:eastAsia="Times New Roman"/>
                <w:color w:val="000000"/>
                <w:sz w:val="14"/>
                <w:szCs w:val="14"/>
              </w:rPr>
              <w:t>Community affairs</w:t>
            </w:r>
          </w:p>
        </w:tc>
        <w:tc>
          <w:tcPr>
            <w:tcW w:w="0" w:type="auto"/>
            <w:tcBorders>
              <w:top w:val="nil"/>
              <w:left w:val="nil"/>
              <w:bottom w:val="nil"/>
              <w:right w:val="nil"/>
            </w:tcBorders>
            <w:shd w:val="clear" w:color="auto" w:fill="FFFFFF"/>
            <w:tcMar>
              <w:left w:w="67" w:type="dxa"/>
              <w:right w:w="67" w:type="dxa"/>
            </w:tcMar>
          </w:tcPr>
          <w:p w14:paraId="700D5099"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1.86 (0.76) 0</w:t>
            </w:r>
          </w:p>
        </w:tc>
        <w:tc>
          <w:tcPr>
            <w:tcW w:w="0" w:type="auto"/>
            <w:tcBorders>
              <w:top w:val="nil"/>
              <w:left w:val="nil"/>
              <w:bottom w:val="nil"/>
              <w:right w:val="nil"/>
            </w:tcBorders>
            <w:shd w:val="clear" w:color="auto" w:fill="FFFFFF"/>
            <w:tcMar>
              <w:left w:w="67" w:type="dxa"/>
              <w:right w:w="67" w:type="dxa"/>
            </w:tcMar>
          </w:tcPr>
          <w:p w14:paraId="49D9E00A"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 (0.78) 2</w:t>
            </w:r>
          </w:p>
        </w:tc>
        <w:tc>
          <w:tcPr>
            <w:tcW w:w="0" w:type="auto"/>
            <w:tcBorders>
              <w:top w:val="nil"/>
              <w:left w:val="nil"/>
              <w:bottom w:val="nil"/>
              <w:right w:val="nil"/>
            </w:tcBorders>
            <w:shd w:val="clear" w:color="auto" w:fill="FFFFFF"/>
            <w:tcMar>
              <w:left w:w="67" w:type="dxa"/>
              <w:right w:w="67" w:type="dxa"/>
            </w:tcMar>
          </w:tcPr>
          <w:p w14:paraId="4674AD2F"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1.88 (0.77) 2</w:t>
            </w:r>
          </w:p>
        </w:tc>
        <w:tc>
          <w:tcPr>
            <w:tcW w:w="0" w:type="auto"/>
            <w:tcBorders>
              <w:top w:val="nil"/>
              <w:left w:val="nil"/>
              <w:bottom w:val="nil"/>
              <w:right w:val="nil"/>
            </w:tcBorders>
            <w:shd w:val="clear" w:color="auto" w:fill="FFFFFF"/>
            <w:tcMar>
              <w:left w:w="67" w:type="dxa"/>
              <w:right w:w="67" w:type="dxa"/>
            </w:tcMar>
          </w:tcPr>
          <w:p w14:paraId="0524BDD8"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2.04 (0.64) 64</w:t>
            </w:r>
          </w:p>
        </w:tc>
        <w:tc>
          <w:tcPr>
            <w:tcW w:w="0" w:type="auto"/>
            <w:tcBorders>
              <w:top w:val="nil"/>
              <w:left w:val="nil"/>
              <w:bottom w:val="nil"/>
              <w:right w:val="nil"/>
            </w:tcBorders>
            <w:shd w:val="clear" w:color="auto" w:fill="FFFFFF"/>
            <w:tcMar>
              <w:left w:w="67" w:type="dxa"/>
              <w:right w:w="67" w:type="dxa"/>
            </w:tcMar>
          </w:tcPr>
          <w:p w14:paraId="6D93ABC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1.95 (0.68) 90</w:t>
            </w:r>
          </w:p>
        </w:tc>
        <w:tc>
          <w:tcPr>
            <w:tcW w:w="0" w:type="auto"/>
            <w:tcBorders>
              <w:top w:val="nil"/>
              <w:left w:val="nil"/>
              <w:bottom w:val="nil"/>
              <w:right w:val="nil"/>
            </w:tcBorders>
            <w:shd w:val="clear" w:color="auto" w:fill="FFFFFF"/>
            <w:tcMar>
              <w:left w:w="67" w:type="dxa"/>
              <w:right w:w="67" w:type="dxa"/>
            </w:tcMar>
          </w:tcPr>
          <w:p w14:paraId="553301B5"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1.99 (0.66) 154</w:t>
            </w:r>
          </w:p>
        </w:tc>
        <w:tc>
          <w:tcPr>
            <w:tcW w:w="0" w:type="auto"/>
            <w:tcBorders>
              <w:top w:val="nil"/>
              <w:left w:val="nil"/>
              <w:bottom w:val="nil"/>
              <w:right w:val="nil"/>
            </w:tcBorders>
            <w:shd w:val="clear" w:color="auto" w:fill="FFFFFF"/>
            <w:tcMar>
              <w:left w:w="67" w:type="dxa"/>
              <w:right w:w="67" w:type="dxa"/>
            </w:tcMar>
          </w:tcPr>
          <w:p w14:paraId="20D570F8"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2.17 (0.67) 123</w:t>
            </w:r>
          </w:p>
        </w:tc>
        <w:tc>
          <w:tcPr>
            <w:tcW w:w="0" w:type="auto"/>
            <w:tcBorders>
              <w:top w:val="nil"/>
              <w:left w:val="nil"/>
              <w:bottom w:val="nil"/>
              <w:right w:val="nil"/>
            </w:tcBorders>
            <w:shd w:val="clear" w:color="auto" w:fill="FFFFFF"/>
            <w:tcMar>
              <w:left w:w="67" w:type="dxa"/>
              <w:right w:w="67" w:type="dxa"/>
            </w:tcMar>
          </w:tcPr>
          <w:p w14:paraId="375BA95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2.09 (0.69) 196</w:t>
            </w:r>
          </w:p>
        </w:tc>
        <w:tc>
          <w:tcPr>
            <w:tcW w:w="0" w:type="auto"/>
            <w:tcBorders>
              <w:top w:val="nil"/>
              <w:left w:val="nil"/>
              <w:bottom w:val="nil"/>
              <w:right w:val="nil"/>
            </w:tcBorders>
            <w:shd w:val="clear" w:color="auto" w:fill="FFFFFF"/>
            <w:tcMar>
              <w:left w:w="67" w:type="dxa"/>
              <w:right w:w="67" w:type="dxa"/>
            </w:tcMar>
          </w:tcPr>
          <w:p w14:paraId="527D5BBB"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2.13 (0.68) 319</w:t>
            </w:r>
          </w:p>
        </w:tc>
        <w:tc>
          <w:tcPr>
            <w:tcW w:w="0" w:type="auto"/>
            <w:tcBorders>
              <w:top w:val="nil"/>
              <w:left w:val="nil"/>
              <w:bottom w:val="nil"/>
              <w:right w:val="nil"/>
            </w:tcBorders>
            <w:shd w:val="clear" w:color="auto" w:fill="FFFFFF"/>
            <w:tcMar>
              <w:left w:w="67" w:type="dxa"/>
              <w:right w:w="67" w:type="dxa"/>
            </w:tcMar>
          </w:tcPr>
          <w:p w14:paraId="2E34F3F2"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2.07 (0.69) 3</w:t>
            </w:r>
          </w:p>
        </w:tc>
        <w:tc>
          <w:tcPr>
            <w:tcW w:w="0" w:type="auto"/>
            <w:tcBorders>
              <w:top w:val="nil"/>
              <w:left w:val="nil"/>
              <w:bottom w:val="nil"/>
              <w:right w:val="nil"/>
            </w:tcBorders>
            <w:shd w:val="clear" w:color="auto" w:fill="FFFFFF"/>
            <w:tcMar>
              <w:left w:w="67" w:type="dxa"/>
              <w:right w:w="67" w:type="dxa"/>
            </w:tcMar>
          </w:tcPr>
          <w:p w14:paraId="407F4AA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(0.72) 4</w:t>
            </w:r>
          </w:p>
        </w:tc>
        <w:tc>
          <w:tcPr>
            <w:tcW w:w="0" w:type="auto"/>
            <w:tcBorders>
              <w:top w:val="nil"/>
              <w:left w:val="nil"/>
              <w:bottom w:val="nil"/>
              <w:right w:val="single" w:sz="4" w:space="0" w:color="auto"/>
            </w:tcBorders>
            <w:shd w:val="clear" w:color="auto" w:fill="FFFFFF"/>
            <w:tcMar>
              <w:left w:w="67" w:type="dxa"/>
              <w:right w:w="67" w:type="dxa"/>
            </w:tcMar>
          </w:tcPr>
          <w:p w14:paraId="6E60BECA"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2.03 (0.71) 7</w:t>
            </w:r>
          </w:p>
        </w:tc>
      </w:tr>
      <w:tr w:rsidR="006C1524" w:rsidRPr="00563AD3" w14:paraId="1C53D66D" w14:textId="77777777" w:rsidTr="006C1524">
        <w:trPr>
          <w:cantSplit/>
          <w:jc w:val="center"/>
        </w:trPr>
        <w:tc>
          <w:tcPr>
            <w:tcW w:w="0" w:type="auto"/>
            <w:tcBorders>
              <w:top w:val="nil"/>
              <w:left w:val="single" w:sz="4" w:space="0" w:color="auto"/>
              <w:bottom w:val="nil"/>
              <w:right w:val="nil"/>
            </w:tcBorders>
            <w:shd w:val="clear" w:color="auto" w:fill="FFFFFF"/>
            <w:tcMar>
              <w:left w:w="67" w:type="dxa"/>
              <w:right w:w="67" w:type="dxa"/>
            </w:tcMar>
          </w:tcPr>
          <w:p w14:paraId="3AB6F4E2" w14:textId="77777777" w:rsidR="006C1524" w:rsidRPr="00EC0517" w:rsidRDefault="006C1524" w:rsidP="006C0B32">
            <w:pPr>
              <w:spacing w:after="0" w:line="240" w:lineRule="auto"/>
              <w:rPr>
                <w:rFonts w:eastAsia="Times New Roman"/>
                <w:color w:val="000000"/>
                <w:sz w:val="14"/>
                <w:szCs w:val="14"/>
              </w:rPr>
            </w:pPr>
            <w:r w:rsidRPr="00EC0517">
              <w:rPr>
                <w:rFonts w:eastAsia="Times New Roman"/>
                <w:color w:val="000000"/>
                <w:sz w:val="14"/>
                <w:szCs w:val="14"/>
              </w:rPr>
              <w:t>Home and hobbies</w:t>
            </w:r>
          </w:p>
        </w:tc>
        <w:tc>
          <w:tcPr>
            <w:tcW w:w="0" w:type="auto"/>
            <w:tcBorders>
              <w:top w:val="nil"/>
              <w:left w:val="nil"/>
              <w:bottom w:val="nil"/>
              <w:right w:val="nil"/>
            </w:tcBorders>
            <w:shd w:val="clear" w:color="auto" w:fill="FFFFFF"/>
            <w:tcMar>
              <w:left w:w="67" w:type="dxa"/>
              <w:right w:w="67" w:type="dxa"/>
            </w:tcMar>
          </w:tcPr>
          <w:p w14:paraId="17DD52BA"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1.79 (0.87) 0</w:t>
            </w:r>
          </w:p>
        </w:tc>
        <w:tc>
          <w:tcPr>
            <w:tcW w:w="0" w:type="auto"/>
            <w:tcBorders>
              <w:top w:val="nil"/>
              <w:left w:val="nil"/>
              <w:bottom w:val="nil"/>
              <w:right w:val="nil"/>
            </w:tcBorders>
            <w:shd w:val="clear" w:color="auto" w:fill="FFFFFF"/>
            <w:tcMar>
              <w:left w:w="67" w:type="dxa"/>
              <w:right w:w="67" w:type="dxa"/>
            </w:tcMar>
          </w:tcPr>
          <w:p w14:paraId="20BB6E22"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1.86 (0.85) 3</w:t>
            </w:r>
          </w:p>
        </w:tc>
        <w:tc>
          <w:tcPr>
            <w:tcW w:w="0" w:type="auto"/>
            <w:tcBorders>
              <w:top w:val="nil"/>
              <w:left w:val="nil"/>
              <w:bottom w:val="nil"/>
              <w:right w:val="nil"/>
            </w:tcBorders>
            <w:shd w:val="clear" w:color="auto" w:fill="FFFFFF"/>
            <w:tcMar>
              <w:left w:w="67" w:type="dxa"/>
              <w:right w:w="67" w:type="dxa"/>
            </w:tcMar>
          </w:tcPr>
          <w:p w14:paraId="517CC98B"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1.83 (0.86) 3</w:t>
            </w:r>
          </w:p>
        </w:tc>
        <w:tc>
          <w:tcPr>
            <w:tcW w:w="0" w:type="auto"/>
            <w:tcBorders>
              <w:top w:val="nil"/>
              <w:left w:val="nil"/>
              <w:bottom w:val="nil"/>
              <w:right w:val="nil"/>
            </w:tcBorders>
            <w:shd w:val="clear" w:color="auto" w:fill="FFFFFF"/>
            <w:tcMar>
              <w:left w:w="67" w:type="dxa"/>
              <w:right w:w="67" w:type="dxa"/>
            </w:tcMar>
          </w:tcPr>
          <w:p w14:paraId="3B4CC65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2.09 (0.75) 63</w:t>
            </w:r>
          </w:p>
        </w:tc>
        <w:tc>
          <w:tcPr>
            <w:tcW w:w="0" w:type="auto"/>
            <w:tcBorders>
              <w:top w:val="nil"/>
              <w:left w:val="nil"/>
              <w:bottom w:val="nil"/>
              <w:right w:val="nil"/>
            </w:tcBorders>
            <w:shd w:val="clear" w:color="auto" w:fill="FFFFFF"/>
            <w:tcMar>
              <w:left w:w="67" w:type="dxa"/>
              <w:right w:w="67" w:type="dxa"/>
            </w:tcMar>
          </w:tcPr>
          <w:p w14:paraId="0B62DB12"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1.94 (0.77) 90</w:t>
            </w:r>
          </w:p>
        </w:tc>
        <w:tc>
          <w:tcPr>
            <w:tcW w:w="0" w:type="auto"/>
            <w:tcBorders>
              <w:top w:val="nil"/>
              <w:left w:val="nil"/>
              <w:bottom w:val="nil"/>
              <w:right w:val="nil"/>
            </w:tcBorders>
            <w:shd w:val="clear" w:color="auto" w:fill="FFFFFF"/>
            <w:tcMar>
              <w:left w:w="67" w:type="dxa"/>
              <w:right w:w="67" w:type="dxa"/>
            </w:tcMar>
          </w:tcPr>
          <w:p w14:paraId="6A7AE9A0"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 (0.77) 153</w:t>
            </w:r>
          </w:p>
        </w:tc>
        <w:tc>
          <w:tcPr>
            <w:tcW w:w="0" w:type="auto"/>
            <w:tcBorders>
              <w:top w:val="nil"/>
              <w:left w:val="nil"/>
              <w:bottom w:val="nil"/>
              <w:right w:val="nil"/>
            </w:tcBorders>
            <w:shd w:val="clear" w:color="auto" w:fill="FFFFFF"/>
            <w:tcMar>
              <w:left w:w="67" w:type="dxa"/>
              <w:right w:w="67" w:type="dxa"/>
            </w:tcMar>
          </w:tcPr>
          <w:p w14:paraId="08617FC9"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2.15 (0.82) 123</w:t>
            </w:r>
          </w:p>
        </w:tc>
        <w:tc>
          <w:tcPr>
            <w:tcW w:w="0" w:type="auto"/>
            <w:tcBorders>
              <w:top w:val="nil"/>
              <w:left w:val="nil"/>
              <w:bottom w:val="nil"/>
              <w:right w:val="nil"/>
            </w:tcBorders>
            <w:shd w:val="clear" w:color="auto" w:fill="FFFFFF"/>
            <w:tcMar>
              <w:left w:w="67" w:type="dxa"/>
              <w:right w:w="67" w:type="dxa"/>
            </w:tcMar>
          </w:tcPr>
          <w:p w14:paraId="1F7001A3"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2.04 (0.76) 196</w:t>
            </w:r>
          </w:p>
        </w:tc>
        <w:tc>
          <w:tcPr>
            <w:tcW w:w="0" w:type="auto"/>
            <w:tcBorders>
              <w:top w:val="nil"/>
              <w:left w:val="nil"/>
              <w:bottom w:val="nil"/>
              <w:right w:val="nil"/>
            </w:tcBorders>
            <w:shd w:val="clear" w:color="auto" w:fill="FFFFFF"/>
            <w:tcMar>
              <w:left w:w="67" w:type="dxa"/>
              <w:right w:w="67" w:type="dxa"/>
            </w:tcMar>
          </w:tcPr>
          <w:p w14:paraId="26FB85DC"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2.09 (0.79) 319</w:t>
            </w:r>
          </w:p>
        </w:tc>
        <w:tc>
          <w:tcPr>
            <w:tcW w:w="0" w:type="auto"/>
            <w:tcBorders>
              <w:top w:val="nil"/>
              <w:left w:val="nil"/>
              <w:bottom w:val="nil"/>
              <w:right w:val="nil"/>
            </w:tcBorders>
            <w:shd w:val="clear" w:color="auto" w:fill="FFFFFF"/>
            <w:tcMar>
              <w:left w:w="67" w:type="dxa"/>
              <w:right w:w="67" w:type="dxa"/>
            </w:tcMar>
          </w:tcPr>
          <w:p w14:paraId="1A4B12E1"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2.02 (0.84) 3</w:t>
            </w:r>
          </w:p>
        </w:tc>
        <w:tc>
          <w:tcPr>
            <w:tcW w:w="0" w:type="auto"/>
            <w:tcBorders>
              <w:top w:val="nil"/>
              <w:left w:val="nil"/>
              <w:bottom w:val="nil"/>
              <w:right w:val="nil"/>
            </w:tcBorders>
            <w:shd w:val="clear" w:color="auto" w:fill="FFFFFF"/>
            <w:tcMar>
              <w:left w:w="67" w:type="dxa"/>
              <w:right w:w="67" w:type="dxa"/>
            </w:tcMar>
          </w:tcPr>
          <w:p w14:paraId="4D1FFFEE"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1.92 (0.79) 4</w:t>
            </w:r>
          </w:p>
        </w:tc>
        <w:tc>
          <w:tcPr>
            <w:tcW w:w="0" w:type="auto"/>
            <w:tcBorders>
              <w:top w:val="nil"/>
              <w:left w:val="nil"/>
              <w:bottom w:val="nil"/>
              <w:right w:val="single" w:sz="4" w:space="0" w:color="auto"/>
            </w:tcBorders>
            <w:shd w:val="clear" w:color="auto" w:fill="FFFFFF"/>
            <w:tcMar>
              <w:left w:w="67" w:type="dxa"/>
              <w:right w:w="67" w:type="dxa"/>
            </w:tcMar>
          </w:tcPr>
          <w:p w14:paraId="5FAA1E28" w14:textId="77777777" w:rsidR="006C1524" w:rsidRPr="00563AD3" w:rsidRDefault="006C1524" w:rsidP="006C0B32">
            <w:pPr>
              <w:spacing w:after="0" w:line="240" w:lineRule="auto"/>
              <w:jc w:val="right"/>
              <w:rPr>
                <w:rFonts w:eastAsia="Times New Roman"/>
                <w:color w:val="000000"/>
                <w:sz w:val="15"/>
                <w:szCs w:val="15"/>
              </w:rPr>
            </w:pPr>
            <w:r w:rsidRPr="00563AD3">
              <w:rPr>
                <w:rFonts w:eastAsia="Times New Roman"/>
                <w:color w:val="000000"/>
                <w:sz w:val="15"/>
                <w:szCs w:val="15"/>
              </w:rPr>
              <w:t>1.96 (0.81) 7</w:t>
            </w:r>
          </w:p>
        </w:tc>
      </w:tr>
      <w:tr w:rsidR="006C1524" w:rsidRPr="00563AD3" w14:paraId="1C7FBB92" w14:textId="77777777" w:rsidTr="006C1524">
        <w:trPr>
          <w:cantSplit/>
          <w:jc w:val="center"/>
        </w:trPr>
        <w:tc>
          <w:tcPr>
            <w:tcW w:w="0" w:type="auto"/>
            <w:tcBorders>
              <w:top w:val="nil"/>
              <w:left w:val="single" w:sz="4" w:space="0" w:color="auto"/>
              <w:bottom w:val="single" w:sz="4" w:space="0" w:color="auto"/>
              <w:right w:val="nil"/>
            </w:tcBorders>
            <w:shd w:val="clear" w:color="auto" w:fill="FFFFFF"/>
            <w:tcMar>
              <w:left w:w="67" w:type="dxa"/>
              <w:right w:w="67" w:type="dxa"/>
            </w:tcMar>
          </w:tcPr>
          <w:p w14:paraId="5755CAAB" w14:textId="77777777" w:rsidR="006C1524" w:rsidRPr="00EC0517" w:rsidRDefault="006C1524" w:rsidP="006C0B32">
            <w:pPr>
              <w:keepNext/>
              <w:spacing w:after="0" w:line="240" w:lineRule="auto"/>
              <w:rPr>
                <w:rFonts w:eastAsia="Times New Roman"/>
                <w:color w:val="000000"/>
                <w:sz w:val="14"/>
                <w:szCs w:val="14"/>
              </w:rPr>
            </w:pPr>
            <w:r w:rsidRPr="00EC0517">
              <w:rPr>
                <w:rFonts w:eastAsia="Times New Roman"/>
                <w:color w:val="000000"/>
                <w:sz w:val="14"/>
                <w:szCs w:val="14"/>
              </w:rPr>
              <w:t>Personal care</w:t>
            </w:r>
          </w:p>
        </w:tc>
        <w:tc>
          <w:tcPr>
            <w:tcW w:w="0" w:type="auto"/>
            <w:tcBorders>
              <w:top w:val="nil"/>
              <w:left w:val="nil"/>
              <w:bottom w:val="single" w:sz="4" w:space="0" w:color="auto"/>
              <w:right w:val="nil"/>
            </w:tcBorders>
            <w:shd w:val="clear" w:color="auto" w:fill="FFFFFF"/>
            <w:tcMar>
              <w:left w:w="67" w:type="dxa"/>
              <w:right w:w="67" w:type="dxa"/>
            </w:tcMar>
          </w:tcPr>
          <w:p w14:paraId="114CEF5F" w14:textId="77777777" w:rsidR="006C1524" w:rsidRPr="00563AD3" w:rsidRDefault="006C1524" w:rsidP="006C0B32">
            <w:pPr>
              <w:keepNext/>
              <w:spacing w:after="0" w:line="240" w:lineRule="auto"/>
              <w:jc w:val="right"/>
              <w:rPr>
                <w:rFonts w:eastAsia="Times New Roman"/>
                <w:color w:val="000000"/>
                <w:sz w:val="15"/>
                <w:szCs w:val="15"/>
              </w:rPr>
            </w:pPr>
            <w:r w:rsidRPr="00563AD3">
              <w:rPr>
                <w:rFonts w:eastAsia="Times New Roman"/>
                <w:color w:val="000000"/>
                <w:sz w:val="15"/>
                <w:szCs w:val="15"/>
              </w:rPr>
              <w:t>2.29 (0.86) 2</w:t>
            </w:r>
          </w:p>
        </w:tc>
        <w:tc>
          <w:tcPr>
            <w:tcW w:w="0" w:type="auto"/>
            <w:tcBorders>
              <w:top w:val="nil"/>
              <w:left w:val="nil"/>
              <w:bottom w:val="single" w:sz="4" w:space="0" w:color="auto"/>
              <w:right w:val="nil"/>
            </w:tcBorders>
            <w:shd w:val="clear" w:color="auto" w:fill="FFFFFF"/>
            <w:tcMar>
              <w:left w:w="67" w:type="dxa"/>
              <w:right w:w="67" w:type="dxa"/>
            </w:tcMar>
          </w:tcPr>
          <w:p w14:paraId="4F87BC8B" w14:textId="77777777" w:rsidR="006C1524" w:rsidRPr="00563AD3" w:rsidRDefault="006C1524" w:rsidP="006C0B32">
            <w:pPr>
              <w:keepNext/>
              <w:spacing w:after="0" w:line="240" w:lineRule="auto"/>
              <w:jc w:val="right"/>
              <w:rPr>
                <w:rFonts w:eastAsia="Times New Roman"/>
                <w:color w:val="000000"/>
                <w:sz w:val="15"/>
                <w:szCs w:val="15"/>
              </w:rPr>
            </w:pPr>
            <w:r w:rsidRPr="00563AD3">
              <w:rPr>
                <w:rFonts w:eastAsia="Times New Roman"/>
                <w:color w:val="000000"/>
                <w:sz w:val="15"/>
                <w:szCs w:val="15"/>
              </w:rPr>
              <w:t>2.3 (0.83) 1</w:t>
            </w:r>
          </w:p>
        </w:tc>
        <w:tc>
          <w:tcPr>
            <w:tcW w:w="0" w:type="auto"/>
            <w:tcBorders>
              <w:top w:val="nil"/>
              <w:left w:val="nil"/>
              <w:bottom w:val="single" w:sz="4" w:space="0" w:color="auto"/>
              <w:right w:val="nil"/>
            </w:tcBorders>
            <w:shd w:val="clear" w:color="auto" w:fill="FFFFFF"/>
            <w:tcMar>
              <w:left w:w="67" w:type="dxa"/>
              <w:right w:w="67" w:type="dxa"/>
            </w:tcMar>
          </w:tcPr>
          <w:p w14:paraId="255900B5" w14:textId="77777777" w:rsidR="006C1524" w:rsidRPr="00563AD3" w:rsidRDefault="006C1524" w:rsidP="006C0B32">
            <w:pPr>
              <w:keepNext/>
              <w:spacing w:after="0" w:line="240" w:lineRule="auto"/>
              <w:jc w:val="right"/>
              <w:rPr>
                <w:rFonts w:eastAsia="Times New Roman"/>
                <w:color w:val="000000"/>
                <w:sz w:val="15"/>
                <w:szCs w:val="15"/>
              </w:rPr>
            </w:pPr>
            <w:r w:rsidRPr="00563AD3">
              <w:rPr>
                <w:rFonts w:eastAsia="Times New Roman"/>
                <w:color w:val="000000"/>
                <w:sz w:val="15"/>
                <w:szCs w:val="15"/>
              </w:rPr>
              <w:t>2.3 (0.84) 3</w:t>
            </w:r>
          </w:p>
        </w:tc>
        <w:tc>
          <w:tcPr>
            <w:tcW w:w="0" w:type="auto"/>
            <w:tcBorders>
              <w:top w:val="nil"/>
              <w:left w:val="nil"/>
              <w:bottom w:val="single" w:sz="4" w:space="0" w:color="auto"/>
              <w:right w:val="nil"/>
            </w:tcBorders>
            <w:shd w:val="clear" w:color="auto" w:fill="FFFFFF"/>
            <w:tcMar>
              <w:left w:w="67" w:type="dxa"/>
              <w:right w:w="67" w:type="dxa"/>
            </w:tcMar>
          </w:tcPr>
          <w:p w14:paraId="627CDBEB" w14:textId="77777777" w:rsidR="006C1524" w:rsidRPr="00563AD3" w:rsidRDefault="006C1524" w:rsidP="006C0B32">
            <w:pPr>
              <w:keepNext/>
              <w:spacing w:after="0" w:line="240" w:lineRule="auto"/>
              <w:jc w:val="right"/>
              <w:rPr>
                <w:rFonts w:eastAsia="Times New Roman"/>
                <w:color w:val="000000"/>
                <w:sz w:val="15"/>
                <w:szCs w:val="15"/>
              </w:rPr>
            </w:pPr>
            <w:r w:rsidRPr="00563AD3">
              <w:rPr>
                <w:rFonts w:eastAsia="Times New Roman"/>
                <w:color w:val="000000"/>
                <w:sz w:val="15"/>
                <w:szCs w:val="15"/>
              </w:rPr>
              <w:t>2.36 (0.8) 63</w:t>
            </w:r>
          </w:p>
        </w:tc>
        <w:tc>
          <w:tcPr>
            <w:tcW w:w="0" w:type="auto"/>
            <w:tcBorders>
              <w:top w:val="nil"/>
              <w:left w:val="nil"/>
              <w:bottom w:val="single" w:sz="4" w:space="0" w:color="auto"/>
              <w:right w:val="nil"/>
            </w:tcBorders>
            <w:shd w:val="clear" w:color="auto" w:fill="FFFFFF"/>
            <w:tcMar>
              <w:left w:w="67" w:type="dxa"/>
              <w:right w:w="67" w:type="dxa"/>
            </w:tcMar>
          </w:tcPr>
          <w:p w14:paraId="6B0DC11A" w14:textId="77777777" w:rsidR="006C1524" w:rsidRPr="00563AD3" w:rsidRDefault="006C1524" w:rsidP="006C0B32">
            <w:pPr>
              <w:keepNext/>
              <w:spacing w:after="0" w:line="240" w:lineRule="auto"/>
              <w:jc w:val="right"/>
              <w:rPr>
                <w:rFonts w:eastAsia="Times New Roman"/>
                <w:color w:val="000000"/>
                <w:sz w:val="15"/>
                <w:szCs w:val="15"/>
              </w:rPr>
            </w:pPr>
            <w:r w:rsidRPr="00563AD3">
              <w:rPr>
                <w:rFonts w:eastAsia="Times New Roman"/>
                <w:color w:val="000000"/>
                <w:sz w:val="15"/>
                <w:szCs w:val="15"/>
              </w:rPr>
              <w:t>2.45 (0.72) 90</w:t>
            </w:r>
          </w:p>
        </w:tc>
        <w:tc>
          <w:tcPr>
            <w:tcW w:w="0" w:type="auto"/>
            <w:tcBorders>
              <w:top w:val="nil"/>
              <w:left w:val="nil"/>
              <w:bottom w:val="single" w:sz="4" w:space="0" w:color="auto"/>
              <w:right w:val="nil"/>
            </w:tcBorders>
            <w:shd w:val="clear" w:color="auto" w:fill="FFFFFF"/>
            <w:tcMar>
              <w:left w:w="67" w:type="dxa"/>
              <w:right w:w="67" w:type="dxa"/>
            </w:tcMar>
          </w:tcPr>
          <w:p w14:paraId="09B5F085" w14:textId="77777777" w:rsidR="006C1524" w:rsidRPr="00563AD3" w:rsidRDefault="006C1524" w:rsidP="006C0B32">
            <w:pPr>
              <w:keepNext/>
              <w:spacing w:after="0" w:line="240" w:lineRule="auto"/>
              <w:jc w:val="right"/>
              <w:rPr>
                <w:rFonts w:eastAsia="Times New Roman"/>
                <w:color w:val="000000"/>
                <w:sz w:val="15"/>
                <w:szCs w:val="15"/>
              </w:rPr>
            </w:pPr>
            <w:r w:rsidRPr="00563AD3">
              <w:rPr>
                <w:rFonts w:eastAsia="Times New Roman"/>
                <w:color w:val="000000"/>
                <w:sz w:val="15"/>
                <w:szCs w:val="15"/>
              </w:rPr>
              <w:t>2.41 (0.76) 153</w:t>
            </w:r>
          </w:p>
        </w:tc>
        <w:tc>
          <w:tcPr>
            <w:tcW w:w="0" w:type="auto"/>
            <w:tcBorders>
              <w:top w:val="nil"/>
              <w:left w:val="nil"/>
              <w:bottom w:val="single" w:sz="4" w:space="0" w:color="auto"/>
              <w:right w:val="nil"/>
            </w:tcBorders>
            <w:shd w:val="clear" w:color="auto" w:fill="FFFFFF"/>
            <w:tcMar>
              <w:left w:w="67" w:type="dxa"/>
              <w:right w:w="67" w:type="dxa"/>
            </w:tcMar>
          </w:tcPr>
          <w:p w14:paraId="23D8CB5A" w14:textId="77777777" w:rsidR="006C1524" w:rsidRPr="00563AD3" w:rsidRDefault="006C1524" w:rsidP="006C0B32">
            <w:pPr>
              <w:keepNext/>
              <w:spacing w:after="0" w:line="240" w:lineRule="auto"/>
              <w:jc w:val="right"/>
              <w:rPr>
                <w:rFonts w:eastAsia="Times New Roman"/>
                <w:color w:val="000000"/>
                <w:sz w:val="15"/>
                <w:szCs w:val="15"/>
              </w:rPr>
            </w:pPr>
            <w:r w:rsidRPr="00563AD3">
              <w:rPr>
                <w:rFonts w:eastAsia="Times New Roman"/>
                <w:color w:val="000000"/>
                <w:sz w:val="15"/>
                <w:szCs w:val="15"/>
              </w:rPr>
              <w:t>2.59 (0.74) 123</w:t>
            </w:r>
          </w:p>
        </w:tc>
        <w:tc>
          <w:tcPr>
            <w:tcW w:w="0" w:type="auto"/>
            <w:tcBorders>
              <w:top w:val="nil"/>
              <w:left w:val="nil"/>
              <w:bottom w:val="single" w:sz="4" w:space="0" w:color="auto"/>
              <w:right w:val="nil"/>
            </w:tcBorders>
            <w:shd w:val="clear" w:color="auto" w:fill="FFFFFF"/>
            <w:tcMar>
              <w:left w:w="67" w:type="dxa"/>
              <w:right w:w="67" w:type="dxa"/>
            </w:tcMar>
          </w:tcPr>
          <w:p w14:paraId="4EFDF58A" w14:textId="77777777" w:rsidR="006C1524" w:rsidRPr="00563AD3" w:rsidRDefault="006C1524" w:rsidP="006C0B32">
            <w:pPr>
              <w:keepNext/>
              <w:spacing w:after="0" w:line="240" w:lineRule="auto"/>
              <w:jc w:val="right"/>
              <w:rPr>
                <w:rFonts w:eastAsia="Times New Roman"/>
                <w:color w:val="000000"/>
                <w:sz w:val="15"/>
                <w:szCs w:val="15"/>
              </w:rPr>
            </w:pPr>
            <w:r w:rsidRPr="00563AD3">
              <w:rPr>
                <w:rFonts w:eastAsia="Times New Roman"/>
                <w:color w:val="000000"/>
                <w:sz w:val="15"/>
                <w:szCs w:val="15"/>
              </w:rPr>
              <w:t>2.55 (0.68) 196</w:t>
            </w:r>
          </w:p>
        </w:tc>
        <w:tc>
          <w:tcPr>
            <w:tcW w:w="0" w:type="auto"/>
            <w:tcBorders>
              <w:top w:val="nil"/>
              <w:left w:val="nil"/>
              <w:bottom w:val="single" w:sz="4" w:space="0" w:color="auto"/>
              <w:right w:val="nil"/>
            </w:tcBorders>
            <w:shd w:val="clear" w:color="auto" w:fill="FFFFFF"/>
            <w:tcMar>
              <w:left w:w="67" w:type="dxa"/>
              <w:right w:w="67" w:type="dxa"/>
            </w:tcMar>
          </w:tcPr>
          <w:p w14:paraId="7FC191A9" w14:textId="77777777" w:rsidR="006C1524" w:rsidRPr="00563AD3" w:rsidRDefault="006C1524" w:rsidP="006C0B32">
            <w:pPr>
              <w:keepNext/>
              <w:spacing w:after="0" w:line="240" w:lineRule="auto"/>
              <w:jc w:val="right"/>
              <w:rPr>
                <w:rFonts w:eastAsia="Times New Roman"/>
                <w:color w:val="000000"/>
                <w:sz w:val="15"/>
                <w:szCs w:val="15"/>
              </w:rPr>
            </w:pPr>
            <w:r w:rsidRPr="00563AD3">
              <w:rPr>
                <w:rFonts w:eastAsia="Times New Roman"/>
                <w:color w:val="000000"/>
                <w:sz w:val="15"/>
                <w:szCs w:val="15"/>
              </w:rPr>
              <w:t>2.57 (0.71) 319</w:t>
            </w:r>
          </w:p>
        </w:tc>
        <w:tc>
          <w:tcPr>
            <w:tcW w:w="0" w:type="auto"/>
            <w:tcBorders>
              <w:top w:val="nil"/>
              <w:left w:val="nil"/>
              <w:bottom w:val="single" w:sz="4" w:space="0" w:color="auto"/>
              <w:right w:val="nil"/>
            </w:tcBorders>
            <w:shd w:val="clear" w:color="auto" w:fill="FFFFFF"/>
            <w:tcMar>
              <w:left w:w="67" w:type="dxa"/>
              <w:right w:w="67" w:type="dxa"/>
            </w:tcMar>
          </w:tcPr>
          <w:p w14:paraId="3FFDFB21" w14:textId="77777777" w:rsidR="006C1524" w:rsidRPr="00563AD3" w:rsidRDefault="006C1524" w:rsidP="006C0B32">
            <w:pPr>
              <w:keepNext/>
              <w:spacing w:after="0" w:line="240" w:lineRule="auto"/>
              <w:jc w:val="right"/>
              <w:rPr>
                <w:rFonts w:eastAsia="Times New Roman"/>
                <w:color w:val="000000"/>
                <w:sz w:val="15"/>
                <w:szCs w:val="15"/>
              </w:rPr>
            </w:pPr>
            <w:r w:rsidRPr="00563AD3">
              <w:rPr>
                <w:rFonts w:eastAsia="Times New Roman"/>
                <w:color w:val="000000"/>
                <w:sz w:val="15"/>
                <w:szCs w:val="15"/>
              </w:rPr>
              <w:t>2.41 (0.9) 3</w:t>
            </w:r>
          </w:p>
        </w:tc>
        <w:tc>
          <w:tcPr>
            <w:tcW w:w="0" w:type="auto"/>
            <w:tcBorders>
              <w:top w:val="nil"/>
              <w:left w:val="nil"/>
              <w:bottom w:val="single" w:sz="4" w:space="0" w:color="auto"/>
              <w:right w:val="nil"/>
            </w:tcBorders>
            <w:shd w:val="clear" w:color="auto" w:fill="FFFFFF"/>
            <w:tcMar>
              <w:left w:w="67" w:type="dxa"/>
              <w:right w:w="67" w:type="dxa"/>
            </w:tcMar>
          </w:tcPr>
          <w:p w14:paraId="0D97E8D9" w14:textId="77777777" w:rsidR="006C1524" w:rsidRPr="00563AD3" w:rsidRDefault="006C1524" w:rsidP="006C0B32">
            <w:pPr>
              <w:keepNext/>
              <w:spacing w:after="0" w:line="240" w:lineRule="auto"/>
              <w:jc w:val="right"/>
              <w:rPr>
                <w:rFonts w:eastAsia="Times New Roman"/>
                <w:color w:val="000000"/>
                <w:sz w:val="15"/>
                <w:szCs w:val="15"/>
              </w:rPr>
            </w:pPr>
            <w:r w:rsidRPr="00563AD3">
              <w:rPr>
                <w:rFonts w:eastAsia="Times New Roman"/>
                <w:color w:val="000000"/>
                <w:sz w:val="15"/>
                <w:szCs w:val="15"/>
              </w:rPr>
              <w:t>2.39 (0.82) 5</w:t>
            </w:r>
          </w:p>
        </w:tc>
        <w:tc>
          <w:tcPr>
            <w:tcW w:w="0" w:type="auto"/>
            <w:tcBorders>
              <w:top w:val="nil"/>
              <w:left w:val="nil"/>
              <w:bottom w:val="single" w:sz="4" w:space="0" w:color="auto"/>
              <w:right w:val="single" w:sz="4" w:space="0" w:color="auto"/>
            </w:tcBorders>
            <w:shd w:val="clear" w:color="auto" w:fill="FFFFFF"/>
            <w:tcMar>
              <w:left w:w="67" w:type="dxa"/>
              <w:right w:w="67" w:type="dxa"/>
            </w:tcMar>
          </w:tcPr>
          <w:p w14:paraId="17CC87BA" w14:textId="77777777" w:rsidR="006C1524" w:rsidRPr="00563AD3" w:rsidRDefault="006C1524" w:rsidP="006C0B32">
            <w:pPr>
              <w:keepNext/>
              <w:spacing w:after="0" w:line="240" w:lineRule="auto"/>
              <w:jc w:val="right"/>
              <w:rPr>
                <w:rFonts w:eastAsia="Times New Roman"/>
                <w:color w:val="000000"/>
                <w:sz w:val="15"/>
                <w:szCs w:val="15"/>
              </w:rPr>
            </w:pPr>
            <w:r w:rsidRPr="00563AD3">
              <w:rPr>
                <w:rFonts w:eastAsia="Times New Roman"/>
                <w:color w:val="000000"/>
                <w:sz w:val="15"/>
                <w:szCs w:val="15"/>
              </w:rPr>
              <w:t>2.4 (0.85) 8</w:t>
            </w:r>
          </w:p>
        </w:tc>
      </w:tr>
    </w:tbl>
    <w:p w14:paraId="6B4B9113" w14:textId="77777777" w:rsidR="00E07CDE" w:rsidRPr="00563AD3" w:rsidRDefault="00E07CDE" w:rsidP="009B13F3">
      <w:pPr>
        <w:autoSpaceDE/>
        <w:autoSpaceDN/>
        <w:adjustRightInd/>
        <w:spacing w:before="120" w:after="0"/>
        <w:rPr>
          <w:rFonts w:eastAsia="Calibri"/>
          <w:sz w:val="24"/>
          <w:szCs w:val="24"/>
          <w:lang w:eastAsia="en-US"/>
        </w:rPr>
      </w:pPr>
    </w:p>
    <w:p w14:paraId="4D097937" w14:textId="77777777" w:rsidR="00E07CDE" w:rsidRPr="00563AD3" w:rsidRDefault="00E07CDE" w:rsidP="009B13F3">
      <w:pPr>
        <w:autoSpaceDE/>
        <w:autoSpaceDN/>
        <w:adjustRightInd/>
        <w:spacing w:before="120" w:after="0"/>
        <w:rPr>
          <w:rFonts w:eastAsia="Calibri"/>
          <w:sz w:val="24"/>
          <w:szCs w:val="24"/>
          <w:lang w:eastAsia="en-US"/>
        </w:rPr>
      </w:pPr>
    </w:p>
    <w:p w14:paraId="4363F956" w14:textId="77777777" w:rsidR="007955CE" w:rsidRDefault="007955CE" w:rsidP="009B13F3">
      <w:pPr>
        <w:autoSpaceDE/>
        <w:autoSpaceDN/>
        <w:adjustRightInd/>
        <w:rPr>
          <w:rFonts w:eastAsia="Calibri"/>
          <w:b/>
          <w:bCs/>
          <w:sz w:val="24"/>
          <w:szCs w:val="18"/>
          <w:lang w:eastAsia="en-US"/>
        </w:rPr>
      </w:pPr>
      <w:bookmarkStart w:id="361" w:name="_Toc500935034"/>
      <w:r>
        <w:rPr>
          <w:rFonts w:eastAsia="Calibri"/>
          <w:b/>
          <w:bCs/>
          <w:sz w:val="24"/>
          <w:szCs w:val="18"/>
          <w:lang w:eastAsia="en-US"/>
        </w:rPr>
        <w:br w:type="page"/>
      </w:r>
    </w:p>
    <w:p w14:paraId="7F7C21CC" w14:textId="6CCFBE83" w:rsidR="00E07CDE" w:rsidRPr="00563AD3" w:rsidRDefault="00E07CDE" w:rsidP="006C0B32">
      <w:pPr>
        <w:pStyle w:val="Tableheading"/>
        <w:rPr>
          <w:rFonts w:eastAsia="Calibri"/>
          <w:lang w:eastAsia="en-US"/>
        </w:rPr>
      </w:pPr>
      <w:bookmarkStart w:id="362" w:name="_Toc948260"/>
      <w:r w:rsidRPr="00563AD3">
        <w:rPr>
          <w:rFonts w:eastAsia="Calibri"/>
          <w:lang w:eastAsia="en-US"/>
        </w:rPr>
        <w:t xml:space="preserve">Table </w:t>
      </w:r>
      <w:r w:rsidR="006311A8">
        <w:rPr>
          <w:rFonts w:eastAsia="Calibri"/>
          <w:lang w:eastAsia="en-US"/>
        </w:rPr>
        <w:t>63</w:t>
      </w:r>
      <w:r w:rsidR="006311A8" w:rsidRPr="00563AD3">
        <w:rPr>
          <w:rFonts w:eastAsia="Calibri"/>
          <w:lang w:eastAsia="en-US"/>
        </w:rPr>
        <w:t xml:space="preserve"> </w:t>
      </w:r>
      <w:r w:rsidRPr="00563AD3">
        <w:rPr>
          <w:rFonts w:eastAsia="Calibri"/>
          <w:lang w:eastAsia="en-US"/>
        </w:rPr>
        <w:t>Care home EAT summaries</w:t>
      </w:r>
      <w:bookmarkEnd w:id="361"/>
      <w:bookmarkEnd w:id="362"/>
    </w:p>
    <w:tbl>
      <w:tblPr>
        <w:tblW w:w="5000" w:type="pct"/>
        <w:jc w:val="center"/>
        <w:tblCellMar>
          <w:left w:w="0" w:type="dxa"/>
          <w:right w:w="0" w:type="dxa"/>
        </w:tblCellMar>
        <w:tblLook w:val="0000" w:firstRow="0" w:lastRow="0" w:firstColumn="0" w:lastColumn="0" w:noHBand="0" w:noVBand="0"/>
      </w:tblPr>
      <w:tblGrid>
        <w:gridCol w:w="2063"/>
        <w:gridCol w:w="1320"/>
        <w:gridCol w:w="1320"/>
        <w:gridCol w:w="1322"/>
        <w:gridCol w:w="1319"/>
        <w:gridCol w:w="1319"/>
        <w:gridCol w:w="1322"/>
        <w:gridCol w:w="1319"/>
        <w:gridCol w:w="1319"/>
        <w:gridCol w:w="1325"/>
      </w:tblGrid>
      <w:tr w:rsidR="00E07CDE" w:rsidRPr="00563AD3" w14:paraId="42310438" w14:textId="77777777" w:rsidTr="00C163F3">
        <w:trPr>
          <w:cantSplit/>
          <w:tblHeader/>
          <w:jc w:val="center"/>
        </w:trPr>
        <w:tc>
          <w:tcPr>
            <w:tcW w:w="739" w:type="pct"/>
            <w:tcBorders>
              <w:top w:val="single" w:sz="4" w:space="0" w:color="auto"/>
              <w:left w:val="single" w:sz="4" w:space="0" w:color="auto"/>
              <w:bottom w:val="nil"/>
              <w:right w:val="nil"/>
            </w:tcBorders>
            <w:shd w:val="clear" w:color="auto" w:fill="FFFFFF"/>
            <w:tcMar>
              <w:left w:w="67" w:type="dxa"/>
              <w:right w:w="67" w:type="dxa"/>
            </w:tcMar>
            <w:vAlign w:val="bottom"/>
          </w:tcPr>
          <w:p w14:paraId="582981C0" w14:textId="77777777" w:rsidR="00E07CDE" w:rsidRPr="00563AD3" w:rsidRDefault="00E07CDE" w:rsidP="006C0B32">
            <w:pPr>
              <w:keepNext/>
              <w:spacing w:before="67" w:after="67" w:line="240" w:lineRule="auto"/>
              <w:jc w:val="center"/>
              <w:rPr>
                <w:rFonts w:eastAsia="Times New Roman"/>
                <w:b/>
                <w:bCs/>
                <w:color w:val="000000"/>
                <w:sz w:val="16"/>
                <w:szCs w:val="16"/>
              </w:rPr>
            </w:pPr>
          </w:p>
        </w:tc>
        <w:tc>
          <w:tcPr>
            <w:tcW w:w="4261" w:type="pct"/>
            <w:gridSpan w:val="9"/>
            <w:tcBorders>
              <w:top w:val="single" w:sz="4" w:space="0" w:color="auto"/>
              <w:left w:val="nil"/>
              <w:bottom w:val="nil"/>
              <w:right w:val="single" w:sz="4" w:space="0" w:color="auto"/>
            </w:tcBorders>
            <w:shd w:val="clear" w:color="auto" w:fill="FFFFFF"/>
            <w:tcMar>
              <w:left w:w="67" w:type="dxa"/>
              <w:right w:w="67" w:type="dxa"/>
            </w:tcMar>
            <w:vAlign w:val="bottom"/>
          </w:tcPr>
          <w:p w14:paraId="4B63794B" w14:textId="77777777"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EAT summaries</w:t>
            </w:r>
          </w:p>
        </w:tc>
      </w:tr>
      <w:tr w:rsidR="00E07CDE" w:rsidRPr="00563AD3" w14:paraId="44A6DC32" w14:textId="77777777" w:rsidTr="00C163F3">
        <w:trPr>
          <w:cantSplit/>
          <w:tblHeader/>
          <w:jc w:val="center"/>
        </w:trPr>
        <w:tc>
          <w:tcPr>
            <w:tcW w:w="739" w:type="pct"/>
            <w:tcBorders>
              <w:top w:val="nil"/>
              <w:left w:val="single" w:sz="4" w:space="0" w:color="auto"/>
              <w:bottom w:val="nil"/>
              <w:right w:val="nil"/>
            </w:tcBorders>
            <w:shd w:val="clear" w:color="auto" w:fill="FFFFFF"/>
            <w:tcMar>
              <w:left w:w="67" w:type="dxa"/>
              <w:right w:w="67" w:type="dxa"/>
            </w:tcMar>
            <w:vAlign w:val="bottom"/>
          </w:tcPr>
          <w:p w14:paraId="6D7BA73E" w14:textId="77777777" w:rsidR="00E07CDE" w:rsidRPr="00563AD3" w:rsidRDefault="00E07CDE" w:rsidP="006C0B32">
            <w:pPr>
              <w:keepNext/>
              <w:spacing w:before="67" w:after="67" w:line="240" w:lineRule="auto"/>
              <w:jc w:val="center"/>
              <w:rPr>
                <w:rFonts w:eastAsia="Times New Roman"/>
                <w:b/>
                <w:bCs/>
                <w:color w:val="000000"/>
                <w:sz w:val="16"/>
                <w:szCs w:val="16"/>
              </w:rPr>
            </w:pPr>
          </w:p>
        </w:tc>
        <w:tc>
          <w:tcPr>
            <w:tcW w:w="1420" w:type="pct"/>
            <w:gridSpan w:val="3"/>
            <w:tcBorders>
              <w:top w:val="nil"/>
              <w:left w:val="nil"/>
              <w:bottom w:val="nil"/>
              <w:right w:val="nil"/>
            </w:tcBorders>
            <w:shd w:val="clear" w:color="auto" w:fill="FFFFFF"/>
            <w:tcMar>
              <w:left w:w="67" w:type="dxa"/>
              <w:right w:w="67" w:type="dxa"/>
            </w:tcMar>
            <w:vAlign w:val="bottom"/>
          </w:tcPr>
          <w:p w14:paraId="3BCBD9A1" w14:textId="77777777"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Baseline</w:t>
            </w:r>
          </w:p>
        </w:tc>
        <w:tc>
          <w:tcPr>
            <w:tcW w:w="1420" w:type="pct"/>
            <w:gridSpan w:val="3"/>
            <w:tcBorders>
              <w:top w:val="nil"/>
              <w:left w:val="nil"/>
              <w:bottom w:val="nil"/>
              <w:right w:val="nil"/>
            </w:tcBorders>
            <w:shd w:val="clear" w:color="auto" w:fill="FFFFFF"/>
            <w:tcMar>
              <w:left w:w="67" w:type="dxa"/>
              <w:right w:w="67" w:type="dxa"/>
            </w:tcMar>
            <w:vAlign w:val="bottom"/>
          </w:tcPr>
          <w:p w14:paraId="1668C2BE" w14:textId="5A6581BA"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6</w:t>
            </w:r>
            <w:r w:rsidR="00B80810">
              <w:rPr>
                <w:rFonts w:eastAsia="Times New Roman"/>
                <w:b/>
                <w:bCs/>
                <w:color w:val="000000"/>
                <w:sz w:val="16"/>
                <w:szCs w:val="16"/>
              </w:rPr>
              <w:t>-months</w:t>
            </w:r>
          </w:p>
        </w:tc>
        <w:tc>
          <w:tcPr>
            <w:tcW w:w="1421" w:type="pct"/>
            <w:gridSpan w:val="3"/>
            <w:tcBorders>
              <w:top w:val="nil"/>
              <w:left w:val="nil"/>
              <w:bottom w:val="nil"/>
              <w:right w:val="single" w:sz="4" w:space="0" w:color="auto"/>
            </w:tcBorders>
            <w:shd w:val="clear" w:color="auto" w:fill="FFFFFF"/>
            <w:tcMar>
              <w:left w:w="67" w:type="dxa"/>
              <w:right w:w="67" w:type="dxa"/>
            </w:tcMar>
            <w:vAlign w:val="bottom"/>
          </w:tcPr>
          <w:p w14:paraId="4C03B0EA" w14:textId="36FD8328"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16</w:t>
            </w:r>
            <w:r w:rsidR="00B80810">
              <w:rPr>
                <w:rFonts w:eastAsia="Times New Roman"/>
                <w:b/>
                <w:bCs/>
                <w:color w:val="000000"/>
                <w:sz w:val="16"/>
                <w:szCs w:val="16"/>
              </w:rPr>
              <w:t>-months</w:t>
            </w:r>
          </w:p>
        </w:tc>
      </w:tr>
      <w:tr w:rsidR="00E07CDE" w:rsidRPr="00563AD3" w14:paraId="76E8812F" w14:textId="77777777" w:rsidTr="00C163F3">
        <w:trPr>
          <w:cantSplit/>
          <w:tblHeader/>
          <w:jc w:val="center"/>
        </w:trPr>
        <w:tc>
          <w:tcPr>
            <w:tcW w:w="739" w:type="pct"/>
            <w:tcBorders>
              <w:top w:val="nil"/>
              <w:left w:val="single" w:sz="4" w:space="0" w:color="auto"/>
              <w:bottom w:val="single" w:sz="4" w:space="0" w:color="000000"/>
              <w:right w:val="nil"/>
            </w:tcBorders>
            <w:shd w:val="clear" w:color="auto" w:fill="FFFFFF"/>
            <w:tcMar>
              <w:left w:w="67" w:type="dxa"/>
              <w:right w:w="67" w:type="dxa"/>
            </w:tcMar>
            <w:vAlign w:val="bottom"/>
          </w:tcPr>
          <w:p w14:paraId="505A462D" w14:textId="77777777"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Mean % (SD) missing</w:t>
            </w:r>
          </w:p>
        </w:tc>
        <w:tc>
          <w:tcPr>
            <w:tcW w:w="473" w:type="pct"/>
            <w:tcBorders>
              <w:top w:val="nil"/>
              <w:left w:val="nil"/>
              <w:bottom w:val="single" w:sz="4" w:space="0" w:color="000000"/>
              <w:right w:val="nil"/>
            </w:tcBorders>
            <w:shd w:val="clear" w:color="auto" w:fill="FFFFFF"/>
            <w:tcMar>
              <w:left w:w="67" w:type="dxa"/>
              <w:right w:w="67" w:type="dxa"/>
            </w:tcMar>
            <w:vAlign w:val="bottom"/>
          </w:tcPr>
          <w:p w14:paraId="32430849" w14:textId="77777777"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Control</w:t>
            </w:r>
            <w:r w:rsidRPr="00563AD3">
              <w:rPr>
                <w:rFonts w:eastAsia="Times New Roman"/>
                <w:b/>
                <w:bCs/>
                <w:color w:val="000000"/>
                <w:sz w:val="16"/>
                <w:szCs w:val="16"/>
              </w:rPr>
              <w:br/>
              <w:t>(n = 19)</w:t>
            </w:r>
          </w:p>
        </w:tc>
        <w:tc>
          <w:tcPr>
            <w:tcW w:w="473" w:type="pct"/>
            <w:tcBorders>
              <w:top w:val="nil"/>
              <w:left w:val="nil"/>
              <w:bottom w:val="single" w:sz="4" w:space="0" w:color="000000"/>
              <w:right w:val="nil"/>
            </w:tcBorders>
            <w:shd w:val="clear" w:color="auto" w:fill="FFFFFF"/>
            <w:tcMar>
              <w:left w:w="67" w:type="dxa"/>
              <w:right w:w="67" w:type="dxa"/>
            </w:tcMar>
            <w:vAlign w:val="bottom"/>
          </w:tcPr>
          <w:p w14:paraId="50A1AD7D" w14:textId="77777777"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Intervention</w:t>
            </w:r>
            <w:r w:rsidRPr="00563AD3">
              <w:rPr>
                <w:rFonts w:eastAsia="Times New Roman"/>
                <w:b/>
                <w:bCs/>
                <w:color w:val="000000"/>
                <w:sz w:val="16"/>
                <w:szCs w:val="16"/>
              </w:rPr>
              <w:br/>
              <w:t>(n = 31)</w:t>
            </w:r>
          </w:p>
        </w:tc>
        <w:tc>
          <w:tcPr>
            <w:tcW w:w="474" w:type="pct"/>
            <w:tcBorders>
              <w:top w:val="nil"/>
              <w:left w:val="nil"/>
              <w:bottom w:val="single" w:sz="4" w:space="0" w:color="000000"/>
              <w:right w:val="nil"/>
            </w:tcBorders>
            <w:shd w:val="clear" w:color="auto" w:fill="FFFFFF"/>
            <w:tcMar>
              <w:left w:w="67" w:type="dxa"/>
              <w:right w:w="67" w:type="dxa"/>
            </w:tcMar>
            <w:vAlign w:val="bottom"/>
          </w:tcPr>
          <w:p w14:paraId="65896D7F" w14:textId="77777777"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Total</w:t>
            </w:r>
            <w:r w:rsidRPr="00563AD3">
              <w:rPr>
                <w:rFonts w:eastAsia="Times New Roman"/>
                <w:b/>
                <w:bCs/>
                <w:color w:val="000000"/>
                <w:sz w:val="16"/>
                <w:szCs w:val="16"/>
              </w:rPr>
              <w:br/>
              <w:t>(n = 50)</w:t>
            </w:r>
          </w:p>
        </w:tc>
        <w:tc>
          <w:tcPr>
            <w:tcW w:w="473" w:type="pct"/>
            <w:tcBorders>
              <w:top w:val="nil"/>
              <w:left w:val="nil"/>
              <w:bottom w:val="single" w:sz="4" w:space="0" w:color="000000"/>
              <w:right w:val="nil"/>
            </w:tcBorders>
            <w:shd w:val="clear" w:color="auto" w:fill="FFFFFF"/>
            <w:tcMar>
              <w:left w:w="67" w:type="dxa"/>
              <w:right w:w="67" w:type="dxa"/>
            </w:tcMar>
            <w:vAlign w:val="bottom"/>
          </w:tcPr>
          <w:p w14:paraId="643AA037" w14:textId="77777777"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Control</w:t>
            </w:r>
            <w:r w:rsidRPr="00563AD3">
              <w:rPr>
                <w:rFonts w:eastAsia="Times New Roman"/>
                <w:b/>
                <w:bCs/>
                <w:color w:val="000000"/>
                <w:sz w:val="16"/>
                <w:szCs w:val="16"/>
              </w:rPr>
              <w:br/>
              <w:t>(n = 19)</w:t>
            </w:r>
          </w:p>
        </w:tc>
        <w:tc>
          <w:tcPr>
            <w:tcW w:w="473" w:type="pct"/>
            <w:tcBorders>
              <w:top w:val="nil"/>
              <w:left w:val="nil"/>
              <w:bottom w:val="single" w:sz="4" w:space="0" w:color="000000"/>
              <w:right w:val="nil"/>
            </w:tcBorders>
            <w:shd w:val="clear" w:color="auto" w:fill="FFFFFF"/>
            <w:tcMar>
              <w:left w:w="67" w:type="dxa"/>
              <w:right w:w="67" w:type="dxa"/>
            </w:tcMar>
            <w:vAlign w:val="bottom"/>
          </w:tcPr>
          <w:p w14:paraId="38213A38" w14:textId="77777777"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Intervention</w:t>
            </w:r>
            <w:r w:rsidRPr="00563AD3">
              <w:rPr>
                <w:rFonts w:eastAsia="Times New Roman"/>
                <w:b/>
                <w:bCs/>
                <w:color w:val="000000"/>
                <w:sz w:val="16"/>
                <w:szCs w:val="16"/>
              </w:rPr>
              <w:br/>
              <w:t>(n = 31)</w:t>
            </w:r>
          </w:p>
        </w:tc>
        <w:tc>
          <w:tcPr>
            <w:tcW w:w="474" w:type="pct"/>
            <w:tcBorders>
              <w:top w:val="nil"/>
              <w:left w:val="nil"/>
              <w:bottom w:val="single" w:sz="4" w:space="0" w:color="000000"/>
              <w:right w:val="nil"/>
            </w:tcBorders>
            <w:shd w:val="clear" w:color="auto" w:fill="FFFFFF"/>
            <w:tcMar>
              <w:left w:w="67" w:type="dxa"/>
              <w:right w:w="67" w:type="dxa"/>
            </w:tcMar>
            <w:vAlign w:val="bottom"/>
          </w:tcPr>
          <w:p w14:paraId="6DC340D2" w14:textId="77777777"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Total</w:t>
            </w:r>
            <w:r w:rsidRPr="00563AD3">
              <w:rPr>
                <w:rFonts w:eastAsia="Times New Roman"/>
                <w:b/>
                <w:bCs/>
                <w:color w:val="000000"/>
                <w:sz w:val="16"/>
                <w:szCs w:val="16"/>
              </w:rPr>
              <w:br/>
              <w:t>(n = 50)</w:t>
            </w:r>
          </w:p>
        </w:tc>
        <w:tc>
          <w:tcPr>
            <w:tcW w:w="473" w:type="pct"/>
            <w:tcBorders>
              <w:top w:val="nil"/>
              <w:left w:val="nil"/>
              <w:bottom w:val="single" w:sz="4" w:space="0" w:color="000000"/>
              <w:right w:val="nil"/>
            </w:tcBorders>
            <w:shd w:val="clear" w:color="auto" w:fill="FFFFFF"/>
            <w:tcMar>
              <w:left w:w="67" w:type="dxa"/>
              <w:right w:w="67" w:type="dxa"/>
            </w:tcMar>
            <w:vAlign w:val="bottom"/>
          </w:tcPr>
          <w:p w14:paraId="769AA741" w14:textId="77777777"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Control</w:t>
            </w:r>
            <w:r w:rsidRPr="00563AD3">
              <w:rPr>
                <w:rFonts w:eastAsia="Times New Roman"/>
                <w:b/>
                <w:bCs/>
                <w:color w:val="000000"/>
                <w:sz w:val="16"/>
                <w:szCs w:val="16"/>
              </w:rPr>
              <w:br/>
              <w:t>(n = 19)</w:t>
            </w:r>
          </w:p>
        </w:tc>
        <w:tc>
          <w:tcPr>
            <w:tcW w:w="473" w:type="pct"/>
            <w:tcBorders>
              <w:top w:val="nil"/>
              <w:left w:val="nil"/>
              <w:bottom w:val="single" w:sz="4" w:space="0" w:color="000000"/>
              <w:right w:val="nil"/>
            </w:tcBorders>
            <w:shd w:val="clear" w:color="auto" w:fill="FFFFFF"/>
            <w:tcMar>
              <w:left w:w="67" w:type="dxa"/>
              <w:right w:w="67" w:type="dxa"/>
            </w:tcMar>
            <w:vAlign w:val="bottom"/>
          </w:tcPr>
          <w:p w14:paraId="260F6944" w14:textId="77777777"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Intervention</w:t>
            </w:r>
            <w:r w:rsidRPr="00563AD3">
              <w:rPr>
                <w:rFonts w:eastAsia="Times New Roman"/>
                <w:b/>
                <w:bCs/>
                <w:color w:val="000000"/>
                <w:sz w:val="16"/>
                <w:szCs w:val="16"/>
              </w:rPr>
              <w:br/>
              <w:t>(n = 31)</w:t>
            </w:r>
          </w:p>
        </w:tc>
        <w:tc>
          <w:tcPr>
            <w:tcW w:w="475" w:type="pct"/>
            <w:tcBorders>
              <w:top w:val="nil"/>
              <w:left w:val="nil"/>
              <w:bottom w:val="single" w:sz="4" w:space="0" w:color="000000"/>
              <w:right w:val="single" w:sz="4" w:space="0" w:color="auto"/>
            </w:tcBorders>
            <w:shd w:val="clear" w:color="auto" w:fill="FFFFFF"/>
            <w:tcMar>
              <w:left w:w="67" w:type="dxa"/>
              <w:right w:w="67" w:type="dxa"/>
            </w:tcMar>
            <w:vAlign w:val="bottom"/>
          </w:tcPr>
          <w:p w14:paraId="38462AE6" w14:textId="77777777" w:rsidR="00E07CDE" w:rsidRPr="00563AD3" w:rsidRDefault="00E07CDE" w:rsidP="006C0B32">
            <w:pPr>
              <w:keepNext/>
              <w:spacing w:before="67" w:after="67" w:line="240" w:lineRule="auto"/>
              <w:jc w:val="center"/>
              <w:rPr>
                <w:rFonts w:eastAsia="Times New Roman"/>
                <w:b/>
                <w:bCs/>
                <w:color w:val="000000"/>
                <w:sz w:val="16"/>
                <w:szCs w:val="16"/>
              </w:rPr>
            </w:pPr>
            <w:r w:rsidRPr="00563AD3">
              <w:rPr>
                <w:rFonts w:eastAsia="Times New Roman"/>
                <w:b/>
                <w:bCs/>
                <w:color w:val="000000"/>
                <w:sz w:val="16"/>
                <w:szCs w:val="16"/>
              </w:rPr>
              <w:t>Total</w:t>
            </w:r>
            <w:r w:rsidRPr="00563AD3">
              <w:rPr>
                <w:rFonts w:eastAsia="Times New Roman"/>
                <w:b/>
                <w:bCs/>
                <w:color w:val="000000"/>
                <w:sz w:val="16"/>
                <w:szCs w:val="16"/>
              </w:rPr>
              <w:br/>
              <w:t>(n = 50)</w:t>
            </w:r>
          </w:p>
        </w:tc>
      </w:tr>
      <w:tr w:rsidR="00E07CDE" w:rsidRPr="00563AD3" w14:paraId="4CFF2F32" w14:textId="77777777" w:rsidTr="00C163F3">
        <w:trPr>
          <w:cantSplit/>
          <w:jc w:val="center"/>
        </w:trPr>
        <w:tc>
          <w:tcPr>
            <w:tcW w:w="739" w:type="pct"/>
            <w:tcBorders>
              <w:top w:val="nil"/>
              <w:left w:val="single" w:sz="4" w:space="0" w:color="auto"/>
              <w:bottom w:val="nil"/>
              <w:right w:val="nil"/>
            </w:tcBorders>
            <w:shd w:val="clear" w:color="auto" w:fill="FFFFFF"/>
            <w:tcMar>
              <w:left w:w="67" w:type="dxa"/>
              <w:right w:w="67" w:type="dxa"/>
            </w:tcMar>
          </w:tcPr>
          <w:p w14:paraId="50B0DACA" w14:textId="77777777" w:rsidR="00E07CDE" w:rsidRPr="00563AD3" w:rsidRDefault="00E07CDE" w:rsidP="006C0B32">
            <w:pPr>
              <w:spacing w:before="67" w:after="67" w:line="240" w:lineRule="auto"/>
              <w:rPr>
                <w:rFonts w:eastAsia="Times New Roman"/>
                <w:b/>
                <w:bCs/>
                <w:color w:val="000000"/>
                <w:sz w:val="16"/>
                <w:szCs w:val="16"/>
              </w:rPr>
            </w:pPr>
            <w:r w:rsidRPr="00563AD3">
              <w:rPr>
                <w:rFonts w:eastAsia="Times New Roman"/>
                <w:b/>
                <w:bCs/>
                <w:color w:val="000000"/>
                <w:sz w:val="16"/>
                <w:szCs w:val="16"/>
              </w:rPr>
              <w:t>Total EAT score (%)</w:t>
            </w:r>
          </w:p>
        </w:tc>
        <w:tc>
          <w:tcPr>
            <w:tcW w:w="473" w:type="pct"/>
            <w:tcBorders>
              <w:top w:val="nil"/>
              <w:left w:val="nil"/>
              <w:bottom w:val="nil"/>
              <w:right w:val="nil"/>
            </w:tcBorders>
            <w:shd w:val="clear" w:color="auto" w:fill="FFFFFF"/>
            <w:tcMar>
              <w:left w:w="67" w:type="dxa"/>
              <w:right w:w="67" w:type="dxa"/>
            </w:tcMar>
          </w:tcPr>
          <w:p w14:paraId="2BC654D2"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53.5 (9.17) 1</w:t>
            </w:r>
          </w:p>
        </w:tc>
        <w:tc>
          <w:tcPr>
            <w:tcW w:w="473" w:type="pct"/>
            <w:tcBorders>
              <w:top w:val="nil"/>
              <w:left w:val="nil"/>
              <w:bottom w:val="nil"/>
              <w:right w:val="nil"/>
            </w:tcBorders>
            <w:shd w:val="clear" w:color="auto" w:fill="FFFFFF"/>
            <w:tcMar>
              <w:left w:w="67" w:type="dxa"/>
              <w:right w:w="67" w:type="dxa"/>
            </w:tcMar>
          </w:tcPr>
          <w:p w14:paraId="72B0C32B"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53 (10.26) 2</w:t>
            </w:r>
          </w:p>
        </w:tc>
        <w:tc>
          <w:tcPr>
            <w:tcW w:w="474" w:type="pct"/>
            <w:tcBorders>
              <w:top w:val="nil"/>
              <w:left w:val="nil"/>
              <w:bottom w:val="nil"/>
              <w:right w:val="nil"/>
            </w:tcBorders>
            <w:shd w:val="clear" w:color="auto" w:fill="FFFFFF"/>
            <w:tcMar>
              <w:left w:w="67" w:type="dxa"/>
              <w:right w:w="67" w:type="dxa"/>
            </w:tcMar>
          </w:tcPr>
          <w:p w14:paraId="023C4262"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53.2 (9.76) 3</w:t>
            </w:r>
          </w:p>
        </w:tc>
        <w:tc>
          <w:tcPr>
            <w:tcW w:w="473" w:type="pct"/>
            <w:tcBorders>
              <w:top w:val="nil"/>
              <w:left w:val="nil"/>
              <w:bottom w:val="nil"/>
              <w:right w:val="nil"/>
            </w:tcBorders>
            <w:shd w:val="clear" w:color="auto" w:fill="FFFFFF"/>
            <w:tcMar>
              <w:left w:w="67" w:type="dxa"/>
              <w:right w:w="67" w:type="dxa"/>
            </w:tcMar>
          </w:tcPr>
          <w:p w14:paraId="5CCB6385"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58.9 (6.04) 4</w:t>
            </w:r>
          </w:p>
        </w:tc>
        <w:tc>
          <w:tcPr>
            <w:tcW w:w="473" w:type="pct"/>
            <w:tcBorders>
              <w:top w:val="nil"/>
              <w:left w:val="nil"/>
              <w:bottom w:val="nil"/>
              <w:right w:val="nil"/>
            </w:tcBorders>
            <w:shd w:val="clear" w:color="auto" w:fill="FFFFFF"/>
            <w:tcMar>
              <w:left w:w="67" w:type="dxa"/>
              <w:right w:w="67" w:type="dxa"/>
            </w:tcMar>
          </w:tcPr>
          <w:p w14:paraId="01B5CED2"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52.9 (8.57) 3</w:t>
            </w:r>
          </w:p>
        </w:tc>
        <w:tc>
          <w:tcPr>
            <w:tcW w:w="474" w:type="pct"/>
            <w:tcBorders>
              <w:top w:val="nil"/>
              <w:left w:val="nil"/>
              <w:bottom w:val="nil"/>
              <w:right w:val="nil"/>
            </w:tcBorders>
            <w:shd w:val="clear" w:color="auto" w:fill="FFFFFF"/>
            <w:tcMar>
              <w:left w:w="67" w:type="dxa"/>
              <w:right w:w="67" w:type="dxa"/>
            </w:tcMar>
          </w:tcPr>
          <w:p w14:paraId="36CC0F2E"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55 (8.22) 7</w:t>
            </w:r>
          </w:p>
        </w:tc>
        <w:tc>
          <w:tcPr>
            <w:tcW w:w="473" w:type="pct"/>
            <w:tcBorders>
              <w:top w:val="nil"/>
              <w:left w:val="nil"/>
              <w:bottom w:val="nil"/>
              <w:right w:val="nil"/>
            </w:tcBorders>
            <w:shd w:val="clear" w:color="auto" w:fill="FFFFFF"/>
            <w:tcMar>
              <w:left w:w="67" w:type="dxa"/>
              <w:right w:w="67" w:type="dxa"/>
            </w:tcMar>
          </w:tcPr>
          <w:p w14:paraId="4D6F16BA"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54.7 (9.28) 3</w:t>
            </w:r>
          </w:p>
        </w:tc>
        <w:tc>
          <w:tcPr>
            <w:tcW w:w="473" w:type="pct"/>
            <w:tcBorders>
              <w:top w:val="nil"/>
              <w:left w:val="nil"/>
              <w:bottom w:val="nil"/>
              <w:right w:val="nil"/>
            </w:tcBorders>
            <w:shd w:val="clear" w:color="auto" w:fill="FFFFFF"/>
            <w:tcMar>
              <w:left w:w="67" w:type="dxa"/>
              <w:right w:w="67" w:type="dxa"/>
            </w:tcMar>
          </w:tcPr>
          <w:p w14:paraId="39C7C532"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55.3 (8.52) 4</w:t>
            </w:r>
          </w:p>
        </w:tc>
        <w:tc>
          <w:tcPr>
            <w:tcW w:w="475" w:type="pct"/>
            <w:tcBorders>
              <w:top w:val="nil"/>
              <w:left w:val="nil"/>
              <w:bottom w:val="nil"/>
              <w:right w:val="single" w:sz="4" w:space="0" w:color="auto"/>
            </w:tcBorders>
            <w:shd w:val="clear" w:color="auto" w:fill="FFFFFF"/>
            <w:tcMar>
              <w:left w:w="67" w:type="dxa"/>
              <w:right w:w="67" w:type="dxa"/>
            </w:tcMar>
          </w:tcPr>
          <w:p w14:paraId="3FE4F105"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55.1 (8.7) 7</w:t>
            </w:r>
          </w:p>
        </w:tc>
      </w:tr>
      <w:tr w:rsidR="00E07CDE" w:rsidRPr="00563AD3" w14:paraId="548943E1" w14:textId="77777777" w:rsidTr="00C163F3">
        <w:trPr>
          <w:cantSplit/>
          <w:jc w:val="center"/>
        </w:trPr>
        <w:tc>
          <w:tcPr>
            <w:tcW w:w="739" w:type="pct"/>
            <w:tcBorders>
              <w:top w:val="nil"/>
              <w:left w:val="single" w:sz="4" w:space="0" w:color="auto"/>
              <w:bottom w:val="nil"/>
              <w:right w:val="nil"/>
            </w:tcBorders>
            <w:shd w:val="clear" w:color="auto" w:fill="FFFFFF"/>
            <w:tcMar>
              <w:left w:w="67" w:type="dxa"/>
              <w:right w:w="67" w:type="dxa"/>
            </w:tcMar>
          </w:tcPr>
          <w:p w14:paraId="74C27DF5" w14:textId="77777777" w:rsidR="00E07CDE" w:rsidRPr="00563AD3" w:rsidRDefault="00E07CDE" w:rsidP="006C0B32">
            <w:pPr>
              <w:spacing w:before="67" w:after="67" w:line="240" w:lineRule="auto"/>
              <w:rPr>
                <w:rFonts w:eastAsia="Times New Roman"/>
                <w:color w:val="000000"/>
                <w:sz w:val="16"/>
                <w:szCs w:val="16"/>
              </w:rPr>
            </w:pPr>
            <w:r w:rsidRPr="00563AD3">
              <w:rPr>
                <w:rFonts w:eastAsia="Times New Roman"/>
                <w:b/>
                <w:bCs/>
                <w:color w:val="000000"/>
                <w:sz w:val="16"/>
                <w:szCs w:val="16"/>
              </w:rPr>
              <w:t>Median (IQR)</w:t>
            </w:r>
          </w:p>
        </w:tc>
        <w:tc>
          <w:tcPr>
            <w:tcW w:w="473" w:type="pct"/>
            <w:tcBorders>
              <w:top w:val="nil"/>
              <w:left w:val="nil"/>
              <w:bottom w:val="nil"/>
              <w:right w:val="nil"/>
            </w:tcBorders>
            <w:shd w:val="clear" w:color="auto" w:fill="FFFFFF"/>
            <w:tcMar>
              <w:left w:w="67" w:type="dxa"/>
              <w:right w:w="67" w:type="dxa"/>
            </w:tcMar>
          </w:tcPr>
          <w:p w14:paraId="64671650"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53.2 (47.2, 62.3)</w:t>
            </w:r>
          </w:p>
        </w:tc>
        <w:tc>
          <w:tcPr>
            <w:tcW w:w="473" w:type="pct"/>
            <w:tcBorders>
              <w:top w:val="nil"/>
              <w:left w:val="nil"/>
              <w:bottom w:val="nil"/>
              <w:right w:val="nil"/>
            </w:tcBorders>
            <w:shd w:val="clear" w:color="auto" w:fill="FFFFFF"/>
            <w:tcMar>
              <w:left w:w="67" w:type="dxa"/>
              <w:right w:w="67" w:type="dxa"/>
            </w:tcMar>
          </w:tcPr>
          <w:p w14:paraId="61CFF412"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52.5 (46, 61)</w:t>
            </w:r>
          </w:p>
        </w:tc>
        <w:tc>
          <w:tcPr>
            <w:tcW w:w="474" w:type="pct"/>
            <w:tcBorders>
              <w:top w:val="nil"/>
              <w:left w:val="nil"/>
              <w:bottom w:val="nil"/>
              <w:right w:val="nil"/>
            </w:tcBorders>
            <w:shd w:val="clear" w:color="auto" w:fill="FFFFFF"/>
            <w:tcMar>
              <w:left w:w="67" w:type="dxa"/>
              <w:right w:w="67" w:type="dxa"/>
            </w:tcMar>
          </w:tcPr>
          <w:p w14:paraId="01D33DCB"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52.9 (46.1, 62.3)</w:t>
            </w:r>
          </w:p>
        </w:tc>
        <w:tc>
          <w:tcPr>
            <w:tcW w:w="473" w:type="pct"/>
            <w:tcBorders>
              <w:top w:val="nil"/>
              <w:left w:val="nil"/>
              <w:bottom w:val="nil"/>
              <w:right w:val="nil"/>
            </w:tcBorders>
            <w:shd w:val="clear" w:color="auto" w:fill="FFFFFF"/>
            <w:tcMar>
              <w:left w:w="67" w:type="dxa"/>
              <w:right w:w="67" w:type="dxa"/>
            </w:tcMar>
          </w:tcPr>
          <w:p w14:paraId="1FF653C3"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61.5 (56.5, 63.3)</w:t>
            </w:r>
          </w:p>
        </w:tc>
        <w:tc>
          <w:tcPr>
            <w:tcW w:w="473" w:type="pct"/>
            <w:tcBorders>
              <w:top w:val="nil"/>
              <w:left w:val="nil"/>
              <w:bottom w:val="nil"/>
              <w:right w:val="nil"/>
            </w:tcBorders>
            <w:shd w:val="clear" w:color="auto" w:fill="FFFFFF"/>
            <w:tcMar>
              <w:left w:w="67" w:type="dxa"/>
              <w:right w:w="67" w:type="dxa"/>
            </w:tcMar>
          </w:tcPr>
          <w:p w14:paraId="47F83077"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52.1 (46.6, 61)</w:t>
            </w:r>
          </w:p>
        </w:tc>
        <w:tc>
          <w:tcPr>
            <w:tcW w:w="474" w:type="pct"/>
            <w:tcBorders>
              <w:top w:val="nil"/>
              <w:left w:val="nil"/>
              <w:bottom w:val="nil"/>
              <w:right w:val="nil"/>
            </w:tcBorders>
            <w:shd w:val="clear" w:color="auto" w:fill="FFFFFF"/>
            <w:tcMar>
              <w:left w:w="67" w:type="dxa"/>
              <w:right w:w="67" w:type="dxa"/>
            </w:tcMar>
          </w:tcPr>
          <w:p w14:paraId="176820CC"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56.5 (48.2, 62.5)</w:t>
            </w:r>
          </w:p>
        </w:tc>
        <w:tc>
          <w:tcPr>
            <w:tcW w:w="473" w:type="pct"/>
            <w:tcBorders>
              <w:top w:val="nil"/>
              <w:left w:val="nil"/>
              <w:bottom w:val="nil"/>
              <w:right w:val="nil"/>
            </w:tcBorders>
            <w:shd w:val="clear" w:color="auto" w:fill="FFFFFF"/>
            <w:tcMar>
              <w:left w:w="67" w:type="dxa"/>
              <w:right w:w="67" w:type="dxa"/>
            </w:tcMar>
          </w:tcPr>
          <w:p w14:paraId="10BEE43D"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55.2 (48.4, 62.3)</w:t>
            </w:r>
          </w:p>
        </w:tc>
        <w:tc>
          <w:tcPr>
            <w:tcW w:w="473" w:type="pct"/>
            <w:tcBorders>
              <w:top w:val="nil"/>
              <w:left w:val="nil"/>
              <w:bottom w:val="nil"/>
              <w:right w:val="nil"/>
            </w:tcBorders>
            <w:shd w:val="clear" w:color="auto" w:fill="FFFFFF"/>
            <w:tcMar>
              <w:left w:w="67" w:type="dxa"/>
              <w:right w:w="67" w:type="dxa"/>
            </w:tcMar>
          </w:tcPr>
          <w:p w14:paraId="0646BF7F"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55.8 (51.3, 60.7)</w:t>
            </w:r>
          </w:p>
        </w:tc>
        <w:tc>
          <w:tcPr>
            <w:tcW w:w="475" w:type="pct"/>
            <w:tcBorders>
              <w:top w:val="nil"/>
              <w:left w:val="nil"/>
              <w:bottom w:val="nil"/>
              <w:right w:val="single" w:sz="4" w:space="0" w:color="auto"/>
            </w:tcBorders>
            <w:shd w:val="clear" w:color="auto" w:fill="FFFFFF"/>
            <w:tcMar>
              <w:left w:w="67" w:type="dxa"/>
              <w:right w:w="67" w:type="dxa"/>
            </w:tcMar>
          </w:tcPr>
          <w:p w14:paraId="632D1B9D"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55.8 (49.8, 60.7)</w:t>
            </w:r>
          </w:p>
        </w:tc>
      </w:tr>
      <w:tr w:rsidR="00E07CDE" w:rsidRPr="00563AD3" w14:paraId="37B4EE70" w14:textId="77777777" w:rsidTr="00C163F3">
        <w:trPr>
          <w:cantSplit/>
          <w:jc w:val="center"/>
        </w:trPr>
        <w:tc>
          <w:tcPr>
            <w:tcW w:w="739" w:type="pct"/>
            <w:tcBorders>
              <w:top w:val="nil"/>
              <w:left w:val="single" w:sz="4" w:space="0" w:color="auto"/>
              <w:bottom w:val="nil"/>
              <w:right w:val="nil"/>
            </w:tcBorders>
            <w:shd w:val="clear" w:color="auto" w:fill="FFFFFF"/>
            <w:tcMar>
              <w:left w:w="67" w:type="dxa"/>
              <w:right w:w="67" w:type="dxa"/>
            </w:tcMar>
          </w:tcPr>
          <w:p w14:paraId="30FDF385" w14:textId="77777777" w:rsidR="00E07CDE" w:rsidRPr="00563AD3" w:rsidRDefault="00E07CDE" w:rsidP="006C0B32">
            <w:pPr>
              <w:spacing w:before="67" w:after="67" w:line="240" w:lineRule="auto"/>
              <w:rPr>
                <w:rFonts w:eastAsia="Times New Roman"/>
                <w:b/>
                <w:bCs/>
                <w:color w:val="000000"/>
                <w:sz w:val="16"/>
                <w:szCs w:val="16"/>
              </w:rPr>
            </w:pPr>
            <w:r w:rsidRPr="00563AD3">
              <w:rPr>
                <w:rFonts w:eastAsia="Times New Roman"/>
                <w:b/>
                <w:bCs/>
                <w:color w:val="000000"/>
                <w:sz w:val="16"/>
                <w:szCs w:val="16"/>
              </w:rPr>
              <w:t>Subscale scores (%)</w:t>
            </w:r>
          </w:p>
        </w:tc>
        <w:tc>
          <w:tcPr>
            <w:tcW w:w="473" w:type="pct"/>
            <w:tcBorders>
              <w:top w:val="nil"/>
              <w:left w:val="nil"/>
              <w:bottom w:val="nil"/>
              <w:right w:val="nil"/>
            </w:tcBorders>
            <w:shd w:val="clear" w:color="auto" w:fill="FFFFFF"/>
            <w:tcMar>
              <w:left w:w="67" w:type="dxa"/>
              <w:right w:w="67" w:type="dxa"/>
            </w:tcMar>
          </w:tcPr>
          <w:p w14:paraId="1973F48F" w14:textId="77777777" w:rsidR="00E07CDE" w:rsidRPr="00563AD3" w:rsidRDefault="00E07CDE" w:rsidP="006C0B32">
            <w:pPr>
              <w:spacing w:before="67" w:after="67" w:line="240" w:lineRule="auto"/>
              <w:jc w:val="right"/>
              <w:rPr>
                <w:rFonts w:eastAsia="Times New Roman"/>
                <w:color w:val="000000"/>
                <w:sz w:val="16"/>
                <w:szCs w:val="16"/>
              </w:rPr>
            </w:pPr>
          </w:p>
        </w:tc>
        <w:tc>
          <w:tcPr>
            <w:tcW w:w="473" w:type="pct"/>
            <w:tcBorders>
              <w:top w:val="nil"/>
              <w:left w:val="nil"/>
              <w:bottom w:val="nil"/>
              <w:right w:val="nil"/>
            </w:tcBorders>
            <w:shd w:val="clear" w:color="auto" w:fill="FFFFFF"/>
            <w:tcMar>
              <w:left w:w="67" w:type="dxa"/>
              <w:right w:w="67" w:type="dxa"/>
            </w:tcMar>
          </w:tcPr>
          <w:p w14:paraId="1079D11E" w14:textId="77777777" w:rsidR="00E07CDE" w:rsidRPr="00563AD3" w:rsidRDefault="00E07CDE" w:rsidP="006C0B32">
            <w:pPr>
              <w:spacing w:before="67" w:after="67" w:line="240" w:lineRule="auto"/>
              <w:jc w:val="right"/>
              <w:rPr>
                <w:rFonts w:eastAsia="Times New Roman"/>
                <w:color w:val="000000"/>
                <w:sz w:val="16"/>
                <w:szCs w:val="16"/>
              </w:rPr>
            </w:pPr>
          </w:p>
        </w:tc>
        <w:tc>
          <w:tcPr>
            <w:tcW w:w="474" w:type="pct"/>
            <w:tcBorders>
              <w:top w:val="nil"/>
              <w:left w:val="nil"/>
              <w:bottom w:val="nil"/>
              <w:right w:val="nil"/>
            </w:tcBorders>
            <w:shd w:val="clear" w:color="auto" w:fill="FFFFFF"/>
            <w:tcMar>
              <w:left w:w="67" w:type="dxa"/>
              <w:right w:w="67" w:type="dxa"/>
            </w:tcMar>
          </w:tcPr>
          <w:p w14:paraId="2C582419" w14:textId="77777777" w:rsidR="00E07CDE" w:rsidRPr="00563AD3" w:rsidRDefault="00E07CDE" w:rsidP="006C0B32">
            <w:pPr>
              <w:spacing w:before="67" w:after="67" w:line="240" w:lineRule="auto"/>
              <w:jc w:val="right"/>
              <w:rPr>
                <w:rFonts w:eastAsia="Times New Roman"/>
                <w:color w:val="000000"/>
                <w:sz w:val="16"/>
                <w:szCs w:val="16"/>
              </w:rPr>
            </w:pPr>
          </w:p>
        </w:tc>
        <w:tc>
          <w:tcPr>
            <w:tcW w:w="473" w:type="pct"/>
            <w:tcBorders>
              <w:top w:val="nil"/>
              <w:left w:val="nil"/>
              <w:bottom w:val="nil"/>
              <w:right w:val="nil"/>
            </w:tcBorders>
            <w:shd w:val="clear" w:color="auto" w:fill="FFFFFF"/>
            <w:tcMar>
              <w:left w:w="67" w:type="dxa"/>
              <w:right w:w="67" w:type="dxa"/>
            </w:tcMar>
          </w:tcPr>
          <w:p w14:paraId="4C6D8F66" w14:textId="77777777" w:rsidR="00E07CDE" w:rsidRPr="00563AD3" w:rsidRDefault="00E07CDE" w:rsidP="006C0B32">
            <w:pPr>
              <w:spacing w:before="67" w:after="67" w:line="240" w:lineRule="auto"/>
              <w:jc w:val="right"/>
              <w:rPr>
                <w:rFonts w:eastAsia="Times New Roman"/>
                <w:color w:val="000000"/>
                <w:sz w:val="16"/>
                <w:szCs w:val="16"/>
              </w:rPr>
            </w:pPr>
          </w:p>
        </w:tc>
        <w:tc>
          <w:tcPr>
            <w:tcW w:w="473" w:type="pct"/>
            <w:tcBorders>
              <w:top w:val="nil"/>
              <w:left w:val="nil"/>
              <w:bottom w:val="nil"/>
              <w:right w:val="nil"/>
            </w:tcBorders>
            <w:shd w:val="clear" w:color="auto" w:fill="FFFFFF"/>
            <w:tcMar>
              <w:left w:w="67" w:type="dxa"/>
              <w:right w:w="67" w:type="dxa"/>
            </w:tcMar>
          </w:tcPr>
          <w:p w14:paraId="22231E5D" w14:textId="77777777" w:rsidR="00E07CDE" w:rsidRPr="00563AD3" w:rsidRDefault="00E07CDE" w:rsidP="006C0B32">
            <w:pPr>
              <w:spacing w:before="67" w:after="67" w:line="240" w:lineRule="auto"/>
              <w:jc w:val="right"/>
              <w:rPr>
                <w:rFonts w:eastAsia="Times New Roman"/>
                <w:color w:val="000000"/>
                <w:sz w:val="16"/>
                <w:szCs w:val="16"/>
              </w:rPr>
            </w:pPr>
          </w:p>
        </w:tc>
        <w:tc>
          <w:tcPr>
            <w:tcW w:w="474" w:type="pct"/>
            <w:tcBorders>
              <w:top w:val="nil"/>
              <w:left w:val="nil"/>
              <w:bottom w:val="nil"/>
              <w:right w:val="nil"/>
            </w:tcBorders>
            <w:shd w:val="clear" w:color="auto" w:fill="FFFFFF"/>
            <w:tcMar>
              <w:left w:w="67" w:type="dxa"/>
              <w:right w:w="67" w:type="dxa"/>
            </w:tcMar>
          </w:tcPr>
          <w:p w14:paraId="38509540" w14:textId="77777777" w:rsidR="00E07CDE" w:rsidRPr="00563AD3" w:rsidRDefault="00E07CDE" w:rsidP="006C0B32">
            <w:pPr>
              <w:spacing w:before="67" w:after="67" w:line="240" w:lineRule="auto"/>
              <w:jc w:val="right"/>
              <w:rPr>
                <w:rFonts w:eastAsia="Times New Roman"/>
                <w:color w:val="000000"/>
                <w:sz w:val="16"/>
                <w:szCs w:val="16"/>
              </w:rPr>
            </w:pPr>
          </w:p>
        </w:tc>
        <w:tc>
          <w:tcPr>
            <w:tcW w:w="473" w:type="pct"/>
            <w:tcBorders>
              <w:top w:val="nil"/>
              <w:left w:val="nil"/>
              <w:bottom w:val="nil"/>
              <w:right w:val="nil"/>
            </w:tcBorders>
            <w:shd w:val="clear" w:color="auto" w:fill="FFFFFF"/>
            <w:tcMar>
              <w:left w:w="67" w:type="dxa"/>
              <w:right w:w="67" w:type="dxa"/>
            </w:tcMar>
          </w:tcPr>
          <w:p w14:paraId="067A8C53" w14:textId="77777777" w:rsidR="00E07CDE" w:rsidRPr="00563AD3" w:rsidRDefault="00E07CDE" w:rsidP="006C0B32">
            <w:pPr>
              <w:spacing w:before="67" w:after="67" w:line="240" w:lineRule="auto"/>
              <w:jc w:val="right"/>
              <w:rPr>
                <w:rFonts w:eastAsia="Times New Roman"/>
                <w:color w:val="000000"/>
                <w:sz w:val="16"/>
                <w:szCs w:val="16"/>
              </w:rPr>
            </w:pPr>
          </w:p>
        </w:tc>
        <w:tc>
          <w:tcPr>
            <w:tcW w:w="473" w:type="pct"/>
            <w:tcBorders>
              <w:top w:val="nil"/>
              <w:left w:val="nil"/>
              <w:bottom w:val="nil"/>
              <w:right w:val="nil"/>
            </w:tcBorders>
            <w:shd w:val="clear" w:color="auto" w:fill="FFFFFF"/>
            <w:tcMar>
              <w:left w:w="67" w:type="dxa"/>
              <w:right w:w="67" w:type="dxa"/>
            </w:tcMar>
          </w:tcPr>
          <w:p w14:paraId="2665F7FD" w14:textId="77777777" w:rsidR="00E07CDE" w:rsidRPr="00563AD3" w:rsidRDefault="00E07CDE" w:rsidP="006C0B32">
            <w:pPr>
              <w:spacing w:before="67" w:after="67" w:line="240" w:lineRule="auto"/>
              <w:jc w:val="right"/>
              <w:rPr>
                <w:rFonts w:eastAsia="Times New Roman"/>
                <w:color w:val="000000"/>
                <w:sz w:val="16"/>
                <w:szCs w:val="16"/>
              </w:rPr>
            </w:pPr>
          </w:p>
        </w:tc>
        <w:tc>
          <w:tcPr>
            <w:tcW w:w="475" w:type="pct"/>
            <w:tcBorders>
              <w:top w:val="nil"/>
              <w:left w:val="nil"/>
              <w:bottom w:val="nil"/>
              <w:right w:val="single" w:sz="4" w:space="0" w:color="auto"/>
            </w:tcBorders>
            <w:shd w:val="clear" w:color="auto" w:fill="FFFFFF"/>
            <w:tcMar>
              <w:left w:w="67" w:type="dxa"/>
              <w:right w:w="67" w:type="dxa"/>
            </w:tcMar>
          </w:tcPr>
          <w:p w14:paraId="30E7625A" w14:textId="77777777" w:rsidR="00E07CDE" w:rsidRPr="00563AD3" w:rsidRDefault="00E07CDE" w:rsidP="006C0B32">
            <w:pPr>
              <w:spacing w:before="67" w:after="67" w:line="240" w:lineRule="auto"/>
              <w:jc w:val="right"/>
              <w:rPr>
                <w:rFonts w:eastAsia="Times New Roman"/>
                <w:color w:val="000000"/>
                <w:sz w:val="16"/>
                <w:szCs w:val="16"/>
              </w:rPr>
            </w:pPr>
          </w:p>
        </w:tc>
      </w:tr>
      <w:tr w:rsidR="00E07CDE" w:rsidRPr="00563AD3" w14:paraId="58794D44" w14:textId="77777777" w:rsidTr="00C163F3">
        <w:trPr>
          <w:cantSplit/>
          <w:jc w:val="center"/>
        </w:trPr>
        <w:tc>
          <w:tcPr>
            <w:tcW w:w="739" w:type="pct"/>
            <w:tcBorders>
              <w:top w:val="nil"/>
              <w:left w:val="single" w:sz="4" w:space="0" w:color="auto"/>
              <w:bottom w:val="nil"/>
              <w:right w:val="nil"/>
            </w:tcBorders>
            <w:shd w:val="clear" w:color="auto" w:fill="FFFFFF"/>
            <w:tcMar>
              <w:left w:w="67" w:type="dxa"/>
              <w:right w:w="67" w:type="dxa"/>
            </w:tcMar>
          </w:tcPr>
          <w:p w14:paraId="332C0D10" w14:textId="77777777" w:rsidR="00E07CDE" w:rsidRPr="00563AD3" w:rsidRDefault="00E07CDE" w:rsidP="006C0B32">
            <w:pPr>
              <w:spacing w:before="67" w:after="67" w:line="240" w:lineRule="auto"/>
              <w:rPr>
                <w:rFonts w:eastAsia="Times New Roman"/>
                <w:color w:val="000000"/>
                <w:sz w:val="16"/>
                <w:szCs w:val="16"/>
              </w:rPr>
            </w:pPr>
            <w:r w:rsidRPr="00563AD3">
              <w:rPr>
                <w:rFonts w:eastAsia="Times New Roman"/>
                <w:color w:val="000000"/>
                <w:sz w:val="16"/>
                <w:szCs w:val="16"/>
              </w:rPr>
              <w:t>Safety</w:t>
            </w:r>
          </w:p>
        </w:tc>
        <w:tc>
          <w:tcPr>
            <w:tcW w:w="473" w:type="pct"/>
            <w:tcBorders>
              <w:top w:val="nil"/>
              <w:left w:val="nil"/>
              <w:bottom w:val="nil"/>
              <w:right w:val="nil"/>
            </w:tcBorders>
            <w:shd w:val="clear" w:color="auto" w:fill="FFFFFF"/>
            <w:tcMar>
              <w:left w:w="67" w:type="dxa"/>
              <w:right w:w="67" w:type="dxa"/>
            </w:tcMar>
          </w:tcPr>
          <w:p w14:paraId="3BFDF881"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47.8 (13.83) 0</w:t>
            </w:r>
          </w:p>
        </w:tc>
        <w:tc>
          <w:tcPr>
            <w:tcW w:w="473" w:type="pct"/>
            <w:tcBorders>
              <w:top w:val="nil"/>
              <w:left w:val="nil"/>
              <w:bottom w:val="nil"/>
              <w:right w:val="nil"/>
            </w:tcBorders>
            <w:shd w:val="clear" w:color="auto" w:fill="FFFFFF"/>
            <w:tcMar>
              <w:left w:w="67" w:type="dxa"/>
              <w:right w:w="67" w:type="dxa"/>
            </w:tcMar>
          </w:tcPr>
          <w:p w14:paraId="1933309A"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48.4 (16.08) 1</w:t>
            </w:r>
          </w:p>
        </w:tc>
        <w:tc>
          <w:tcPr>
            <w:tcW w:w="474" w:type="pct"/>
            <w:tcBorders>
              <w:top w:val="nil"/>
              <w:left w:val="nil"/>
              <w:bottom w:val="nil"/>
              <w:right w:val="nil"/>
            </w:tcBorders>
            <w:shd w:val="clear" w:color="auto" w:fill="FFFFFF"/>
            <w:tcMar>
              <w:left w:w="67" w:type="dxa"/>
              <w:right w:w="67" w:type="dxa"/>
            </w:tcMar>
          </w:tcPr>
          <w:p w14:paraId="5BDC3F36"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48.2 (15.1) 1</w:t>
            </w:r>
          </w:p>
        </w:tc>
        <w:tc>
          <w:tcPr>
            <w:tcW w:w="473" w:type="pct"/>
            <w:tcBorders>
              <w:top w:val="nil"/>
              <w:left w:val="nil"/>
              <w:bottom w:val="nil"/>
              <w:right w:val="nil"/>
            </w:tcBorders>
            <w:shd w:val="clear" w:color="auto" w:fill="FFFFFF"/>
            <w:tcMar>
              <w:left w:w="67" w:type="dxa"/>
              <w:right w:w="67" w:type="dxa"/>
            </w:tcMar>
          </w:tcPr>
          <w:p w14:paraId="2B71EE75"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52.8 (16.68) 0</w:t>
            </w:r>
          </w:p>
        </w:tc>
        <w:tc>
          <w:tcPr>
            <w:tcW w:w="473" w:type="pct"/>
            <w:tcBorders>
              <w:top w:val="nil"/>
              <w:left w:val="nil"/>
              <w:bottom w:val="nil"/>
              <w:right w:val="nil"/>
            </w:tcBorders>
            <w:shd w:val="clear" w:color="auto" w:fill="FFFFFF"/>
            <w:tcMar>
              <w:left w:w="67" w:type="dxa"/>
              <w:right w:w="67" w:type="dxa"/>
            </w:tcMar>
          </w:tcPr>
          <w:p w14:paraId="4CD5D14D"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57.9 (13.56) 0</w:t>
            </w:r>
          </w:p>
        </w:tc>
        <w:tc>
          <w:tcPr>
            <w:tcW w:w="474" w:type="pct"/>
            <w:tcBorders>
              <w:top w:val="nil"/>
              <w:left w:val="nil"/>
              <w:bottom w:val="nil"/>
              <w:right w:val="nil"/>
            </w:tcBorders>
            <w:shd w:val="clear" w:color="auto" w:fill="FFFFFF"/>
            <w:tcMar>
              <w:left w:w="67" w:type="dxa"/>
              <w:right w:w="67" w:type="dxa"/>
            </w:tcMar>
          </w:tcPr>
          <w:p w14:paraId="41CB45CC"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56 (14.86) 0</w:t>
            </w:r>
          </w:p>
        </w:tc>
        <w:tc>
          <w:tcPr>
            <w:tcW w:w="473" w:type="pct"/>
            <w:tcBorders>
              <w:top w:val="nil"/>
              <w:left w:val="nil"/>
              <w:bottom w:val="nil"/>
              <w:right w:val="nil"/>
            </w:tcBorders>
            <w:shd w:val="clear" w:color="auto" w:fill="FFFFFF"/>
            <w:tcMar>
              <w:left w:w="67" w:type="dxa"/>
              <w:right w:w="67" w:type="dxa"/>
            </w:tcMar>
          </w:tcPr>
          <w:p w14:paraId="2E41803F"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59.3 (14.58) 0</w:t>
            </w:r>
          </w:p>
        </w:tc>
        <w:tc>
          <w:tcPr>
            <w:tcW w:w="473" w:type="pct"/>
            <w:tcBorders>
              <w:top w:val="nil"/>
              <w:left w:val="nil"/>
              <w:bottom w:val="nil"/>
              <w:right w:val="nil"/>
            </w:tcBorders>
            <w:shd w:val="clear" w:color="auto" w:fill="FFFFFF"/>
            <w:tcMar>
              <w:left w:w="67" w:type="dxa"/>
              <w:right w:w="67" w:type="dxa"/>
            </w:tcMar>
          </w:tcPr>
          <w:p w14:paraId="21E1C243"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56.2 (16.28) 0</w:t>
            </w:r>
          </w:p>
        </w:tc>
        <w:tc>
          <w:tcPr>
            <w:tcW w:w="475" w:type="pct"/>
            <w:tcBorders>
              <w:top w:val="nil"/>
              <w:left w:val="nil"/>
              <w:bottom w:val="nil"/>
              <w:right w:val="single" w:sz="4" w:space="0" w:color="auto"/>
            </w:tcBorders>
            <w:shd w:val="clear" w:color="auto" w:fill="FFFFFF"/>
            <w:tcMar>
              <w:left w:w="67" w:type="dxa"/>
              <w:right w:w="67" w:type="dxa"/>
            </w:tcMar>
          </w:tcPr>
          <w:p w14:paraId="6CE641DB"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57.4 (15.57) 0</w:t>
            </w:r>
          </w:p>
        </w:tc>
      </w:tr>
      <w:tr w:rsidR="00E07CDE" w:rsidRPr="00563AD3" w14:paraId="4755B1EB" w14:textId="77777777" w:rsidTr="00C163F3">
        <w:trPr>
          <w:cantSplit/>
          <w:jc w:val="center"/>
        </w:trPr>
        <w:tc>
          <w:tcPr>
            <w:tcW w:w="739" w:type="pct"/>
            <w:tcBorders>
              <w:top w:val="nil"/>
              <w:left w:val="single" w:sz="4" w:space="0" w:color="auto"/>
              <w:bottom w:val="nil"/>
              <w:right w:val="nil"/>
            </w:tcBorders>
            <w:shd w:val="clear" w:color="auto" w:fill="FFFFFF"/>
            <w:tcMar>
              <w:left w:w="67" w:type="dxa"/>
              <w:right w:w="67" w:type="dxa"/>
            </w:tcMar>
          </w:tcPr>
          <w:p w14:paraId="40961A52" w14:textId="77777777" w:rsidR="00E07CDE" w:rsidRPr="00563AD3" w:rsidRDefault="00E07CDE" w:rsidP="006C0B32">
            <w:pPr>
              <w:spacing w:before="67" w:after="67" w:line="240" w:lineRule="auto"/>
              <w:rPr>
                <w:rFonts w:eastAsia="Times New Roman"/>
                <w:color w:val="000000"/>
                <w:sz w:val="16"/>
                <w:szCs w:val="16"/>
              </w:rPr>
            </w:pPr>
            <w:r w:rsidRPr="00563AD3">
              <w:rPr>
                <w:rFonts w:eastAsia="Times New Roman"/>
                <w:color w:val="000000"/>
                <w:sz w:val="16"/>
                <w:szCs w:val="16"/>
              </w:rPr>
              <w:t>Size</w:t>
            </w:r>
          </w:p>
        </w:tc>
        <w:tc>
          <w:tcPr>
            <w:tcW w:w="473" w:type="pct"/>
            <w:tcBorders>
              <w:top w:val="nil"/>
              <w:left w:val="nil"/>
              <w:bottom w:val="nil"/>
              <w:right w:val="nil"/>
            </w:tcBorders>
            <w:shd w:val="clear" w:color="auto" w:fill="FFFFFF"/>
            <w:tcMar>
              <w:left w:w="67" w:type="dxa"/>
              <w:right w:w="67" w:type="dxa"/>
            </w:tcMar>
          </w:tcPr>
          <w:p w14:paraId="597C95DA"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30.7 (23.74) 0</w:t>
            </w:r>
          </w:p>
        </w:tc>
        <w:tc>
          <w:tcPr>
            <w:tcW w:w="473" w:type="pct"/>
            <w:tcBorders>
              <w:top w:val="nil"/>
              <w:left w:val="nil"/>
              <w:bottom w:val="nil"/>
              <w:right w:val="nil"/>
            </w:tcBorders>
            <w:shd w:val="clear" w:color="auto" w:fill="FFFFFF"/>
            <w:tcMar>
              <w:left w:w="67" w:type="dxa"/>
              <w:right w:w="67" w:type="dxa"/>
            </w:tcMar>
          </w:tcPr>
          <w:p w14:paraId="1B8DB2C6"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23.9 (24.64) 1</w:t>
            </w:r>
          </w:p>
        </w:tc>
        <w:tc>
          <w:tcPr>
            <w:tcW w:w="474" w:type="pct"/>
            <w:tcBorders>
              <w:top w:val="nil"/>
              <w:left w:val="nil"/>
              <w:bottom w:val="nil"/>
              <w:right w:val="nil"/>
            </w:tcBorders>
            <w:shd w:val="clear" w:color="auto" w:fill="FFFFFF"/>
            <w:tcMar>
              <w:left w:w="67" w:type="dxa"/>
              <w:right w:w="67" w:type="dxa"/>
            </w:tcMar>
          </w:tcPr>
          <w:p w14:paraId="261022F5"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26.5 (24.28) 1</w:t>
            </w:r>
          </w:p>
        </w:tc>
        <w:tc>
          <w:tcPr>
            <w:tcW w:w="473" w:type="pct"/>
            <w:tcBorders>
              <w:top w:val="nil"/>
              <w:left w:val="nil"/>
              <w:bottom w:val="nil"/>
              <w:right w:val="nil"/>
            </w:tcBorders>
            <w:shd w:val="clear" w:color="auto" w:fill="FFFFFF"/>
            <w:tcMar>
              <w:left w:w="67" w:type="dxa"/>
              <w:right w:w="67" w:type="dxa"/>
            </w:tcMar>
          </w:tcPr>
          <w:p w14:paraId="5419E05A"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29.8 (21.93) 0</w:t>
            </w:r>
          </w:p>
        </w:tc>
        <w:tc>
          <w:tcPr>
            <w:tcW w:w="473" w:type="pct"/>
            <w:tcBorders>
              <w:top w:val="nil"/>
              <w:left w:val="nil"/>
              <w:bottom w:val="nil"/>
              <w:right w:val="nil"/>
            </w:tcBorders>
            <w:shd w:val="clear" w:color="auto" w:fill="FFFFFF"/>
            <w:tcMar>
              <w:left w:w="67" w:type="dxa"/>
              <w:right w:w="67" w:type="dxa"/>
            </w:tcMar>
          </w:tcPr>
          <w:p w14:paraId="7FC0C43E"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19.9 (26.67) 0</w:t>
            </w:r>
          </w:p>
        </w:tc>
        <w:tc>
          <w:tcPr>
            <w:tcW w:w="474" w:type="pct"/>
            <w:tcBorders>
              <w:top w:val="nil"/>
              <w:left w:val="nil"/>
              <w:bottom w:val="nil"/>
              <w:right w:val="nil"/>
            </w:tcBorders>
            <w:shd w:val="clear" w:color="auto" w:fill="FFFFFF"/>
            <w:tcMar>
              <w:left w:w="67" w:type="dxa"/>
              <w:right w:w="67" w:type="dxa"/>
            </w:tcMar>
          </w:tcPr>
          <w:p w14:paraId="21357FC7"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23.7 (25.22) 0</w:t>
            </w:r>
          </w:p>
        </w:tc>
        <w:tc>
          <w:tcPr>
            <w:tcW w:w="473" w:type="pct"/>
            <w:tcBorders>
              <w:top w:val="nil"/>
              <w:left w:val="nil"/>
              <w:bottom w:val="nil"/>
              <w:right w:val="nil"/>
            </w:tcBorders>
            <w:shd w:val="clear" w:color="auto" w:fill="FFFFFF"/>
            <w:tcMar>
              <w:left w:w="67" w:type="dxa"/>
              <w:right w:w="67" w:type="dxa"/>
            </w:tcMar>
          </w:tcPr>
          <w:p w14:paraId="1C73B582"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33.3 (27.78) 0</w:t>
            </w:r>
          </w:p>
        </w:tc>
        <w:tc>
          <w:tcPr>
            <w:tcW w:w="473" w:type="pct"/>
            <w:tcBorders>
              <w:top w:val="nil"/>
              <w:left w:val="nil"/>
              <w:bottom w:val="nil"/>
              <w:right w:val="nil"/>
            </w:tcBorders>
            <w:shd w:val="clear" w:color="auto" w:fill="FFFFFF"/>
            <w:tcMar>
              <w:left w:w="67" w:type="dxa"/>
              <w:right w:w="67" w:type="dxa"/>
            </w:tcMar>
          </w:tcPr>
          <w:p w14:paraId="1E070941"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22.8 (27.85) 1</w:t>
            </w:r>
          </w:p>
        </w:tc>
        <w:tc>
          <w:tcPr>
            <w:tcW w:w="475" w:type="pct"/>
            <w:tcBorders>
              <w:top w:val="nil"/>
              <w:left w:val="nil"/>
              <w:bottom w:val="nil"/>
              <w:right w:val="single" w:sz="4" w:space="0" w:color="auto"/>
            </w:tcBorders>
            <w:shd w:val="clear" w:color="auto" w:fill="FFFFFF"/>
            <w:tcMar>
              <w:left w:w="67" w:type="dxa"/>
              <w:right w:w="67" w:type="dxa"/>
            </w:tcMar>
          </w:tcPr>
          <w:p w14:paraId="0EFAD1F7"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26.9 (28.02) 1</w:t>
            </w:r>
          </w:p>
        </w:tc>
      </w:tr>
      <w:tr w:rsidR="00E07CDE" w:rsidRPr="00563AD3" w14:paraId="481A7BBC" w14:textId="77777777" w:rsidTr="00C163F3">
        <w:trPr>
          <w:cantSplit/>
          <w:jc w:val="center"/>
        </w:trPr>
        <w:tc>
          <w:tcPr>
            <w:tcW w:w="739" w:type="pct"/>
            <w:tcBorders>
              <w:top w:val="nil"/>
              <w:left w:val="single" w:sz="4" w:space="0" w:color="auto"/>
              <w:bottom w:val="nil"/>
              <w:right w:val="nil"/>
            </w:tcBorders>
            <w:shd w:val="clear" w:color="auto" w:fill="FFFFFF"/>
            <w:tcMar>
              <w:left w:w="67" w:type="dxa"/>
              <w:right w:w="67" w:type="dxa"/>
            </w:tcMar>
          </w:tcPr>
          <w:p w14:paraId="3D975F42" w14:textId="77777777" w:rsidR="00E07CDE" w:rsidRPr="00563AD3" w:rsidRDefault="00E07CDE" w:rsidP="006C0B32">
            <w:pPr>
              <w:spacing w:before="67" w:after="67" w:line="240" w:lineRule="auto"/>
              <w:rPr>
                <w:rFonts w:eastAsia="Times New Roman"/>
                <w:color w:val="000000"/>
                <w:sz w:val="16"/>
                <w:szCs w:val="16"/>
              </w:rPr>
            </w:pPr>
            <w:r w:rsidRPr="00563AD3">
              <w:rPr>
                <w:rFonts w:eastAsia="Times New Roman"/>
                <w:color w:val="000000"/>
                <w:sz w:val="16"/>
                <w:szCs w:val="16"/>
              </w:rPr>
              <w:t>Visual access features</w:t>
            </w:r>
          </w:p>
        </w:tc>
        <w:tc>
          <w:tcPr>
            <w:tcW w:w="473" w:type="pct"/>
            <w:tcBorders>
              <w:top w:val="nil"/>
              <w:left w:val="nil"/>
              <w:bottom w:val="nil"/>
              <w:right w:val="nil"/>
            </w:tcBorders>
            <w:shd w:val="clear" w:color="auto" w:fill="FFFFFF"/>
            <w:tcMar>
              <w:left w:w="67" w:type="dxa"/>
              <w:right w:w="67" w:type="dxa"/>
            </w:tcMar>
          </w:tcPr>
          <w:p w14:paraId="732E4D7A"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23.1 (11.52) 0</w:t>
            </w:r>
          </w:p>
        </w:tc>
        <w:tc>
          <w:tcPr>
            <w:tcW w:w="473" w:type="pct"/>
            <w:tcBorders>
              <w:top w:val="nil"/>
              <w:left w:val="nil"/>
              <w:bottom w:val="nil"/>
              <w:right w:val="nil"/>
            </w:tcBorders>
            <w:shd w:val="clear" w:color="auto" w:fill="FFFFFF"/>
            <w:tcMar>
              <w:left w:w="67" w:type="dxa"/>
              <w:right w:w="67" w:type="dxa"/>
            </w:tcMar>
          </w:tcPr>
          <w:p w14:paraId="525F2DBE"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25.4 (12.88) 1</w:t>
            </w:r>
          </w:p>
        </w:tc>
        <w:tc>
          <w:tcPr>
            <w:tcW w:w="474" w:type="pct"/>
            <w:tcBorders>
              <w:top w:val="nil"/>
              <w:left w:val="nil"/>
              <w:bottom w:val="nil"/>
              <w:right w:val="nil"/>
            </w:tcBorders>
            <w:shd w:val="clear" w:color="auto" w:fill="FFFFFF"/>
            <w:tcMar>
              <w:left w:w="67" w:type="dxa"/>
              <w:right w:w="67" w:type="dxa"/>
            </w:tcMar>
          </w:tcPr>
          <w:p w14:paraId="286AA592"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24.5 (12.3) 1</w:t>
            </w:r>
          </w:p>
        </w:tc>
        <w:tc>
          <w:tcPr>
            <w:tcW w:w="473" w:type="pct"/>
            <w:tcBorders>
              <w:top w:val="nil"/>
              <w:left w:val="nil"/>
              <w:bottom w:val="nil"/>
              <w:right w:val="nil"/>
            </w:tcBorders>
            <w:shd w:val="clear" w:color="auto" w:fill="FFFFFF"/>
            <w:tcMar>
              <w:left w:w="67" w:type="dxa"/>
              <w:right w:w="67" w:type="dxa"/>
            </w:tcMar>
          </w:tcPr>
          <w:p w14:paraId="1E5E99D3"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19.6 (12.13) 1</w:t>
            </w:r>
          </w:p>
        </w:tc>
        <w:tc>
          <w:tcPr>
            <w:tcW w:w="473" w:type="pct"/>
            <w:tcBorders>
              <w:top w:val="nil"/>
              <w:left w:val="nil"/>
              <w:bottom w:val="nil"/>
              <w:right w:val="nil"/>
            </w:tcBorders>
            <w:shd w:val="clear" w:color="auto" w:fill="FFFFFF"/>
            <w:tcMar>
              <w:left w:w="67" w:type="dxa"/>
              <w:right w:w="67" w:type="dxa"/>
            </w:tcMar>
          </w:tcPr>
          <w:p w14:paraId="2E3FE794"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21.2 (13.41) 1</w:t>
            </w:r>
          </w:p>
        </w:tc>
        <w:tc>
          <w:tcPr>
            <w:tcW w:w="474" w:type="pct"/>
            <w:tcBorders>
              <w:top w:val="nil"/>
              <w:left w:val="nil"/>
              <w:bottom w:val="nil"/>
              <w:right w:val="nil"/>
            </w:tcBorders>
            <w:shd w:val="clear" w:color="auto" w:fill="FFFFFF"/>
            <w:tcMar>
              <w:left w:w="67" w:type="dxa"/>
              <w:right w:w="67" w:type="dxa"/>
            </w:tcMar>
          </w:tcPr>
          <w:p w14:paraId="64A3EDE2"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20.6 (12.84) 2</w:t>
            </w:r>
          </w:p>
        </w:tc>
        <w:tc>
          <w:tcPr>
            <w:tcW w:w="473" w:type="pct"/>
            <w:tcBorders>
              <w:top w:val="nil"/>
              <w:left w:val="nil"/>
              <w:bottom w:val="nil"/>
              <w:right w:val="nil"/>
            </w:tcBorders>
            <w:shd w:val="clear" w:color="auto" w:fill="FFFFFF"/>
            <w:tcMar>
              <w:left w:w="67" w:type="dxa"/>
              <w:right w:w="67" w:type="dxa"/>
            </w:tcMar>
          </w:tcPr>
          <w:p w14:paraId="7FE9DE20"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17.6 (12.38) 0</w:t>
            </w:r>
          </w:p>
        </w:tc>
        <w:tc>
          <w:tcPr>
            <w:tcW w:w="473" w:type="pct"/>
            <w:tcBorders>
              <w:top w:val="nil"/>
              <w:left w:val="nil"/>
              <w:bottom w:val="nil"/>
              <w:right w:val="nil"/>
            </w:tcBorders>
            <w:shd w:val="clear" w:color="auto" w:fill="FFFFFF"/>
            <w:tcMar>
              <w:left w:w="67" w:type="dxa"/>
              <w:right w:w="67" w:type="dxa"/>
            </w:tcMar>
          </w:tcPr>
          <w:p w14:paraId="49FB6876"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24.1 (15.55) 0</w:t>
            </w:r>
          </w:p>
        </w:tc>
        <w:tc>
          <w:tcPr>
            <w:tcW w:w="475" w:type="pct"/>
            <w:tcBorders>
              <w:top w:val="nil"/>
              <w:left w:val="nil"/>
              <w:bottom w:val="nil"/>
              <w:right w:val="single" w:sz="4" w:space="0" w:color="auto"/>
            </w:tcBorders>
            <w:shd w:val="clear" w:color="auto" w:fill="FFFFFF"/>
            <w:tcMar>
              <w:left w:w="67" w:type="dxa"/>
              <w:right w:w="67" w:type="dxa"/>
            </w:tcMar>
          </w:tcPr>
          <w:p w14:paraId="4CE35401"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21.6 (14.65) 0</w:t>
            </w:r>
          </w:p>
        </w:tc>
      </w:tr>
      <w:tr w:rsidR="00E07CDE" w:rsidRPr="00563AD3" w14:paraId="2C471304" w14:textId="77777777" w:rsidTr="00C163F3">
        <w:trPr>
          <w:cantSplit/>
          <w:jc w:val="center"/>
        </w:trPr>
        <w:tc>
          <w:tcPr>
            <w:tcW w:w="739" w:type="pct"/>
            <w:tcBorders>
              <w:top w:val="nil"/>
              <w:left w:val="single" w:sz="4" w:space="0" w:color="auto"/>
              <w:bottom w:val="nil"/>
              <w:right w:val="nil"/>
            </w:tcBorders>
            <w:shd w:val="clear" w:color="auto" w:fill="FFFFFF"/>
            <w:tcMar>
              <w:left w:w="67" w:type="dxa"/>
              <w:right w:w="67" w:type="dxa"/>
            </w:tcMar>
          </w:tcPr>
          <w:p w14:paraId="3B09BF2D" w14:textId="77777777" w:rsidR="00E07CDE" w:rsidRPr="00563AD3" w:rsidRDefault="00E07CDE" w:rsidP="006C0B32">
            <w:pPr>
              <w:spacing w:before="67" w:after="67" w:line="240" w:lineRule="auto"/>
              <w:rPr>
                <w:rFonts w:eastAsia="Times New Roman"/>
                <w:color w:val="000000"/>
                <w:sz w:val="16"/>
                <w:szCs w:val="16"/>
              </w:rPr>
            </w:pPr>
            <w:r w:rsidRPr="00563AD3">
              <w:rPr>
                <w:rFonts w:eastAsia="Times New Roman"/>
                <w:color w:val="000000"/>
                <w:sz w:val="16"/>
                <w:szCs w:val="16"/>
              </w:rPr>
              <w:t>Highlighting useful stimuli</w:t>
            </w:r>
          </w:p>
        </w:tc>
        <w:tc>
          <w:tcPr>
            <w:tcW w:w="473" w:type="pct"/>
            <w:tcBorders>
              <w:top w:val="nil"/>
              <w:left w:val="nil"/>
              <w:bottom w:val="nil"/>
              <w:right w:val="nil"/>
            </w:tcBorders>
            <w:shd w:val="clear" w:color="auto" w:fill="FFFFFF"/>
            <w:tcMar>
              <w:left w:w="67" w:type="dxa"/>
              <w:right w:w="67" w:type="dxa"/>
            </w:tcMar>
          </w:tcPr>
          <w:p w14:paraId="7FF8000E"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91.8 (13.65) 0</w:t>
            </w:r>
          </w:p>
        </w:tc>
        <w:tc>
          <w:tcPr>
            <w:tcW w:w="473" w:type="pct"/>
            <w:tcBorders>
              <w:top w:val="nil"/>
              <w:left w:val="nil"/>
              <w:bottom w:val="nil"/>
              <w:right w:val="nil"/>
            </w:tcBorders>
            <w:shd w:val="clear" w:color="auto" w:fill="FFFFFF"/>
            <w:tcMar>
              <w:left w:w="67" w:type="dxa"/>
              <w:right w:w="67" w:type="dxa"/>
            </w:tcMar>
          </w:tcPr>
          <w:p w14:paraId="682709B3"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86.3 (13.59) 1</w:t>
            </w:r>
          </w:p>
        </w:tc>
        <w:tc>
          <w:tcPr>
            <w:tcW w:w="474" w:type="pct"/>
            <w:tcBorders>
              <w:top w:val="nil"/>
              <w:left w:val="nil"/>
              <w:bottom w:val="nil"/>
              <w:right w:val="nil"/>
            </w:tcBorders>
            <w:shd w:val="clear" w:color="auto" w:fill="FFFFFF"/>
            <w:tcMar>
              <w:left w:w="67" w:type="dxa"/>
              <w:right w:w="67" w:type="dxa"/>
            </w:tcMar>
          </w:tcPr>
          <w:p w14:paraId="3CAC1888"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88.4 (13.74) 1</w:t>
            </w:r>
          </w:p>
        </w:tc>
        <w:tc>
          <w:tcPr>
            <w:tcW w:w="473" w:type="pct"/>
            <w:tcBorders>
              <w:top w:val="nil"/>
              <w:left w:val="nil"/>
              <w:bottom w:val="nil"/>
              <w:right w:val="nil"/>
            </w:tcBorders>
            <w:shd w:val="clear" w:color="auto" w:fill="FFFFFF"/>
            <w:tcMar>
              <w:left w:w="67" w:type="dxa"/>
              <w:right w:w="67" w:type="dxa"/>
            </w:tcMar>
          </w:tcPr>
          <w:p w14:paraId="3135E097"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89.5 (13.97) 0</w:t>
            </w:r>
          </w:p>
        </w:tc>
        <w:tc>
          <w:tcPr>
            <w:tcW w:w="473" w:type="pct"/>
            <w:tcBorders>
              <w:top w:val="nil"/>
              <w:left w:val="nil"/>
              <w:bottom w:val="nil"/>
              <w:right w:val="nil"/>
            </w:tcBorders>
            <w:shd w:val="clear" w:color="auto" w:fill="FFFFFF"/>
            <w:tcMar>
              <w:left w:w="67" w:type="dxa"/>
              <w:right w:w="67" w:type="dxa"/>
            </w:tcMar>
          </w:tcPr>
          <w:p w14:paraId="7AF5C9C2"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89.1 (11.52) 0</w:t>
            </w:r>
          </w:p>
        </w:tc>
        <w:tc>
          <w:tcPr>
            <w:tcW w:w="474" w:type="pct"/>
            <w:tcBorders>
              <w:top w:val="nil"/>
              <w:left w:val="nil"/>
              <w:bottom w:val="nil"/>
              <w:right w:val="nil"/>
            </w:tcBorders>
            <w:shd w:val="clear" w:color="auto" w:fill="FFFFFF"/>
            <w:tcMar>
              <w:left w:w="67" w:type="dxa"/>
              <w:right w:w="67" w:type="dxa"/>
            </w:tcMar>
          </w:tcPr>
          <w:p w14:paraId="424A0D90"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89.2 (12.37) 0</w:t>
            </w:r>
          </w:p>
        </w:tc>
        <w:tc>
          <w:tcPr>
            <w:tcW w:w="473" w:type="pct"/>
            <w:tcBorders>
              <w:top w:val="nil"/>
              <w:left w:val="nil"/>
              <w:bottom w:val="nil"/>
              <w:right w:val="nil"/>
            </w:tcBorders>
            <w:shd w:val="clear" w:color="auto" w:fill="FFFFFF"/>
            <w:tcMar>
              <w:left w:w="67" w:type="dxa"/>
              <w:right w:w="67" w:type="dxa"/>
            </w:tcMar>
          </w:tcPr>
          <w:p w14:paraId="2DF73158"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91.3 (10.8) 0</w:t>
            </w:r>
          </w:p>
        </w:tc>
        <w:tc>
          <w:tcPr>
            <w:tcW w:w="473" w:type="pct"/>
            <w:tcBorders>
              <w:top w:val="nil"/>
              <w:left w:val="nil"/>
              <w:bottom w:val="nil"/>
              <w:right w:val="nil"/>
            </w:tcBorders>
            <w:shd w:val="clear" w:color="auto" w:fill="FFFFFF"/>
            <w:tcMar>
              <w:left w:w="67" w:type="dxa"/>
              <w:right w:w="67" w:type="dxa"/>
            </w:tcMar>
          </w:tcPr>
          <w:p w14:paraId="7F2CC33F"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93 (9.02) 0</w:t>
            </w:r>
          </w:p>
        </w:tc>
        <w:tc>
          <w:tcPr>
            <w:tcW w:w="475" w:type="pct"/>
            <w:tcBorders>
              <w:top w:val="nil"/>
              <w:left w:val="nil"/>
              <w:bottom w:val="nil"/>
              <w:right w:val="single" w:sz="4" w:space="0" w:color="auto"/>
            </w:tcBorders>
            <w:shd w:val="clear" w:color="auto" w:fill="FFFFFF"/>
            <w:tcMar>
              <w:left w:w="67" w:type="dxa"/>
              <w:right w:w="67" w:type="dxa"/>
            </w:tcMar>
          </w:tcPr>
          <w:p w14:paraId="734B569F"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92.4 (9.66) 0</w:t>
            </w:r>
          </w:p>
        </w:tc>
      </w:tr>
      <w:tr w:rsidR="00E07CDE" w:rsidRPr="00563AD3" w14:paraId="5E059C7F" w14:textId="77777777" w:rsidTr="00C163F3">
        <w:trPr>
          <w:cantSplit/>
          <w:jc w:val="center"/>
        </w:trPr>
        <w:tc>
          <w:tcPr>
            <w:tcW w:w="739" w:type="pct"/>
            <w:tcBorders>
              <w:top w:val="nil"/>
              <w:left w:val="single" w:sz="4" w:space="0" w:color="auto"/>
              <w:bottom w:val="nil"/>
              <w:right w:val="nil"/>
            </w:tcBorders>
            <w:shd w:val="clear" w:color="auto" w:fill="FFFFFF"/>
            <w:tcMar>
              <w:left w:w="67" w:type="dxa"/>
              <w:right w:w="67" w:type="dxa"/>
            </w:tcMar>
          </w:tcPr>
          <w:p w14:paraId="3DB140AB" w14:textId="77777777" w:rsidR="00E07CDE" w:rsidRPr="00563AD3" w:rsidRDefault="00E07CDE" w:rsidP="006C0B32">
            <w:pPr>
              <w:spacing w:before="67" w:after="67" w:line="240" w:lineRule="auto"/>
              <w:rPr>
                <w:rFonts w:eastAsia="Times New Roman"/>
                <w:color w:val="000000"/>
                <w:sz w:val="16"/>
                <w:szCs w:val="16"/>
              </w:rPr>
            </w:pPr>
            <w:r w:rsidRPr="00563AD3">
              <w:rPr>
                <w:rFonts w:eastAsia="Times New Roman"/>
                <w:color w:val="000000"/>
                <w:sz w:val="16"/>
                <w:szCs w:val="16"/>
              </w:rPr>
              <w:t>Wandering</w:t>
            </w:r>
          </w:p>
        </w:tc>
        <w:tc>
          <w:tcPr>
            <w:tcW w:w="473" w:type="pct"/>
            <w:tcBorders>
              <w:top w:val="nil"/>
              <w:left w:val="nil"/>
              <w:bottom w:val="nil"/>
              <w:right w:val="nil"/>
            </w:tcBorders>
            <w:shd w:val="clear" w:color="auto" w:fill="FFFFFF"/>
            <w:tcMar>
              <w:left w:w="67" w:type="dxa"/>
              <w:right w:w="67" w:type="dxa"/>
            </w:tcMar>
          </w:tcPr>
          <w:p w14:paraId="540AAD25"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48.5 (35.95) 0</w:t>
            </w:r>
          </w:p>
        </w:tc>
        <w:tc>
          <w:tcPr>
            <w:tcW w:w="473" w:type="pct"/>
            <w:tcBorders>
              <w:top w:val="nil"/>
              <w:left w:val="nil"/>
              <w:bottom w:val="nil"/>
              <w:right w:val="nil"/>
            </w:tcBorders>
            <w:shd w:val="clear" w:color="auto" w:fill="FFFFFF"/>
            <w:tcMar>
              <w:left w:w="67" w:type="dxa"/>
              <w:right w:w="67" w:type="dxa"/>
            </w:tcMar>
          </w:tcPr>
          <w:p w14:paraId="38A15A28"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45.6 (38.08) 1</w:t>
            </w:r>
          </w:p>
        </w:tc>
        <w:tc>
          <w:tcPr>
            <w:tcW w:w="474" w:type="pct"/>
            <w:tcBorders>
              <w:top w:val="nil"/>
              <w:left w:val="nil"/>
              <w:bottom w:val="nil"/>
              <w:right w:val="nil"/>
            </w:tcBorders>
            <w:shd w:val="clear" w:color="auto" w:fill="FFFFFF"/>
            <w:tcMar>
              <w:left w:w="67" w:type="dxa"/>
              <w:right w:w="67" w:type="dxa"/>
            </w:tcMar>
          </w:tcPr>
          <w:p w14:paraId="210C71B9"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46.7 (36.92) 1</w:t>
            </w:r>
          </w:p>
        </w:tc>
        <w:tc>
          <w:tcPr>
            <w:tcW w:w="473" w:type="pct"/>
            <w:tcBorders>
              <w:top w:val="nil"/>
              <w:left w:val="nil"/>
              <w:bottom w:val="nil"/>
              <w:right w:val="nil"/>
            </w:tcBorders>
            <w:shd w:val="clear" w:color="auto" w:fill="FFFFFF"/>
            <w:tcMar>
              <w:left w:w="67" w:type="dxa"/>
              <w:right w:w="67" w:type="dxa"/>
            </w:tcMar>
          </w:tcPr>
          <w:p w14:paraId="75737ABB"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66 (32.27) 2</w:t>
            </w:r>
          </w:p>
        </w:tc>
        <w:tc>
          <w:tcPr>
            <w:tcW w:w="473" w:type="pct"/>
            <w:tcBorders>
              <w:top w:val="nil"/>
              <w:left w:val="nil"/>
              <w:bottom w:val="nil"/>
              <w:right w:val="nil"/>
            </w:tcBorders>
            <w:shd w:val="clear" w:color="auto" w:fill="FFFFFF"/>
            <w:tcMar>
              <w:left w:w="67" w:type="dxa"/>
              <w:right w:w="67" w:type="dxa"/>
            </w:tcMar>
          </w:tcPr>
          <w:p w14:paraId="6A383E6F"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43.1 (38.02) 2</w:t>
            </w:r>
          </w:p>
        </w:tc>
        <w:tc>
          <w:tcPr>
            <w:tcW w:w="474" w:type="pct"/>
            <w:tcBorders>
              <w:top w:val="nil"/>
              <w:left w:val="nil"/>
              <w:bottom w:val="nil"/>
              <w:right w:val="nil"/>
            </w:tcBorders>
            <w:shd w:val="clear" w:color="auto" w:fill="FFFFFF"/>
            <w:tcMar>
              <w:left w:w="67" w:type="dxa"/>
              <w:right w:w="67" w:type="dxa"/>
            </w:tcMar>
          </w:tcPr>
          <w:p w14:paraId="0AC014C0"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51.6 (37.34) 4</w:t>
            </w:r>
          </w:p>
        </w:tc>
        <w:tc>
          <w:tcPr>
            <w:tcW w:w="473" w:type="pct"/>
            <w:tcBorders>
              <w:top w:val="nil"/>
              <w:left w:val="nil"/>
              <w:bottom w:val="nil"/>
              <w:right w:val="nil"/>
            </w:tcBorders>
            <w:shd w:val="clear" w:color="auto" w:fill="FFFFFF"/>
            <w:tcMar>
              <w:left w:w="67" w:type="dxa"/>
              <w:right w:w="67" w:type="dxa"/>
            </w:tcMar>
          </w:tcPr>
          <w:p w14:paraId="05E8B6DC"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52.3 (33.05) 2</w:t>
            </w:r>
          </w:p>
        </w:tc>
        <w:tc>
          <w:tcPr>
            <w:tcW w:w="473" w:type="pct"/>
            <w:tcBorders>
              <w:top w:val="nil"/>
              <w:left w:val="nil"/>
              <w:bottom w:val="nil"/>
              <w:right w:val="nil"/>
            </w:tcBorders>
            <w:shd w:val="clear" w:color="auto" w:fill="FFFFFF"/>
            <w:tcMar>
              <w:left w:w="67" w:type="dxa"/>
              <w:right w:w="67" w:type="dxa"/>
            </w:tcMar>
          </w:tcPr>
          <w:p w14:paraId="4BBBD6BC"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53.9 (30.81) 0</w:t>
            </w:r>
          </w:p>
        </w:tc>
        <w:tc>
          <w:tcPr>
            <w:tcW w:w="475" w:type="pct"/>
            <w:tcBorders>
              <w:top w:val="nil"/>
              <w:left w:val="nil"/>
              <w:bottom w:val="nil"/>
              <w:right w:val="single" w:sz="4" w:space="0" w:color="auto"/>
            </w:tcBorders>
            <w:shd w:val="clear" w:color="auto" w:fill="FFFFFF"/>
            <w:tcMar>
              <w:left w:w="67" w:type="dxa"/>
              <w:right w:w="67" w:type="dxa"/>
            </w:tcMar>
          </w:tcPr>
          <w:p w14:paraId="0029C8B6"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53.4 (31.27) 2</w:t>
            </w:r>
          </w:p>
        </w:tc>
      </w:tr>
      <w:tr w:rsidR="00E07CDE" w:rsidRPr="00563AD3" w14:paraId="4CDEB806" w14:textId="77777777" w:rsidTr="00C163F3">
        <w:trPr>
          <w:cantSplit/>
          <w:jc w:val="center"/>
        </w:trPr>
        <w:tc>
          <w:tcPr>
            <w:tcW w:w="739" w:type="pct"/>
            <w:tcBorders>
              <w:top w:val="nil"/>
              <w:left w:val="single" w:sz="4" w:space="0" w:color="auto"/>
              <w:bottom w:val="nil"/>
              <w:right w:val="nil"/>
            </w:tcBorders>
            <w:shd w:val="clear" w:color="auto" w:fill="FFFFFF"/>
            <w:tcMar>
              <w:left w:w="67" w:type="dxa"/>
              <w:right w:w="67" w:type="dxa"/>
            </w:tcMar>
          </w:tcPr>
          <w:p w14:paraId="18519EB0" w14:textId="77777777" w:rsidR="00E07CDE" w:rsidRPr="00563AD3" w:rsidRDefault="00E07CDE" w:rsidP="006C0B32">
            <w:pPr>
              <w:spacing w:before="67" w:after="67" w:line="240" w:lineRule="auto"/>
              <w:rPr>
                <w:rFonts w:eastAsia="Times New Roman"/>
                <w:color w:val="000000"/>
                <w:sz w:val="16"/>
                <w:szCs w:val="16"/>
              </w:rPr>
            </w:pPr>
            <w:r w:rsidRPr="00563AD3">
              <w:rPr>
                <w:rFonts w:eastAsia="Times New Roman"/>
                <w:color w:val="000000"/>
                <w:sz w:val="16"/>
                <w:szCs w:val="16"/>
              </w:rPr>
              <w:t>Familiarity</w:t>
            </w:r>
          </w:p>
        </w:tc>
        <w:tc>
          <w:tcPr>
            <w:tcW w:w="473" w:type="pct"/>
            <w:tcBorders>
              <w:top w:val="nil"/>
              <w:left w:val="nil"/>
              <w:bottom w:val="nil"/>
              <w:right w:val="nil"/>
            </w:tcBorders>
            <w:shd w:val="clear" w:color="auto" w:fill="FFFFFF"/>
            <w:tcMar>
              <w:left w:w="67" w:type="dxa"/>
              <w:right w:w="67" w:type="dxa"/>
            </w:tcMar>
          </w:tcPr>
          <w:p w14:paraId="0E41930B"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71.1 (16.74) 0</w:t>
            </w:r>
          </w:p>
        </w:tc>
        <w:tc>
          <w:tcPr>
            <w:tcW w:w="473" w:type="pct"/>
            <w:tcBorders>
              <w:top w:val="nil"/>
              <w:left w:val="nil"/>
              <w:bottom w:val="nil"/>
              <w:right w:val="nil"/>
            </w:tcBorders>
            <w:shd w:val="clear" w:color="auto" w:fill="FFFFFF"/>
            <w:tcMar>
              <w:left w:w="67" w:type="dxa"/>
              <w:right w:w="67" w:type="dxa"/>
            </w:tcMar>
          </w:tcPr>
          <w:p w14:paraId="04B2BCF4"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74.4 (24.44) 1</w:t>
            </w:r>
          </w:p>
        </w:tc>
        <w:tc>
          <w:tcPr>
            <w:tcW w:w="474" w:type="pct"/>
            <w:tcBorders>
              <w:top w:val="nil"/>
              <w:left w:val="nil"/>
              <w:bottom w:val="nil"/>
              <w:right w:val="nil"/>
            </w:tcBorders>
            <w:shd w:val="clear" w:color="auto" w:fill="FFFFFF"/>
            <w:tcMar>
              <w:left w:w="67" w:type="dxa"/>
              <w:right w:w="67" w:type="dxa"/>
            </w:tcMar>
          </w:tcPr>
          <w:p w14:paraId="580799B5"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73.2 (21.65) 1</w:t>
            </w:r>
          </w:p>
        </w:tc>
        <w:tc>
          <w:tcPr>
            <w:tcW w:w="473" w:type="pct"/>
            <w:tcBorders>
              <w:top w:val="nil"/>
              <w:left w:val="nil"/>
              <w:bottom w:val="nil"/>
              <w:right w:val="nil"/>
            </w:tcBorders>
            <w:shd w:val="clear" w:color="auto" w:fill="FFFFFF"/>
            <w:tcMar>
              <w:left w:w="67" w:type="dxa"/>
              <w:right w:w="67" w:type="dxa"/>
            </w:tcMar>
          </w:tcPr>
          <w:p w14:paraId="36A09004"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73.5 (16.09) 0</w:t>
            </w:r>
          </w:p>
        </w:tc>
        <w:tc>
          <w:tcPr>
            <w:tcW w:w="473" w:type="pct"/>
            <w:tcBorders>
              <w:top w:val="nil"/>
              <w:left w:val="nil"/>
              <w:bottom w:val="nil"/>
              <w:right w:val="nil"/>
            </w:tcBorders>
            <w:shd w:val="clear" w:color="auto" w:fill="FFFFFF"/>
            <w:tcMar>
              <w:left w:w="67" w:type="dxa"/>
              <w:right w:w="67" w:type="dxa"/>
            </w:tcMar>
          </w:tcPr>
          <w:p w14:paraId="48C1CC6F"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80.2 (12.82) 0</w:t>
            </w:r>
          </w:p>
        </w:tc>
        <w:tc>
          <w:tcPr>
            <w:tcW w:w="474" w:type="pct"/>
            <w:tcBorders>
              <w:top w:val="nil"/>
              <w:left w:val="nil"/>
              <w:bottom w:val="nil"/>
              <w:right w:val="nil"/>
            </w:tcBorders>
            <w:shd w:val="clear" w:color="auto" w:fill="FFFFFF"/>
            <w:tcMar>
              <w:left w:w="67" w:type="dxa"/>
              <w:right w:w="67" w:type="dxa"/>
            </w:tcMar>
          </w:tcPr>
          <w:p w14:paraId="4DCC9624"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77.7 (14.38) 0</w:t>
            </w:r>
          </w:p>
        </w:tc>
        <w:tc>
          <w:tcPr>
            <w:tcW w:w="473" w:type="pct"/>
            <w:tcBorders>
              <w:top w:val="nil"/>
              <w:left w:val="nil"/>
              <w:bottom w:val="nil"/>
              <w:right w:val="nil"/>
            </w:tcBorders>
            <w:shd w:val="clear" w:color="auto" w:fill="FFFFFF"/>
            <w:tcMar>
              <w:left w:w="67" w:type="dxa"/>
              <w:right w:w="67" w:type="dxa"/>
            </w:tcMar>
          </w:tcPr>
          <w:p w14:paraId="3CA8B86C"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70.4 (18.87) 0</w:t>
            </w:r>
          </w:p>
        </w:tc>
        <w:tc>
          <w:tcPr>
            <w:tcW w:w="473" w:type="pct"/>
            <w:tcBorders>
              <w:top w:val="nil"/>
              <w:left w:val="nil"/>
              <w:bottom w:val="nil"/>
              <w:right w:val="nil"/>
            </w:tcBorders>
            <w:shd w:val="clear" w:color="auto" w:fill="FFFFFF"/>
            <w:tcMar>
              <w:left w:w="67" w:type="dxa"/>
              <w:right w:w="67" w:type="dxa"/>
            </w:tcMar>
          </w:tcPr>
          <w:p w14:paraId="2FB7DCCE"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79.6 (16.02) 1</w:t>
            </w:r>
          </w:p>
        </w:tc>
        <w:tc>
          <w:tcPr>
            <w:tcW w:w="475" w:type="pct"/>
            <w:tcBorders>
              <w:top w:val="nil"/>
              <w:left w:val="nil"/>
              <w:bottom w:val="nil"/>
              <w:right w:val="single" w:sz="4" w:space="0" w:color="auto"/>
            </w:tcBorders>
            <w:shd w:val="clear" w:color="auto" w:fill="FFFFFF"/>
            <w:tcMar>
              <w:left w:w="67" w:type="dxa"/>
              <w:right w:w="67" w:type="dxa"/>
            </w:tcMar>
          </w:tcPr>
          <w:p w14:paraId="3B9E8EF2"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76 (17.58) 1</w:t>
            </w:r>
          </w:p>
        </w:tc>
      </w:tr>
      <w:tr w:rsidR="00E07CDE" w:rsidRPr="00563AD3" w14:paraId="47504C46" w14:textId="77777777" w:rsidTr="00C163F3">
        <w:trPr>
          <w:cantSplit/>
          <w:jc w:val="center"/>
        </w:trPr>
        <w:tc>
          <w:tcPr>
            <w:tcW w:w="739" w:type="pct"/>
            <w:tcBorders>
              <w:top w:val="nil"/>
              <w:left w:val="single" w:sz="4" w:space="0" w:color="auto"/>
              <w:bottom w:val="nil"/>
              <w:right w:val="nil"/>
            </w:tcBorders>
            <w:shd w:val="clear" w:color="auto" w:fill="FFFFFF"/>
            <w:tcMar>
              <w:left w:w="67" w:type="dxa"/>
              <w:right w:w="67" w:type="dxa"/>
            </w:tcMar>
          </w:tcPr>
          <w:p w14:paraId="17469D6B" w14:textId="77777777" w:rsidR="00E07CDE" w:rsidRPr="00563AD3" w:rsidRDefault="00E07CDE" w:rsidP="006C0B32">
            <w:pPr>
              <w:spacing w:before="67" w:after="67" w:line="240" w:lineRule="auto"/>
              <w:rPr>
                <w:rFonts w:eastAsia="Times New Roman"/>
                <w:color w:val="000000"/>
                <w:sz w:val="16"/>
                <w:szCs w:val="16"/>
              </w:rPr>
            </w:pPr>
            <w:r w:rsidRPr="00563AD3">
              <w:rPr>
                <w:rFonts w:eastAsia="Times New Roman"/>
                <w:color w:val="000000"/>
                <w:sz w:val="16"/>
                <w:szCs w:val="16"/>
              </w:rPr>
              <w:t>Privacy and community</w:t>
            </w:r>
          </w:p>
        </w:tc>
        <w:tc>
          <w:tcPr>
            <w:tcW w:w="473" w:type="pct"/>
            <w:tcBorders>
              <w:top w:val="nil"/>
              <w:left w:val="nil"/>
              <w:bottom w:val="nil"/>
              <w:right w:val="nil"/>
            </w:tcBorders>
            <w:shd w:val="clear" w:color="auto" w:fill="FFFFFF"/>
            <w:tcMar>
              <w:left w:w="67" w:type="dxa"/>
              <w:right w:w="67" w:type="dxa"/>
            </w:tcMar>
          </w:tcPr>
          <w:p w14:paraId="0B11C02E"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76.6 (19.13) 0</w:t>
            </w:r>
          </w:p>
        </w:tc>
        <w:tc>
          <w:tcPr>
            <w:tcW w:w="473" w:type="pct"/>
            <w:tcBorders>
              <w:top w:val="nil"/>
              <w:left w:val="nil"/>
              <w:bottom w:val="nil"/>
              <w:right w:val="nil"/>
            </w:tcBorders>
            <w:shd w:val="clear" w:color="auto" w:fill="FFFFFF"/>
            <w:tcMar>
              <w:left w:w="67" w:type="dxa"/>
              <w:right w:w="67" w:type="dxa"/>
            </w:tcMar>
          </w:tcPr>
          <w:p w14:paraId="430661ED"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81.5 (14.25) 1</w:t>
            </w:r>
          </w:p>
        </w:tc>
        <w:tc>
          <w:tcPr>
            <w:tcW w:w="474" w:type="pct"/>
            <w:tcBorders>
              <w:top w:val="nil"/>
              <w:left w:val="nil"/>
              <w:bottom w:val="nil"/>
              <w:right w:val="nil"/>
            </w:tcBorders>
            <w:shd w:val="clear" w:color="auto" w:fill="FFFFFF"/>
            <w:tcMar>
              <w:left w:w="67" w:type="dxa"/>
              <w:right w:w="67" w:type="dxa"/>
            </w:tcMar>
          </w:tcPr>
          <w:p w14:paraId="66E7AA4C"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79.6 (16.3) 1</w:t>
            </w:r>
          </w:p>
        </w:tc>
        <w:tc>
          <w:tcPr>
            <w:tcW w:w="473" w:type="pct"/>
            <w:tcBorders>
              <w:top w:val="nil"/>
              <w:left w:val="nil"/>
              <w:bottom w:val="nil"/>
              <w:right w:val="nil"/>
            </w:tcBorders>
            <w:shd w:val="clear" w:color="auto" w:fill="FFFFFF"/>
            <w:tcMar>
              <w:left w:w="67" w:type="dxa"/>
              <w:right w:w="67" w:type="dxa"/>
            </w:tcMar>
          </w:tcPr>
          <w:p w14:paraId="607D0059"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77.1 (20) 0</w:t>
            </w:r>
          </w:p>
        </w:tc>
        <w:tc>
          <w:tcPr>
            <w:tcW w:w="473" w:type="pct"/>
            <w:tcBorders>
              <w:top w:val="nil"/>
              <w:left w:val="nil"/>
              <w:bottom w:val="nil"/>
              <w:right w:val="nil"/>
            </w:tcBorders>
            <w:shd w:val="clear" w:color="auto" w:fill="FFFFFF"/>
            <w:tcMar>
              <w:left w:w="67" w:type="dxa"/>
              <w:right w:w="67" w:type="dxa"/>
            </w:tcMar>
          </w:tcPr>
          <w:p w14:paraId="36832EE6"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75.8 (18.83) 0</w:t>
            </w:r>
          </w:p>
        </w:tc>
        <w:tc>
          <w:tcPr>
            <w:tcW w:w="474" w:type="pct"/>
            <w:tcBorders>
              <w:top w:val="nil"/>
              <w:left w:val="nil"/>
              <w:bottom w:val="nil"/>
              <w:right w:val="nil"/>
            </w:tcBorders>
            <w:shd w:val="clear" w:color="auto" w:fill="FFFFFF"/>
            <w:tcMar>
              <w:left w:w="67" w:type="dxa"/>
              <w:right w:w="67" w:type="dxa"/>
            </w:tcMar>
          </w:tcPr>
          <w:p w14:paraId="61AAFBDA"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76.3 (19.09) 0</w:t>
            </w:r>
          </w:p>
        </w:tc>
        <w:tc>
          <w:tcPr>
            <w:tcW w:w="473" w:type="pct"/>
            <w:tcBorders>
              <w:top w:val="nil"/>
              <w:left w:val="nil"/>
              <w:bottom w:val="nil"/>
              <w:right w:val="nil"/>
            </w:tcBorders>
            <w:shd w:val="clear" w:color="auto" w:fill="FFFFFF"/>
            <w:tcMar>
              <w:left w:w="67" w:type="dxa"/>
              <w:right w:w="67" w:type="dxa"/>
            </w:tcMar>
          </w:tcPr>
          <w:p w14:paraId="778CD347"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76.8 (23.54) 0</w:t>
            </w:r>
          </w:p>
        </w:tc>
        <w:tc>
          <w:tcPr>
            <w:tcW w:w="473" w:type="pct"/>
            <w:tcBorders>
              <w:top w:val="nil"/>
              <w:left w:val="nil"/>
              <w:bottom w:val="nil"/>
              <w:right w:val="nil"/>
            </w:tcBorders>
            <w:shd w:val="clear" w:color="auto" w:fill="FFFFFF"/>
            <w:tcMar>
              <w:left w:w="67" w:type="dxa"/>
              <w:right w:w="67" w:type="dxa"/>
            </w:tcMar>
          </w:tcPr>
          <w:p w14:paraId="70923903"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72.2 (18.17) 0</w:t>
            </w:r>
          </w:p>
        </w:tc>
        <w:tc>
          <w:tcPr>
            <w:tcW w:w="475" w:type="pct"/>
            <w:tcBorders>
              <w:top w:val="nil"/>
              <w:left w:val="nil"/>
              <w:bottom w:val="nil"/>
              <w:right w:val="single" w:sz="4" w:space="0" w:color="auto"/>
            </w:tcBorders>
            <w:shd w:val="clear" w:color="auto" w:fill="FFFFFF"/>
            <w:tcMar>
              <w:left w:w="67" w:type="dxa"/>
              <w:right w:w="67" w:type="dxa"/>
            </w:tcMar>
          </w:tcPr>
          <w:p w14:paraId="34A2096C"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73.9 (20.27) 0</w:t>
            </w:r>
          </w:p>
        </w:tc>
      </w:tr>
      <w:tr w:rsidR="00E07CDE" w:rsidRPr="00563AD3" w14:paraId="7DD07B39" w14:textId="77777777" w:rsidTr="00C163F3">
        <w:trPr>
          <w:cantSplit/>
          <w:jc w:val="center"/>
        </w:trPr>
        <w:tc>
          <w:tcPr>
            <w:tcW w:w="739" w:type="pct"/>
            <w:tcBorders>
              <w:top w:val="nil"/>
              <w:left w:val="single" w:sz="4" w:space="0" w:color="auto"/>
              <w:bottom w:val="nil"/>
              <w:right w:val="nil"/>
            </w:tcBorders>
            <w:shd w:val="clear" w:color="auto" w:fill="FFFFFF"/>
            <w:tcMar>
              <w:left w:w="67" w:type="dxa"/>
              <w:right w:w="67" w:type="dxa"/>
            </w:tcMar>
          </w:tcPr>
          <w:p w14:paraId="6E8B03AD" w14:textId="77777777" w:rsidR="00E07CDE" w:rsidRPr="00563AD3" w:rsidRDefault="00E07CDE" w:rsidP="006C0B32">
            <w:pPr>
              <w:spacing w:before="67" w:after="67" w:line="240" w:lineRule="auto"/>
              <w:rPr>
                <w:rFonts w:eastAsia="Times New Roman"/>
                <w:color w:val="000000"/>
                <w:sz w:val="16"/>
                <w:szCs w:val="16"/>
              </w:rPr>
            </w:pPr>
            <w:r w:rsidRPr="00563AD3">
              <w:rPr>
                <w:rFonts w:eastAsia="Times New Roman"/>
                <w:color w:val="000000"/>
                <w:sz w:val="16"/>
                <w:szCs w:val="16"/>
              </w:rPr>
              <w:t>Community links</w:t>
            </w:r>
          </w:p>
        </w:tc>
        <w:tc>
          <w:tcPr>
            <w:tcW w:w="473" w:type="pct"/>
            <w:tcBorders>
              <w:top w:val="nil"/>
              <w:left w:val="nil"/>
              <w:bottom w:val="nil"/>
              <w:right w:val="nil"/>
            </w:tcBorders>
            <w:shd w:val="clear" w:color="auto" w:fill="FFFFFF"/>
            <w:tcMar>
              <w:left w:w="67" w:type="dxa"/>
              <w:right w:w="67" w:type="dxa"/>
            </w:tcMar>
          </w:tcPr>
          <w:p w14:paraId="6618F36A"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51.3 (48.93) 0</w:t>
            </w:r>
          </w:p>
        </w:tc>
        <w:tc>
          <w:tcPr>
            <w:tcW w:w="473" w:type="pct"/>
            <w:tcBorders>
              <w:top w:val="nil"/>
              <w:left w:val="nil"/>
              <w:bottom w:val="nil"/>
              <w:right w:val="nil"/>
            </w:tcBorders>
            <w:shd w:val="clear" w:color="auto" w:fill="FFFFFF"/>
            <w:tcMar>
              <w:left w:w="67" w:type="dxa"/>
              <w:right w:w="67" w:type="dxa"/>
            </w:tcMar>
          </w:tcPr>
          <w:p w14:paraId="663F152E"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48.3 (49.97) 1</w:t>
            </w:r>
          </w:p>
        </w:tc>
        <w:tc>
          <w:tcPr>
            <w:tcW w:w="474" w:type="pct"/>
            <w:tcBorders>
              <w:top w:val="nil"/>
              <w:left w:val="nil"/>
              <w:bottom w:val="nil"/>
              <w:right w:val="nil"/>
            </w:tcBorders>
            <w:shd w:val="clear" w:color="auto" w:fill="FFFFFF"/>
            <w:tcMar>
              <w:left w:w="67" w:type="dxa"/>
              <w:right w:w="67" w:type="dxa"/>
            </w:tcMar>
          </w:tcPr>
          <w:p w14:paraId="1D1C603A"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49.5 (49.08) 1</w:t>
            </w:r>
          </w:p>
        </w:tc>
        <w:tc>
          <w:tcPr>
            <w:tcW w:w="473" w:type="pct"/>
            <w:tcBorders>
              <w:top w:val="nil"/>
              <w:left w:val="nil"/>
              <w:bottom w:val="nil"/>
              <w:right w:val="nil"/>
            </w:tcBorders>
            <w:shd w:val="clear" w:color="auto" w:fill="FFFFFF"/>
            <w:tcMar>
              <w:left w:w="67" w:type="dxa"/>
              <w:right w:w="67" w:type="dxa"/>
            </w:tcMar>
          </w:tcPr>
          <w:p w14:paraId="64A454BB"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69.4 (42.49) 1</w:t>
            </w:r>
          </w:p>
        </w:tc>
        <w:tc>
          <w:tcPr>
            <w:tcW w:w="473" w:type="pct"/>
            <w:tcBorders>
              <w:top w:val="nil"/>
              <w:left w:val="nil"/>
              <w:bottom w:val="nil"/>
              <w:right w:val="nil"/>
            </w:tcBorders>
            <w:shd w:val="clear" w:color="auto" w:fill="FFFFFF"/>
            <w:tcMar>
              <w:left w:w="67" w:type="dxa"/>
              <w:right w:w="67" w:type="dxa"/>
            </w:tcMar>
          </w:tcPr>
          <w:p w14:paraId="0F53649A"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46.8 (49.89) 0</w:t>
            </w:r>
          </w:p>
        </w:tc>
        <w:tc>
          <w:tcPr>
            <w:tcW w:w="474" w:type="pct"/>
            <w:tcBorders>
              <w:top w:val="nil"/>
              <w:left w:val="nil"/>
              <w:bottom w:val="nil"/>
              <w:right w:val="nil"/>
            </w:tcBorders>
            <w:shd w:val="clear" w:color="auto" w:fill="FFFFFF"/>
            <w:tcMar>
              <w:left w:w="67" w:type="dxa"/>
              <w:right w:w="67" w:type="dxa"/>
            </w:tcMar>
          </w:tcPr>
          <w:p w14:paraId="0D47132F"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55.1 (48.14) 1</w:t>
            </w:r>
          </w:p>
        </w:tc>
        <w:tc>
          <w:tcPr>
            <w:tcW w:w="473" w:type="pct"/>
            <w:tcBorders>
              <w:top w:val="nil"/>
              <w:left w:val="nil"/>
              <w:bottom w:val="nil"/>
              <w:right w:val="nil"/>
            </w:tcBorders>
            <w:shd w:val="clear" w:color="auto" w:fill="FFFFFF"/>
            <w:tcMar>
              <w:left w:w="67" w:type="dxa"/>
              <w:right w:w="67" w:type="dxa"/>
            </w:tcMar>
          </w:tcPr>
          <w:p w14:paraId="7AB79E21"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36.8 (46.67) 0</w:t>
            </w:r>
          </w:p>
        </w:tc>
        <w:tc>
          <w:tcPr>
            <w:tcW w:w="473" w:type="pct"/>
            <w:tcBorders>
              <w:top w:val="nil"/>
              <w:left w:val="nil"/>
              <w:bottom w:val="nil"/>
              <w:right w:val="nil"/>
            </w:tcBorders>
            <w:shd w:val="clear" w:color="auto" w:fill="FFFFFF"/>
            <w:tcMar>
              <w:left w:w="67" w:type="dxa"/>
              <w:right w:w="67" w:type="dxa"/>
            </w:tcMar>
          </w:tcPr>
          <w:p w14:paraId="713A50B2"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46.7 (50.74) 1</w:t>
            </w:r>
          </w:p>
        </w:tc>
        <w:tc>
          <w:tcPr>
            <w:tcW w:w="475" w:type="pct"/>
            <w:tcBorders>
              <w:top w:val="nil"/>
              <w:left w:val="nil"/>
              <w:bottom w:val="nil"/>
              <w:right w:val="single" w:sz="4" w:space="0" w:color="auto"/>
            </w:tcBorders>
            <w:shd w:val="clear" w:color="auto" w:fill="FFFFFF"/>
            <w:tcMar>
              <w:left w:w="67" w:type="dxa"/>
              <w:right w:w="67" w:type="dxa"/>
            </w:tcMar>
          </w:tcPr>
          <w:p w14:paraId="6536AE7A" w14:textId="77777777" w:rsidR="00E07CDE" w:rsidRPr="00563AD3" w:rsidRDefault="00E07CDE" w:rsidP="006C0B32">
            <w:pPr>
              <w:spacing w:before="67" w:after="67" w:line="240" w:lineRule="auto"/>
              <w:jc w:val="right"/>
              <w:rPr>
                <w:rFonts w:eastAsia="Times New Roman"/>
                <w:color w:val="000000"/>
                <w:sz w:val="16"/>
                <w:szCs w:val="16"/>
              </w:rPr>
            </w:pPr>
            <w:r w:rsidRPr="00563AD3">
              <w:rPr>
                <w:rFonts w:eastAsia="Times New Roman"/>
                <w:color w:val="000000"/>
                <w:sz w:val="16"/>
                <w:szCs w:val="16"/>
              </w:rPr>
              <w:t>42.9 (48.95) 1</w:t>
            </w:r>
          </w:p>
        </w:tc>
      </w:tr>
      <w:tr w:rsidR="00E07CDE" w:rsidRPr="00563AD3" w14:paraId="4EE74DC9" w14:textId="77777777" w:rsidTr="00C163F3">
        <w:trPr>
          <w:cantSplit/>
          <w:jc w:val="center"/>
        </w:trPr>
        <w:tc>
          <w:tcPr>
            <w:tcW w:w="739" w:type="pct"/>
            <w:tcBorders>
              <w:top w:val="nil"/>
              <w:left w:val="single" w:sz="4" w:space="0" w:color="auto"/>
              <w:bottom w:val="single" w:sz="4" w:space="0" w:color="auto"/>
              <w:right w:val="nil"/>
            </w:tcBorders>
            <w:shd w:val="clear" w:color="auto" w:fill="FFFFFF"/>
            <w:tcMar>
              <w:left w:w="67" w:type="dxa"/>
              <w:right w:w="67" w:type="dxa"/>
            </w:tcMar>
          </w:tcPr>
          <w:p w14:paraId="4214320B" w14:textId="77777777" w:rsidR="00E07CDE" w:rsidRPr="00563AD3" w:rsidRDefault="00E07CDE" w:rsidP="006C0B32">
            <w:pPr>
              <w:keepNext/>
              <w:spacing w:before="67" w:after="67" w:line="240" w:lineRule="auto"/>
              <w:rPr>
                <w:rFonts w:eastAsia="Times New Roman"/>
                <w:color w:val="000000"/>
                <w:sz w:val="16"/>
                <w:szCs w:val="16"/>
              </w:rPr>
            </w:pPr>
            <w:r w:rsidRPr="00563AD3">
              <w:rPr>
                <w:rFonts w:eastAsia="Times New Roman"/>
                <w:color w:val="000000"/>
                <w:sz w:val="16"/>
                <w:szCs w:val="16"/>
              </w:rPr>
              <w:t>Domestic activity</w:t>
            </w:r>
          </w:p>
        </w:tc>
        <w:tc>
          <w:tcPr>
            <w:tcW w:w="473" w:type="pct"/>
            <w:tcBorders>
              <w:top w:val="nil"/>
              <w:left w:val="nil"/>
              <w:bottom w:val="single" w:sz="4" w:space="0" w:color="auto"/>
              <w:right w:val="nil"/>
            </w:tcBorders>
            <w:shd w:val="clear" w:color="auto" w:fill="FFFFFF"/>
            <w:tcMar>
              <w:left w:w="67" w:type="dxa"/>
              <w:right w:w="67" w:type="dxa"/>
            </w:tcMar>
          </w:tcPr>
          <w:p w14:paraId="1BD09F0C" w14:textId="77777777" w:rsidR="00E07CDE" w:rsidRPr="00563AD3" w:rsidRDefault="00E07CDE" w:rsidP="006C0B32">
            <w:pPr>
              <w:keepNext/>
              <w:spacing w:before="67" w:after="67" w:line="240" w:lineRule="auto"/>
              <w:jc w:val="right"/>
              <w:rPr>
                <w:rFonts w:eastAsia="Times New Roman"/>
                <w:color w:val="000000"/>
                <w:sz w:val="16"/>
                <w:szCs w:val="16"/>
              </w:rPr>
            </w:pPr>
            <w:r w:rsidRPr="00563AD3">
              <w:rPr>
                <w:rFonts w:eastAsia="Times New Roman"/>
                <w:color w:val="000000"/>
                <w:sz w:val="16"/>
                <w:szCs w:val="16"/>
              </w:rPr>
              <w:t>35 (9.36) 1</w:t>
            </w:r>
          </w:p>
        </w:tc>
        <w:tc>
          <w:tcPr>
            <w:tcW w:w="473" w:type="pct"/>
            <w:tcBorders>
              <w:top w:val="nil"/>
              <w:left w:val="nil"/>
              <w:bottom w:val="single" w:sz="4" w:space="0" w:color="auto"/>
              <w:right w:val="nil"/>
            </w:tcBorders>
            <w:shd w:val="clear" w:color="auto" w:fill="FFFFFF"/>
            <w:tcMar>
              <w:left w:w="67" w:type="dxa"/>
              <w:right w:w="67" w:type="dxa"/>
            </w:tcMar>
          </w:tcPr>
          <w:p w14:paraId="2D725B0A" w14:textId="77777777" w:rsidR="00E07CDE" w:rsidRPr="00563AD3" w:rsidRDefault="00E07CDE" w:rsidP="006C0B32">
            <w:pPr>
              <w:keepNext/>
              <w:spacing w:before="67" w:after="67" w:line="240" w:lineRule="auto"/>
              <w:jc w:val="right"/>
              <w:rPr>
                <w:rFonts w:eastAsia="Times New Roman"/>
                <w:color w:val="000000"/>
                <w:sz w:val="16"/>
                <w:szCs w:val="16"/>
              </w:rPr>
            </w:pPr>
            <w:r w:rsidRPr="00563AD3">
              <w:rPr>
                <w:rFonts w:eastAsia="Times New Roman"/>
                <w:color w:val="000000"/>
                <w:sz w:val="16"/>
                <w:szCs w:val="16"/>
              </w:rPr>
              <w:t>33.2 (11.43) 2</w:t>
            </w:r>
          </w:p>
        </w:tc>
        <w:tc>
          <w:tcPr>
            <w:tcW w:w="474" w:type="pct"/>
            <w:tcBorders>
              <w:top w:val="nil"/>
              <w:left w:val="nil"/>
              <w:bottom w:val="single" w:sz="4" w:space="0" w:color="auto"/>
              <w:right w:val="nil"/>
            </w:tcBorders>
            <w:shd w:val="clear" w:color="auto" w:fill="FFFFFF"/>
            <w:tcMar>
              <w:left w:w="67" w:type="dxa"/>
              <w:right w:w="67" w:type="dxa"/>
            </w:tcMar>
          </w:tcPr>
          <w:p w14:paraId="171B53A5" w14:textId="77777777" w:rsidR="00E07CDE" w:rsidRPr="00563AD3" w:rsidRDefault="00E07CDE" w:rsidP="006C0B32">
            <w:pPr>
              <w:keepNext/>
              <w:spacing w:before="67" w:after="67" w:line="240" w:lineRule="auto"/>
              <w:jc w:val="right"/>
              <w:rPr>
                <w:rFonts w:eastAsia="Times New Roman"/>
                <w:color w:val="000000"/>
                <w:sz w:val="16"/>
                <w:szCs w:val="16"/>
              </w:rPr>
            </w:pPr>
            <w:r w:rsidRPr="00563AD3">
              <w:rPr>
                <w:rFonts w:eastAsia="Times New Roman"/>
                <w:color w:val="000000"/>
                <w:sz w:val="16"/>
                <w:szCs w:val="16"/>
              </w:rPr>
              <w:t>33.9 (10.62) 3</w:t>
            </w:r>
          </w:p>
        </w:tc>
        <w:tc>
          <w:tcPr>
            <w:tcW w:w="473" w:type="pct"/>
            <w:tcBorders>
              <w:top w:val="nil"/>
              <w:left w:val="nil"/>
              <w:bottom w:val="single" w:sz="4" w:space="0" w:color="auto"/>
              <w:right w:val="nil"/>
            </w:tcBorders>
            <w:shd w:val="clear" w:color="auto" w:fill="FFFFFF"/>
            <w:tcMar>
              <w:left w:w="67" w:type="dxa"/>
              <w:right w:w="67" w:type="dxa"/>
            </w:tcMar>
          </w:tcPr>
          <w:p w14:paraId="0E649F96" w14:textId="77777777" w:rsidR="00E07CDE" w:rsidRPr="00563AD3" w:rsidRDefault="00E07CDE" w:rsidP="006C0B32">
            <w:pPr>
              <w:keepNext/>
              <w:spacing w:before="67" w:after="67" w:line="240" w:lineRule="auto"/>
              <w:jc w:val="right"/>
              <w:rPr>
                <w:rFonts w:eastAsia="Times New Roman"/>
                <w:color w:val="000000"/>
                <w:sz w:val="16"/>
                <w:szCs w:val="16"/>
              </w:rPr>
            </w:pPr>
            <w:r w:rsidRPr="00563AD3">
              <w:rPr>
                <w:rFonts w:eastAsia="Times New Roman"/>
                <w:color w:val="000000"/>
                <w:sz w:val="16"/>
                <w:szCs w:val="16"/>
              </w:rPr>
              <w:t>35.9 (11.62) 0</w:t>
            </w:r>
          </w:p>
        </w:tc>
        <w:tc>
          <w:tcPr>
            <w:tcW w:w="473" w:type="pct"/>
            <w:tcBorders>
              <w:top w:val="nil"/>
              <w:left w:val="nil"/>
              <w:bottom w:val="single" w:sz="4" w:space="0" w:color="auto"/>
              <w:right w:val="nil"/>
            </w:tcBorders>
            <w:shd w:val="clear" w:color="auto" w:fill="FFFFFF"/>
            <w:tcMar>
              <w:left w:w="67" w:type="dxa"/>
              <w:right w:w="67" w:type="dxa"/>
            </w:tcMar>
          </w:tcPr>
          <w:p w14:paraId="454AEB46" w14:textId="77777777" w:rsidR="00E07CDE" w:rsidRPr="00563AD3" w:rsidRDefault="00E07CDE" w:rsidP="006C0B32">
            <w:pPr>
              <w:keepNext/>
              <w:spacing w:before="67" w:after="67" w:line="240" w:lineRule="auto"/>
              <w:jc w:val="right"/>
              <w:rPr>
                <w:rFonts w:eastAsia="Times New Roman"/>
                <w:color w:val="000000"/>
                <w:sz w:val="16"/>
                <w:szCs w:val="16"/>
              </w:rPr>
            </w:pPr>
            <w:r w:rsidRPr="00563AD3">
              <w:rPr>
                <w:rFonts w:eastAsia="Times New Roman"/>
                <w:color w:val="000000"/>
                <w:sz w:val="16"/>
                <w:szCs w:val="16"/>
              </w:rPr>
              <w:t>32.5 (11.46) 0</w:t>
            </w:r>
          </w:p>
        </w:tc>
        <w:tc>
          <w:tcPr>
            <w:tcW w:w="474" w:type="pct"/>
            <w:tcBorders>
              <w:top w:val="nil"/>
              <w:left w:val="nil"/>
              <w:bottom w:val="single" w:sz="4" w:space="0" w:color="auto"/>
              <w:right w:val="nil"/>
            </w:tcBorders>
            <w:shd w:val="clear" w:color="auto" w:fill="FFFFFF"/>
            <w:tcMar>
              <w:left w:w="67" w:type="dxa"/>
              <w:right w:w="67" w:type="dxa"/>
            </w:tcMar>
          </w:tcPr>
          <w:p w14:paraId="6630B598" w14:textId="77777777" w:rsidR="00E07CDE" w:rsidRPr="00563AD3" w:rsidRDefault="00E07CDE" w:rsidP="006C0B32">
            <w:pPr>
              <w:keepNext/>
              <w:spacing w:before="67" w:after="67" w:line="240" w:lineRule="auto"/>
              <w:jc w:val="right"/>
              <w:rPr>
                <w:rFonts w:eastAsia="Times New Roman"/>
                <w:color w:val="000000"/>
                <w:sz w:val="16"/>
                <w:szCs w:val="16"/>
              </w:rPr>
            </w:pPr>
            <w:r w:rsidRPr="00563AD3">
              <w:rPr>
                <w:rFonts w:eastAsia="Times New Roman"/>
                <w:color w:val="000000"/>
                <w:sz w:val="16"/>
                <w:szCs w:val="16"/>
              </w:rPr>
              <w:t>33.8 (11.52) 0</w:t>
            </w:r>
          </w:p>
        </w:tc>
        <w:tc>
          <w:tcPr>
            <w:tcW w:w="473" w:type="pct"/>
            <w:tcBorders>
              <w:top w:val="nil"/>
              <w:left w:val="nil"/>
              <w:bottom w:val="single" w:sz="4" w:space="0" w:color="auto"/>
              <w:right w:val="nil"/>
            </w:tcBorders>
            <w:shd w:val="clear" w:color="auto" w:fill="FFFFFF"/>
            <w:tcMar>
              <w:left w:w="67" w:type="dxa"/>
              <w:right w:w="67" w:type="dxa"/>
            </w:tcMar>
          </w:tcPr>
          <w:p w14:paraId="75B367E6" w14:textId="77777777" w:rsidR="00E07CDE" w:rsidRPr="00563AD3" w:rsidRDefault="00E07CDE" w:rsidP="006C0B32">
            <w:pPr>
              <w:keepNext/>
              <w:spacing w:before="67" w:after="67" w:line="240" w:lineRule="auto"/>
              <w:jc w:val="right"/>
              <w:rPr>
                <w:rFonts w:eastAsia="Times New Roman"/>
                <w:color w:val="000000"/>
                <w:sz w:val="16"/>
                <w:szCs w:val="16"/>
              </w:rPr>
            </w:pPr>
            <w:r w:rsidRPr="00563AD3">
              <w:rPr>
                <w:rFonts w:eastAsia="Times New Roman"/>
                <w:color w:val="000000"/>
                <w:sz w:val="16"/>
                <w:szCs w:val="16"/>
              </w:rPr>
              <w:t>34.9 (10.22) 0</w:t>
            </w:r>
          </w:p>
        </w:tc>
        <w:tc>
          <w:tcPr>
            <w:tcW w:w="473" w:type="pct"/>
            <w:tcBorders>
              <w:top w:val="nil"/>
              <w:left w:val="nil"/>
              <w:bottom w:val="single" w:sz="4" w:space="0" w:color="auto"/>
              <w:right w:val="nil"/>
            </w:tcBorders>
            <w:shd w:val="clear" w:color="auto" w:fill="FFFFFF"/>
            <w:tcMar>
              <w:left w:w="67" w:type="dxa"/>
              <w:right w:w="67" w:type="dxa"/>
            </w:tcMar>
          </w:tcPr>
          <w:p w14:paraId="7EA5E108" w14:textId="77777777" w:rsidR="00E07CDE" w:rsidRPr="00563AD3" w:rsidRDefault="00E07CDE" w:rsidP="006C0B32">
            <w:pPr>
              <w:keepNext/>
              <w:spacing w:before="67" w:after="67" w:line="240" w:lineRule="auto"/>
              <w:jc w:val="right"/>
              <w:rPr>
                <w:rFonts w:eastAsia="Times New Roman"/>
                <w:color w:val="000000"/>
                <w:sz w:val="16"/>
                <w:szCs w:val="16"/>
              </w:rPr>
            </w:pPr>
            <w:r w:rsidRPr="00563AD3">
              <w:rPr>
                <w:rFonts w:eastAsia="Times New Roman"/>
                <w:color w:val="000000"/>
                <w:sz w:val="16"/>
                <w:szCs w:val="16"/>
              </w:rPr>
              <w:t>33.1 (10.19) 0</w:t>
            </w:r>
          </w:p>
        </w:tc>
        <w:tc>
          <w:tcPr>
            <w:tcW w:w="475" w:type="pct"/>
            <w:tcBorders>
              <w:top w:val="nil"/>
              <w:left w:val="nil"/>
              <w:bottom w:val="single" w:sz="4" w:space="0" w:color="auto"/>
              <w:right w:val="single" w:sz="4" w:space="0" w:color="auto"/>
            </w:tcBorders>
            <w:shd w:val="clear" w:color="auto" w:fill="FFFFFF"/>
            <w:tcMar>
              <w:left w:w="67" w:type="dxa"/>
              <w:right w:w="67" w:type="dxa"/>
            </w:tcMar>
          </w:tcPr>
          <w:p w14:paraId="3CB6E120" w14:textId="77777777" w:rsidR="00E07CDE" w:rsidRPr="00563AD3" w:rsidRDefault="00E07CDE" w:rsidP="006C0B32">
            <w:pPr>
              <w:keepNext/>
              <w:spacing w:before="67" w:after="67" w:line="240" w:lineRule="auto"/>
              <w:jc w:val="right"/>
              <w:rPr>
                <w:rFonts w:eastAsia="Times New Roman"/>
                <w:color w:val="000000"/>
                <w:sz w:val="16"/>
                <w:szCs w:val="16"/>
              </w:rPr>
            </w:pPr>
            <w:r w:rsidRPr="00563AD3">
              <w:rPr>
                <w:rFonts w:eastAsia="Times New Roman"/>
                <w:color w:val="000000"/>
                <w:sz w:val="16"/>
                <w:szCs w:val="16"/>
              </w:rPr>
              <w:t>33.8 (10.14) 0</w:t>
            </w:r>
          </w:p>
        </w:tc>
      </w:tr>
    </w:tbl>
    <w:p w14:paraId="1A9FE499" w14:textId="77777777" w:rsidR="00E07CDE" w:rsidRPr="00563AD3" w:rsidRDefault="00E07CDE" w:rsidP="009B13F3">
      <w:pPr>
        <w:keepNext/>
        <w:autoSpaceDE/>
        <w:autoSpaceDN/>
        <w:adjustRightInd/>
        <w:spacing w:before="120" w:after="0"/>
        <w:rPr>
          <w:rFonts w:eastAsia="Calibri"/>
          <w:b/>
          <w:bCs/>
          <w:sz w:val="24"/>
          <w:szCs w:val="18"/>
          <w:lang w:eastAsia="en-US"/>
        </w:rPr>
      </w:pPr>
    </w:p>
    <w:p w14:paraId="6E2336BA" w14:textId="5CE83463" w:rsidR="00AC38BD" w:rsidRPr="00563AD3" w:rsidRDefault="00AC38BD" w:rsidP="009B13F3">
      <w:pPr>
        <w:autoSpaceDE/>
        <w:autoSpaceDN/>
        <w:adjustRightInd/>
        <w:rPr>
          <w:rFonts w:eastAsia="Calibri"/>
          <w:b/>
          <w:bCs/>
          <w:sz w:val="24"/>
          <w:szCs w:val="18"/>
          <w:lang w:eastAsia="en-US"/>
        </w:rPr>
      </w:pPr>
      <w:bookmarkStart w:id="363" w:name="_Toc500935035"/>
    </w:p>
    <w:p w14:paraId="605E6F2D" w14:textId="77777777" w:rsidR="00EC0517" w:rsidRDefault="00EC0517" w:rsidP="009B13F3">
      <w:pPr>
        <w:autoSpaceDE/>
        <w:autoSpaceDN/>
        <w:adjustRightInd/>
        <w:rPr>
          <w:rFonts w:eastAsia="Calibri"/>
          <w:b/>
          <w:bCs/>
          <w:sz w:val="24"/>
          <w:szCs w:val="18"/>
          <w:lang w:eastAsia="en-US"/>
        </w:rPr>
      </w:pPr>
      <w:r>
        <w:rPr>
          <w:rFonts w:eastAsia="Calibri"/>
          <w:b/>
          <w:bCs/>
          <w:sz w:val="24"/>
          <w:szCs w:val="18"/>
          <w:lang w:eastAsia="en-US"/>
        </w:rPr>
        <w:br w:type="page"/>
      </w:r>
    </w:p>
    <w:p w14:paraId="03118D7D" w14:textId="0BB93FD6" w:rsidR="00E07CDE" w:rsidRPr="00563AD3" w:rsidRDefault="00E07CDE" w:rsidP="006C0B32">
      <w:pPr>
        <w:pStyle w:val="Tableheading"/>
        <w:rPr>
          <w:rFonts w:eastAsia="Calibri"/>
          <w:lang w:eastAsia="en-US"/>
        </w:rPr>
      </w:pPr>
      <w:bookmarkStart w:id="364" w:name="_Toc948261"/>
      <w:r w:rsidRPr="00563AD3">
        <w:rPr>
          <w:rFonts w:eastAsia="Calibri"/>
          <w:lang w:eastAsia="en-US"/>
        </w:rPr>
        <w:t xml:space="preserve">Table </w:t>
      </w:r>
      <w:r w:rsidR="001B1313">
        <w:rPr>
          <w:rFonts w:eastAsia="Calibri"/>
          <w:lang w:eastAsia="en-US"/>
        </w:rPr>
        <w:t>64</w:t>
      </w:r>
      <w:r w:rsidR="001B1313" w:rsidRPr="00563AD3">
        <w:rPr>
          <w:rFonts w:eastAsia="Calibri"/>
          <w:lang w:eastAsia="en-US"/>
        </w:rPr>
        <w:t xml:space="preserve"> </w:t>
      </w:r>
      <w:r w:rsidRPr="00563AD3">
        <w:rPr>
          <w:rFonts w:eastAsia="Calibri"/>
          <w:lang w:eastAsia="en-US"/>
        </w:rPr>
        <w:t>Group living home characteristics</w:t>
      </w:r>
      <w:bookmarkEnd w:id="363"/>
      <w:bookmarkEnd w:id="364"/>
    </w:p>
    <w:tbl>
      <w:tblPr>
        <w:tblW w:w="5000" w:type="pct"/>
        <w:jc w:val="center"/>
        <w:tblCellMar>
          <w:left w:w="0" w:type="dxa"/>
          <w:right w:w="0" w:type="dxa"/>
        </w:tblCellMar>
        <w:tblLook w:val="0000" w:firstRow="0" w:lastRow="0" w:firstColumn="0" w:lastColumn="0" w:noHBand="0" w:noVBand="0"/>
      </w:tblPr>
      <w:tblGrid>
        <w:gridCol w:w="2004"/>
        <w:gridCol w:w="1298"/>
        <w:gridCol w:w="1333"/>
        <w:gridCol w:w="1297"/>
        <w:gridCol w:w="1297"/>
        <w:gridCol w:w="1333"/>
        <w:gridCol w:w="1462"/>
        <w:gridCol w:w="1297"/>
        <w:gridCol w:w="1333"/>
        <w:gridCol w:w="1294"/>
      </w:tblGrid>
      <w:tr w:rsidR="00E07CDE" w:rsidRPr="00563AD3" w14:paraId="6B8375FF" w14:textId="77777777" w:rsidTr="006C0B32">
        <w:trPr>
          <w:cantSplit/>
          <w:tblHeader/>
          <w:jc w:val="center"/>
        </w:trPr>
        <w:tc>
          <w:tcPr>
            <w:tcW w:w="718" w:type="pct"/>
            <w:tcBorders>
              <w:top w:val="single" w:sz="4" w:space="0" w:color="auto"/>
              <w:left w:val="single" w:sz="4" w:space="0" w:color="auto"/>
              <w:bottom w:val="nil"/>
              <w:right w:val="nil"/>
            </w:tcBorders>
            <w:shd w:val="clear" w:color="auto" w:fill="FFFFFF"/>
            <w:tcMar>
              <w:left w:w="67" w:type="dxa"/>
              <w:right w:w="67" w:type="dxa"/>
            </w:tcMar>
            <w:vAlign w:val="bottom"/>
          </w:tcPr>
          <w:p w14:paraId="536DA7F6" w14:textId="77777777" w:rsidR="00E07CDE" w:rsidRPr="00563AD3" w:rsidRDefault="00E07CDE" w:rsidP="006C0B32">
            <w:pPr>
              <w:keepNext/>
              <w:spacing w:before="67" w:after="67" w:line="240" w:lineRule="auto"/>
              <w:jc w:val="center"/>
              <w:rPr>
                <w:rFonts w:eastAsia="Times New Roman"/>
                <w:b/>
                <w:bCs/>
                <w:color w:val="000000"/>
                <w:sz w:val="20"/>
                <w:szCs w:val="20"/>
              </w:rPr>
            </w:pPr>
          </w:p>
        </w:tc>
        <w:tc>
          <w:tcPr>
            <w:tcW w:w="4282" w:type="pct"/>
            <w:gridSpan w:val="9"/>
            <w:tcBorders>
              <w:top w:val="single" w:sz="4" w:space="0" w:color="auto"/>
              <w:left w:val="nil"/>
              <w:bottom w:val="nil"/>
              <w:right w:val="single" w:sz="4" w:space="0" w:color="auto"/>
            </w:tcBorders>
            <w:shd w:val="clear" w:color="auto" w:fill="FFFFFF"/>
            <w:tcMar>
              <w:left w:w="67" w:type="dxa"/>
              <w:right w:w="67" w:type="dxa"/>
            </w:tcMar>
            <w:vAlign w:val="bottom"/>
          </w:tcPr>
          <w:p w14:paraId="30D16103" w14:textId="77777777"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GLHC summaries</w:t>
            </w:r>
          </w:p>
        </w:tc>
      </w:tr>
      <w:tr w:rsidR="00E07CDE" w:rsidRPr="00563AD3" w14:paraId="72EFE939" w14:textId="77777777" w:rsidTr="006C0B32">
        <w:trPr>
          <w:cantSplit/>
          <w:tblHeader/>
          <w:jc w:val="center"/>
        </w:trPr>
        <w:tc>
          <w:tcPr>
            <w:tcW w:w="718" w:type="pct"/>
            <w:tcBorders>
              <w:top w:val="nil"/>
              <w:left w:val="single" w:sz="4" w:space="0" w:color="auto"/>
              <w:bottom w:val="nil"/>
              <w:right w:val="nil"/>
            </w:tcBorders>
            <w:shd w:val="clear" w:color="auto" w:fill="FFFFFF"/>
            <w:tcMar>
              <w:left w:w="67" w:type="dxa"/>
              <w:right w:w="67" w:type="dxa"/>
            </w:tcMar>
            <w:vAlign w:val="bottom"/>
          </w:tcPr>
          <w:p w14:paraId="2D52A389" w14:textId="77777777" w:rsidR="00E07CDE" w:rsidRPr="00563AD3" w:rsidRDefault="00E07CDE" w:rsidP="006C0B32">
            <w:pPr>
              <w:keepNext/>
              <w:spacing w:before="67" w:after="67" w:line="240" w:lineRule="auto"/>
              <w:jc w:val="center"/>
              <w:rPr>
                <w:rFonts w:eastAsia="Times New Roman"/>
                <w:b/>
                <w:bCs/>
                <w:color w:val="000000"/>
                <w:sz w:val="20"/>
                <w:szCs w:val="20"/>
              </w:rPr>
            </w:pPr>
          </w:p>
        </w:tc>
        <w:tc>
          <w:tcPr>
            <w:tcW w:w="1407" w:type="pct"/>
            <w:gridSpan w:val="3"/>
            <w:tcBorders>
              <w:top w:val="nil"/>
              <w:left w:val="nil"/>
              <w:bottom w:val="nil"/>
              <w:right w:val="nil"/>
            </w:tcBorders>
            <w:shd w:val="clear" w:color="auto" w:fill="FFFFFF"/>
            <w:tcMar>
              <w:left w:w="67" w:type="dxa"/>
              <w:right w:w="67" w:type="dxa"/>
            </w:tcMar>
            <w:vAlign w:val="bottom"/>
          </w:tcPr>
          <w:p w14:paraId="565887D3" w14:textId="77777777"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Baseline</w:t>
            </w:r>
          </w:p>
        </w:tc>
        <w:tc>
          <w:tcPr>
            <w:tcW w:w="1467" w:type="pct"/>
            <w:gridSpan w:val="3"/>
            <w:tcBorders>
              <w:top w:val="nil"/>
              <w:left w:val="nil"/>
              <w:bottom w:val="nil"/>
              <w:right w:val="nil"/>
            </w:tcBorders>
            <w:shd w:val="clear" w:color="auto" w:fill="FFFFFF"/>
            <w:tcMar>
              <w:left w:w="67" w:type="dxa"/>
              <w:right w:w="67" w:type="dxa"/>
            </w:tcMar>
            <w:vAlign w:val="bottom"/>
          </w:tcPr>
          <w:p w14:paraId="1D5F8751" w14:textId="410FE289"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6</w:t>
            </w:r>
            <w:r w:rsidR="00B80810">
              <w:rPr>
                <w:rFonts w:eastAsia="Times New Roman"/>
                <w:b/>
                <w:bCs/>
                <w:color w:val="000000"/>
                <w:sz w:val="20"/>
                <w:szCs w:val="20"/>
              </w:rPr>
              <w:t>-months</w:t>
            </w:r>
          </w:p>
        </w:tc>
        <w:tc>
          <w:tcPr>
            <w:tcW w:w="1407" w:type="pct"/>
            <w:gridSpan w:val="3"/>
            <w:tcBorders>
              <w:top w:val="nil"/>
              <w:left w:val="nil"/>
              <w:bottom w:val="nil"/>
              <w:right w:val="single" w:sz="4" w:space="0" w:color="auto"/>
            </w:tcBorders>
            <w:shd w:val="clear" w:color="auto" w:fill="FFFFFF"/>
            <w:tcMar>
              <w:left w:w="67" w:type="dxa"/>
              <w:right w:w="67" w:type="dxa"/>
            </w:tcMar>
            <w:vAlign w:val="bottom"/>
          </w:tcPr>
          <w:p w14:paraId="74D6E3D9" w14:textId="4825E35B"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16</w:t>
            </w:r>
            <w:r w:rsidR="00B80810">
              <w:rPr>
                <w:rFonts w:eastAsia="Times New Roman"/>
                <w:b/>
                <w:bCs/>
                <w:color w:val="000000"/>
                <w:sz w:val="20"/>
                <w:szCs w:val="20"/>
              </w:rPr>
              <w:t>-months</w:t>
            </w:r>
          </w:p>
        </w:tc>
      </w:tr>
      <w:tr w:rsidR="00E07CDE" w:rsidRPr="00563AD3" w14:paraId="65851399" w14:textId="77777777" w:rsidTr="006C0B32">
        <w:trPr>
          <w:cantSplit/>
          <w:tblHeader/>
          <w:jc w:val="center"/>
        </w:trPr>
        <w:tc>
          <w:tcPr>
            <w:tcW w:w="718" w:type="pct"/>
            <w:tcBorders>
              <w:top w:val="nil"/>
              <w:left w:val="single" w:sz="4" w:space="0" w:color="auto"/>
              <w:bottom w:val="single" w:sz="4" w:space="0" w:color="000000"/>
              <w:right w:val="nil"/>
            </w:tcBorders>
            <w:shd w:val="clear" w:color="auto" w:fill="FFFFFF"/>
            <w:tcMar>
              <w:left w:w="67" w:type="dxa"/>
              <w:right w:w="67" w:type="dxa"/>
            </w:tcMar>
            <w:vAlign w:val="bottom"/>
          </w:tcPr>
          <w:p w14:paraId="78D33766" w14:textId="77777777"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Mean (SD) missing</w:t>
            </w:r>
            <w:r w:rsidRPr="00563AD3">
              <w:rPr>
                <w:rFonts w:eastAsia="Times New Roman"/>
                <w:b/>
                <w:bCs/>
                <w:color w:val="000000"/>
                <w:sz w:val="20"/>
                <w:szCs w:val="20"/>
              </w:rPr>
              <w:br/>
              <w:t>Median (IQR)</w:t>
            </w:r>
          </w:p>
        </w:tc>
        <w:tc>
          <w:tcPr>
            <w:tcW w:w="465" w:type="pct"/>
            <w:tcBorders>
              <w:top w:val="nil"/>
              <w:left w:val="nil"/>
              <w:bottom w:val="single" w:sz="4" w:space="0" w:color="000000"/>
              <w:right w:val="nil"/>
            </w:tcBorders>
            <w:shd w:val="clear" w:color="auto" w:fill="FFFFFF"/>
            <w:tcMar>
              <w:left w:w="67" w:type="dxa"/>
              <w:right w:w="67" w:type="dxa"/>
            </w:tcMar>
            <w:vAlign w:val="bottom"/>
          </w:tcPr>
          <w:p w14:paraId="5A014275" w14:textId="77777777"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Control</w:t>
            </w:r>
            <w:r w:rsidRPr="00563AD3">
              <w:rPr>
                <w:rFonts w:eastAsia="Times New Roman"/>
                <w:b/>
                <w:bCs/>
                <w:color w:val="000000"/>
                <w:sz w:val="20"/>
                <w:szCs w:val="20"/>
              </w:rPr>
              <w:br/>
              <w:t>(n = 19)</w:t>
            </w:r>
          </w:p>
        </w:tc>
        <w:tc>
          <w:tcPr>
            <w:tcW w:w="478" w:type="pct"/>
            <w:tcBorders>
              <w:top w:val="nil"/>
              <w:left w:val="nil"/>
              <w:bottom w:val="single" w:sz="4" w:space="0" w:color="000000"/>
              <w:right w:val="nil"/>
            </w:tcBorders>
            <w:shd w:val="clear" w:color="auto" w:fill="FFFFFF"/>
            <w:tcMar>
              <w:left w:w="67" w:type="dxa"/>
              <w:right w:w="67" w:type="dxa"/>
            </w:tcMar>
            <w:vAlign w:val="bottom"/>
          </w:tcPr>
          <w:p w14:paraId="7D5F6CD3" w14:textId="77777777"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Intervention</w:t>
            </w:r>
            <w:r w:rsidRPr="00563AD3">
              <w:rPr>
                <w:rFonts w:eastAsia="Times New Roman"/>
                <w:b/>
                <w:bCs/>
                <w:color w:val="000000"/>
                <w:sz w:val="20"/>
                <w:szCs w:val="20"/>
              </w:rPr>
              <w:br/>
              <w:t>(n = 31)</w:t>
            </w:r>
          </w:p>
        </w:tc>
        <w:tc>
          <w:tcPr>
            <w:tcW w:w="465" w:type="pct"/>
            <w:tcBorders>
              <w:top w:val="nil"/>
              <w:left w:val="nil"/>
              <w:bottom w:val="single" w:sz="4" w:space="0" w:color="000000"/>
              <w:right w:val="nil"/>
            </w:tcBorders>
            <w:shd w:val="clear" w:color="auto" w:fill="FFFFFF"/>
            <w:tcMar>
              <w:left w:w="67" w:type="dxa"/>
              <w:right w:w="67" w:type="dxa"/>
            </w:tcMar>
            <w:vAlign w:val="bottom"/>
          </w:tcPr>
          <w:p w14:paraId="50DED130" w14:textId="77777777"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Total</w:t>
            </w:r>
            <w:r w:rsidRPr="00563AD3">
              <w:rPr>
                <w:rFonts w:eastAsia="Times New Roman"/>
                <w:b/>
                <w:bCs/>
                <w:color w:val="000000"/>
                <w:sz w:val="20"/>
                <w:szCs w:val="20"/>
              </w:rPr>
              <w:br/>
              <w:t>(n = 50)</w:t>
            </w:r>
          </w:p>
        </w:tc>
        <w:tc>
          <w:tcPr>
            <w:tcW w:w="465" w:type="pct"/>
            <w:tcBorders>
              <w:top w:val="nil"/>
              <w:left w:val="nil"/>
              <w:bottom w:val="single" w:sz="4" w:space="0" w:color="000000"/>
              <w:right w:val="nil"/>
            </w:tcBorders>
            <w:shd w:val="clear" w:color="auto" w:fill="FFFFFF"/>
            <w:tcMar>
              <w:left w:w="67" w:type="dxa"/>
              <w:right w:w="67" w:type="dxa"/>
            </w:tcMar>
            <w:vAlign w:val="bottom"/>
          </w:tcPr>
          <w:p w14:paraId="0F0C0611" w14:textId="77777777"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Control</w:t>
            </w:r>
            <w:r w:rsidRPr="00563AD3">
              <w:rPr>
                <w:rFonts w:eastAsia="Times New Roman"/>
                <w:b/>
                <w:bCs/>
                <w:color w:val="000000"/>
                <w:sz w:val="20"/>
                <w:szCs w:val="20"/>
              </w:rPr>
              <w:br/>
              <w:t>(n = 19)</w:t>
            </w:r>
          </w:p>
        </w:tc>
        <w:tc>
          <w:tcPr>
            <w:tcW w:w="478" w:type="pct"/>
            <w:tcBorders>
              <w:top w:val="nil"/>
              <w:left w:val="nil"/>
              <w:bottom w:val="single" w:sz="4" w:space="0" w:color="000000"/>
              <w:right w:val="nil"/>
            </w:tcBorders>
            <w:shd w:val="clear" w:color="auto" w:fill="FFFFFF"/>
            <w:tcMar>
              <w:left w:w="67" w:type="dxa"/>
              <w:right w:w="67" w:type="dxa"/>
            </w:tcMar>
            <w:vAlign w:val="bottom"/>
          </w:tcPr>
          <w:p w14:paraId="5B5175AB" w14:textId="77777777"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Intervention</w:t>
            </w:r>
            <w:r w:rsidRPr="00563AD3">
              <w:rPr>
                <w:rFonts w:eastAsia="Times New Roman"/>
                <w:b/>
                <w:bCs/>
                <w:color w:val="000000"/>
                <w:sz w:val="20"/>
                <w:szCs w:val="20"/>
              </w:rPr>
              <w:br/>
              <w:t>(n = 31)</w:t>
            </w:r>
          </w:p>
        </w:tc>
        <w:tc>
          <w:tcPr>
            <w:tcW w:w="524" w:type="pct"/>
            <w:tcBorders>
              <w:top w:val="nil"/>
              <w:left w:val="nil"/>
              <w:bottom w:val="single" w:sz="4" w:space="0" w:color="000000"/>
              <w:right w:val="nil"/>
            </w:tcBorders>
            <w:shd w:val="clear" w:color="auto" w:fill="FFFFFF"/>
            <w:tcMar>
              <w:left w:w="67" w:type="dxa"/>
              <w:right w:w="67" w:type="dxa"/>
            </w:tcMar>
            <w:vAlign w:val="bottom"/>
          </w:tcPr>
          <w:p w14:paraId="5F1C0380" w14:textId="77777777"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Total</w:t>
            </w:r>
            <w:r w:rsidRPr="00563AD3">
              <w:rPr>
                <w:rFonts w:eastAsia="Times New Roman"/>
                <w:b/>
                <w:bCs/>
                <w:color w:val="000000"/>
                <w:sz w:val="20"/>
                <w:szCs w:val="20"/>
              </w:rPr>
              <w:br/>
              <w:t>(n = 50)</w:t>
            </w:r>
          </w:p>
        </w:tc>
        <w:tc>
          <w:tcPr>
            <w:tcW w:w="465" w:type="pct"/>
            <w:tcBorders>
              <w:top w:val="nil"/>
              <w:left w:val="nil"/>
              <w:bottom w:val="single" w:sz="4" w:space="0" w:color="000000"/>
              <w:right w:val="nil"/>
            </w:tcBorders>
            <w:shd w:val="clear" w:color="auto" w:fill="FFFFFF"/>
            <w:tcMar>
              <w:left w:w="67" w:type="dxa"/>
              <w:right w:w="67" w:type="dxa"/>
            </w:tcMar>
            <w:vAlign w:val="bottom"/>
          </w:tcPr>
          <w:p w14:paraId="50BF324C" w14:textId="77777777"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Control</w:t>
            </w:r>
            <w:r w:rsidRPr="00563AD3">
              <w:rPr>
                <w:rFonts w:eastAsia="Times New Roman"/>
                <w:b/>
                <w:bCs/>
                <w:color w:val="000000"/>
                <w:sz w:val="20"/>
                <w:szCs w:val="20"/>
              </w:rPr>
              <w:br/>
              <w:t>(n = 19)</w:t>
            </w:r>
          </w:p>
        </w:tc>
        <w:tc>
          <w:tcPr>
            <w:tcW w:w="478" w:type="pct"/>
            <w:tcBorders>
              <w:top w:val="nil"/>
              <w:left w:val="nil"/>
              <w:bottom w:val="single" w:sz="4" w:space="0" w:color="000000"/>
              <w:right w:val="nil"/>
            </w:tcBorders>
            <w:shd w:val="clear" w:color="auto" w:fill="FFFFFF"/>
            <w:tcMar>
              <w:left w:w="67" w:type="dxa"/>
              <w:right w:w="67" w:type="dxa"/>
            </w:tcMar>
            <w:vAlign w:val="bottom"/>
          </w:tcPr>
          <w:p w14:paraId="51F95D8F" w14:textId="77777777"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Intervention</w:t>
            </w:r>
            <w:r w:rsidRPr="00563AD3">
              <w:rPr>
                <w:rFonts w:eastAsia="Times New Roman"/>
                <w:b/>
                <w:bCs/>
                <w:color w:val="000000"/>
                <w:sz w:val="20"/>
                <w:szCs w:val="20"/>
              </w:rPr>
              <w:br/>
              <w:t>(n = 31)</w:t>
            </w:r>
          </w:p>
        </w:tc>
        <w:tc>
          <w:tcPr>
            <w:tcW w:w="465" w:type="pct"/>
            <w:tcBorders>
              <w:top w:val="nil"/>
              <w:left w:val="nil"/>
              <w:bottom w:val="single" w:sz="4" w:space="0" w:color="000000"/>
              <w:right w:val="single" w:sz="4" w:space="0" w:color="auto"/>
            </w:tcBorders>
            <w:shd w:val="clear" w:color="auto" w:fill="FFFFFF"/>
            <w:tcMar>
              <w:left w:w="67" w:type="dxa"/>
              <w:right w:w="67" w:type="dxa"/>
            </w:tcMar>
            <w:vAlign w:val="bottom"/>
          </w:tcPr>
          <w:p w14:paraId="66870985" w14:textId="77777777" w:rsidR="00E07CDE" w:rsidRPr="00563AD3" w:rsidRDefault="00E07CDE" w:rsidP="006C0B32">
            <w:pPr>
              <w:keepNext/>
              <w:spacing w:before="67" w:after="67" w:line="240" w:lineRule="auto"/>
              <w:jc w:val="center"/>
              <w:rPr>
                <w:rFonts w:eastAsia="Times New Roman"/>
                <w:b/>
                <w:bCs/>
                <w:color w:val="000000"/>
                <w:sz w:val="20"/>
                <w:szCs w:val="20"/>
              </w:rPr>
            </w:pPr>
            <w:r w:rsidRPr="00563AD3">
              <w:rPr>
                <w:rFonts w:eastAsia="Times New Roman"/>
                <w:b/>
                <w:bCs/>
                <w:color w:val="000000"/>
                <w:sz w:val="20"/>
                <w:szCs w:val="20"/>
              </w:rPr>
              <w:t>Total</w:t>
            </w:r>
            <w:r w:rsidRPr="00563AD3">
              <w:rPr>
                <w:rFonts w:eastAsia="Times New Roman"/>
                <w:b/>
                <w:bCs/>
                <w:color w:val="000000"/>
                <w:sz w:val="20"/>
                <w:szCs w:val="20"/>
              </w:rPr>
              <w:br/>
              <w:t>(n = 50)</w:t>
            </w:r>
          </w:p>
        </w:tc>
      </w:tr>
      <w:tr w:rsidR="00E07CDE" w:rsidRPr="00563AD3" w14:paraId="6649AE91" w14:textId="77777777" w:rsidTr="006C0B32">
        <w:trPr>
          <w:cantSplit/>
          <w:jc w:val="center"/>
        </w:trPr>
        <w:tc>
          <w:tcPr>
            <w:tcW w:w="718" w:type="pct"/>
            <w:tcBorders>
              <w:top w:val="nil"/>
              <w:left w:val="single" w:sz="4" w:space="0" w:color="auto"/>
              <w:bottom w:val="nil"/>
              <w:right w:val="nil"/>
            </w:tcBorders>
            <w:shd w:val="clear" w:color="auto" w:fill="FFFFFF"/>
            <w:tcMar>
              <w:left w:w="67" w:type="dxa"/>
              <w:right w:w="67" w:type="dxa"/>
            </w:tcMar>
          </w:tcPr>
          <w:p w14:paraId="3D4DBE15" w14:textId="77777777" w:rsidR="00E07CDE" w:rsidRPr="00563AD3" w:rsidRDefault="00E07CDE" w:rsidP="006C0B32">
            <w:pPr>
              <w:keepNext/>
              <w:spacing w:before="67" w:after="67" w:line="240" w:lineRule="auto"/>
              <w:rPr>
                <w:rFonts w:eastAsia="Times New Roman"/>
                <w:b/>
                <w:bCs/>
                <w:color w:val="000000"/>
                <w:sz w:val="20"/>
                <w:szCs w:val="20"/>
              </w:rPr>
            </w:pPr>
            <w:r w:rsidRPr="00563AD3">
              <w:rPr>
                <w:rFonts w:eastAsia="Times New Roman"/>
                <w:b/>
                <w:bCs/>
                <w:color w:val="000000"/>
                <w:sz w:val="20"/>
                <w:szCs w:val="20"/>
              </w:rPr>
              <w:t>Total GLHC score</w:t>
            </w:r>
          </w:p>
        </w:tc>
        <w:tc>
          <w:tcPr>
            <w:tcW w:w="465" w:type="pct"/>
            <w:tcBorders>
              <w:top w:val="nil"/>
              <w:left w:val="nil"/>
              <w:bottom w:val="nil"/>
              <w:right w:val="nil"/>
            </w:tcBorders>
            <w:shd w:val="clear" w:color="auto" w:fill="FFFFFF"/>
            <w:tcMar>
              <w:left w:w="67" w:type="dxa"/>
              <w:right w:w="67" w:type="dxa"/>
            </w:tcMar>
          </w:tcPr>
          <w:p w14:paraId="6A81FBE0" w14:textId="77777777" w:rsidR="00E07CDE" w:rsidRPr="00563AD3" w:rsidRDefault="00E07CDE" w:rsidP="006C0B32">
            <w:pPr>
              <w:keepNext/>
              <w:spacing w:before="67" w:after="67" w:line="240" w:lineRule="auto"/>
              <w:rPr>
                <w:rFonts w:eastAsia="Times New Roman"/>
                <w:color w:val="000000"/>
                <w:sz w:val="20"/>
                <w:szCs w:val="20"/>
              </w:rPr>
            </w:pPr>
            <w:r w:rsidRPr="00563AD3">
              <w:rPr>
                <w:rFonts w:eastAsia="Times New Roman"/>
                <w:color w:val="000000"/>
                <w:sz w:val="20"/>
                <w:szCs w:val="20"/>
              </w:rPr>
              <w:t>32.2 (4.09) 0</w:t>
            </w:r>
          </w:p>
        </w:tc>
        <w:tc>
          <w:tcPr>
            <w:tcW w:w="478" w:type="pct"/>
            <w:tcBorders>
              <w:top w:val="nil"/>
              <w:left w:val="nil"/>
              <w:bottom w:val="nil"/>
              <w:right w:val="nil"/>
            </w:tcBorders>
            <w:shd w:val="clear" w:color="auto" w:fill="FFFFFF"/>
            <w:tcMar>
              <w:left w:w="67" w:type="dxa"/>
              <w:right w:w="67" w:type="dxa"/>
            </w:tcMar>
          </w:tcPr>
          <w:p w14:paraId="17A8AED2" w14:textId="77777777" w:rsidR="00E07CDE" w:rsidRPr="00563AD3" w:rsidRDefault="00E07CDE" w:rsidP="006C0B32">
            <w:pPr>
              <w:keepNext/>
              <w:spacing w:before="67" w:after="67" w:line="240" w:lineRule="auto"/>
              <w:rPr>
                <w:rFonts w:eastAsia="Times New Roman"/>
                <w:color w:val="000000"/>
                <w:sz w:val="20"/>
                <w:szCs w:val="20"/>
              </w:rPr>
            </w:pPr>
            <w:r w:rsidRPr="00563AD3">
              <w:rPr>
                <w:rFonts w:eastAsia="Times New Roman"/>
                <w:color w:val="000000"/>
                <w:sz w:val="20"/>
                <w:szCs w:val="20"/>
              </w:rPr>
              <w:t>31.1 (4.19) 2</w:t>
            </w:r>
          </w:p>
        </w:tc>
        <w:tc>
          <w:tcPr>
            <w:tcW w:w="465" w:type="pct"/>
            <w:tcBorders>
              <w:top w:val="nil"/>
              <w:left w:val="nil"/>
              <w:bottom w:val="nil"/>
              <w:right w:val="nil"/>
            </w:tcBorders>
            <w:shd w:val="clear" w:color="auto" w:fill="FFFFFF"/>
            <w:tcMar>
              <w:left w:w="67" w:type="dxa"/>
              <w:right w:w="67" w:type="dxa"/>
            </w:tcMar>
          </w:tcPr>
          <w:p w14:paraId="3D477E17" w14:textId="77777777" w:rsidR="00E07CDE" w:rsidRPr="00563AD3" w:rsidRDefault="00E07CDE" w:rsidP="006C0B32">
            <w:pPr>
              <w:keepNext/>
              <w:spacing w:before="67" w:after="67" w:line="240" w:lineRule="auto"/>
              <w:rPr>
                <w:rFonts w:eastAsia="Times New Roman"/>
                <w:color w:val="000000"/>
                <w:sz w:val="20"/>
                <w:szCs w:val="20"/>
              </w:rPr>
            </w:pPr>
            <w:r w:rsidRPr="00563AD3">
              <w:rPr>
                <w:rFonts w:eastAsia="Times New Roman"/>
                <w:color w:val="000000"/>
                <w:sz w:val="20"/>
                <w:szCs w:val="20"/>
              </w:rPr>
              <w:t>31.5 (4.14) 2</w:t>
            </w:r>
          </w:p>
        </w:tc>
        <w:tc>
          <w:tcPr>
            <w:tcW w:w="465" w:type="pct"/>
            <w:tcBorders>
              <w:top w:val="nil"/>
              <w:left w:val="nil"/>
              <w:bottom w:val="nil"/>
              <w:right w:val="nil"/>
            </w:tcBorders>
            <w:shd w:val="clear" w:color="auto" w:fill="FFFFFF"/>
            <w:tcMar>
              <w:left w:w="67" w:type="dxa"/>
              <w:right w:w="67" w:type="dxa"/>
            </w:tcMar>
          </w:tcPr>
          <w:p w14:paraId="7ABCFCFD" w14:textId="77777777" w:rsidR="00E07CDE" w:rsidRPr="00563AD3" w:rsidRDefault="00E07CDE" w:rsidP="006C0B32">
            <w:pPr>
              <w:keepNext/>
              <w:spacing w:before="67" w:after="67" w:line="240" w:lineRule="auto"/>
              <w:rPr>
                <w:rFonts w:eastAsia="Times New Roman"/>
                <w:color w:val="000000"/>
                <w:sz w:val="20"/>
                <w:szCs w:val="20"/>
              </w:rPr>
            </w:pPr>
            <w:r w:rsidRPr="00563AD3">
              <w:rPr>
                <w:rFonts w:eastAsia="Times New Roman"/>
                <w:color w:val="000000"/>
                <w:sz w:val="20"/>
                <w:szCs w:val="20"/>
              </w:rPr>
              <w:t>29.9 (5.13) 0</w:t>
            </w:r>
          </w:p>
        </w:tc>
        <w:tc>
          <w:tcPr>
            <w:tcW w:w="478" w:type="pct"/>
            <w:tcBorders>
              <w:top w:val="nil"/>
              <w:left w:val="nil"/>
              <w:bottom w:val="nil"/>
              <w:right w:val="nil"/>
            </w:tcBorders>
            <w:shd w:val="clear" w:color="auto" w:fill="FFFFFF"/>
            <w:tcMar>
              <w:left w:w="67" w:type="dxa"/>
              <w:right w:w="67" w:type="dxa"/>
            </w:tcMar>
          </w:tcPr>
          <w:p w14:paraId="3F425E6F" w14:textId="77777777" w:rsidR="00E07CDE" w:rsidRPr="00563AD3" w:rsidRDefault="00E07CDE" w:rsidP="006C0B32">
            <w:pPr>
              <w:keepNext/>
              <w:spacing w:before="67" w:after="67" w:line="240" w:lineRule="auto"/>
              <w:rPr>
                <w:rFonts w:eastAsia="Times New Roman"/>
                <w:color w:val="000000"/>
                <w:sz w:val="20"/>
                <w:szCs w:val="20"/>
              </w:rPr>
            </w:pPr>
            <w:r w:rsidRPr="00563AD3">
              <w:rPr>
                <w:rFonts w:eastAsia="Times New Roman"/>
                <w:color w:val="000000"/>
                <w:sz w:val="20"/>
                <w:szCs w:val="20"/>
              </w:rPr>
              <w:t>30.2 (5.25) 0</w:t>
            </w:r>
          </w:p>
        </w:tc>
        <w:tc>
          <w:tcPr>
            <w:tcW w:w="524" w:type="pct"/>
            <w:tcBorders>
              <w:top w:val="nil"/>
              <w:left w:val="nil"/>
              <w:bottom w:val="nil"/>
              <w:right w:val="nil"/>
            </w:tcBorders>
            <w:shd w:val="clear" w:color="auto" w:fill="FFFFFF"/>
            <w:tcMar>
              <w:left w:w="67" w:type="dxa"/>
              <w:right w:w="67" w:type="dxa"/>
            </w:tcMar>
          </w:tcPr>
          <w:p w14:paraId="702DB125" w14:textId="77777777" w:rsidR="00E07CDE" w:rsidRPr="00563AD3" w:rsidRDefault="00E07CDE" w:rsidP="006C0B32">
            <w:pPr>
              <w:keepNext/>
              <w:spacing w:before="67" w:after="67" w:line="240" w:lineRule="auto"/>
              <w:rPr>
                <w:rFonts w:eastAsia="Times New Roman"/>
                <w:color w:val="000000"/>
                <w:sz w:val="20"/>
                <w:szCs w:val="20"/>
              </w:rPr>
            </w:pPr>
            <w:r w:rsidRPr="00563AD3">
              <w:rPr>
                <w:rFonts w:eastAsia="Times New Roman"/>
                <w:color w:val="000000"/>
                <w:sz w:val="20"/>
                <w:szCs w:val="20"/>
              </w:rPr>
              <w:t>30.1 (5.15) 0</w:t>
            </w:r>
          </w:p>
        </w:tc>
        <w:tc>
          <w:tcPr>
            <w:tcW w:w="465" w:type="pct"/>
            <w:tcBorders>
              <w:top w:val="nil"/>
              <w:left w:val="nil"/>
              <w:bottom w:val="nil"/>
              <w:right w:val="nil"/>
            </w:tcBorders>
            <w:shd w:val="clear" w:color="auto" w:fill="FFFFFF"/>
            <w:tcMar>
              <w:left w:w="67" w:type="dxa"/>
              <w:right w:w="67" w:type="dxa"/>
            </w:tcMar>
          </w:tcPr>
          <w:p w14:paraId="23F1DD11" w14:textId="77777777" w:rsidR="00E07CDE" w:rsidRPr="00563AD3" w:rsidRDefault="00E07CDE" w:rsidP="006C0B32">
            <w:pPr>
              <w:keepNext/>
              <w:spacing w:before="67" w:after="67" w:line="240" w:lineRule="auto"/>
              <w:rPr>
                <w:rFonts w:eastAsia="Times New Roman"/>
                <w:color w:val="000000"/>
                <w:sz w:val="20"/>
                <w:szCs w:val="20"/>
              </w:rPr>
            </w:pPr>
            <w:r w:rsidRPr="00563AD3">
              <w:rPr>
                <w:rFonts w:eastAsia="Times New Roman"/>
                <w:color w:val="000000"/>
                <w:sz w:val="20"/>
                <w:szCs w:val="20"/>
              </w:rPr>
              <w:t>29.9 (3.91) 0</w:t>
            </w:r>
          </w:p>
        </w:tc>
        <w:tc>
          <w:tcPr>
            <w:tcW w:w="478" w:type="pct"/>
            <w:tcBorders>
              <w:top w:val="nil"/>
              <w:left w:val="nil"/>
              <w:bottom w:val="nil"/>
              <w:right w:val="nil"/>
            </w:tcBorders>
            <w:shd w:val="clear" w:color="auto" w:fill="FFFFFF"/>
            <w:tcMar>
              <w:left w:w="67" w:type="dxa"/>
              <w:right w:w="67" w:type="dxa"/>
            </w:tcMar>
          </w:tcPr>
          <w:p w14:paraId="10BA9C23" w14:textId="77777777" w:rsidR="00E07CDE" w:rsidRPr="00563AD3" w:rsidRDefault="00E07CDE" w:rsidP="006C0B32">
            <w:pPr>
              <w:keepNext/>
              <w:spacing w:before="67" w:after="67" w:line="240" w:lineRule="auto"/>
              <w:rPr>
                <w:rFonts w:eastAsia="Times New Roman"/>
                <w:color w:val="000000"/>
                <w:sz w:val="20"/>
                <w:szCs w:val="20"/>
              </w:rPr>
            </w:pPr>
            <w:r w:rsidRPr="00563AD3">
              <w:rPr>
                <w:rFonts w:eastAsia="Times New Roman"/>
                <w:color w:val="000000"/>
                <w:sz w:val="20"/>
                <w:szCs w:val="20"/>
              </w:rPr>
              <w:t>30.8 (4.29) 0</w:t>
            </w:r>
          </w:p>
        </w:tc>
        <w:tc>
          <w:tcPr>
            <w:tcW w:w="465" w:type="pct"/>
            <w:tcBorders>
              <w:top w:val="nil"/>
              <w:left w:val="nil"/>
              <w:bottom w:val="nil"/>
              <w:right w:val="single" w:sz="4" w:space="0" w:color="auto"/>
            </w:tcBorders>
            <w:shd w:val="clear" w:color="auto" w:fill="FFFFFF"/>
            <w:tcMar>
              <w:left w:w="67" w:type="dxa"/>
              <w:right w:w="67" w:type="dxa"/>
            </w:tcMar>
          </w:tcPr>
          <w:p w14:paraId="62049EB7" w14:textId="77777777" w:rsidR="00E07CDE" w:rsidRPr="00563AD3" w:rsidRDefault="00E07CDE" w:rsidP="006C0B32">
            <w:pPr>
              <w:keepNext/>
              <w:spacing w:before="67" w:after="67" w:line="240" w:lineRule="auto"/>
              <w:rPr>
                <w:rFonts w:eastAsia="Times New Roman"/>
                <w:color w:val="000000"/>
                <w:sz w:val="20"/>
                <w:szCs w:val="20"/>
              </w:rPr>
            </w:pPr>
            <w:r w:rsidRPr="00563AD3">
              <w:rPr>
                <w:rFonts w:eastAsia="Times New Roman"/>
                <w:color w:val="000000"/>
                <w:sz w:val="20"/>
                <w:szCs w:val="20"/>
              </w:rPr>
              <w:t>30.4 (4.13) 0</w:t>
            </w:r>
          </w:p>
        </w:tc>
      </w:tr>
      <w:tr w:rsidR="00E07CDE" w:rsidRPr="00563AD3" w14:paraId="0420B8CD" w14:textId="77777777" w:rsidTr="006C0B32">
        <w:trPr>
          <w:cantSplit/>
          <w:jc w:val="center"/>
        </w:trPr>
        <w:tc>
          <w:tcPr>
            <w:tcW w:w="718" w:type="pct"/>
            <w:tcBorders>
              <w:top w:val="nil"/>
              <w:left w:val="single" w:sz="4" w:space="0" w:color="auto"/>
              <w:bottom w:val="single" w:sz="4" w:space="0" w:color="auto"/>
              <w:right w:val="nil"/>
            </w:tcBorders>
            <w:shd w:val="clear" w:color="auto" w:fill="FFFFFF"/>
            <w:tcMar>
              <w:left w:w="67" w:type="dxa"/>
              <w:right w:w="67" w:type="dxa"/>
            </w:tcMar>
          </w:tcPr>
          <w:p w14:paraId="33BAD395" w14:textId="77777777" w:rsidR="00E07CDE" w:rsidRPr="00563AD3" w:rsidRDefault="00E07CDE" w:rsidP="006C0B32">
            <w:pPr>
              <w:spacing w:before="67" w:after="67" w:line="240" w:lineRule="auto"/>
              <w:jc w:val="center"/>
              <w:rPr>
                <w:rFonts w:eastAsia="Times New Roman"/>
                <w:color w:val="000000"/>
                <w:sz w:val="20"/>
                <w:szCs w:val="20"/>
              </w:rPr>
            </w:pPr>
          </w:p>
        </w:tc>
        <w:tc>
          <w:tcPr>
            <w:tcW w:w="465" w:type="pct"/>
            <w:tcBorders>
              <w:top w:val="nil"/>
              <w:left w:val="nil"/>
              <w:bottom w:val="single" w:sz="4" w:space="0" w:color="auto"/>
              <w:right w:val="nil"/>
            </w:tcBorders>
            <w:shd w:val="clear" w:color="auto" w:fill="FFFFFF"/>
            <w:tcMar>
              <w:left w:w="67" w:type="dxa"/>
              <w:right w:w="67" w:type="dxa"/>
            </w:tcMar>
          </w:tcPr>
          <w:p w14:paraId="2153CBFB"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31 (28.5, 36)</w:t>
            </w:r>
          </w:p>
        </w:tc>
        <w:tc>
          <w:tcPr>
            <w:tcW w:w="478" w:type="pct"/>
            <w:tcBorders>
              <w:top w:val="nil"/>
              <w:left w:val="nil"/>
              <w:bottom w:val="single" w:sz="4" w:space="0" w:color="auto"/>
              <w:right w:val="nil"/>
            </w:tcBorders>
            <w:shd w:val="clear" w:color="auto" w:fill="FFFFFF"/>
            <w:tcMar>
              <w:left w:w="67" w:type="dxa"/>
              <w:right w:w="67" w:type="dxa"/>
            </w:tcMar>
          </w:tcPr>
          <w:p w14:paraId="26C50F49"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31 (28, 33)</w:t>
            </w:r>
          </w:p>
        </w:tc>
        <w:tc>
          <w:tcPr>
            <w:tcW w:w="465" w:type="pct"/>
            <w:tcBorders>
              <w:top w:val="nil"/>
              <w:left w:val="nil"/>
              <w:bottom w:val="single" w:sz="4" w:space="0" w:color="auto"/>
              <w:right w:val="nil"/>
            </w:tcBorders>
            <w:shd w:val="clear" w:color="auto" w:fill="FFFFFF"/>
            <w:tcMar>
              <w:left w:w="67" w:type="dxa"/>
              <w:right w:w="67" w:type="dxa"/>
            </w:tcMar>
          </w:tcPr>
          <w:p w14:paraId="70E838B6"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31 (28, 35.2)</w:t>
            </w:r>
          </w:p>
        </w:tc>
        <w:tc>
          <w:tcPr>
            <w:tcW w:w="465" w:type="pct"/>
            <w:tcBorders>
              <w:top w:val="nil"/>
              <w:left w:val="nil"/>
              <w:bottom w:val="single" w:sz="4" w:space="0" w:color="auto"/>
              <w:right w:val="nil"/>
            </w:tcBorders>
            <w:shd w:val="clear" w:color="auto" w:fill="FFFFFF"/>
            <w:tcMar>
              <w:left w:w="67" w:type="dxa"/>
              <w:right w:w="67" w:type="dxa"/>
            </w:tcMar>
          </w:tcPr>
          <w:p w14:paraId="17D48C1D"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29 (26, 34)</w:t>
            </w:r>
          </w:p>
        </w:tc>
        <w:tc>
          <w:tcPr>
            <w:tcW w:w="478" w:type="pct"/>
            <w:tcBorders>
              <w:top w:val="nil"/>
              <w:left w:val="nil"/>
              <w:bottom w:val="single" w:sz="4" w:space="0" w:color="auto"/>
              <w:right w:val="nil"/>
            </w:tcBorders>
            <w:shd w:val="clear" w:color="auto" w:fill="FFFFFF"/>
            <w:tcMar>
              <w:left w:w="67" w:type="dxa"/>
              <w:right w:w="67" w:type="dxa"/>
            </w:tcMar>
          </w:tcPr>
          <w:p w14:paraId="501000E3"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30 (27, 33)</w:t>
            </w:r>
          </w:p>
        </w:tc>
        <w:tc>
          <w:tcPr>
            <w:tcW w:w="524" w:type="pct"/>
            <w:tcBorders>
              <w:top w:val="nil"/>
              <w:left w:val="nil"/>
              <w:bottom w:val="single" w:sz="4" w:space="0" w:color="auto"/>
              <w:right w:val="nil"/>
            </w:tcBorders>
            <w:shd w:val="clear" w:color="auto" w:fill="FFFFFF"/>
            <w:tcMar>
              <w:left w:w="67" w:type="dxa"/>
              <w:right w:w="67" w:type="dxa"/>
            </w:tcMar>
          </w:tcPr>
          <w:p w14:paraId="10FEE1D4"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29.5 (26.5, 33)</w:t>
            </w:r>
          </w:p>
        </w:tc>
        <w:tc>
          <w:tcPr>
            <w:tcW w:w="465" w:type="pct"/>
            <w:tcBorders>
              <w:top w:val="nil"/>
              <w:left w:val="nil"/>
              <w:bottom w:val="single" w:sz="4" w:space="0" w:color="auto"/>
              <w:right w:val="nil"/>
            </w:tcBorders>
            <w:shd w:val="clear" w:color="auto" w:fill="FFFFFF"/>
            <w:tcMar>
              <w:left w:w="67" w:type="dxa"/>
              <w:right w:w="67" w:type="dxa"/>
            </w:tcMar>
          </w:tcPr>
          <w:p w14:paraId="1D2A41EF"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29 (27, 34)</w:t>
            </w:r>
          </w:p>
        </w:tc>
        <w:tc>
          <w:tcPr>
            <w:tcW w:w="478" w:type="pct"/>
            <w:tcBorders>
              <w:top w:val="nil"/>
              <w:left w:val="nil"/>
              <w:bottom w:val="single" w:sz="4" w:space="0" w:color="auto"/>
              <w:right w:val="nil"/>
            </w:tcBorders>
            <w:shd w:val="clear" w:color="auto" w:fill="FFFFFF"/>
            <w:tcMar>
              <w:left w:w="67" w:type="dxa"/>
              <w:right w:w="67" w:type="dxa"/>
            </w:tcMar>
          </w:tcPr>
          <w:p w14:paraId="79301EF9"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31 (27, 34)</w:t>
            </w:r>
          </w:p>
        </w:tc>
        <w:tc>
          <w:tcPr>
            <w:tcW w:w="465" w:type="pct"/>
            <w:tcBorders>
              <w:top w:val="nil"/>
              <w:left w:val="nil"/>
              <w:bottom w:val="single" w:sz="4" w:space="0" w:color="auto"/>
              <w:right w:val="single" w:sz="4" w:space="0" w:color="auto"/>
            </w:tcBorders>
            <w:shd w:val="clear" w:color="auto" w:fill="FFFFFF"/>
            <w:tcMar>
              <w:left w:w="67" w:type="dxa"/>
              <w:right w:w="67" w:type="dxa"/>
            </w:tcMar>
          </w:tcPr>
          <w:p w14:paraId="46213CA7" w14:textId="77777777" w:rsidR="00E07CDE" w:rsidRPr="00563AD3" w:rsidRDefault="00E07CDE" w:rsidP="006C0B32">
            <w:pPr>
              <w:spacing w:before="67" w:after="67" w:line="240" w:lineRule="auto"/>
              <w:rPr>
                <w:rFonts w:eastAsia="Times New Roman"/>
                <w:color w:val="000000"/>
                <w:sz w:val="20"/>
                <w:szCs w:val="20"/>
              </w:rPr>
            </w:pPr>
            <w:r w:rsidRPr="00563AD3">
              <w:rPr>
                <w:rFonts w:eastAsia="Times New Roman"/>
                <w:color w:val="000000"/>
                <w:sz w:val="20"/>
                <w:szCs w:val="20"/>
              </w:rPr>
              <w:t>31 (27, 34)</w:t>
            </w:r>
          </w:p>
        </w:tc>
      </w:tr>
    </w:tbl>
    <w:p w14:paraId="765E33B0" w14:textId="77777777" w:rsidR="00E07CDE" w:rsidRPr="00563AD3" w:rsidRDefault="00E07CDE" w:rsidP="009B13F3">
      <w:pPr>
        <w:autoSpaceDE/>
        <w:autoSpaceDN/>
        <w:adjustRightInd/>
        <w:spacing w:before="120" w:after="0"/>
        <w:rPr>
          <w:rFonts w:eastAsia="Calibri"/>
          <w:sz w:val="24"/>
          <w:szCs w:val="24"/>
          <w:lang w:eastAsia="en-US"/>
        </w:rPr>
      </w:pPr>
    </w:p>
    <w:p w14:paraId="58473A69" w14:textId="77777777" w:rsidR="00CF06D7" w:rsidRPr="00563AD3" w:rsidRDefault="00CF06D7" w:rsidP="009B13F3"/>
    <w:p w14:paraId="0C500153" w14:textId="77777777" w:rsidR="00CF06D7" w:rsidRPr="00563AD3" w:rsidRDefault="00CF06D7" w:rsidP="009B13F3"/>
    <w:p w14:paraId="0E06B79C" w14:textId="77777777" w:rsidR="00CF06D7" w:rsidRPr="00563AD3" w:rsidRDefault="00CF06D7" w:rsidP="009B13F3">
      <w:pPr>
        <w:autoSpaceDE/>
        <w:autoSpaceDN/>
        <w:adjustRightInd/>
      </w:pPr>
      <w:r w:rsidRPr="00563AD3">
        <w:br w:type="page"/>
      </w:r>
    </w:p>
    <w:p w14:paraId="6F597BC8" w14:textId="549DD0CB" w:rsidR="00AC38BD" w:rsidRPr="00563AD3" w:rsidRDefault="00AC38BD" w:rsidP="009B13F3">
      <w:pPr>
        <w:pStyle w:val="Heading3"/>
      </w:pPr>
      <w:bookmarkStart w:id="365" w:name="_Toc525544070"/>
      <w:r w:rsidRPr="00563AD3">
        <w:t>Health economic analysis</w:t>
      </w:r>
      <w:bookmarkEnd w:id="365"/>
    </w:p>
    <w:p w14:paraId="1D70A9C9" w14:textId="2212C405" w:rsidR="007F38C4" w:rsidRPr="00563AD3" w:rsidRDefault="007F38C4" w:rsidP="006C0B32">
      <w:pPr>
        <w:pStyle w:val="Tableheading"/>
      </w:pPr>
      <w:bookmarkStart w:id="366" w:name="_Toc948262"/>
      <w:r w:rsidRPr="00563AD3">
        <w:t xml:space="preserve">Table </w:t>
      </w:r>
      <w:r w:rsidR="00FD6ACB">
        <w:t>65</w:t>
      </w:r>
      <w:r w:rsidRPr="00563AD3">
        <w:t xml:space="preserve"> Resource Use – complete case sample*</w:t>
      </w:r>
      <w:bookmarkEnd w:id="366"/>
    </w:p>
    <w:tbl>
      <w:tblPr>
        <w:tblStyle w:val="TableGrid2"/>
        <w:tblW w:w="11810" w:type="dxa"/>
        <w:tblBorders>
          <w:insideH w:val="none" w:sz="0" w:space="0" w:color="auto"/>
          <w:insideV w:val="none" w:sz="0" w:space="0" w:color="auto"/>
        </w:tblBorders>
        <w:tblLook w:val="04A0" w:firstRow="1" w:lastRow="0" w:firstColumn="1" w:lastColumn="0" w:noHBand="0" w:noVBand="1"/>
      </w:tblPr>
      <w:tblGrid>
        <w:gridCol w:w="3260"/>
        <w:gridCol w:w="992"/>
        <w:gridCol w:w="793"/>
        <w:gridCol w:w="728"/>
        <w:gridCol w:w="606"/>
        <w:gridCol w:w="561"/>
        <w:gridCol w:w="606"/>
        <w:gridCol w:w="720"/>
        <w:gridCol w:w="851"/>
        <w:gridCol w:w="850"/>
        <w:gridCol w:w="851"/>
        <w:gridCol w:w="992"/>
      </w:tblGrid>
      <w:tr w:rsidR="007F38C4" w:rsidRPr="00563AD3" w14:paraId="4AD2CB11" w14:textId="77777777" w:rsidTr="006C0B32">
        <w:trPr>
          <w:trHeight w:val="264"/>
        </w:trPr>
        <w:tc>
          <w:tcPr>
            <w:tcW w:w="3260" w:type="dxa"/>
            <w:tcBorders>
              <w:top w:val="single" w:sz="4" w:space="0" w:color="auto"/>
              <w:bottom w:val="nil"/>
            </w:tcBorders>
            <w:noWrap/>
            <w:hideMark/>
          </w:tcPr>
          <w:p w14:paraId="062E3E8B"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 </w:t>
            </w:r>
          </w:p>
        </w:tc>
        <w:tc>
          <w:tcPr>
            <w:tcW w:w="992" w:type="dxa"/>
            <w:tcBorders>
              <w:top w:val="single" w:sz="4" w:space="0" w:color="auto"/>
              <w:bottom w:val="nil"/>
            </w:tcBorders>
            <w:noWrap/>
            <w:hideMark/>
          </w:tcPr>
          <w:p w14:paraId="372208A7"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 </w:t>
            </w:r>
          </w:p>
        </w:tc>
        <w:tc>
          <w:tcPr>
            <w:tcW w:w="3294" w:type="dxa"/>
            <w:gridSpan w:val="5"/>
            <w:tcBorders>
              <w:top w:val="single" w:sz="4" w:space="0" w:color="auto"/>
              <w:bottom w:val="nil"/>
            </w:tcBorders>
            <w:noWrap/>
            <w:hideMark/>
          </w:tcPr>
          <w:p w14:paraId="2FB2C450" w14:textId="2865D855" w:rsidR="007F38C4" w:rsidRPr="00563AD3" w:rsidRDefault="00597D22" w:rsidP="006C0B32">
            <w:pPr>
              <w:autoSpaceDE/>
              <w:autoSpaceDN/>
              <w:adjustRightInd/>
              <w:spacing w:line="240" w:lineRule="auto"/>
              <w:jc w:val="center"/>
              <w:rPr>
                <w:rFonts w:eastAsia="Times New Roman"/>
                <w:b/>
                <w:color w:val="000000"/>
                <w:sz w:val="20"/>
                <w:szCs w:val="20"/>
              </w:rPr>
            </w:pPr>
            <w:r w:rsidRPr="00563AD3">
              <w:rPr>
                <w:rFonts w:eastAsia="Times New Roman"/>
                <w:b/>
                <w:color w:val="000000"/>
                <w:sz w:val="20"/>
                <w:szCs w:val="20"/>
              </w:rPr>
              <w:t>Intervention</w:t>
            </w:r>
          </w:p>
        </w:tc>
        <w:tc>
          <w:tcPr>
            <w:tcW w:w="4264" w:type="dxa"/>
            <w:gridSpan w:val="5"/>
            <w:tcBorders>
              <w:top w:val="single" w:sz="4" w:space="0" w:color="auto"/>
              <w:bottom w:val="nil"/>
            </w:tcBorders>
            <w:noWrap/>
            <w:hideMark/>
          </w:tcPr>
          <w:p w14:paraId="7821FC23" w14:textId="676DD831" w:rsidR="007F38C4" w:rsidRPr="00563AD3" w:rsidRDefault="00597D22" w:rsidP="006C0B32">
            <w:pPr>
              <w:autoSpaceDE/>
              <w:autoSpaceDN/>
              <w:adjustRightInd/>
              <w:spacing w:line="240" w:lineRule="auto"/>
              <w:jc w:val="center"/>
              <w:rPr>
                <w:rFonts w:eastAsia="Times New Roman"/>
                <w:b/>
                <w:color w:val="000000"/>
                <w:sz w:val="20"/>
                <w:szCs w:val="20"/>
              </w:rPr>
            </w:pPr>
            <w:r w:rsidRPr="00563AD3">
              <w:rPr>
                <w:rFonts w:eastAsia="Times New Roman"/>
                <w:b/>
                <w:color w:val="000000"/>
                <w:sz w:val="20"/>
                <w:szCs w:val="20"/>
              </w:rPr>
              <w:t>Control</w:t>
            </w:r>
          </w:p>
        </w:tc>
      </w:tr>
      <w:tr w:rsidR="007F38C4" w:rsidRPr="00563AD3" w14:paraId="762F000C" w14:textId="77777777" w:rsidTr="006C0B32">
        <w:trPr>
          <w:trHeight w:val="264"/>
        </w:trPr>
        <w:tc>
          <w:tcPr>
            <w:tcW w:w="3260" w:type="dxa"/>
            <w:tcBorders>
              <w:top w:val="nil"/>
              <w:bottom w:val="single" w:sz="4" w:space="0" w:color="auto"/>
            </w:tcBorders>
            <w:noWrap/>
            <w:hideMark/>
          </w:tcPr>
          <w:p w14:paraId="13C52ADD"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Health care resource item</w:t>
            </w:r>
          </w:p>
        </w:tc>
        <w:tc>
          <w:tcPr>
            <w:tcW w:w="992" w:type="dxa"/>
            <w:tcBorders>
              <w:top w:val="nil"/>
              <w:bottom w:val="single" w:sz="4" w:space="0" w:color="auto"/>
            </w:tcBorders>
            <w:noWrap/>
            <w:hideMark/>
          </w:tcPr>
          <w:p w14:paraId="0E0A120A"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Month</w:t>
            </w:r>
          </w:p>
        </w:tc>
        <w:tc>
          <w:tcPr>
            <w:tcW w:w="793" w:type="dxa"/>
            <w:tcBorders>
              <w:top w:val="nil"/>
              <w:bottom w:val="single" w:sz="4" w:space="0" w:color="auto"/>
            </w:tcBorders>
            <w:noWrap/>
            <w:hideMark/>
          </w:tcPr>
          <w:p w14:paraId="3362D47D"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N</w:t>
            </w:r>
          </w:p>
        </w:tc>
        <w:tc>
          <w:tcPr>
            <w:tcW w:w="728" w:type="dxa"/>
            <w:tcBorders>
              <w:top w:val="nil"/>
              <w:bottom w:val="single" w:sz="4" w:space="0" w:color="auto"/>
            </w:tcBorders>
            <w:noWrap/>
            <w:hideMark/>
          </w:tcPr>
          <w:p w14:paraId="717E847E"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 xml:space="preserve">Mean </w:t>
            </w:r>
          </w:p>
        </w:tc>
        <w:tc>
          <w:tcPr>
            <w:tcW w:w="606" w:type="dxa"/>
            <w:tcBorders>
              <w:top w:val="nil"/>
              <w:bottom w:val="single" w:sz="4" w:space="0" w:color="auto"/>
            </w:tcBorders>
            <w:noWrap/>
            <w:hideMark/>
          </w:tcPr>
          <w:p w14:paraId="1DADC1BF"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SD</w:t>
            </w:r>
          </w:p>
        </w:tc>
        <w:tc>
          <w:tcPr>
            <w:tcW w:w="561" w:type="dxa"/>
            <w:tcBorders>
              <w:top w:val="nil"/>
              <w:bottom w:val="single" w:sz="4" w:space="0" w:color="auto"/>
            </w:tcBorders>
            <w:noWrap/>
            <w:hideMark/>
          </w:tcPr>
          <w:p w14:paraId="2DEE8C7D"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Min</w:t>
            </w:r>
          </w:p>
        </w:tc>
        <w:tc>
          <w:tcPr>
            <w:tcW w:w="606" w:type="dxa"/>
            <w:tcBorders>
              <w:top w:val="nil"/>
              <w:bottom w:val="single" w:sz="4" w:space="0" w:color="auto"/>
            </w:tcBorders>
            <w:noWrap/>
            <w:hideMark/>
          </w:tcPr>
          <w:p w14:paraId="3390518E"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Max</w:t>
            </w:r>
          </w:p>
        </w:tc>
        <w:tc>
          <w:tcPr>
            <w:tcW w:w="720" w:type="dxa"/>
            <w:tcBorders>
              <w:top w:val="nil"/>
              <w:bottom w:val="single" w:sz="4" w:space="0" w:color="auto"/>
            </w:tcBorders>
            <w:noWrap/>
            <w:hideMark/>
          </w:tcPr>
          <w:p w14:paraId="42958CA0"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N</w:t>
            </w:r>
          </w:p>
        </w:tc>
        <w:tc>
          <w:tcPr>
            <w:tcW w:w="851" w:type="dxa"/>
            <w:tcBorders>
              <w:top w:val="nil"/>
              <w:bottom w:val="single" w:sz="4" w:space="0" w:color="auto"/>
            </w:tcBorders>
            <w:noWrap/>
            <w:hideMark/>
          </w:tcPr>
          <w:p w14:paraId="7E40C05F"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 xml:space="preserve">Mean </w:t>
            </w:r>
          </w:p>
        </w:tc>
        <w:tc>
          <w:tcPr>
            <w:tcW w:w="850" w:type="dxa"/>
            <w:tcBorders>
              <w:top w:val="nil"/>
              <w:bottom w:val="single" w:sz="4" w:space="0" w:color="auto"/>
            </w:tcBorders>
            <w:noWrap/>
            <w:hideMark/>
          </w:tcPr>
          <w:p w14:paraId="1520EC15"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SD</w:t>
            </w:r>
          </w:p>
        </w:tc>
        <w:tc>
          <w:tcPr>
            <w:tcW w:w="851" w:type="dxa"/>
            <w:tcBorders>
              <w:top w:val="nil"/>
              <w:bottom w:val="single" w:sz="4" w:space="0" w:color="auto"/>
            </w:tcBorders>
            <w:noWrap/>
            <w:hideMark/>
          </w:tcPr>
          <w:p w14:paraId="2B0DA6F0"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Min</w:t>
            </w:r>
          </w:p>
        </w:tc>
        <w:tc>
          <w:tcPr>
            <w:tcW w:w="992" w:type="dxa"/>
            <w:tcBorders>
              <w:top w:val="nil"/>
              <w:bottom w:val="single" w:sz="4" w:space="0" w:color="auto"/>
            </w:tcBorders>
            <w:noWrap/>
            <w:hideMark/>
          </w:tcPr>
          <w:p w14:paraId="45CA1FB3"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Max</w:t>
            </w:r>
          </w:p>
        </w:tc>
      </w:tr>
      <w:tr w:rsidR="007F38C4" w:rsidRPr="00563AD3" w14:paraId="1FD120B7" w14:textId="77777777" w:rsidTr="006C0B32">
        <w:trPr>
          <w:trHeight w:val="264"/>
        </w:trPr>
        <w:tc>
          <w:tcPr>
            <w:tcW w:w="11810" w:type="dxa"/>
            <w:gridSpan w:val="12"/>
            <w:tcBorders>
              <w:top w:val="single" w:sz="4" w:space="0" w:color="auto"/>
            </w:tcBorders>
            <w:noWrap/>
            <w:hideMark/>
          </w:tcPr>
          <w:p w14:paraId="0421CD64" w14:textId="77777777" w:rsidR="007F38C4" w:rsidRPr="00563AD3" w:rsidRDefault="007F38C4" w:rsidP="006C0B32">
            <w:pPr>
              <w:autoSpaceDE/>
              <w:autoSpaceDN/>
              <w:adjustRightInd/>
              <w:spacing w:line="240" w:lineRule="auto"/>
              <w:rPr>
                <w:rFonts w:eastAsia="Times New Roman"/>
                <w:color w:val="000000"/>
                <w:sz w:val="20"/>
                <w:szCs w:val="20"/>
              </w:rPr>
            </w:pPr>
            <w:r w:rsidRPr="00563AD3">
              <w:rPr>
                <w:rFonts w:eastAsia="Times New Roman"/>
                <w:b/>
                <w:color w:val="000000"/>
                <w:sz w:val="20"/>
                <w:szCs w:val="20"/>
              </w:rPr>
              <w:t>Primary care</w:t>
            </w:r>
            <w:r w:rsidRPr="00563AD3">
              <w:rPr>
                <w:rFonts w:eastAsia="Times New Roman"/>
                <w:color w:val="000000"/>
                <w:sz w:val="20"/>
                <w:szCs w:val="20"/>
              </w:rPr>
              <w:t> </w:t>
            </w:r>
          </w:p>
        </w:tc>
      </w:tr>
      <w:tr w:rsidR="007F38C4" w:rsidRPr="00563AD3" w14:paraId="69470395" w14:textId="77777777" w:rsidTr="006C0B32">
        <w:trPr>
          <w:trHeight w:val="264"/>
        </w:trPr>
        <w:tc>
          <w:tcPr>
            <w:tcW w:w="3260" w:type="dxa"/>
            <w:noWrap/>
            <w:hideMark/>
          </w:tcPr>
          <w:p w14:paraId="34E0C67A"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GP face to face visit</w:t>
            </w:r>
          </w:p>
        </w:tc>
        <w:tc>
          <w:tcPr>
            <w:tcW w:w="992" w:type="dxa"/>
            <w:noWrap/>
            <w:hideMark/>
          </w:tcPr>
          <w:p w14:paraId="2E2B006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793" w:type="dxa"/>
            <w:noWrap/>
            <w:hideMark/>
          </w:tcPr>
          <w:p w14:paraId="42BC21B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4666A50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1.61</w:t>
            </w:r>
          </w:p>
        </w:tc>
        <w:tc>
          <w:tcPr>
            <w:tcW w:w="606" w:type="dxa"/>
            <w:noWrap/>
            <w:hideMark/>
          </w:tcPr>
          <w:p w14:paraId="6AD5C9D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2.17</w:t>
            </w:r>
          </w:p>
        </w:tc>
        <w:tc>
          <w:tcPr>
            <w:tcW w:w="561" w:type="dxa"/>
            <w:noWrap/>
            <w:hideMark/>
          </w:tcPr>
          <w:p w14:paraId="26AC53A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3C1324A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12</w:t>
            </w:r>
          </w:p>
        </w:tc>
        <w:tc>
          <w:tcPr>
            <w:tcW w:w="720" w:type="dxa"/>
            <w:noWrap/>
            <w:hideMark/>
          </w:tcPr>
          <w:p w14:paraId="45732BA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6E5FB7C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1.54</w:t>
            </w:r>
          </w:p>
        </w:tc>
        <w:tc>
          <w:tcPr>
            <w:tcW w:w="850" w:type="dxa"/>
            <w:noWrap/>
            <w:hideMark/>
          </w:tcPr>
          <w:p w14:paraId="691B54D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1.63</w:t>
            </w:r>
          </w:p>
        </w:tc>
        <w:tc>
          <w:tcPr>
            <w:tcW w:w="851" w:type="dxa"/>
            <w:noWrap/>
            <w:hideMark/>
          </w:tcPr>
          <w:p w14:paraId="5893AC6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3448D60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8</w:t>
            </w:r>
          </w:p>
        </w:tc>
      </w:tr>
      <w:tr w:rsidR="007F38C4" w:rsidRPr="00563AD3" w14:paraId="12D23131" w14:textId="77777777" w:rsidTr="006C0B32">
        <w:trPr>
          <w:trHeight w:val="264"/>
        </w:trPr>
        <w:tc>
          <w:tcPr>
            <w:tcW w:w="3260" w:type="dxa"/>
            <w:noWrap/>
            <w:hideMark/>
          </w:tcPr>
          <w:p w14:paraId="64616ACE"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 </w:t>
            </w:r>
          </w:p>
        </w:tc>
        <w:tc>
          <w:tcPr>
            <w:tcW w:w="992" w:type="dxa"/>
            <w:noWrap/>
            <w:hideMark/>
          </w:tcPr>
          <w:p w14:paraId="084B4E7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6</w:t>
            </w:r>
          </w:p>
        </w:tc>
        <w:tc>
          <w:tcPr>
            <w:tcW w:w="793" w:type="dxa"/>
            <w:noWrap/>
            <w:hideMark/>
          </w:tcPr>
          <w:p w14:paraId="4C0DAE6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43E78AD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1.31</w:t>
            </w:r>
          </w:p>
        </w:tc>
        <w:tc>
          <w:tcPr>
            <w:tcW w:w="606" w:type="dxa"/>
            <w:noWrap/>
            <w:hideMark/>
          </w:tcPr>
          <w:p w14:paraId="24C63E8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2.10</w:t>
            </w:r>
          </w:p>
        </w:tc>
        <w:tc>
          <w:tcPr>
            <w:tcW w:w="561" w:type="dxa"/>
            <w:noWrap/>
            <w:hideMark/>
          </w:tcPr>
          <w:p w14:paraId="6458EA59"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4223527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13</w:t>
            </w:r>
          </w:p>
        </w:tc>
        <w:tc>
          <w:tcPr>
            <w:tcW w:w="720" w:type="dxa"/>
            <w:noWrap/>
            <w:hideMark/>
          </w:tcPr>
          <w:p w14:paraId="601F7BE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32E1B44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1.46</w:t>
            </w:r>
          </w:p>
        </w:tc>
        <w:tc>
          <w:tcPr>
            <w:tcW w:w="850" w:type="dxa"/>
            <w:noWrap/>
            <w:hideMark/>
          </w:tcPr>
          <w:p w14:paraId="17CE9DD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1.69</w:t>
            </w:r>
          </w:p>
        </w:tc>
        <w:tc>
          <w:tcPr>
            <w:tcW w:w="851" w:type="dxa"/>
            <w:noWrap/>
            <w:hideMark/>
          </w:tcPr>
          <w:p w14:paraId="6C8A90A8"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1ADC5C6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8</w:t>
            </w:r>
          </w:p>
        </w:tc>
      </w:tr>
      <w:tr w:rsidR="007F38C4" w:rsidRPr="00563AD3" w14:paraId="7250B001" w14:textId="77777777" w:rsidTr="006C0B32">
        <w:trPr>
          <w:trHeight w:val="264"/>
        </w:trPr>
        <w:tc>
          <w:tcPr>
            <w:tcW w:w="3260" w:type="dxa"/>
            <w:noWrap/>
            <w:hideMark/>
          </w:tcPr>
          <w:p w14:paraId="24B5E0BF"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 </w:t>
            </w:r>
          </w:p>
        </w:tc>
        <w:tc>
          <w:tcPr>
            <w:tcW w:w="992" w:type="dxa"/>
            <w:noWrap/>
            <w:hideMark/>
          </w:tcPr>
          <w:p w14:paraId="707BBED9"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w:t>
            </w:r>
          </w:p>
        </w:tc>
        <w:tc>
          <w:tcPr>
            <w:tcW w:w="793" w:type="dxa"/>
            <w:noWrap/>
            <w:hideMark/>
          </w:tcPr>
          <w:p w14:paraId="56558544"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29E6540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0.84</w:t>
            </w:r>
          </w:p>
        </w:tc>
        <w:tc>
          <w:tcPr>
            <w:tcW w:w="606" w:type="dxa"/>
            <w:noWrap/>
            <w:hideMark/>
          </w:tcPr>
          <w:p w14:paraId="0433421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1.43</w:t>
            </w:r>
          </w:p>
        </w:tc>
        <w:tc>
          <w:tcPr>
            <w:tcW w:w="561" w:type="dxa"/>
            <w:noWrap/>
            <w:hideMark/>
          </w:tcPr>
          <w:p w14:paraId="3D7BAEF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4CF3490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8</w:t>
            </w:r>
          </w:p>
        </w:tc>
        <w:tc>
          <w:tcPr>
            <w:tcW w:w="720" w:type="dxa"/>
            <w:noWrap/>
            <w:hideMark/>
          </w:tcPr>
          <w:p w14:paraId="2C45D748"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0E60A60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0.93</w:t>
            </w:r>
          </w:p>
        </w:tc>
        <w:tc>
          <w:tcPr>
            <w:tcW w:w="850" w:type="dxa"/>
            <w:noWrap/>
            <w:hideMark/>
          </w:tcPr>
          <w:p w14:paraId="2CCED96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1.69</w:t>
            </w:r>
          </w:p>
        </w:tc>
        <w:tc>
          <w:tcPr>
            <w:tcW w:w="851" w:type="dxa"/>
            <w:noWrap/>
            <w:hideMark/>
          </w:tcPr>
          <w:p w14:paraId="1676088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4930DB0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9</w:t>
            </w:r>
          </w:p>
        </w:tc>
      </w:tr>
      <w:tr w:rsidR="007F38C4" w:rsidRPr="00563AD3" w14:paraId="10183BCA" w14:textId="77777777" w:rsidTr="006C0B32">
        <w:trPr>
          <w:trHeight w:val="264"/>
        </w:trPr>
        <w:tc>
          <w:tcPr>
            <w:tcW w:w="3260" w:type="dxa"/>
            <w:noWrap/>
            <w:hideMark/>
          </w:tcPr>
          <w:p w14:paraId="1C7D033D"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GP telephone call</w:t>
            </w:r>
          </w:p>
        </w:tc>
        <w:tc>
          <w:tcPr>
            <w:tcW w:w="992" w:type="dxa"/>
            <w:noWrap/>
            <w:hideMark/>
          </w:tcPr>
          <w:p w14:paraId="02F1EBC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793" w:type="dxa"/>
            <w:noWrap/>
            <w:hideMark/>
          </w:tcPr>
          <w:p w14:paraId="15EF79C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1F208A04"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0.72</w:t>
            </w:r>
          </w:p>
        </w:tc>
        <w:tc>
          <w:tcPr>
            <w:tcW w:w="606" w:type="dxa"/>
            <w:noWrap/>
            <w:hideMark/>
          </w:tcPr>
          <w:p w14:paraId="3E5B6C1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1.62</w:t>
            </w:r>
          </w:p>
        </w:tc>
        <w:tc>
          <w:tcPr>
            <w:tcW w:w="561" w:type="dxa"/>
            <w:noWrap/>
            <w:hideMark/>
          </w:tcPr>
          <w:p w14:paraId="544E370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57A2A3E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12</w:t>
            </w:r>
          </w:p>
        </w:tc>
        <w:tc>
          <w:tcPr>
            <w:tcW w:w="720" w:type="dxa"/>
            <w:noWrap/>
            <w:hideMark/>
          </w:tcPr>
          <w:p w14:paraId="15766E8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7B7BA8F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0.71</w:t>
            </w:r>
          </w:p>
        </w:tc>
        <w:tc>
          <w:tcPr>
            <w:tcW w:w="850" w:type="dxa"/>
            <w:noWrap/>
            <w:hideMark/>
          </w:tcPr>
          <w:p w14:paraId="520E80E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1.24</w:t>
            </w:r>
          </w:p>
        </w:tc>
        <w:tc>
          <w:tcPr>
            <w:tcW w:w="851" w:type="dxa"/>
            <w:noWrap/>
            <w:hideMark/>
          </w:tcPr>
          <w:p w14:paraId="1173B79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1F580DD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6</w:t>
            </w:r>
          </w:p>
        </w:tc>
      </w:tr>
      <w:tr w:rsidR="007F38C4" w:rsidRPr="00563AD3" w14:paraId="630C9E2A" w14:textId="77777777" w:rsidTr="006C0B32">
        <w:trPr>
          <w:trHeight w:val="264"/>
        </w:trPr>
        <w:tc>
          <w:tcPr>
            <w:tcW w:w="3260" w:type="dxa"/>
            <w:noWrap/>
            <w:hideMark/>
          </w:tcPr>
          <w:p w14:paraId="0CBA74D3"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 </w:t>
            </w:r>
          </w:p>
        </w:tc>
        <w:tc>
          <w:tcPr>
            <w:tcW w:w="992" w:type="dxa"/>
            <w:noWrap/>
            <w:hideMark/>
          </w:tcPr>
          <w:p w14:paraId="68207E38"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6</w:t>
            </w:r>
          </w:p>
        </w:tc>
        <w:tc>
          <w:tcPr>
            <w:tcW w:w="793" w:type="dxa"/>
            <w:noWrap/>
            <w:hideMark/>
          </w:tcPr>
          <w:p w14:paraId="419713B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5BDB55F9"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0.49</w:t>
            </w:r>
          </w:p>
        </w:tc>
        <w:tc>
          <w:tcPr>
            <w:tcW w:w="606" w:type="dxa"/>
            <w:noWrap/>
            <w:hideMark/>
          </w:tcPr>
          <w:p w14:paraId="087E282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0.99</w:t>
            </w:r>
          </w:p>
        </w:tc>
        <w:tc>
          <w:tcPr>
            <w:tcW w:w="561" w:type="dxa"/>
            <w:noWrap/>
            <w:hideMark/>
          </w:tcPr>
          <w:p w14:paraId="6AD6E27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50BBC77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5</w:t>
            </w:r>
          </w:p>
        </w:tc>
        <w:tc>
          <w:tcPr>
            <w:tcW w:w="720" w:type="dxa"/>
            <w:noWrap/>
            <w:hideMark/>
          </w:tcPr>
          <w:p w14:paraId="4EDF724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6D30C08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0.39</w:t>
            </w:r>
          </w:p>
        </w:tc>
        <w:tc>
          <w:tcPr>
            <w:tcW w:w="850" w:type="dxa"/>
            <w:noWrap/>
            <w:hideMark/>
          </w:tcPr>
          <w:p w14:paraId="0257AD2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0.92</w:t>
            </w:r>
          </w:p>
        </w:tc>
        <w:tc>
          <w:tcPr>
            <w:tcW w:w="851" w:type="dxa"/>
            <w:noWrap/>
            <w:hideMark/>
          </w:tcPr>
          <w:p w14:paraId="78997E9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339B2CA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7</w:t>
            </w:r>
          </w:p>
        </w:tc>
      </w:tr>
      <w:tr w:rsidR="007F38C4" w:rsidRPr="00563AD3" w14:paraId="67D8694C" w14:textId="77777777" w:rsidTr="006C0B32">
        <w:trPr>
          <w:trHeight w:val="264"/>
        </w:trPr>
        <w:tc>
          <w:tcPr>
            <w:tcW w:w="3260" w:type="dxa"/>
            <w:noWrap/>
            <w:hideMark/>
          </w:tcPr>
          <w:p w14:paraId="761CA47F"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 </w:t>
            </w:r>
          </w:p>
        </w:tc>
        <w:tc>
          <w:tcPr>
            <w:tcW w:w="992" w:type="dxa"/>
            <w:noWrap/>
            <w:hideMark/>
          </w:tcPr>
          <w:p w14:paraId="43DF83E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w:t>
            </w:r>
          </w:p>
        </w:tc>
        <w:tc>
          <w:tcPr>
            <w:tcW w:w="793" w:type="dxa"/>
            <w:noWrap/>
            <w:hideMark/>
          </w:tcPr>
          <w:p w14:paraId="70D4718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21138FB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0.36</w:t>
            </w:r>
          </w:p>
        </w:tc>
        <w:tc>
          <w:tcPr>
            <w:tcW w:w="606" w:type="dxa"/>
            <w:noWrap/>
            <w:hideMark/>
          </w:tcPr>
          <w:p w14:paraId="067C8918"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0.89</w:t>
            </w:r>
          </w:p>
        </w:tc>
        <w:tc>
          <w:tcPr>
            <w:tcW w:w="561" w:type="dxa"/>
            <w:noWrap/>
            <w:hideMark/>
          </w:tcPr>
          <w:p w14:paraId="72A400A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18B9396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5</w:t>
            </w:r>
          </w:p>
        </w:tc>
        <w:tc>
          <w:tcPr>
            <w:tcW w:w="720" w:type="dxa"/>
            <w:noWrap/>
            <w:hideMark/>
          </w:tcPr>
          <w:p w14:paraId="14DC8D5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6C2844A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0.29</w:t>
            </w:r>
          </w:p>
        </w:tc>
        <w:tc>
          <w:tcPr>
            <w:tcW w:w="850" w:type="dxa"/>
            <w:noWrap/>
            <w:hideMark/>
          </w:tcPr>
          <w:p w14:paraId="5FDDF3D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0.71</w:t>
            </w:r>
          </w:p>
        </w:tc>
        <w:tc>
          <w:tcPr>
            <w:tcW w:w="851" w:type="dxa"/>
            <w:noWrap/>
            <w:hideMark/>
          </w:tcPr>
          <w:p w14:paraId="60E1263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38852B3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4</w:t>
            </w:r>
          </w:p>
        </w:tc>
      </w:tr>
      <w:tr w:rsidR="007F38C4" w:rsidRPr="00563AD3" w14:paraId="49397F36" w14:textId="77777777" w:rsidTr="006C0B32">
        <w:trPr>
          <w:trHeight w:val="264"/>
        </w:trPr>
        <w:tc>
          <w:tcPr>
            <w:tcW w:w="3260" w:type="dxa"/>
            <w:noWrap/>
            <w:hideMark/>
          </w:tcPr>
          <w:p w14:paraId="744C73E7"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District nurse visit</w:t>
            </w:r>
          </w:p>
        </w:tc>
        <w:tc>
          <w:tcPr>
            <w:tcW w:w="992" w:type="dxa"/>
            <w:noWrap/>
            <w:hideMark/>
          </w:tcPr>
          <w:p w14:paraId="3407695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793" w:type="dxa"/>
            <w:noWrap/>
            <w:hideMark/>
          </w:tcPr>
          <w:p w14:paraId="1B6020C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51D5DEF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1.22</w:t>
            </w:r>
          </w:p>
        </w:tc>
        <w:tc>
          <w:tcPr>
            <w:tcW w:w="606" w:type="dxa"/>
            <w:noWrap/>
            <w:hideMark/>
          </w:tcPr>
          <w:p w14:paraId="14D76274"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7.02</w:t>
            </w:r>
          </w:p>
        </w:tc>
        <w:tc>
          <w:tcPr>
            <w:tcW w:w="561" w:type="dxa"/>
            <w:noWrap/>
            <w:hideMark/>
          </w:tcPr>
          <w:p w14:paraId="25E8C2E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6D88D0D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90</w:t>
            </w:r>
          </w:p>
        </w:tc>
        <w:tc>
          <w:tcPr>
            <w:tcW w:w="720" w:type="dxa"/>
            <w:noWrap/>
            <w:hideMark/>
          </w:tcPr>
          <w:p w14:paraId="34C063D4"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53C29DF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1.79</w:t>
            </w:r>
          </w:p>
        </w:tc>
        <w:tc>
          <w:tcPr>
            <w:tcW w:w="850" w:type="dxa"/>
            <w:noWrap/>
            <w:hideMark/>
          </w:tcPr>
          <w:p w14:paraId="6C32364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5.29</w:t>
            </w:r>
          </w:p>
        </w:tc>
        <w:tc>
          <w:tcPr>
            <w:tcW w:w="851" w:type="dxa"/>
            <w:noWrap/>
            <w:hideMark/>
          </w:tcPr>
          <w:p w14:paraId="5D58910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29C016D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43</w:t>
            </w:r>
          </w:p>
        </w:tc>
      </w:tr>
      <w:tr w:rsidR="007F38C4" w:rsidRPr="00563AD3" w14:paraId="6AEE8263" w14:textId="77777777" w:rsidTr="006C0B32">
        <w:trPr>
          <w:trHeight w:val="264"/>
        </w:trPr>
        <w:tc>
          <w:tcPr>
            <w:tcW w:w="3260" w:type="dxa"/>
            <w:noWrap/>
            <w:hideMark/>
          </w:tcPr>
          <w:p w14:paraId="3DD2288A"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 </w:t>
            </w:r>
          </w:p>
        </w:tc>
        <w:tc>
          <w:tcPr>
            <w:tcW w:w="992" w:type="dxa"/>
            <w:noWrap/>
            <w:hideMark/>
          </w:tcPr>
          <w:p w14:paraId="4269FB84"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6</w:t>
            </w:r>
          </w:p>
        </w:tc>
        <w:tc>
          <w:tcPr>
            <w:tcW w:w="793" w:type="dxa"/>
            <w:noWrap/>
            <w:hideMark/>
          </w:tcPr>
          <w:p w14:paraId="76E2D86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77960039"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0.36</w:t>
            </w:r>
          </w:p>
        </w:tc>
        <w:tc>
          <w:tcPr>
            <w:tcW w:w="606" w:type="dxa"/>
            <w:noWrap/>
            <w:hideMark/>
          </w:tcPr>
          <w:p w14:paraId="50938C1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1.24</w:t>
            </w:r>
          </w:p>
        </w:tc>
        <w:tc>
          <w:tcPr>
            <w:tcW w:w="561" w:type="dxa"/>
            <w:noWrap/>
            <w:hideMark/>
          </w:tcPr>
          <w:p w14:paraId="4772DC5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1C7B20F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13</w:t>
            </w:r>
          </w:p>
        </w:tc>
        <w:tc>
          <w:tcPr>
            <w:tcW w:w="720" w:type="dxa"/>
            <w:noWrap/>
            <w:hideMark/>
          </w:tcPr>
          <w:p w14:paraId="3AAB6749"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5CA63C0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1.53</w:t>
            </w:r>
          </w:p>
        </w:tc>
        <w:tc>
          <w:tcPr>
            <w:tcW w:w="850" w:type="dxa"/>
            <w:noWrap/>
            <w:hideMark/>
          </w:tcPr>
          <w:p w14:paraId="7059B09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4.88</w:t>
            </w:r>
          </w:p>
        </w:tc>
        <w:tc>
          <w:tcPr>
            <w:tcW w:w="851" w:type="dxa"/>
            <w:noWrap/>
            <w:hideMark/>
          </w:tcPr>
          <w:p w14:paraId="3BD82E6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6F78089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41</w:t>
            </w:r>
          </w:p>
        </w:tc>
      </w:tr>
      <w:tr w:rsidR="007F38C4" w:rsidRPr="00563AD3" w14:paraId="392F100D" w14:textId="77777777" w:rsidTr="006C0B32">
        <w:trPr>
          <w:trHeight w:val="264"/>
        </w:trPr>
        <w:tc>
          <w:tcPr>
            <w:tcW w:w="3260" w:type="dxa"/>
            <w:noWrap/>
            <w:hideMark/>
          </w:tcPr>
          <w:p w14:paraId="5B0D01C8"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 </w:t>
            </w:r>
          </w:p>
        </w:tc>
        <w:tc>
          <w:tcPr>
            <w:tcW w:w="992" w:type="dxa"/>
            <w:noWrap/>
            <w:hideMark/>
          </w:tcPr>
          <w:p w14:paraId="1D0A2C3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w:t>
            </w:r>
          </w:p>
        </w:tc>
        <w:tc>
          <w:tcPr>
            <w:tcW w:w="793" w:type="dxa"/>
            <w:noWrap/>
            <w:hideMark/>
          </w:tcPr>
          <w:p w14:paraId="2A4E728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1E8B676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0.75</w:t>
            </w:r>
          </w:p>
        </w:tc>
        <w:tc>
          <w:tcPr>
            <w:tcW w:w="606" w:type="dxa"/>
            <w:noWrap/>
            <w:hideMark/>
          </w:tcPr>
          <w:p w14:paraId="650A9828"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3.44</w:t>
            </w:r>
          </w:p>
        </w:tc>
        <w:tc>
          <w:tcPr>
            <w:tcW w:w="561" w:type="dxa"/>
            <w:noWrap/>
            <w:hideMark/>
          </w:tcPr>
          <w:p w14:paraId="627C2A2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5069B1B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39</w:t>
            </w:r>
          </w:p>
        </w:tc>
        <w:tc>
          <w:tcPr>
            <w:tcW w:w="720" w:type="dxa"/>
            <w:noWrap/>
            <w:hideMark/>
          </w:tcPr>
          <w:p w14:paraId="01D2D4D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103C8B3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0.57</w:t>
            </w:r>
          </w:p>
        </w:tc>
        <w:tc>
          <w:tcPr>
            <w:tcW w:w="850" w:type="dxa"/>
            <w:noWrap/>
            <w:hideMark/>
          </w:tcPr>
          <w:p w14:paraId="7DB54C3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2.68</w:t>
            </w:r>
          </w:p>
        </w:tc>
        <w:tc>
          <w:tcPr>
            <w:tcW w:w="851" w:type="dxa"/>
            <w:noWrap/>
            <w:hideMark/>
          </w:tcPr>
          <w:p w14:paraId="2F38DFC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33ED7F0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27</w:t>
            </w:r>
          </w:p>
        </w:tc>
      </w:tr>
      <w:tr w:rsidR="007F38C4" w:rsidRPr="00563AD3" w14:paraId="399DDAFB" w14:textId="77777777" w:rsidTr="006C0B32">
        <w:trPr>
          <w:trHeight w:val="264"/>
        </w:trPr>
        <w:tc>
          <w:tcPr>
            <w:tcW w:w="3260" w:type="dxa"/>
            <w:noWrap/>
            <w:hideMark/>
          </w:tcPr>
          <w:p w14:paraId="5D879AC3"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District nurse telephone call</w:t>
            </w:r>
          </w:p>
        </w:tc>
        <w:tc>
          <w:tcPr>
            <w:tcW w:w="992" w:type="dxa"/>
            <w:noWrap/>
            <w:hideMark/>
          </w:tcPr>
          <w:p w14:paraId="3649151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793" w:type="dxa"/>
            <w:noWrap/>
            <w:hideMark/>
          </w:tcPr>
          <w:p w14:paraId="2CBADC9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17AC458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0.08</w:t>
            </w:r>
          </w:p>
        </w:tc>
        <w:tc>
          <w:tcPr>
            <w:tcW w:w="606" w:type="dxa"/>
            <w:noWrap/>
            <w:hideMark/>
          </w:tcPr>
          <w:p w14:paraId="46F4DF68"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0.44</w:t>
            </w:r>
          </w:p>
        </w:tc>
        <w:tc>
          <w:tcPr>
            <w:tcW w:w="561" w:type="dxa"/>
            <w:noWrap/>
            <w:hideMark/>
          </w:tcPr>
          <w:p w14:paraId="3B2B609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0A244E9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3</w:t>
            </w:r>
          </w:p>
        </w:tc>
        <w:tc>
          <w:tcPr>
            <w:tcW w:w="720" w:type="dxa"/>
            <w:noWrap/>
            <w:hideMark/>
          </w:tcPr>
          <w:p w14:paraId="2DE83F1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41C82FD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0.13</w:t>
            </w:r>
          </w:p>
        </w:tc>
        <w:tc>
          <w:tcPr>
            <w:tcW w:w="850" w:type="dxa"/>
            <w:noWrap/>
            <w:hideMark/>
          </w:tcPr>
          <w:p w14:paraId="37E01B94"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0.44</w:t>
            </w:r>
          </w:p>
        </w:tc>
        <w:tc>
          <w:tcPr>
            <w:tcW w:w="851" w:type="dxa"/>
            <w:noWrap/>
            <w:hideMark/>
          </w:tcPr>
          <w:p w14:paraId="2B8ED9C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2244848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w:t>
            </w:r>
          </w:p>
        </w:tc>
      </w:tr>
      <w:tr w:rsidR="007F38C4" w:rsidRPr="00563AD3" w14:paraId="69384E98" w14:textId="77777777" w:rsidTr="006C0B32">
        <w:trPr>
          <w:trHeight w:val="264"/>
        </w:trPr>
        <w:tc>
          <w:tcPr>
            <w:tcW w:w="3260" w:type="dxa"/>
            <w:noWrap/>
            <w:hideMark/>
          </w:tcPr>
          <w:p w14:paraId="77E6AD24" w14:textId="77777777" w:rsidR="007F38C4" w:rsidRPr="006C0B32" w:rsidRDefault="007F38C4" w:rsidP="006C0B32">
            <w:pPr>
              <w:autoSpaceDE/>
              <w:autoSpaceDN/>
              <w:adjustRightInd/>
              <w:spacing w:line="240" w:lineRule="auto"/>
              <w:rPr>
                <w:rFonts w:eastAsia="Times New Roman"/>
                <w:color w:val="000000"/>
                <w:sz w:val="20"/>
                <w:szCs w:val="20"/>
              </w:rPr>
            </w:pPr>
            <w:r w:rsidRPr="006C0B32">
              <w:rPr>
                <w:rFonts w:eastAsia="Times New Roman"/>
                <w:color w:val="000000"/>
                <w:sz w:val="20"/>
                <w:szCs w:val="20"/>
              </w:rPr>
              <w:t> </w:t>
            </w:r>
          </w:p>
        </w:tc>
        <w:tc>
          <w:tcPr>
            <w:tcW w:w="992" w:type="dxa"/>
            <w:noWrap/>
            <w:hideMark/>
          </w:tcPr>
          <w:p w14:paraId="678D35B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6</w:t>
            </w:r>
          </w:p>
        </w:tc>
        <w:tc>
          <w:tcPr>
            <w:tcW w:w="793" w:type="dxa"/>
            <w:noWrap/>
            <w:hideMark/>
          </w:tcPr>
          <w:p w14:paraId="2F5370A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2F1553B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0.03</w:t>
            </w:r>
          </w:p>
        </w:tc>
        <w:tc>
          <w:tcPr>
            <w:tcW w:w="606" w:type="dxa"/>
            <w:noWrap/>
            <w:hideMark/>
          </w:tcPr>
          <w:p w14:paraId="603A65C8"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0.19</w:t>
            </w:r>
          </w:p>
        </w:tc>
        <w:tc>
          <w:tcPr>
            <w:tcW w:w="561" w:type="dxa"/>
            <w:noWrap/>
            <w:hideMark/>
          </w:tcPr>
          <w:p w14:paraId="3B5F879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5AE289B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w:t>
            </w:r>
          </w:p>
        </w:tc>
        <w:tc>
          <w:tcPr>
            <w:tcW w:w="720" w:type="dxa"/>
            <w:noWrap/>
            <w:hideMark/>
          </w:tcPr>
          <w:p w14:paraId="3FC94E9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28D8403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0.14</w:t>
            </w:r>
          </w:p>
        </w:tc>
        <w:tc>
          <w:tcPr>
            <w:tcW w:w="850" w:type="dxa"/>
            <w:noWrap/>
            <w:hideMark/>
          </w:tcPr>
          <w:p w14:paraId="0B2507A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0.53</w:t>
            </w:r>
          </w:p>
        </w:tc>
        <w:tc>
          <w:tcPr>
            <w:tcW w:w="851" w:type="dxa"/>
            <w:noWrap/>
            <w:hideMark/>
          </w:tcPr>
          <w:p w14:paraId="26A4556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096E582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4</w:t>
            </w:r>
          </w:p>
        </w:tc>
      </w:tr>
      <w:tr w:rsidR="007F38C4" w:rsidRPr="00563AD3" w14:paraId="63E6A497" w14:textId="77777777" w:rsidTr="006C0B32">
        <w:trPr>
          <w:trHeight w:val="264"/>
        </w:trPr>
        <w:tc>
          <w:tcPr>
            <w:tcW w:w="3260" w:type="dxa"/>
            <w:noWrap/>
            <w:hideMark/>
          </w:tcPr>
          <w:p w14:paraId="302BFE2D" w14:textId="77777777" w:rsidR="007F38C4" w:rsidRPr="006C0B32" w:rsidRDefault="007F38C4" w:rsidP="006C0B32">
            <w:pPr>
              <w:autoSpaceDE/>
              <w:autoSpaceDN/>
              <w:adjustRightInd/>
              <w:spacing w:line="240" w:lineRule="auto"/>
              <w:rPr>
                <w:rFonts w:eastAsia="Times New Roman"/>
                <w:color w:val="000000"/>
                <w:sz w:val="20"/>
                <w:szCs w:val="20"/>
              </w:rPr>
            </w:pPr>
            <w:r w:rsidRPr="006C0B32">
              <w:rPr>
                <w:rFonts w:eastAsia="Times New Roman"/>
                <w:color w:val="000000"/>
                <w:sz w:val="20"/>
                <w:szCs w:val="20"/>
              </w:rPr>
              <w:t> </w:t>
            </w:r>
          </w:p>
        </w:tc>
        <w:tc>
          <w:tcPr>
            <w:tcW w:w="992" w:type="dxa"/>
            <w:noWrap/>
            <w:hideMark/>
          </w:tcPr>
          <w:p w14:paraId="22C2DFD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w:t>
            </w:r>
          </w:p>
        </w:tc>
        <w:tc>
          <w:tcPr>
            <w:tcW w:w="793" w:type="dxa"/>
            <w:noWrap/>
            <w:hideMark/>
          </w:tcPr>
          <w:p w14:paraId="2911E644"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2EBB8A28"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0.03</w:t>
            </w:r>
          </w:p>
        </w:tc>
        <w:tc>
          <w:tcPr>
            <w:tcW w:w="606" w:type="dxa"/>
            <w:noWrap/>
            <w:hideMark/>
          </w:tcPr>
          <w:p w14:paraId="6BAFF6F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0.24</w:t>
            </w:r>
          </w:p>
        </w:tc>
        <w:tc>
          <w:tcPr>
            <w:tcW w:w="561" w:type="dxa"/>
            <w:noWrap/>
            <w:hideMark/>
          </w:tcPr>
          <w:p w14:paraId="58A3860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1458A77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w:t>
            </w:r>
          </w:p>
        </w:tc>
        <w:tc>
          <w:tcPr>
            <w:tcW w:w="720" w:type="dxa"/>
            <w:noWrap/>
            <w:hideMark/>
          </w:tcPr>
          <w:p w14:paraId="281D1E34"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001C7D8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0.13</w:t>
            </w:r>
          </w:p>
        </w:tc>
        <w:tc>
          <w:tcPr>
            <w:tcW w:w="850" w:type="dxa"/>
            <w:noWrap/>
            <w:hideMark/>
          </w:tcPr>
          <w:p w14:paraId="6009105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1.25</w:t>
            </w:r>
          </w:p>
        </w:tc>
        <w:tc>
          <w:tcPr>
            <w:tcW w:w="851" w:type="dxa"/>
            <w:noWrap/>
            <w:hideMark/>
          </w:tcPr>
          <w:p w14:paraId="56C5BBF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7AC7F3F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w:t>
            </w:r>
          </w:p>
        </w:tc>
      </w:tr>
      <w:tr w:rsidR="007F38C4" w:rsidRPr="00563AD3" w14:paraId="51767020" w14:textId="77777777" w:rsidTr="006C0B32">
        <w:trPr>
          <w:trHeight w:val="264"/>
        </w:trPr>
        <w:tc>
          <w:tcPr>
            <w:tcW w:w="11810" w:type="dxa"/>
            <w:gridSpan w:val="12"/>
            <w:noWrap/>
            <w:hideMark/>
          </w:tcPr>
          <w:p w14:paraId="224523AD" w14:textId="77777777" w:rsidR="007F38C4" w:rsidRPr="006C0B32" w:rsidRDefault="007F38C4" w:rsidP="006C0B32">
            <w:pPr>
              <w:autoSpaceDE/>
              <w:autoSpaceDN/>
              <w:adjustRightInd/>
              <w:spacing w:line="240" w:lineRule="auto"/>
              <w:rPr>
                <w:rFonts w:eastAsia="Times New Roman"/>
                <w:color w:val="000000"/>
                <w:sz w:val="20"/>
                <w:szCs w:val="20"/>
              </w:rPr>
            </w:pPr>
            <w:r w:rsidRPr="006C0B32">
              <w:rPr>
                <w:rFonts w:eastAsia="Times New Roman"/>
                <w:b/>
                <w:color w:val="000000"/>
                <w:sz w:val="20"/>
                <w:szCs w:val="20"/>
              </w:rPr>
              <w:t>Secondary care</w:t>
            </w:r>
          </w:p>
        </w:tc>
      </w:tr>
      <w:tr w:rsidR="007F38C4" w:rsidRPr="00563AD3" w14:paraId="0D0BE884" w14:textId="77777777" w:rsidTr="006C0B32">
        <w:trPr>
          <w:trHeight w:val="264"/>
        </w:trPr>
        <w:tc>
          <w:tcPr>
            <w:tcW w:w="3260" w:type="dxa"/>
            <w:noWrap/>
            <w:hideMark/>
          </w:tcPr>
          <w:p w14:paraId="47B85204"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Nights spent in hospital</w:t>
            </w:r>
          </w:p>
        </w:tc>
        <w:tc>
          <w:tcPr>
            <w:tcW w:w="992" w:type="dxa"/>
            <w:noWrap/>
            <w:hideMark/>
          </w:tcPr>
          <w:p w14:paraId="052F4DD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793" w:type="dxa"/>
            <w:noWrap/>
            <w:hideMark/>
          </w:tcPr>
          <w:p w14:paraId="02CA7B5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2CEA7599"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0.72</w:t>
            </w:r>
          </w:p>
        </w:tc>
        <w:tc>
          <w:tcPr>
            <w:tcW w:w="606" w:type="dxa"/>
            <w:noWrap/>
            <w:hideMark/>
          </w:tcPr>
          <w:p w14:paraId="39AE42E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4.06</w:t>
            </w:r>
          </w:p>
        </w:tc>
        <w:tc>
          <w:tcPr>
            <w:tcW w:w="561" w:type="dxa"/>
            <w:noWrap/>
            <w:hideMark/>
          </w:tcPr>
          <w:p w14:paraId="6D48897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12CF021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43</w:t>
            </w:r>
          </w:p>
        </w:tc>
        <w:tc>
          <w:tcPr>
            <w:tcW w:w="720" w:type="dxa"/>
            <w:noWrap/>
            <w:hideMark/>
          </w:tcPr>
          <w:p w14:paraId="2A8ED34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444C8F8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0.66</w:t>
            </w:r>
          </w:p>
        </w:tc>
        <w:tc>
          <w:tcPr>
            <w:tcW w:w="850" w:type="dxa"/>
            <w:noWrap/>
            <w:hideMark/>
          </w:tcPr>
          <w:p w14:paraId="482C13F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3.81</w:t>
            </w:r>
          </w:p>
        </w:tc>
        <w:tc>
          <w:tcPr>
            <w:tcW w:w="851" w:type="dxa"/>
            <w:noWrap/>
            <w:hideMark/>
          </w:tcPr>
          <w:p w14:paraId="5E072C0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5431941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37</w:t>
            </w:r>
          </w:p>
        </w:tc>
      </w:tr>
      <w:tr w:rsidR="007F38C4" w:rsidRPr="00563AD3" w14:paraId="067BFAD5" w14:textId="77777777" w:rsidTr="006C0B32">
        <w:trPr>
          <w:trHeight w:val="264"/>
        </w:trPr>
        <w:tc>
          <w:tcPr>
            <w:tcW w:w="3260" w:type="dxa"/>
            <w:noWrap/>
            <w:hideMark/>
          </w:tcPr>
          <w:p w14:paraId="1CE3CA79"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 </w:t>
            </w:r>
          </w:p>
        </w:tc>
        <w:tc>
          <w:tcPr>
            <w:tcW w:w="992" w:type="dxa"/>
            <w:noWrap/>
            <w:hideMark/>
          </w:tcPr>
          <w:p w14:paraId="69DB5879"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6</w:t>
            </w:r>
          </w:p>
        </w:tc>
        <w:tc>
          <w:tcPr>
            <w:tcW w:w="793" w:type="dxa"/>
            <w:noWrap/>
            <w:hideMark/>
          </w:tcPr>
          <w:p w14:paraId="1EDE15F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48FD6FC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0.64</w:t>
            </w:r>
          </w:p>
        </w:tc>
        <w:tc>
          <w:tcPr>
            <w:tcW w:w="606" w:type="dxa"/>
            <w:noWrap/>
            <w:hideMark/>
          </w:tcPr>
          <w:p w14:paraId="3DB7323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3.02</w:t>
            </w:r>
          </w:p>
        </w:tc>
        <w:tc>
          <w:tcPr>
            <w:tcW w:w="561" w:type="dxa"/>
            <w:noWrap/>
            <w:hideMark/>
          </w:tcPr>
          <w:p w14:paraId="380D3B0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6E9F0C8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28</w:t>
            </w:r>
          </w:p>
        </w:tc>
        <w:tc>
          <w:tcPr>
            <w:tcW w:w="720" w:type="dxa"/>
            <w:noWrap/>
            <w:hideMark/>
          </w:tcPr>
          <w:p w14:paraId="66AFA63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7B87DDB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0.29</w:t>
            </w:r>
          </w:p>
        </w:tc>
        <w:tc>
          <w:tcPr>
            <w:tcW w:w="850" w:type="dxa"/>
            <w:noWrap/>
            <w:hideMark/>
          </w:tcPr>
          <w:p w14:paraId="2652E5D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1.58</w:t>
            </w:r>
          </w:p>
        </w:tc>
        <w:tc>
          <w:tcPr>
            <w:tcW w:w="851" w:type="dxa"/>
            <w:noWrap/>
            <w:hideMark/>
          </w:tcPr>
          <w:p w14:paraId="55475F7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2E261838"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15</w:t>
            </w:r>
          </w:p>
        </w:tc>
      </w:tr>
      <w:tr w:rsidR="007F38C4" w:rsidRPr="00563AD3" w14:paraId="211F4112" w14:textId="77777777" w:rsidTr="006C0B32">
        <w:trPr>
          <w:trHeight w:val="264"/>
        </w:trPr>
        <w:tc>
          <w:tcPr>
            <w:tcW w:w="3260" w:type="dxa"/>
            <w:noWrap/>
            <w:hideMark/>
          </w:tcPr>
          <w:p w14:paraId="5D5272BA"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 </w:t>
            </w:r>
          </w:p>
        </w:tc>
        <w:tc>
          <w:tcPr>
            <w:tcW w:w="992" w:type="dxa"/>
            <w:noWrap/>
            <w:hideMark/>
          </w:tcPr>
          <w:p w14:paraId="3F082FF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w:t>
            </w:r>
          </w:p>
        </w:tc>
        <w:tc>
          <w:tcPr>
            <w:tcW w:w="793" w:type="dxa"/>
            <w:noWrap/>
            <w:hideMark/>
          </w:tcPr>
          <w:p w14:paraId="38262F1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2BE95CF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0.14</w:t>
            </w:r>
          </w:p>
        </w:tc>
        <w:tc>
          <w:tcPr>
            <w:tcW w:w="606" w:type="dxa"/>
            <w:noWrap/>
            <w:hideMark/>
          </w:tcPr>
          <w:p w14:paraId="329F96B8"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1.14</w:t>
            </w:r>
          </w:p>
        </w:tc>
        <w:tc>
          <w:tcPr>
            <w:tcW w:w="561" w:type="dxa"/>
            <w:noWrap/>
            <w:hideMark/>
          </w:tcPr>
          <w:p w14:paraId="2F65CC6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6F5FC17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12</w:t>
            </w:r>
          </w:p>
        </w:tc>
        <w:tc>
          <w:tcPr>
            <w:tcW w:w="720" w:type="dxa"/>
            <w:noWrap/>
            <w:hideMark/>
          </w:tcPr>
          <w:p w14:paraId="478EE77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5051F72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0.01</w:t>
            </w:r>
          </w:p>
        </w:tc>
        <w:tc>
          <w:tcPr>
            <w:tcW w:w="850" w:type="dxa"/>
            <w:noWrap/>
            <w:hideMark/>
          </w:tcPr>
          <w:p w14:paraId="73844F5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0.08</w:t>
            </w:r>
          </w:p>
        </w:tc>
        <w:tc>
          <w:tcPr>
            <w:tcW w:w="851" w:type="dxa"/>
            <w:noWrap/>
            <w:hideMark/>
          </w:tcPr>
          <w:p w14:paraId="35E590B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42ED353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w:t>
            </w:r>
          </w:p>
        </w:tc>
      </w:tr>
      <w:tr w:rsidR="007F38C4" w:rsidRPr="00563AD3" w14:paraId="383CC5BD" w14:textId="77777777" w:rsidTr="006C0B32">
        <w:trPr>
          <w:trHeight w:val="264"/>
        </w:trPr>
        <w:tc>
          <w:tcPr>
            <w:tcW w:w="3260" w:type="dxa"/>
            <w:noWrap/>
            <w:hideMark/>
          </w:tcPr>
          <w:p w14:paraId="47100AF5"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Hospital day centre visit</w:t>
            </w:r>
          </w:p>
        </w:tc>
        <w:tc>
          <w:tcPr>
            <w:tcW w:w="992" w:type="dxa"/>
            <w:noWrap/>
            <w:hideMark/>
          </w:tcPr>
          <w:p w14:paraId="4D81346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793" w:type="dxa"/>
            <w:noWrap/>
            <w:hideMark/>
          </w:tcPr>
          <w:p w14:paraId="70C4B76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45BDA02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0.01</w:t>
            </w:r>
          </w:p>
        </w:tc>
        <w:tc>
          <w:tcPr>
            <w:tcW w:w="606" w:type="dxa"/>
            <w:noWrap/>
            <w:hideMark/>
          </w:tcPr>
          <w:p w14:paraId="16B68E3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0.10</w:t>
            </w:r>
          </w:p>
        </w:tc>
        <w:tc>
          <w:tcPr>
            <w:tcW w:w="561" w:type="dxa"/>
            <w:noWrap/>
            <w:hideMark/>
          </w:tcPr>
          <w:p w14:paraId="747B238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330EF7C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w:t>
            </w:r>
          </w:p>
        </w:tc>
        <w:tc>
          <w:tcPr>
            <w:tcW w:w="720" w:type="dxa"/>
            <w:noWrap/>
            <w:hideMark/>
          </w:tcPr>
          <w:p w14:paraId="6044E31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4DC7BF1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0.02</w:t>
            </w:r>
          </w:p>
        </w:tc>
        <w:tc>
          <w:tcPr>
            <w:tcW w:w="850" w:type="dxa"/>
            <w:noWrap/>
            <w:hideMark/>
          </w:tcPr>
          <w:p w14:paraId="02FBC7B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0.13</w:t>
            </w:r>
          </w:p>
        </w:tc>
        <w:tc>
          <w:tcPr>
            <w:tcW w:w="851" w:type="dxa"/>
            <w:noWrap/>
            <w:hideMark/>
          </w:tcPr>
          <w:p w14:paraId="1029FEA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361AABC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w:t>
            </w:r>
          </w:p>
        </w:tc>
      </w:tr>
      <w:tr w:rsidR="007F38C4" w:rsidRPr="00563AD3" w14:paraId="3E82FDBE" w14:textId="77777777" w:rsidTr="006C0B32">
        <w:trPr>
          <w:trHeight w:val="264"/>
        </w:trPr>
        <w:tc>
          <w:tcPr>
            <w:tcW w:w="3260" w:type="dxa"/>
            <w:noWrap/>
            <w:hideMark/>
          </w:tcPr>
          <w:p w14:paraId="0E7AB257"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 </w:t>
            </w:r>
          </w:p>
        </w:tc>
        <w:tc>
          <w:tcPr>
            <w:tcW w:w="992" w:type="dxa"/>
            <w:noWrap/>
            <w:hideMark/>
          </w:tcPr>
          <w:p w14:paraId="14185C7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6</w:t>
            </w:r>
          </w:p>
        </w:tc>
        <w:tc>
          <w:tcPr>
            <w:tcW w:w="793" w:type="dxa"/>
            <w:noWrap/>
            <w:hideMark/>
          </w:tcPr>
          <w:p w14:paraId="059F34A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47B440E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0.00</w:t>
            </w:r>
          </w:p>
        </w:tc>
        <w:tc>
          <w:tcPr>
            <w:tcW w:w="606" w:type="dxa"/>
            <w:noWrap/>
            <w:hideMark/>
          </w:tcPr>
          <w:p w14:paraId="692A2A3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0.07</w:t>
            </w:r>
          </w:p>
        </w:tc>
        <w:tc>
          <w:tcPr>
            <w:tcW w:w="561" w:type="dxa"/>
            <w:noWrap/>
            <w:hideMark/>
          </w:tcPr>
          <w:p w14:paraId="11A2737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2033B2B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w:t>
            </w:r>
          </w:p>
        </w:tc>
        <w:tc>
          <w:tcPr>
            <w:tcW w:w="720" w:type="dxa"/>
            <w:noWrap/>
            <w:hideMark/>
          </w:tcPr>
          <w:p w14:paraId="7A5C935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4C8E320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0.00</w:t>
            </w:r>
          </w:p>
        </w:tc>
        <w:tc>
          <w:tcPr>
            <w:tcW w:w="850" w:type="dxa"/>
            <w:noWrap/>
            <w:hideMark/>
          </w:tcPr>
          <w:p w14:paraId="0622D97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0.00</w:t>
            </w:r>
          </w:p>
        </w:tc>
        <w:tc>
          <w:tcPr>
            <w:tcW w:w="851" w:type="dxa"/>
            <w:noWrap/>
            <w:hideMark/>
          </w:tcPr>
          <w:p w14:paraId="01FE762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1A07F65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r>
      <w:tr w:rsidR="007F38C4" w:rsidRPr="00563AD3" w14:paraId="395B6B9C" w14:textId="77777777" w:rsidTr="006C0B32">
        <w:trPr>
          <w:trHeight w:val="264"/>
        </w:trPr>
        <w:tc>
          <w:tcPr>
            <w:tcW w:w="3260" w:type="dxa"/>
            <w:noWrap/>
            <w:hideMark/>
          </w:tcPr>
          <w:p w14:paraId="424D3618"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 </w:t>
            </w:r>
          </w:p>
        </w:tc>
        <w:tc>
          <w:tcPr>
            <w:tcW w:w="992" w:type="dxa"/>
            <w:noWrap/>
            <w:hideMark/>
          </w:tcPr>
          <w:p w14:paraId="272108E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w:t>
            </w:r>
          </w:p>
        </w:tc>
        <w:tc>
          <w:tcPr>
            <w:tcW w:w="793" w:type="dxa"/>
            <w:noWrap/>
            <w:hideMark/>
          </w:tcPr>
          <w:p w14:paraId="395FDCD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2DA6EF4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0.00</w:t>
            </w:r>
          </w:p>
        </w:tc>
        <w:tc>
          <w:tcPr>
            <w:tcW w:w="606" w:type="dxa"/>
            <w:noWrap/>
            <w:hideMark/>
          </w:tcPr>
          <w:p w14:paraId="783751B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0.07</w:t>
            </w:r>
          </w:p>
        </w:tc>
        <w:tc>
          <w:tcPr>
            <w:tcW w:w="561" w:type="dxa"/>
            <w:noWrap/>
            <w:hideMark/>
          </w:tcPr>
          <w:p w14:paraId="7D468CC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1694A50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w:t>
            </w:r>
          </w:p>
        </w:tc>
        <w:tc>
          <w:tcPr>
            <w:tcW w:w="720" w:type="dxa"/>
            <w:noWrap/>
            <w:hideMark/>
          </w:tcPr>
          <w:p w14:paraId="5F8B266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784D0DB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0.03</w:t>
            </w:r>
          </w:p>
        </w:tc>
        <w:tc>
          <w:tcPr>
            <w:tcW w:w="850" w:type="dxa"/>
            <w:noWrap/>
            <w:hideMark/>
          </w:tcPr>
          <w:p w14:paraId="3F15011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0.20</w:t>
            </w:r>
          </w:p>
        </w:tc>
        <w:tc>
          <w:tcPr>
            <w:tcW w:w="851" w:type="dxa"/>
            <w:noWrap/>
            <w:hideMark/>
          </w:tcPr>
          <w:p w14:paraId="23D701A8"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0A67560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w:t>
            </w:r>
          </w:p>
        </w:tc>
      </w:tr>
      <w:tr w:rsidR="007F38C4" w:rsidRPr="00563AD3" w14:paraId="28DDDFE4" w14:textId="77777777" w:rsidTr="006C0B32">
        <w:trPr>
          <w:trHeight w:val="264"/>
        </w:trPr>
        <w:tc>
          <w:tcPr>
            <w:tcW w:w="3260" w:type="dxa"/>
            <w:noWrap/>
            <w:hideMark/>
          </w:tcPr>
          <w:p w14:paraId="033C1432"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Hospital outpatient clinic visit</w:t>
            </w:r>
          </w:p>
        </w:tc>
        <w:tc>
          <w:tcPr>
            <w:tcW w:w="992" w:type="dxa"/>
            <w:noWrap/>
            <w:hideMark/>
          </w:tcPr>
          <w:p w14:paraId="32DF717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793" w:type="dxa"/>
            <w:noWrap/>
            <w:hideMark/>
          </w:tcPr>
          <w:p w14:paraId="410FED7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1B16EBC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0.14</w:t>
            </w:r>
          </w:p>
        </w:tc>
        <w:tc>
          <w:tcPr>
            <w:tcW w:w="606" w:type="dxa"/>
            <w:noWrap/>
            <w:hideMark/>
          </w:tcPr>
          <w:p w14:paraId="595F94B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0.61</w:t>
            </w:r>
          </w:p>
        </w:tc>
        <w:tc>
          <w:tcPr>
            <w:tcW w:w="561" w:type="dxa"/>
            <w:noWrap/>
            <w:hideMark/>
          </w:tcPr>
          <w:p w14:paraId="42DA355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483DD95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7</w:t>
            </w:r>
          </w:p>
        </w:tc>
        <w:tc>
          <w:tcPr>
            <w:tcW w:w="720" w:type="dxa"/>
            <w:noWrap/>
            <w:hideMark/>
          </w:tcPr>
          <w:p w14:paraId="07C702E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78C6D87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0.14</w:t>
            </w:r>
          </w:p>
        </w:tc>
        <w:tc>
          <w:tcPr>
            <w:tcW w:w="850" w:type="dxa"/>
            <w:noWrap/>
            <w:hideMark/>
          </w:tcPr>
          <w:p w14:paraId="7F6A4B4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0.46</w:t>
            </w:r>
          </w:p>
        </w:tc>
        <w:tc>
          <w:tcPr>
            <w:tcW w:w="851" w:type="dxa"/>
            <w:noWrap/>
            <w:hideMark/>
          </w:tcPr>
          <w:p w14:paraId="2BD7CAA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1087128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4</w:t>
            </w:r>
          </w:p>
        </w:tc>
      </w:tr>
      <w:tr w:rsidR="007F38C4" w:rsidRPr="00563AD3" w14:paraId="214EC256" w14:textId="77777777" w:rsidTr="006C0B32">
        <w:trPr>
          <w:trHeight w:val="264"/>
        </w:trPr>
        <w:tc>
          <w:tcPr>
            <w:tcW w:w="3260" w:type="dxa"/>
            <w:noWrap/>
            <w:hideMark/>
          </w:tcPr>
          <w:p w14:paraId="62E2FF6C"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 </w:t>
            </w:r>
          </w:p>
        </w:tc>
        <w:tc>
          <w:tcPr>
            <w:tcW w:w="992" w:type="dxa"/>
            <w:noWrap/>
            <w:hideMark/>
          </w:tcPr>
          <w:p w14:paraId="396DCB0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6</w:t>
            </w:r>
          </w:p>
        </w:tc>
        <w:tc>
          <w:tcPr>
            <w:tcW w:w="793" w:type="dxa"/>
            <w:noWrap/>
            <w:hideMark/>
          </w:tcPr>
          <w:p w14:paraId="4412512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0DC083A4"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0.08</w:t>
            </w:r>
          </w:p>
        </w:tc>
        <w:tc>
          <w:tcPr>
            <w:tcW w:w="606" w:type="dxa"/>
            <w:noWrap/>
            <w:hideMark/>
          </w:tcPr>
          <w:p w14:paraId="2D86D3B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0.27</w:t>
            </w:r>
          </w:p>
        </w:tc>
        <w:tc>
          <w:tcPr>
            <w:tcW w:w="561" w:type="dxa"/>
            <w:noWrap/>
            <w:hideMark/>
          </w:tcPr>
          <w:p w14:paraId="2874E29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272626F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w:t>
            </w:r>
          </w:p>
        </w:tc>
        <w:tc>
          <w:tcPr>
            <w:tcW w:w="720" w:type="dxa"/>
            <w:noWrap/>
            <w:hideMark/>
          </w:tcPr>
          <w:p w14:paraId="7DB145E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14D3213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0.06</w:t>
            </w:r>
          </w:p>
        </w:tc>
        <w:tc>
          <w:tcPr>
            <w:tcW w:w="850" w:type="dxa"/>
            <w:noWrap/>
            <w:hideMark/>
          </w:tcPr>
          <w:p w14:paraId="02ADBEF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0.31</w:t>
            </w:r>
          </w:p>
        </w:tc>
        <w:tc>
          <w:tcPr>
            <w:tcW w:w="851" w:type="dxa"/>
            <w:noWrap/>
            <w:hideMark/>
          </w:tcPr>
          <w:p w14:paraId="5E83622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7159E90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3</w:t>
            </w:r>
          </w:p>
        </w:tc>
      </w:tr>
      <w:tr w:rsidR="007F38C4" w:rsidRPr="00563AD3" w14:paraId="25B39609" w14:textId="77777777" w:rsidTr="006C0B32">
        <w:trPr>
          <w:trHeight w:val="264"/>
        </w:trPr>
        <w:tc>
          <w:tcPr>
            <w:tcW w:w="3260" w:type="dxa"/>
            <w:noWrap/>
            <w:hideMark/>
          </w:tcPr>
          <w:p w14:paraId="658227A5"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 </w:t>
            </w:r>
          </w:p>
        </w:tc>
        <w:tc>
          <w:tcPr>
            <w:tcW w:w="992" w:type="dxa"/>
            <w:noWrap/>
            <w:hideMark/>
          </w:tcPr>
          <w:p w14:paraId="4D37CCF1"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w:t>
            </w:r>
          </w:p>
        </w:tc>
        <w:tc>
          <w:tcPr>
            <w:tcW w:w="793" w:type="dxa"/>
            <w:noWrap/>
            <w:hideMark/>
          </w:tcPr>
          <w:p w14:paraId="70BE17E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47A72D3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0.07</w:t>
            </w:r>
          </w:p>
        </w:tc>
        <w:tc>
          <w:tcPr>
            <w:tcW w:w="606" w:type="dxa"/>
            <w:noWrap/>
            <w:hideMark/>
          </w:tcPr>
          <w:p w14:paraId="737F6BF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0.35</w:t>
            </w:r>
          </w:p>
        </w:tc>
        <w:tc>
          <w:tcPr>
            <w:tcW w:w="561" w:type="dxa"/>
            <w:noWrap/>
            <w:hideMark/>
          </w:tcPr>
          <w:p w14:paraId="7A5E487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0E0EAD6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3</w:t>
            </w:r>
          </w:p>
        </w:tc>
        <w:tc>
          <w:tcPr>
            <w:tcW w:w="720" w:type="dxa"/>
            <w:noWrap/>
            <w:hideMark/>
          </w:tcPr>
          <w:p w14:paraId="641F673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23C698AC"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0.01</w:t>
            </w:r>
          </w:p>
        </w:tc>
        <w:tc>
          <w:tcPr>
            <w:tcW w:w="850" w:type="dxa"/>
            <w:noWrap/>
            <w:hideMark/>
          </w:tcPr>
          <w:p w14:paraId="14DBB81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0.15</w:t>
            </w:r>
          </w:p>
        </w:tc>
        <w:tc>
          <w:tcPr>
            <w:tcW w:w="851" w:type="dxa"/>
            <w:noWrap/>
            <w:hideMark/>
          </w:tcPr>
          <w:p w14:paraId="4C32B16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4FCDD00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w:t>
            </w:r>
          </w:p>
        </w:tc>
      </w:tr>
      <w:tr w:rsidR="007F38C4" w:rsidRPr="00563AD3" w14:paraId="15ECB13B" w14:textId="77777777" w:rsidTr="006C0B32">
        <w:trPr>
          <w:trHeight w:val="264"/>
        </w:trPr>
        <w:tc>
          <w:tcPr>
            <w:tcW w:w="3260" w:type="dxa"/>
            <w:noWrap/>
            <w:hideMark/>
          </w:tcPr>
          <w:p w14:paraId="758F8ECA" w14:textId="77777777" w:rsidR="007F38C4" w:rsidRPr="006C0B32" w:rsidRDefault="007F38C4" w:rsidP="006C0B32">
            <w:pPr>
              <w:autoSpaceDE/>
              <w:autoSpaceDN/>
              <w:adjustRightInd/>
              <w:spacing w:line="240" w:lineRule="auto"/>
              <w:jc w:val="right"/>
              <w:rPr>
                <w:rFonts w:eastAsia="Times New Roman"/>
                <w:color w:val="000000"/>
                <w:sz w:val="20"/>
                <w:szCs w:val="20"/>
              </w:rPr>
            </w:pPr>
            <w:r w:rsidRPr="006C0B32">
              <w:rPr>
                <w:rFonts w:eastAsia="Times New Roman"/>
                <w:color w:val="000000"/>
                <w:sz w:val="20"/>
                <w:szCs w:val="20"/>
              </w:rPr>
              <w:t>Hospital A&amp;E visit</w:t>
            </w:r>
          </w:p>
        </w:tc>
        <w:tc>
          <w:tcPr>
            <w:tcW w:w="992" w:type="dxa"/>
            <w:noWrap/>
            <w:hideMark/>
          </w:tcPr>
          <w:p w14:paraId="1F65CC14"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793" w:type="dxa"/>
            <w:noWrap/>
            <w:hideMark/>
          </w:tcPr>
          <w:p w14:paraId="1F52D5F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47E61448"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0.15</w:t>
            </w:r>
          </w:p>
        </w:tc>
        <w:tc>
          <w:tcPr>
            <w:tcW w:w="606" w:type="dxa"/>
            <w:noWrap/>
            <w:hideMark/>
          </w:tcPr>
          <w:p w14:paraId="60A4DB8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0.83</w:t>
            </w:r>
          </w:p>
        </w:tc>
        <w:tc>
          <w:tcPr>
            <w:tcW w:w="561" w:type="dxa"/>
            <w:noWrap/>
            <w:hideMark/>
          </w:tcPr>
          <w:p w14:paraId="2F87C8C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072E4D3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11</w:t>
            </w:r>
          </w:p>
        </w:tc>
        <w:tc>
          <w:tcPr>
            <w:tcW w:w="720" w:type="dxa"/>
            <w:noWrap/>
            <w:hideMark/>
          </w:tcPr>
          <w:p w14:paraId="1655F9E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7B61A7A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0.10</w:t>
            </w:r>
          </w:p>
        </w:tc>
        <w:tc>
          <w:tcPr>
            <w:tcW w:w="850" w:type="dxa"/>
            <w:noWrap/>
            <w:hideMark/>
          </w:tcPr>
          <w:p w14:paraId="6C689D9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0.39</w:t>
            </w:r>
          </w:p>
        </w:tc>
        <w:tc>
          <w:tcPr>
            <w:tcW w:w="851" w:type="dxa"/>
            <w:noWrap/>
            <w:hideMark/>
          </w:tcPr>
          <w:p w14:paraId="0473468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5564C52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w:t>
            </w:r>
          </w:p>
        </w:tc>
      </w:tr>
      <w:tr w:rsidR="007F38C4" w:rsidRPr="00563AD3" w14:paraId="76C63BE9" w14:textId="77777777" w:rsidTr="006C0B32">
        <w:trPr>
          <w:trHeight w:val="264"/>
        </w:trPr>
        <w:tc>
          <w:tcPr>
            <w:tcW w:w="3260" w:type="dxa"/>
            <w:noWrap/>
            <w:hideMark/>
          </w:tcPr>
          <w:p w14:paraId="3457D729"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 </w:t>
            </w:r>
          </w:p>
        </w:tc>
        <w:tc>
          <w:tcPr>
            <w:tcW w:w="992" w:type="dxa"/>
            <w:noWrap/>
            <w:hideMark/>
          </w:tcPr>
          <w:p w14:paraId="28E6189D"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6</w:t>
            </w:r>
          </w:p>
        </w:tc>
        <w:tc>
          <w:tcPr>
            <w:tcW w:w="793" w:type="dxa"/>
            <w:noWrap/>
            <w:hideMark/>
          </w:tcPr>
          <w:p w14:paraId="1E4AF4E9"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3CA25920"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0.07</w:t>
            </w:r>
          </w:p>
        </w:tc>
        <w:tc>
          <w:tcPr>
            <w:tcW w:w="606" w:type="dxa"/>
            <w:noWrap/>
            <w:hideMark/>
          </w:tcPr>
          <w:p w14:paraId="3B41E93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0.27</w:t>
            </w:r>
          </w:p>
        </w:tc>
        <w:tc>
          <w:tcPr>
            <w:tcW w:w="561" w:type="dxa"/>
            <w:noWrap/>
            <w:hideMark/>
          </w:tcPr>
          <w:p w14:paraId="6A9D56A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3111EC75"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w:t>
            </w:r>
          </w:p>
        </w:tc>
        <w:tc>
          <w:tcPr>
            <w:tcW w:w="720" w:type="dxa"/>
            <w:noWrap/>
            <w:hideMark/>
          </w:tcPr>
          <w:p w14:paraId="17A9094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4AD62BF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0.06</w:t>
            </w:r>
          </w:p>
        </w:tc>
        <w:tc>
          <w:tcPr>
            <w:tcW w:w="850" w:type="dxa"/>
            <w:noWrap/>
            <w:hideMark/>
          </w:tcPr>
          <w:p w14:paraId="15621CB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0.29</w:t>
            </w:r>
          </w:p>
        </w:tc>
        <w:tc>
          <w:tcPr>
            <w:tcW w:w="851" w:type="dxa"/>
            <w:noWrap/>
            <w:hideMark/>
          </w:tcPr>
          <w:p w14:paraId="6FF38A57"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6D0F15DA"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w:t>
            </w:r>
          </w:p>
        </w:tc>
      </w:tr>
      <w:tr w:rsidR="007F38C4" w:rsidRPr="00563AD3" w14:paraId="5363933B" w14:textId="77777777" w:rsidTr="006C0B32">
        <w:trPr>
          <w:trHeight w:val="264"/>
        </w:trPr>
        <w:tc>
          <w:tcPr>
            <w:tcW w:w="3260" w:type="dxa"/>
            <w:noWrap/>
            <w:hideMark/>
          </w:tcPr>
          <w:p w14:paraId="2DF55341" w14:textId="77777777" w:rsidR="007F38C4" w:rsidRPr="00563AD3" w:rsidRDefault="007F38C4" w:rsidP="006C0B32">
            <w:pPr>
              <w:autoSpaceDE/>
              <w:autoSpaceDN/>
              <w:adjustRightInd/>
              <w:spacing w:line="240" w:lineRule="auto"/>
              <w:rPr>
                <w:rFonts w:eastAsia="Times New Roman"/>
                <w:b/>
                <w:color w:val="000000"/>
                <w:sz w:val="20"/>
                <w:szCs w:val="20"/>
              </w:rPr>
            </w:pPr>
            <w:r w:rsidRPr="00563AD3">
              <w:rPr>
                <w:rFonts w:eastAsia="Times New Roman"/>
                <w:b/>
                <w:color w:val="000000"/>
                <w:sz w:val="20"/>
                <w:szCs w:val="20"/>
              </w:rPr>
              <w:t> </w:t>
            </w:r>
          </w:p>
        </w:tc>
        <w:tc>
          <w:tcPr>
            <w:tcW w:w="992" w:type="dxa"/>
            <w:noWrap/>
            <w:hideMark/>
          </w:tcPr>
          <w:p w14:paraId="3787B6F6"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16</w:t>
            </w:r>
          </w:p>
        </w:tc>
        <w:tc>
          <w:tcPr>
            <w:tcW w:w="793" w:type="dxa"/>
            <w:noWrap/>
            <w:hideMark/>
          </w:tcPr>
          <w:p w14:paraId="6C82C6BE"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214</w:t>
            </w:r>
          </w:p>
        </w:tc>
        <w:tc>
          <w:tcPr>
            <w:tcW w:w="728" w:type="dxa"/>
            <w:noWrap/>
            <w:hideMark/>
          </w:tcPr>
          <w:p w14:paraId="700F5CE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0.01</w:t>
            </w:r>
          </w:p>
        </w:tc>
        <w:tc>
          <w:tcPr>
            <w:tcW w:w="606" w:type="dxa"/>
            <w:noWrap/>
            <w:hideMark/>
          </w:tcPr>
          <w:p w14:paraId="186B3FAB"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0.12</w:t>
            </w:r>
          </w:p>
        </w:tc>
        <w:tc>
          <w:tcPr>
            <w:tcW w:w="561" w:type="dxa"/>
            <w:noWrap/>
            <w:hideMark/>
          </w:tcPr>
          <w:p w14:paraId="65763672"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606" w:type="dxa"/>
            <w:noWrap/>
            <w:hideMark/>
          </w:tcPr>
          <w:p w14:paraId="03139D84"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w:t>
            </w:r>
          </w:p>
        </w:tc>
        <w:tc>
          <w:tcPr>
            <w:tcW w:w="720" w:type="dxa"/>
            <w:noWrap/>
            <w:hideMark/>
          </w:tcPr>
          <w:p w14:paraId="228E8C39"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175</w:t>
            </w:r>
          </w:p>
        </w:tc>
        <w:tc>
          <w:tcPr>
            <w:tcW w:w="851" w:type="dxa"/>
            <w:noWrap/>
            <w:hideMark/>
          </w:tcPr>
          <w:p w14:paraId="51A6342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0.01</w:t>
            </w:r>
          </w:p>
        </w:tc>
        <w:tc>
          <w:tcPr>
            <w:tcW w:w="850" w:type="dxa"/>
            <w:noWrap/>
            <w:hideMark/>
          </w:tcPr>
          <w:p w14:paraId="702CD8DF"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0.08</w:t>
            </w:r>
          </w:p>
        </w:tc>
        <w:tc>
          <w:tcPr>
            <w:tcW w:w="851" w:type="dxa"/>
            <w:noWrap/>
            <w:hideMark/>
          </w:tcPr>
          <w:p w14:paraId="0388CF2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0</w:t>
            </w:r>
          </w:p>
        </w:tc>
        <w:tc>
          <w:tcPr>
            <w:tcW w:w="992" w:type="dxa"/>
            <w:noWrap/>
            <w:hideMark/>
          </w:tcPr>
          <w:p w14:paraId="327F2963" w14:textId="77777777" w:rsidR="007F38C4" w:rsidRPr="00563AD3" w:rsidRDefault="007F38C4" w:rsidP="006C0B32">
            <w:pPr>
              <w:autoSpaceDE/>
              <w:autoSpaceDN/>
              <w:adjustRightInd/>
              <w:spacing w:line="240" w:lineRule="auto"/>
              <w:jc w:val="right"/>
              <w:rPr>
                <w:rFonts w:eastAsia="Times New Roman"/>
                <w:color w:val="000000"/>
                <w:sz w:val="20"/>
                <w:szCs w:val="20"/>
              </w:rPr>
            </w:pPr>
            <w:r w:rsidRPr="00563AD3">
              <w:rPr>
                <w:rFonts w:eastAsia="Times New Roman"/>
                <w:color w:val="000000"/>
                <w:sz w:val="20"/>
                <w:szCs w:val="20"/>
              </w:rPr>
              <w:t>1</w:t>
            </w:r>
          </w:p>
        </w:tc>
      </w:tr>
    </w:tbl>
    <w:p w14:paraId="2E14173A" w14:textId="77777777" w:rsidR="007F38C4" w:rsidRPr="00563AD3" w:rsidRDefault="007F38C4" w:rsidP="009B13F3">
      <w:r w:rsidRPr="00563AD3">
        <w:t>*Values represent resource use in the previous month only and are extrapolated for the whole trial period</w:t>
      </w:r>
    </w:p>
    <w:p w14:paraId="53CBC8E9" w14:textId="77777777" w:rsidR="007F38C4" w:rsidRPr="00563AD3" w:rsidRDefault="007F38C4" w:rsidP="009B13F3">
      <w:pPr>
        <w:sectPr w:rsidR="007F38C4" w:rsidRPr="00563AD3" w:rsidSect="005E065C">
          <w:pgSz w:w="16838" w:h="11906" w:orient="landscape"/>
          <w:pgMar w:top="1440" w:right="1440" w:bottom="1134" w:left="1440" w:header="708" w:footer="708" w:gutter="0"/>
          <w:cols w:space="708"/>
          <w:docGrid w:linePitch="360"/>
        </w:sectPr>
      </w:pPr>
    </w:p>
    <w:p w14:paraId="4BE77F5D" w14:textId="640B21A9" w:rsidR="007F38C4" w:rsidRPr="00563AD3" w:rsidRDefault="007F38C4" w:rsidP="006C0B32">
      <w:pPr>
        <w:pStyle w:val="Tableheading"/>
      </w:pPr>
      <w:bookmarkStart w:id="367" w:name="_Toc948263"/>
      <w:r w:rsidRPr="00563AD3">
        <w:t xml:space="preserve">Table </w:t>
      </w:r>
      <w:r w:rsidR="00FD6ACB">
        <w:t>66</w:t>
      </w:r>
      <w:r w:rsidRPr="00563AD3">
        <w:t>: Main* Unit Costs</w:t>
      </w:r>
      <w:bookmarkEnd w:id="367"/>
      <w:r w:rsidRPr="00563AD3">
        <w:t xml:space="preserve"> </w:t>
      </w:r>
    </w:p>
    <w:tbl>
      <w:tblPr>
        <w:tblW w:w="9214"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16"/>
        <w:gridCol w:w="222"/>
        <w:gridCol w:w="1149"/>
        <w:gridCol w:w="2538"/>
        <w:gridCol w:w="222"/>
        <w:gridCol w:w="1067"/>
      </w:tblGrid>
      <w:tr w:rsidR="007F38C4" w:rsidRPr="00563AD3" w14:paraId="1338503A" w14:textId="77777777" w:rsidTr="00DD4D62">
        <w:trPr>
          <w:trHeight w:val="264"/>
        </w:trPr>
        <w:tc>
          <w:tcPr>
            <w:tcW w:w="4238" w:type="dxa"/>
            <w:gridSpan w:val="2"/>
            <w:tcBorders>
              <w:top w:val="single" w:sz="4" w:space="0" w:color="auto"/>
              <w:bottom w:val="single" w:sz="4" w:space="0" w:color="auto"/>
              <w:right w:val="single" w:sz="4" w:space="0" w:color="auto"/>
            </w:tcBorders>
            <w:shd w:val="clear" w:color="auto" w:fill="auto"/>
            <w:noWrap/>
          </w:tcPr>
          <w:p w14:paraId="337482AE" w14:textId="77777777" w:rsidR="007F38C4" w:rsidRPr="00563AD3" w:rsidRDefault="007F38C4" w:rsidP="009B13F3">
            <w:pPr>
              <w:spacing w:after="0"/>
            </w:pPr>
            <w:r w:rsidRPr="00563AD3">
              <w:t>Resource item</w:t>
            </w:r>
          </w:p>
        </w:tc>
        <w:tc>
          <w:tcPr>
            <w:tcW w:w="1149" w:type="dxa"/>
            <w:tcBorders>
              <w:top w:val="single" w:sz="4" w:space="0" w:color="auto"/>
              <w:left w:val="single" w:sz="4" w:space="0" w:color="auto"/>
              <w:bottom w:val="single" w:sz="4" w:space="0" w:color="auto"/>
              <w:right w:val="single" w:sz="4" w:space="0" w:color="auto"/>
            </w:tcBorders>
            <w:shd w:val="clear" w:color="auto" w:fill="auto"/>
            <w:noWrap/>
          </w:tcPr>
          <w:p w14:paraId="17C62D1F" w14:textId="77777777" w:rsidR="007F38C4" w:rsidRPr="00563AD3" w:rsidRDefault="007F38C4" w:rsidP="009B13F3">
            <w:pPr>
              <w:spacing w:after="0"/>
            </w:pPr>
            <w:r w:rsidRPr="00563AD3">
              <w:t>Unit cost</w:t>
            </w:r>
          </w:p>
        </w:tc>
        <w:tc>
          <w:tcPr>
            <w:tcW w:w="3827" w:type="dxa"/>
            <w:gridSpan w:val="3"/>
            <w:tcBorders>
              <w:top w:val="single" w:sz="4" w:space="0" w:color="auto"/>
              <w:left w:val="single" w:sz="4" w:space="0" w:color="auto"/>
              <w:bottom w:val="single" w:sz="4" w:space="0" w:color="auto"/>
            </w:tcBorders>
            <w:shd w:val="clear" w:color="auto" w:fill="auto"/>
            <w:noWrap/>
          </w:tcPr>
          <w:p w14:paraId="28BDC4EC" w14:textId="77777777" w:rsidR="007F38C4" w:rsidRPr="00563AD3" w:rsidRDefault="007F38C4" w:rsidP="009B13F3">
            <w:pPr>
              <w:spacing w:after="0"/>
            </w:pPr>
            <w:r w:rsidRPr="00563AD3">
              <w:t>Assumptions and source</w:t>
            </w:r>
          </w:p>
        </w:tc>
      </w:tr>
      <w:tr w:rsidR="007F38C4" w:rsidRPr="00563AD3" w14:paraId="1539351B" w14:textId="77777777" w:rsidTr="00DD4D62">
        <w:trPr>
          <w:trHeight w:val="264"/>
        </w:trPr>
        <w:tc>
          <w:tcPr>
            <w:tcW w:w="4238" w:type="dxa"/>
            <w:gridSpan w:val="2"/>
            <w:tcBorders>
              <w:top w:val="single" w:sz="4" w:space="0" w:color="auto"/>
              <w:right w:val="single" w:sz="4" w:space="0" w:color="auto"/>
            </w:tcBorders>
            <w:shd w:val="clear" w:color="auto" w:fill="auto"/>
            <w:noWrap/>
            <w:vAlign w:val="bottom"/>
          </w:tcPr>
          <w:p w14:paraId="726A8746"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Advanced nurse practitioner</w:t>
            </w:r>
          </w:p>
        </w:tc>
        <w:tc>
          <w:tcPr>
            <w:tcW w:w="1149" w:type="dxa"/>
            <w:tcBorders>
              <w:top w:val="single" w:sz="4" w:space="0" w:color="auto"/>
              <w:left w:val="single" w:sz="4" w:space="0" w:color="auto"/>
              <w:bottom w:val="nil"/>
              <w:right w:val="single" w:sz="4" w:space="0" w:color="auto"/>
            </w:tcBorders>
            <w:shd w:val="clear" w:color="auto" w:fill="auto"/>
            <w:noWrap/>
            <w:vAlign w:val="bottom"/>
          </w:tcPr>
          <w:p w14:paraId="7BD49032"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  77.24 </w:t>
            </w:r>
          </w:p>
        </w:tc>
        <w:tc>
          <w:tcPr>
            <w:tcW w:w="3827" w:type="dxa"/>
            <w:gridSpan w:val="3"/>
            <w:tcBorders>
              <w:top w:val="single" w:sz="4" w:space="0" w:color="auto"/>
              <w:left w:val="single" w:sz="4" w:space="0" w:color="auto"/>
            </w:tcBorders>
            <w:shd w:val="clear" w:color="auto" w:fill="auto"/>
            <w:noWrap/>
            <w:vAlign w:val="bottom"/>
          </w:tcPr>
          <w:p w14:paraId="24ACD377"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NHS 2015-16 reference costs </w:t>
            </w:r>
          </w:p>
        </w:tc>
      </w:tr>
      <w:tr w:rsidR="007F38C4" w:rsidRPr="00563AD3" w14:paraId="1C92A70A" w14:textId="77777777" w:rsidTr="00DD4D62">
        <w:trPr>
          <w:trHeight w:val="264"/>
        </w:trPr>
        <w:tc>
          <w:tcPr>
            <w:tcW w:w="4238" w:type="dxa"/>
            <w:gridSpan w:val="2"/>
            <w:tcBorders>
              <w:right w:val="single" w:sz="4" w:space="0" w:color="auto"/>
            </w:tcBorders>
            <w:shd w:val="clear" w:color="auto" w:fill="auto"/>
            <w:noWrap/>
            <w:vAlign w:val="bottom"/>
          </w:tcPr>
          <w:p w14:paraId="4EB6FB1D"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Advanced nurse practitioner (phone)</w:t>
            </w:r>
          </w:p>
        </w:tc>
        <w:tc>
          <w:tcPr>
            <w:tcW w:w="1149" w:type="dxa"/>
            <w:tcBorders>
              <w:top w:val="nil"/>
              <w:left w:val="single" w:sz="4" w:space="0" w:color="auto"/>
              <w:bottom w:val="nil"/>
              <w:right w:val="single" w:sz="4" w:space="0" w:color="auto"/>
            </w:tcBorders>
            <w:shd w:val="clear" w:color="auto" w:fill="auto"/>
            <w:noWrap/>
            <w:vAlign w:val="bottom"/>
          </w:tcPr>
          <w:p w14:paraId="5CCC6B1D"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  33.08 </w:t>
            </w:r>
          </w:p>
        </w:tc>
        <w:tc>
          <w:tcPr>
            <w:tcW w:w="3827" w:type="dxa"/>
            <w:gridSpan w:val="3"/>
            <w:tcBorders>
              <w:left w:val="single" w:sz="4" w:space="0" w:color="auto"/>
            </w:tcBorders>
            <w:shd w:val="clear" w:color="auto" w:fill="auto"/>
            <w:noWrap/>
            <w:vAlign w:val="bottom"/>
          </w:tcPr>
          <w:p w14:paraId="293620BC"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NHS 2015-16 reference costs </w:t>
            </w:r>
          </w:p>
        </w:tc>
      </w:tr>
      <w:tr w:rsidR="007F38C4" w:rsidRPr="00563AD3" w14:paraId="36B69A49" w14:textId="77777777" w:rsidTr="00DD4D62">
        <w:trPr>
          <w:trHeight w:val="264"/>
        </w:trPr>
        <w:tc>
          <w:tcPr>
            <w:tcW w:w="4238" w:type="dxa"/>
            <w:gridSpan w:val="2"/>
            <w:tcBorders>
              <w:right w:val="single" w:sz="4" w:space="0" w:color="auto"/>
            </w:tcBorders>
            <w:shd w:val="clear" w:color="auto" w:fill="auto"/>
            <w:noWrap/>
            <w:vAlign w:val="bottom"/>
          </w:tcPr>
          <w:p w14:paraId="411EDCD6"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Counsellor</w:t>
            </w:r>
          </w:p>
        </w:tc>
        <w:tc>
          <w:tcPr>
            <w:tcW w:w="1149" w:type="dxa"/>
            <w:tcBorders>
              <w:top w:val="nil"/>
              <w:left w:val="single" w:sz="4" w:space="0" w:color="auto"/>
              <w:bottom w:val="nil"/>
              <w:right w:val="single" w:sz="4" w:space="0" w:color="auto"/>
            </w:tcBorders>
            <w:shd w:val="clear" w:color="auto" w:fill="auto"/>
            <w:noWrap/>
            <w:vAlign w:val="bottom"/>
          </w:tcPr>
          <w:p w14:paraId="580ACC0B"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  62.03 </w:t>
            </w:r>
          </w:p>
        </w:tc>
        <w:tc>
          <w:tcPr>
            <w:tcW w:w="2760" w:type="dxa"/>
            <w:gridSpan w:val="2"/>
            <w:tcBorders>
              <w:left w:val="single" w:sz="4" w:space="0" w:color="auto"/>
            </w:tcBorders>
            <w:shd w:val="clear" w:color="auto" w:fill="auto"/>
            <w:noWrap/>
            <w:vAlign w:val="bottom"/>
          </w:tcPr>
          <w:p w14:paraId="314294B8"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PSSRU 2011/2</w:t>
            </w:r>
          </w:p>
        </w:tc>
        <w:tc>
          <w:tcPr>
            <w:tcW w:w="1067" w:type="dxa"/>
            <w:shd w:val="clear" w:color="auto" w:fill="auto"/>
            <w:noWrap/>
            <w:vAlign w:val="bottom"/>
            <w:hideMark/>
          </w:tcPr>
          <w:p w14:paraId="62501EB3" w14:textId="77777777" w:rsidR="007F38C4" w:rsidRPr="00563AD3" w:rsidRDefault="007F38C4" w:rsidP="009B13F3">
            <w:pPr>
              <w:autoSpaceDE/>
              <w:autoSpaceDN/>
              <w:adjustRightInd/>
              <w:spacing w:after="0"/>
              <w:rPr>
                <w:rFonts w:eastAsia="Times New Roman"/>
                <w:color w:val="000000"/>
              </w:rPr>
            </w:pPr>
          </w:p>
        </w:tc>
      </w:tr>
      <w:tr w:rsidR="007F38C4" w:rsidRPr="00563AD3" w14:paraId="6B6CD178" w14:textId="77777777" w:rsidTr="00DD4D62">
        <w:trPr>
          <w:trHeight w:val="264"/>
        </w:trPr>
        <w:tc>
          <w:tcPr>
            <w:tcW w:w="4238" w:type="dxa"/>
            <w:gridSpan w:val="2"/>
            <w:tcBorders>
              <w:right w:val="single" w:sz="4" w:space="0" w:color="auto"/>
            </w:tcBorders>
            <w:shd w:val="clear" w:color="auto" w:fill="auto"/>
            <w:noWrap/>
            <w:vAlign w:val="bottom"/>
          </w:tcPr>
          <w:p w14:paraId="1649B385"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District nurse</w:t>
            </w:r>
          </w:p>
        </w:tc>
        <w:tc>
          <w:tcPr>
            <w:tcW w:w="1149" w:type="dxa"/>
            <w:tcBorders>
              <w:top w:val="nil"/>
              <w:left w:val="single" w:sz="4" w:space="0" w:color="auto"/>
              <w:bottom w:val="nil"/>
              <w:right w:val="single" w:sz="4" w:space="0" w:color="auto"/>
            </w:tcBorders>
            <w:shd w:val="clear" w:color="auto" w:fill="auto"/>
            <w:noWrap/>
            <w:vAlign w:val="bottom"/>
          </w:tcPr>
          <w:p w14:paraId="2478B65B"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  37.98 </w:t>
            </w:r>
          </w:p>
        </w:tc>
        <w:tc>
          <w:tcPr>
            <w:tcW w:w="3827" w:type="dxa"/>
            <w:gridSpan w:val="3"/>
            <w:tcBorders>
              <w:left w:val="single" w:sz="4" w:space="0" w:color="auto"/>
            </w:tcBorders>
            <w:shd w:val="clear" w:color="auto" w:fill="auto"/>
            <w:noWrap/>
            <w:vAlign w:val="bottom"/>
          </w:tcPr>
          <w:p w14:paraId="45F88E03"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NHS 2015-16 reference costs</w:t>
            </w:r>
          </w:p>
        </w:tc>
      </w:tr>
      <w:tr w:rsidR="007F38C4" w:rsidRPr="00563AD3" w14:paraId="2E29B9EB" w14:textId="77777777" w:rsidTr="00DD4D62">
        <w:trPr>
          <w:trHeight w:val="264"/>
        </w:trPr>
        <w:tc>
          <w:tcPr>
            <w:tcW w:w="4238" w:type="dxa"/>
            <w:gridSpan w:val="2"/>
            <w:tcBorders>
              <w:right w:val="single" w:sz="4" w:space="0" w:color="auto"/>
            </w:tcBorders>
            <w:shd w:val="clear" w:color="auto" w:fill="auto"/>
            <w:noWrap/>
            <w:vAlign w:val="bottom"/>
          </w:tcPr>
          <w:p w14:paraId="48ACD444"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DISTRICT NURSE (phone)</w:t>
            </w:r>
          </w:p>
        </w:tc>
        <w:tc>
          <w:tcPr>
            <w:tcW w:w="1149" w:type="dxa"/>
            <w:tcBorders>
              <w:top w:val="nil"/>
              <w:left w:val="single" w:sz="4" w:space="0" w:color="auto"/>
              <w:bottom w:val="nil"/>
              <w:right w:val="single" w:sz="4" w:space="0" w:color="auto"/>
            </w:tcBorders>
            <w:shd w:val="clear" w:color="auto" w:fill="auto"/>
            <w:noWrap/>
            <w:vAlign w:val="bottom"/>
          </w:tcPr>
          <w:p w14:paraId="29580F4B"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  16.16 </w:t>
            </w:r>
          </w:p>
        </w:tc>
        <w:tc>
          <w:tcPr>
            <w:tcW w:w="3827" w:type="dxa"/>
            <w:gridSpan w:val="3"/>
            <w:tcBorders>
              <w:left w:val="single" w:sz="4" w:space="0" w:color="auto"/>
            </w:tcBorders>
            <w:shd w:val="clear" w:color="auto" w:fill="auto"/>
            <w:noWrap/>
            <w:vAlign w:val="bottom"/>
          </w:tcPr>
          <w:p w14:paraId="324F7AE0"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NHS 2015-16 reference costs</w:t>
            </w:r>
          </w:p>
        </w:tc>
      </w:tr>
      <w:tr w:rsidR="007F38C4" w:rsidRPr="00563AD3" w14:paraId="088EF34E" w14:textId="77777777" w:rsidTr="00DD4D62">
        <w:trPr>
          <w:trHeight w:val="528"/>
        </w:trPr>
        <w:tc>
          <w:tcPr>
            <w:tcW w:w="4016" w:type="dxa"/>
            <w:shd w:val="clear" w:color="auto" w:fill="auto"/>
            <w:noWrap/>
            <w:vAlign w:val="bottom"/>
          </w:tcPr>
          <w:p w14:paraId="11CE3E59"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GP</w:t>
            </w:r>
          </w:p>
        </w:tc>
        <w:tc>
          <w:tcPr>
            <w:tcW w:w="222" w:type="dxa"/>
            <w:tcBorders>
              <w:right w:val="single" w:sz="4" w:space="0" w:color="auto"/>
            </w:tcBorders>
            <w:shd w:val="clear" w:color="auto" w:fill="auto"/>
            <w:noWrap/>
            <w:vAlign w:val="bottom"/>
          </w:tcPr>
          <w:p w14:paraId="303A84DF" w14:textId="77777777" w:rsidR="007F38C4" w:rsidRPr="00563AD3" w:rsidRDefault="007F38C4" w:rsidP="009B13F3">
            <w:pPr>
              <w:autoSpaceDE/>
              <w:autoSpaceDN/>
              <w:adjustRightInd/>
              <w:spacing w:after="0"/>
              <w:rPr>
                <w:rFonts w:eastAsia="Times New Roman"/>
                <w:color w:val="000000"/>
              </w:rPr>
            </w:pPr>
          </w:p>
        </w:tc>
        <w:tc>
          <w:tcPr>
            <w:tcW w:w="1149" w:type="dxa"/>
            <w:tcBorders>
              <w:top w:val="nil"/>
              <w:left w:val="single" w:sz="4" w:space="0" w:color="auto"/>
              <w:bottom w:val="nil"/>
              <w:right w:val="single" w:sz="4" w:space="0" w:color="auto"/>
            </w:tcBorders>
            <w:shd w:val="clear" w:color="auto" w:fill="auto"/>
            <w:noWrap/>
            <w:vAlign w:val="bottom"/>
          </w:tcPr>
          <w:p w14:paraId="50081CC1"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£132.69 </w:t>
            </w:r>
          </w:p>
        </w:tc>
        <w:tc>
          <w:tcPr>
            <w:tcW w:w="2538" w:type="dxa"/>
            <w:tcBorders>
              <w:left w:val="single" w:sz="4" w:space="0" w:color="auto"/>
            </w:tcBorders>
            <w:shd w:val="clear" w:color="auto" w:fill="auto"/>
            <w:vAlign w:val="bottom"/>
          </w:tcPr>
          <w:p w14:paraId="6243E55D"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PSSRU 2009/10</w:t>
            </w:r>
          </w:p>
        </w:tc>
        <w:tc>
          <w:tcPr>
            <w:tcW w:w="222" w:type="dxa"/>
            <w:shd w:val="clear" w:color="auto" w:fill="auto"/>
            <w:noWrap/>
            <w:vAlign w:val="bottom"/>
          </w:tcPr>
          <w:p w14:paraId="61C3050A" w14:textId="77777777" w:rsidR="007F38C4" w:rsidRPr="00563AD3" w:rsidRDefault="007F38C4" w:rsidP="009B13F3">
            <w:pPr>
              <w:autoSpaceDE/>
              <w:autoSpaceDN/>
              <w:adjustRightInd/>
              <w:spacing w:after="0"/>
              <w:rPr>
                <w:rFonts w:eastAsia="Times New Roman"/>
                <w:color w:val="000000"/>
              </w:rPr>
            </w:pPr>
          </w:p>
        </w:tc>
        <w:tc>
          <w:tcPr>
            <w:tcW w:w="1067" w:type="dxa"/>
            <w:shd w:val="clear" w:color="auto" w:fill="auto"/>
            <w:noWrap/>
            <w:vAlign w:val="bottom"/>
            <w:hideMark/>
          </w:tcPr>
          <w:p w14:paraId="11A52BD3" w14:textId="77777777" w:rsidR="007F38C4" w:rsidRPr="00563AD3" w:rsidRDefault="007F38C4" w:rsidP="009B13F3">
            <w:pPr>
              <w:autoSpaceDE/>
              <w:autoSpaceDN/>
              <w:adjustRightInd/>
              <w:spacing w:after="0"/>
              <w:rPr>
                <w:rFonts w:eastAsia="Times New Roman"/>
              </w:rPr>
            </w:pPr>
          </w:p>
        </w:tc>
      </w:tr>
      <w:tr w:rsidR="007F38C4" w:rsidRPr="00563AD3" w14:paraId="2FCAC95B" w14:textId="77777777" w:rsidTr="00DD4D62">
        <w:trPr>
          <w:trHeight w:val="264"/>
        </w:trPr>
        <w:tc>
          <w:tcPr>
            <w:tcW w:w="4016" w:type="dxa"/>
            <w:shd w:val="clear" w:color="auto" w:fill="auto"/>
            <w:noWrap/>
            <w:vAlign w:val="bottom"/>
          </w:tcPr>
          <w:p w14:paraId="6F18ACE8"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GP phone</w:t>
            </w:r>
          </w:p>
        </w:tc>
        <w:tc>
          <w:tcPr>
            <w:tcW w:w="222" w:type="dxa"/>
            <w:tcBorders>
              <w:right w:val="single" w:sz="4" w:space="0" w:color="auto"/>
            </w:tcBorders>
            <w:shd w:val="clear" w:color="auto" w:fill="auto"/>
            <w:noWrap/>
            <w:vAlign w:val="bottom"/>
          </w:tcPr>
          <w:p w14:paraId="20AE3B9E" w14:textId="77777777" w:rsidR="007F38C4" w:rsidRPr="00563AD3" w:rsidRDefault="007F38C4" w:rsidP="009B13F3">
            <w:pPr>
              <w:autoSpaceDE/>
              <w:autoSpaceDN/>
              <w:adjustRightInd/>
              <w:spacing w:after="0"/>
              <w:rPr>
                <w:rFonts w:eastAsia="Times New Roman"/>
                <w:color w:val="000000"/>
              </w:rPr>
            </w:pPr>
          </w:p>
        </w:tc>
        <w:tc>
          <w:tcPr>
            <w:tcW w:w="1149" w:type="dxa"/>
            <w:tcBorders>
              <w:top w:val="nil"/>
              <w:left w:val="single" w:sz="4" w:space="0" w:color="auto"/>
              <w:bottom w:val="nil"/>
              <w:right w:val="single" w:sz="4" w:space="0" w:color="auto"/>
            </w:tcBorders>
            <w:shd w:val="clear" w:color="auto" w:fill="auto"/>
            <w:noWrap/>
            <w:vAlign w:val="bottom"/>
          </w:tcPr>
          <w:p w14:paraId="5731CF46"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  28.39 </w:t>
            </w:r>
          </w:p>
        </w:tc>
        <w:tc>
          <w:tcPr>
            <w:tcW w:w="2760" w:type="dxa"/>
            <w:gridSpan w:val="2"/>
            <w:tcBorders>
              <w:left w:val="single" w:sz="4" w:space="0" w:color="auto"/>
            </w:tcBorders>
            <w:shd w:val="clear" w:color="auto" w:fill="auto"/>
            <w:noWrap/>
            <w:vAlign w:val="bottom"/>
          </w:tcPr>
          <w:p w14:paraId="2CE99715"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PSSRU2014/5</w:t>
            </w:r>
          </w:p>
        </w:tc>
        <w:tc>
          <w:tcPr>
            <w:tcW w:w="1067" w:type="dxa"/>
            <w:shd w:val="clear" w:color="auto" w:fill="auto"/>
            <w:noWrap/>
            <w:vAlign w:val="bottom"/>
            <w:hideMark/>
          </w:tcPr>
          <w:p w14:paraId="1855D4A0" w14:textId="77777777" w:rsidR="007F38C4" w:rsidRPr="00563AD3" w:rsidRDefault="007F38C4" w:rsidP="009B13F3">
            <w:pPr>
              <w:autoSpaceDE/>
              <w:autoSpaceDN/>
              <w:adjustRightInd/>
              <w:spacing w:after="0"/>
              <w:rPr>
                <w:rFonts w:eastAsia="Times New Roman"/>
                <w:color w:val="000000"/>
              </w:rPr>
            </w:pPr>
          </w:p>
        </w:tc>
      </w:tr>
      <w:tr w:rsidR="007F38C4" w:rsidRPr="00563AD3" w14:paraId="57AEF365" w14:textId="77777777" w:rsidTr="00DD4D62">
        <w:trPr>
          <w:trHeight w:val="264"/>
        </w:trPr>
        <w:tc>
          <w:tcPr>
            <w:tcW w:w="4238" w:type="dxa"/>
            <w:gridSpan w:val="2"/>
            <w:tcBorders>
              <w:right w:val="single" w:sz="4" w:space="0" w:color="auto"/>
            </w:tcBorders>
            <w:shd w:val="clear" w:color="auto" w:fill="auto"/>
            <w:noWrap/>
            <w:vAlign w:val="bottom"/>
          </w:tcPr>
          <w:p w14:paraId="119B69A0"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Health visitor</w:t>
            </w:r>
          </w:p>
        </w:tc>
        <w:tc>
          <w:tcPr>
            <w:tcW w:w="1149" w:type="dxa"/>
            <w:tcBorders>
              <w:top w:val="nil"/>
              <w:left w:val="single" w:sz="4" w:space="0" w:color="auto"/>
              <w:bottom w:val="nil"/>
              <w:right w:val="single" w:sz="4" w:space="0" w:color="auto"/>
            </w:tcBorders>
            <w:shd w:val="clear" w:color="auto" w:fill="auto"/>
            <w:noWrap/>
            <w:vAlign w:val="bottom"/>
          </w:tcPr>
          <w:p w14:paraId="122FD022"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  64.81 </w:t>
            </w:r>
          </w:p>
        </w:tc>
        <w:tc>
          <w:tcPr>
            <w:tcW w:w="3827" w:type="dxa"/>
            <w:gridSpan w:val="3"/>
            <w:tcBorders>
              <w:left w:val="single" w:sz="4" w:space="0" w:color="auto"/>
            </w:tcBorders>
            <w:shd w:val="clear" w:color="auto" w:fill="auto"/>
            <w:noWrap/>
            <w:vAlign w:val="bottom"/>
          </w:tcPr>
          <w:p w14:paraId="4F5053E2"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NHS 2015-16 reference costs </w:t>
            </w:r>
          </w:p>
        </w:tc>
      </w:tr>
      <w:tr w:rsidR="007F38C4" w:rsidRPr="00563AD3" w14:paraId="11F6B402" w14:textId="77777777" w:rsidTr="00DD4D62">
        <w:trPr>
          <w:trHeight w:val="264"/>
        </w:trPr>
        <w:tc>
          <w:tcPr>
            <w:tcW w:w="4238" w:type="dxa"/>
            <w:gridSpan w:val="2"/>
            <w:tcBorders>
              <w:right w:val="single" w:sz="4" w:space="0" w:color="auto"/>
            </w:tcBorders>
            <w:shd w:val="clear" w:color="auto" w:fill="auto"/>
            <w:noWrap/>
            <w:vAlign w:val="bottom"/>
          </w:tcPr>
          <w:p w14:paraId="6DBC51EA"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HEALTH VISITOR (phone)</w:t>
            </w:r>
          </w:p>
        </w:tc>
        <w:tc>
          <w:tcPr>
            <w:tcW w:w="1149" w:type="dxa"/>
            <w:tcBorders>
              <w:top w:val="nil"/>
              <w:left w:val="single" w:sz="4" w:space="0" w:color="auto"/>
              <w:bottom w:val="nil"/>
              <w:right w:val="single" w:sz="4" w:space="0" w:color="auto"/>
            </w:tcBorders>
            <w:shd w:val="clear" w:color="auto" w:fill="auto"/>
            <w:noWrap/>
            <w:vAlign w:val="bottom"/>
          </w:tcPr>
          <w:p w14:paraId="6C9F713F"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  26.38 </w:t>
            </w:r>
          </w:p>
        </w:tc>
        <w:tc>
          <w:tcPr>
            <w:tcW w:w="3827" w:type="dxa"/>
            <w:gridSpan w:val="3"/>
            <w:tcBorders>
              <w:left w:val="single" w:sz="4" w:space="0" w:color="auto"/>
            </w:tcBorders>
            <w:shd w:val="clear" w:color="auto" w:fill="auto"/>
            <w:noWrap/>
            <w:vAlign w:val="bottom"/>
          </w:tcPr>
          <w:p w14:paraId="3BC865D0"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NHS 2015-16 reference costs </w:t>
            </w:r>
          </w:p>
        </w:tc>
      </w:tr>
      <w:tr w:rsidR="007F38C4" w:rsidRPr="00563AD3" w14:paraId="6267BDFA" w14:textId="77777777" w:rsidTr="00DD4D62">
        <w:trPr>
          <w:trHeight w:val="264"/>
        </w:trPr>
        <w:tc>
          <w:tcPr>
            <w:tcW w:w="4238" w:type="dxa"/>
            <w:gridSpan w:val="2"/>
            <w:tcBorders>
              <w:right w:val="single" w:sz="4" w:space="0" w:color="auto"/>
            </w:tcBorders>
            <w:shd w:val="clear" w:color="auto" w:fill="auto"/>
            <w:noWrap/>
            <w:vAlign w:val="bottom"/>
          </w:tcPr>
          <w:p w14:paraId="4064633B"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Hospital A&amp;E</w:t>
            </w:r>
          </w:p>
        </w:tc>
        <w:tc>
          <w:tcPr>
            <w:tcW w:w="1149" w:type="dxa"/>
            <w:tcBorders>
              <w:top w:val="nil"/>
              <w:left w:val="single" w:sz="4" w:space="0" w:color="auto"/>
              <w:bottom w:val="nil"/>
              <w:right w:val="single" w:sz="4" w:space="0" w:color="auto"/>
            </w:tcBorders>
            <w:shd w:val="clear" w:color="auto" w:fill="auto"/>
            <w:noWrap/>
            <w:vAlign w:val="bottom"/>
          </w:tcPr>
          <w:p w14:paraId="663F923E"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£137.74 </w:t>
            </w:r>
          </w:p>
        </w:tc>
        <w:tc>
          <w:tcPr>
            <w:tcW w:w="3827" w:type="dxa"/>
            <w:gridSpan w:val="3"/>
            <w:tcBorders>
              <w:left w:val="single" w:sz="4" w:space="0" w:color="auto"/>
            </w:tcBorders>
            <w:shd w:val="clear" w:color="auto" w:fill="auto"/>
            <w:noWrap/>
            <w:vAlign w:val="bottom"/>
          </w:tcPr>
          <w:p w14:paraId="2FDA3D20"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NHS 2015-16 reference costs</w:t>
            </w:r>
          </w:p>
        </w:tc>
      </w:tr>
      <w:tr w:rsidR="007F38C4" w:rsidRPr="00563AD3" w14:paraId="3B4CA9AC" w14:textId="77777777" w:rsidTr="00DD4D62">
        <w:trPr>
          <w:trHeight w:val="264"/>
        </w:trPr>
        <w:tc>
          <w:tcPr>
            <w:tcW w:w="4238" w:type="dxa"/>
            <w:gridSpan w:val="2"/>
            <w:tcBorders>
              <w:right w:val="single" w:sz="4" w:space="0" w:color="auto"/>
            </w:tcBorders>
            <w:shd w:val="clear" w:color="auto" w:fill="auto"/>
            <w:noWrap/>
            <w:vAlign w:val="bottom"/>
          </w:tcPr>
          <w:p w14:paraId="40F0195B"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Hospital outpatient clinic</w:t>
            </w:r>
          </w:p>
        </w:tc>
        <w:tc>
          <w:tcPr>
            <w:tcW w:w="1149" w:type="dxa"/>
            <w:tcBorders>
              <w:top w:val="nil"/>
              <w:left w:val="single" w:sz="4" w:space="0" w:color="auto"/>
              <w:bottom w:val="nil"/>
              <w:right w:val="single" w:sz="4" w:space="0" w:color="auto"/>
            </w:tcBorders>
            <w:shd w:val="clear" w:color="auto" w:fill="auto"/>
            <w:noWrap/>
            <w:vAlign w:val="bottom"/>
          </w:tcPr>
          <w:p w14:paraId="5609835C"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£136.79 </w:t>
            </w:r>
          </w:p>
        </w:tc>
        <w:tc>
          <w:tcPr>
            <w:tcW w:w="3827" w:type="dxa"/>
            <w:gridSpan w:val="3"/>
            <w:tcBorders>
              <w:left w:val="single" w:sz="4" w:space="0" w:color="auto"/>
            </w:tcBorders>
            <w:shd w:val="clear" w:color="auto" w:fill="auto"/>
            <w:noWrap/>
            <w:vAlign w:val="bottom"/>
          </w:tcPr>
          <w:p w14:paraId="46014F51"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NHS 2015-16 reference costs</w:t>
            </w:r>
          </w:p>
        </w:tc>
      </w:tr>
      <w:tr w:rsidR="007F38C4" w:rsidRPr="00563AD3" w14:paraId="281189BE" w14:textId="77777777" w:rsidTr="00DD4D62">
        <w:trPr>
          <w:trHeight w:val="264"/>
        </w:trPr>
        <w:tc>
          <w:tcPr>
            <w:tcW w:w="4238" w:type="dxa"/>
            <w:gridSpan w:val="2"/>
            <w:tcBorders>
              <w:right w:val="single" w:sz="4" w:space="0" w:color="auto"/>
            </w:tcBorders>
            <w:shd w:val="clear" w:color="auto" w:fill="auto"/>
            <w:noWrap/>
            <w:vAlign w:val="bottom"/>
          </w:tcPr>
          <w:p w14:paraId="0715FDC2"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Hospital overnight stay</w:t>
            </w:r>
          </w:p>
        </w:tc>
        <w:tc>
          <w:tcPr>
            <w:tcW w:w="1149" w:type="dxa"/>
            <w:tcBorders>
              <w:top w:val="nil"/>
              <w:left w:val="single" w:sz="4" w:space="0" w:color="auto"/>
              <w:bottom w:val="nil"/>
              <w:right w:val="single" w:sz="4" w:space="0" w:color="auto"/>
            </w:tcBorders>
            <w:shd w:val="clear" w:color="auto" w:fill="auto"/>
            <w:noWrap/>
            <w:vAlign w:val="bottom"/>
          </w:tcPr>
          <w:p w14:paraId="71B4BFE2"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£464.83 </w:t>
            </w:r>
          </w:p>
        </w:tc>
        <w:tc>
          <w:tcPr>
            <w:tcW w:w="3827" w:type="dxa"/>
            <w:gridSpan w:val="3"/>
            <w:tcBorders>
              <w:left w:val="single" w:sz="4" w:space="0" w:color="auto"/>
            </w:tcBorders>
            <w:shd w:val="clear" w:color="auto" w:fill="auto"/>
            <w:noWrap/>
            <w:vAlign w:val="bottom"/>
          </w:tcPr>
          <w:p w14:paraId="3E323B16"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NHS 2015-16 reference costs </w:t>
            </w:r>
          </w:p>
        </w:tc>
      </w:tr>
      <w:tr w:rsidR="007F38C4" w:rsidRPr="00563AD3" w14:paraId="41967C0B" w14:textId="77777777" w:rsidTr="00DD4D62">
        <w:trPr>
          <w:trHeight w:val="264"/>
        </w:trPr>
        <w:tc>
          <w:tcPr>
            <w:tcW w:w="4238" w:type="dxa"/>
            <w:gridSpan w:val="2"/>
            <w:tcBorders>
              <w:right w:val="single" w:sz="4" w:space="0" w:color="auto"/>
            </w:tcBorders>
            <w:shd w:val="clear" w:color="auto" w:fill="auto"/>
            <w:noWrap/>
            <w:vAlign w:val="bottom"/>
          </w:tcPr>
          <w:p w14:paraId="43DE1431"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Member of community health team</w:t>
            </w:r>
          </w:p>
        </w:tc>
        <w:tc>
          <w:tcPr>
            <w:tcW w:w="1149" w:type="dxa"/>
            <w:tcBorders>
              <w:top w:val="nil"/>
              <w:left w:val="single" w:sz="4" w:space="0" w:color="auto"/>
              <w:bottom w:val="nil"/>
              <w:right w:val="single" w:sz="4" w:space="0" w:color="auto"/>
            </w:tcBorders>
            <w:shd w:val="clear" w:color="auto" w:fill="auto"/>
            <w:noWrap/>
            <w:vAlign w:val="bottom"/>
          </w:tcPr>
          <w:p w14:paraId="39B9714B"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  43.00 </w:t>
            </w:r>
          </w:p>
        </w:tc>
        <w:tc>
          <w:tcPr>
            <w:tcW w:w="2760" w:type="dxa"/>
            <w:gridSpan w:val="2"/>
            <w:tcBorders>
              <w:left w:val="single" w:sz="4" w:space="0" w:color="auto"/>
            </w:tcBorders>
            <w:shd w:val="clear" w:color="auto" w:fill="auto"/>
            <w:noWrap/>
            <w:vAlign w:val="bottom"/>
          </w:tcPr>
          <w:p w14:paraId="1A3C2DC1"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PSSRU 2015/6</w:t>
            </w:r>
          </w:p>
        </w:tc>
        <w:tc>
          <w:tcPr>
            <w:tcW w:w="1067" w:type="dxa"/>
            <w:shd w:val="clear" w:color="auto" w:fill="auto"/>
            <w:noWrap/>
            <w:vAlign w:val="bottom"/>
            <w:hideMark/>
          </w:tcPr>
          <w:p w14:paraId="11B400FC" w14:textId="77777777" w:rsidR="007F38C4" w:rsidRPr="00563AD3" w:rsidRDefault="007F38C4" w:rsidP="009B13F3">
            <w:pPr>
              <w:autoSpaceDE/>
              <w:autoSpaceDN/>
              <w:adjustRightInd/>
              <w:spacing w:after="0"/>
              <w:rPr>
                <w:rFonts w:eastAsia="Times New Roman"/>
                <w:color w:val="000000"/>
              </w:rPr>
            </w:pPr>
          </w:p>
        </w:tc>
      </w:tr>
      <w:tr w:rsidR="007F38C4" w:rsidRPr="00563AD3" w14:paraId="65E74251" w14:textId="77777777" w:rsidTr="00DD4D62">
        <w:trPr>
          <w:trHeight w:val="264"/>
        </w:trPr>
        <w:tc>
          <w:tcPr>
            <w:tcW w:w="4238" w:type="dxa"/>
            <w:gridSpan w:val="2"/>
            <w:tcBorders>
              <w:right w:val="single" w:sz="4" w:space="0" w:color="auto"/>
            </w:tcBorders>
            <w:shd w:val="clear" w:color="auto" w:fill="auto"/>
            <w:noWrap/>
            <w:vAlign w:val="bottom"/>
          </w:tcPr>
          <w:p w14:paraId="45218A30"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Physiotherapist</w:t>
            </w:r>
          </w:p>
        </w:tc>
        <w:tc>
          <w:tcPr>
            <w:tcW w:w="1149" w:type="dxa"/>
            <w:tcBorders>
              <w:top w:val="nil"/>
              <w:left w:val="single" w:sz="4" w:space="0" w:color="auto"/>
              <w:bottom w:val="nil"/>
              <w:right w:val="single" w:sz="4" w:space="0" w:color="auto"/>
            </w:tcBorders>
            <w:shd w:val="clear" w:color="auto" w:fill="auto"/>
            <w:noWrap/>
            <w:vAlign w:val="bottom"/>
          </w:tcPr>
          <w:p w14:paraId="32BF2543"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  48.94 </w:t>
            </w:r>
          </w:p>
        </w:tc>
        <w:tc>
          <w:tcPr>
            <w:tcW w:w="3827" w:type="dxa"/>
            <w:gridSpan w:val="3"/>
            <w:tcBorders>
              <w:left w:val="single" w:sz="4" w:space="0" w:color="auto"/>
            </w:tcBorders>
            <w:shd w:val="clear" w:color="auto" w:fill="auto"/>
            <w:noWrap/>
            <w:vAlign w:val="bottom"/>
          </w:tcPr>
          <w:p w14:paraId="6A053C4D"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NHS 2015-16 reference costs</w:t>
            </w:r>
          </w:p>
        </w:tc>
      </w:tr>
      <w:tr w:rsidR="007F38C4" w:rsidRPr="00563AD3" w14:paraId="258A8676" w14:textId="77777777" w:rsidTr="00DD4D62">
        <w:trPr>
          <w:trHeight w:val="264"/>
        </w:trPr>
        <w:tc>
          <w:tcPr>
            <w:tcW w:w="4238" w:type="dxa"/>
            <w:gridSpan w:val="2"/>
            <w:tcBorders>
              <w:right w:val="single" w:sz="4" w:space="0" w:color="auto"/>
            </w:tcBorders>
            <w:shd w:val="clear" w:color="auto" w:fill="auto"/>
            <w:noWrap/>
            <w:vAlign w:val="bottom"/>
          </w:tcPr>
          <w:p w14:paraId="73E8104A"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Psychiatrist or psychologist</w:t>
            </w:r>
          </w:p>
        </w:tc>
        <w:tc>
          <w:tcPr>
            <w:tcW w:w="1149" w:type="dxa"/>
            <w:tcBorders>
              <w:top w:val="nil"/>
              <w:left w:val="single" w:sz="4" w:space="0" w:color="auto"/>
              <w:bottom w:val="nil"/>
              <w:right w:val="single" w:sz="4" w:space="0" w:color="auto"/>
            </w:tcBorders>
            <w:shd w:val="clear" w:color="auto" w:fill="auto"/>
            <w:noWrap/>
            <w:vAlign w:val="bottom"/>
          </w:tcPr>
          <w:p w14:paraId="28C5D22F"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£142.98 </w:t>
            </w:r>
          </w:p>
        </w:tc>
        <w:tc>
          <w:tcPr>
            <w:tcW w:w="2760" w:type="dxa"/>
            <w:gridSpan w:val="2"/>
            <w:tcBorders>
              <w:left w:val="single" w:sz="4" w:space="0" w:color="auto"/>
            </w:tcBorders>
            <w:shd w:val="clear" w:color="auto" w:fill="auto"/>
            <w:noWrap/>
            <w:vAlign w:val="bottom"/>
          </w:tcPr>
          <w:p w14:paraId="481D0CBF"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PSSRU 2011</w:t>
            </w:r>
          </w:p>
        </w:tc>
        <w:tc>
          <w:tcPr>
            <w:tcW w:w="1067" w:type="dxa"/>
            <w:shd w:val="clear" w:color="auto" w:fill="auto"/>
            <w:noWrap/>
            <w:vAlign w:val="bottom"/>
            <w:hideMark/>
          </w:tcPr>
          <w:p w14:paraId="1D7ED3A8" w14:textId="77777777" w:rsidR="007F38C4" w:rsidRPr="00563AD3" w:rsidRDefault="007F38C4" w:rsidP="009B13F3">
            <w:pPr>
              <w:autoSpaceDE/>
              <w:autoSpaceDN/>
              <w:adjustRightInd/>
              <w:spacing w:after="0"/>
              <w:rPr>
                <w:rFonts w:eastAsia="Times New Roman"/>
                <w:color w:val="000000"/>
              </w:rPr>
            </w:pPr>
          </w:p>
        </w:tc>
      </w:tr>
      <w:tr w:rsidR="007F38C4" w:rsidRPr="00563AD3" w14:paraId="00E337AC" w14:textId="77777777" w:rsidTr="00DD4D62">
        <w:trPr>
          <w:trHeight w:val="264"/>
        </w:trPr>
        <w:tc>
          <w:tcPr>
            <w:tcW w:w="4238" w:type="dxa"/>
            <w:gridSpan w:val="2"/>
            <w:tcBorders>
              <w:right w:val="single" w:sz="4" w:space="0" w:color="auto"/>
            </w:tcBorders>
            <w:shd w:val="clear" w:color="auto" w:fill="auto"/>
            <w:noWrap/>
            <w:vAlign w:val="bottom"/>
          </w:tcPr>
          <w:p w14:paraId="4E5519B5"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Social worker</w:t>
            </w:r>
          </w:p>
        </w:tc>
        <w:tc>
          <w:tcPr>
            <w:tcW w:w="1149" w:type="dxa"/>
            <w:tcBorders>
              <w:top w:val="nil"/>
              <w:left w:val="single" w:sz="4" w:space="0" w:color="auto"/>
              <w:bottom w:val="nil"/>
              <w:right w:val="single" w:sz="4" w:space="0" w:color="auto"/>
            </w:tcBorders>
            <w:shd w:val="clear" w:color="auto" w:fill="auto"/>
            <w:noWrap/>
            <w:vAlign w:val="bottom"/>
          </w:tcPr>
          <w:p w14:paraId="31C8217A"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  39.50 </w:t>
            </w:r>
          </w:p>
        </w:tc>
        <w:tc>
          <w:tcPr>
            <w:tcW w:w="2760" w:type="dxa"/>
            <w:gridSpan w:val="2"/>
            <w:tcBorders>
              <w:left w:val="single" w:sz="4" w:space="0" w:color="auto"/>
            </w:tcBorders>
            <w:shd w:val="clear" w:color="auto" w:fill="auto"/>
            <w:noWrap/>
            <w:vAlign w:val="bottom"/>
          </w:tcPr>
          <w:p w14:paraId="65B90E4C"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PSSRU 2015/6 </w:t>
            </w:r>
          </w:p>
        </w:tc>
        <w:tc>
          <w:tcPr>
            <w:tcW w:w="1067" w:type="dxa"/>
            <w:shd w:val="clear" w:color="auto" w:fill="auto"/>
            <w:noWrap/>
            <w:vAlign w:val="bottom"/>
            <w:hideMark/>
          </w:tcPr>
          <w:p w14:paraId="076676AB" w14:textId="77777777" w:rsidR="007F38C4" w:rsidRPr="00563AD3" w:rsidRDefault="007F38C4" w:rsidP="009B13F3">
            <w:pPr>
              <w:autoSpaceDE/>
              <w:autoSpaceDN/>
              <w:adjustRightInd/>
              <w:spacing w:after="0"/>
              <w:rPr>
                <w:rFonts w:eastAsia="Times New Roman"/>
                <w:color w:val="000000"/>
              </w:rPr>
            </w:pPr>
          </w:p>
        </w:tc>
      </w:tr>
      <w:tr w:rsidR="007F38C4" w:rsidRPr="00563AD3" w14:paraId="3501BCA5" w14:textId="77777777" w:rsidTr="00DD4D62">
        <w:trPr>
          <w:trHeight w:val="264"/>
        </w:trPr>
        <w:tc>
          <w:tcPr>
            <w:tcW w:w="4238" w:type="dxa"/>
            <w:gridSpan w:val="2"/>
            <w:tcBorders>
              <w:right w:val="single" w:sz="4" w:space="0" w:color="auto"/>
            </w:tcBorders>
            <w:shd w:val="clear" w:color="auto" w:fill="auto"/>
            <w:noWrap/>
            <w:vAlign w:val="bottom"/>
          </w:tcPr>
          <w:p w14:paraId="27DB61C8"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Speech and language therapist</w:t>
            </w:r>
          </w:p>
        </w:tc>
        <w:tc>
          <w:tcPr>
            <w:tcW w:w="1149" w:type="dxa"/>
            <w:tcBorders>
              <w:top w:val="nil"/>
              <w:left w:val="single" w:sz="4" w:space="0" w:color="auto"/>
              <w:bottom w:val="single" w:sz="4" w:space="0" w:color="auto"/>
              <w:right w:val="single" w:sz="4" w:space="0" w:color="auto"/>
            </w:tcBorders>
            <w:shd w:val="clear" w:color="auto" w:fill="auto"/>
            <w:noWrap/>
            <w:vAlign w:val="bottom"/>
          </w:tcPr>
          <w:p w14:paraId="2642F426"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 xml:space="preserve"> £  88.02 </w:t>
            </w:r>
          </w:p>
        </w:tc>
        <w:tc>
          <w:tcPr>
            <w:tcW w:w="3827" w:type="dxa"/>
            <w:gridSpan w:val="3"/>
            <w:tcBorders>
              <w:left w:val="single" w:sz="4" w:space="0" w:color="auto"/>
            </w:tcBorders>
            <w:shd w:val="clear" w:color="auto" w:fill="auto"/>
            <w:noWrap/>
            <w:vAlign w:val="bottom"/>
          </w:tcPr>
          <w:p w14:paraId="719D2783" w14:textId="77777777" w:rsidR="007F38C4" w:rsidRPr="00563AD3" w:rsidRDefault="007F38C4" w:rsidP="009B13F3">
            <w:pPr>
              <w:autoSpaceDE/>
              <w:autoSpaceDN/>
              <w:adjustRightInd/>
              <w:spacing w:after="0"/>
              <w:rPr>
                <w:rFonts w:eastAsia="Times New Roman"/>
                <w:color w:val="000000"/>
              </w:rPr>
            </w:pPr>
            <w:r w:rsidRPr="00563AD3">
              <w:rPr>
                <w:rFonts w:eastAsia="Times New Roman"/>
                <w:color w:val="000000"/>
              </w:rPr>
              <w:t>NHS 2015-16 reference costs</w:t>
            </w:r>
          </w:p>
        </w:tc>
      </w:tr>
    </w:tbl>
    <w:p w14:paraId="36A083C2" w14:textId="77777777" w:rsidR="007F38C4" w:rsidRPr="00563AD3" w:rsidRDefault="007F38C4" w:rsidP="009B13F3">
      <w:r w:rsidRPr="00563AD3">
        <w:t>*Main resource use items only. Unit costs for resources used less frequently are available on request.</w:t>
      </w:r>
    </w:p>
    <w:p w14:paraId="60AF4CBE" w14:textId="77777777" w:rsidR="0057533D" w:rsidRPr="00563AD3" w:rsidRDefault="0057533D" w:rsidP="009B13F3">
      <w:pPr>
        <w:autoSpaceDE/>
        <w:autoSpaceDN/>
        <w:adjustRightInd/>
      </w:pPr>
      <w:r w:rsidRPr="00563AD3">
        <w:br w:type="page"/>
      </w:r>
    </w:p>
    <w:p w14:paraId="2FD21E7A" w14:textId="0D126016" w:rsidR="0057533D" w:rsidRPr="00563AD3" w:rsidRDefault="006A3260" w:rsidP="009B13F3">
      <w:pPr>
        <w:pStyle w:val="Heading2"/>
      </w:pPr>
      <w:bookmarkStart w:id="368" w:name="_Toc525544071"/>
      <w:r>
        <w:t>Appendix 2</w:t>
      </w:r>
      <w:r w:rsidR="0057533D" w:rsidRPr="00563AD3">
        <w:t>: Summary of substantial amendments</w:t>
      </w:r>
      <w:bookmarkEnd w:id="368"/>
    </w:p>
    <w:p w14:paraId="0AB123DA" w14:textId="77777777" w:rsidR="006C1524" w:rsidRPr="006C1524" w:rsidRDefault="006C1524" w:rsidP="009B13F3">
      <w:pPr>
        <w:autoSpaceDE/>
        <w:autoSpaceDN/>
        <w:adjustRightInd/>
        <w:rPr>
          <w:b/>
          <w:u w:val="single"/>
        </w:rPr>
      </w:pPr>
      <w:r w:rsidRPr="006C1524">
        <w:rPr>
          <w:b/>
          <w:u w:val="single"/>
        </w:rPr>
        <w:t>Summary of EPIC Substantial Amendments</w:t>
      </w:r>
    </w:p>
    <w:p w14:paraId="48B9130C" w14:textId="77777777" w:rsidR="006C1524" w:rsidRPr="006C1524" w:rsidRDefault="006C1524" w:rsidP="009B13F3">
      <w:pPr>
        <w:autoSpaceDE/>
        <w:autoSpaceDN/>
        <w:adjustRightInd/>
        <w:rPr>
          <w:b/>
          <w:u w:val="single"/>
        </w:rPr>
      </w:pPr>
      <w:r w:rsidRPr="006C1524">
        <w:rPr>
          <w:b/>
          <w:u w:val="single"/>
        </w:rPr>
        <w:t>SA1 - Approved 10/01/2014</w:t>
      </w:r>
    </w:p>
    <w:p w14:paraId="7F1C9DAE" w14:textId="77777777" w:rsidR="006C1524" w:rsidRPr="006C1524" w:rsidRDefault="006C1524" w:rsidP="009B13F3">
      <w:pPr>
        <w:autoSpaceDE/>
        <w:autoSpaceDN/>
        <w:adjustRightInd/>
      </w:pPr>
      <w:r w:rsidRPr="006C1524">
        <w:rPr>
          <w:b/>
        </w:rPr>
        <w:t>Collection of data from medical records / Health and Social Care Information Centre (HSCIC)</w:t>
      </w:r>
    </w:p>
    <w:p w14:paraId="07DA12C0" w14:textId="77777777" w:rsidR="006C1524" w:rsidRPr="006C1524" w:rsidRDefault="006C1524" w:rsidP="009B13F3">
      <w:pPr>
        <w:autoSpaceDE/>
        <w:autoSpaceDN/>
        <w:adjustRightInd/>
      </w:pPr>
      <w:r w:rsidRPr="006C1524">
        <w:t xml:space="preserve">The proposed plan for collection of resource use data (prescription medication usage, repeat hospital attendances / admissions / safety data) was to obtain all required information from a review of the resident’s care home records. Having undertaken some consultation with other researchers doing care home research and collecting similar data, we have been informed that this data is often incomplete / ambiguous and further clarification has needed to be sought from the residents’ medical records. </w:t>
      </w:r>
    </w:p>
    <w:p w14:paraId="540E1103" w14:textId="77777777" w:rsidR="006C1524" w:rsidRPr="006C1524" w:rsidRDefault="006C1524" w:rsidP="009B13F3">
      <w:pPr>
        <w:autoSpaceDE/>
        <w:autoSpaceDN/>
        <w:adjustRightInd/>
      </w:pPr>
      <w:r w:rsidRPr="006C1524">
        <w:t>In order to minimise missing data and ensure a meaningful dataset is obtained, we therefore propose to amend section 13.5.5 of the protocol (see enclosed protocol with tracked changes) and the following participant information and consent / declaration forms (see enclosed documents with tracked changes) to include researcher consent to access the residents’ medical records (either via direct searching, or remotely via the HSCIC):</w:t>
      </w:r>
    </w:p>
    <w:p w14:paraId="3AAF81F2" w14:textId="77777777" w:rsidR="006C1524" w:rsidRPr="006C1524" w:rsidRDefault="006C1524" w:rsidP="009B13F3">
      <w:pPr>
        <w:numPr>
          <w:ilvl w:val="0"/>
          <w:numId w:val="19"/>
        </w:numPr>
        <w:autoSpaceDE/>
        <w:autoSpaceDN/>
        <w:adjustRightInd/>
      </w:pPr>
      <w:r w:rsidRPr="006C1524">
        <w:t>Resident Information  Sheet</w:t>
      </w:r>
    </w:p>
    <w:p w14:paraId="7A19034B" w14:textId="77777777" w:rsidR="006C1524" w:rsidRPr="006C1524" w:rsidRDefault="006C1524" w:rsidP="009B13F3">
      <w:pPr>
        <w:numPr>
          <w:ilvl w:val="0"/>
          <w:numId w:val="19"/>
        </w:numPr>
        <w:autoSpaceDE/>
        <w:autoSpaceDN/>
        <w:adjustRightInd/>
      </w:pPr>
      <w:r w:rsidRPr="006C1524">
        <w:t>Short form of Resident Information Sheet</w:t>
      </w:r>
    </w:p>
    <w:p w14:paraId="2CA0410B" w14:textId="77777777" w:rsidR="006C1524" w:rsidRPr="006C1524" w:rsidRDefault="006C1524" w:rsidP="009B13F3">
      <w:pPr>
        <w:numPr>
          <w:ilvl w:val="0"/>
          <w:numId w:val="19"/>
        </w:numPr>
        <w:autoSpaceDE/>
        <w:autoSpaceDN/>
        <w:adjustRightInd/>
      </w:pPr>
      <w:r w:rsidRPr="006C1524">
        <w:t>Resident Consent Form</w:t>
      </w:r>
    </w:p>
    <w:p w14:paraId="1AEC12F2" w14:textId="77777777" w:rsidR="006C1524" w:rsidRPr="006C1524" w:rsidRDefault="006C1524" w:rsidP="009B13F3">
      <w:pPr>
        <w:numPr>
          <w:ilvl w:val="0"/>
          <w:numId w:val="19"/>
        </w:numPr>
        <w:autoSpaceDE/>
        <w:autoSpaceDN/>
        <w:adjustRightInd/>
      </w:pPr>
      <w:r w:rsidRPr="006C1524">
        <w:t>Personal Consultee Declaration Form</w:t>
      </w:r>
    </w:p>
    <w:p w14:paraId="6D9FA07C" w14:textId="77777777" w:rsidR="006C1524" w:rsidRPr="006C1524" w:rsidRDefault="006C1524" w:rsidP="009B13F3">
      <w:pPr>
        <w:numPr>
          <w:ilvl w:val="0"/>
          <w:numId w:val="19"/>
        </w:numPr>
        <w:autoSpaceDE/>
        <w:autoSpaceDN/>
        <w:adjustRightInd/>
      </w:pPr>
      <w:r w:rsidRPr="006C1524">
        <w:t>Personal Nominee Declaration Form</w:t>
      </w:r>
    </w:p>
    <w:p w14:paraId="1FDC9555" w14:textId="77777777" w:rsidR="006C1524" w:rsidRPr="006C1524" w:rsidRDefault="006C1524" w:rsidP="009B13F3">
      <w:pPr>
        <w:autoSpaceDE/>
        <w:autoSpaceDN/>
        <w:adjustRightInd/>
      </w:pPr>
      <w:r w:rsidRPr="006C1524">
        <w:t>Full NHS R&amp;D permissions will be obtained from the relevant trusts and the study researchers will apply for research passports and approval to access these notes.</w:t>
      </w:r>
    </w:p>
    <w:p w14:paraId="6C59A116" w14:textId="77777777" w:rsidR="006C1524" w:rsidRPr="006C1524" w:rsidRDefault="006C1524" w:rsidP="009B13F3">
      <w:pPr>
        <w:autoSpaceDE/>
        <w:autoSpaceDN/>
        <w:adjustRightInd/>
        <w:rPr>
          <w:b/>
          <w:u w:val="single"/>
        </w:rPr>
      </w:pPr>
      <w:r w:rsidRPr="006C1524">
        <w:rPr>
          <w:b/>
          <w:u w:val="single"/>
        </w:rPr>
        <w:t>SA2 - Approved 22/04/2014</w:t>
      </w:r>
    </w:p>
    <w:p w14:paraId="4585C692" w14:textId="77777777" w:rsidR="006C1524" w:rsidRPr="006C1524" w:rsidRDefault="006C1524" w:rsidP="009B13F3">
      <w:pPr>
        <w:autoSpaceDE/>
        <w:autoSpaceDN/>
        <w:adjustRightInd/>
        <w:rPr>
          <w:b/>
        </w:rPr>
      </w:pPr>
      <w:r w:rsidRPr="006C1524">
        <w:rPr>
          <w:b/>
        </w:rPr>
        <w:t>Changes to the Care Home Information Sheet</w:t>
      </w:r>
    </w:p>
    <w:p w14:paraId="381FB95D" w14:textId="77777777" w:rsidR="006C1524" w:rsidRPr="006C1524" w:rsidRDefault="006C1524" w:rsidP="009B13F3">
      <w:pPr>
        <w:autoSpaceDE/>
        <w:autoSpaceDN/>
        <w:adjustRightInd/>
      </w:pPr>
      <w:r w:rsidRPr="006C1524">
        <w:t xml:space="preserve">The Care Home Information Sheet has been amended to incorporate comments following PPI review. The content has also been updated to amend inaccuracies and provide additional information and clarification regarding trial processes. </w:t>
      </w:r>
    </w:p>
    <w:p w14:paraId="6FC0427A" w14:textId="77777777" w:rsidR="006C1524" w:rsidRPr="006C1524" w:rsidRDefault="006C1524" w:rsidP="009B13F3">
      <w:pPr>
        <w:autoSpaceDE/>
        <w:autoSpaceDN/>
        <w:adjustRightInd/>
      </w:pPr>
      <w:r w:rsidRPr="006C1524">
        <w:t>Amendments to the approved document are highlighted using tracked changes. Below provides a brief summary of the key changes:</w:t>
      </w:r>
    </w:p>
    <w:p w14:paraId="3DC33C9B" w14:textId="77777777" w:rsidR="006C1524" w:rsidRPr="006C1524" w:rsidRDefault="006C1524" w:rsidP="009B13F3">
      <w:pPr>
        <w:numPr>
          <w:ilvl w:val="0"/>
          <w:numId w:val="20"/>
        </w:numPr>
        <w:autoSpaceDE/>
        <w:autoSpaceDN/>
        <w:adjustRightInd/>
      </w:pPr>
      <w:r w:rsidRPr="006C1524">
        <w:t>Clarification of abbreviated title – The EPIC trial.</w:t>
      </w:r>
    </w:p>
    <w:p w14:paraId="05F8CA92" w14:textId="77777777" w:rsidR="006C1524" w:rsidRPr="006C1524" w:rsidRDefault="006C1524" w:rsidP="009B13F3">
      <w:pPr>
        <w:numPr>
          <w:ilvl w:val="0"/>
          <w:numId w:val="20"/>
        </w:numPr>
        <w:autoSpaceDE/>
        <w:autoSpaceDN/>
        <w:adjustRightInd/>
      </w:pPr>
      <w:r w:rsidRPr="006C1524">
        <w:t>Addition of Trade Mark (DCM</w:t>
      </w:r>
      <w:r w:rsidRPr="006C1524">
        <w:rPr>
          <w:vertAlign w:val="superscript"/>
        </w:rPr>
        <w:t>TM</w:t>
      </w:r>
      <w:r w:rsidRPr="006C1524">
        <w:t>) throughout.</w:t>
      </w:r>
    </w:p>
    <w:p w14:paraId="348008B9" w14:textId="77777777" w:rsidR="006C1524" w:rsidRPr="006C1524" w:rsidRDefault="006C1524" w:rsidP="009B13F3">
      <w:pPr>
        <w:numPr>
          <w:ilvl w:val="0"/>
          <w:numId w:val="20"/>
        </w:numPr>
        <w:autoSpaceDE/>
        <w:autoSpaceDN/>
        <w:adjustRightInd/>
      </w:pPr>
      <w:r w:rsidRPr="006C1524">
        <w:t>Clarification of “What will happen in the study”</w:t>
      </w:r>
    </w:p>
    <w:p w14:paraId="2EDB7833" w14:textId="77777777" w:rsidR="006C1524" w:rsidRPr="006C1524" w:rsidRDefault="006C1524" w:rsidP="009B13F3">
      <w:pPr>
        <w:numPr>
          <w:ilvl w:val="2"/>
          <w:numId w:val="20"/>
        </w:numPr>
        <w:autoSpaceDE/>
        <w:autoSpaceDN/>
        <w:adjustRightInd/>
      </w:pPr>
      <w:r w:rsidRPr="006C1524">
        <w:t>Care Home Selection</w:t>
      </w:r>
    </w:p>
    <w:p w14:paraId="349F11F2" w14:textId="77777777" w:rsidR="006C1524" w:rsidRPr="006C1524" w:rsidRDefault="006C1524" w:rsidP="009B13F3">
      <w:pPr>
        <w:numPr>
          <w:ilvl w:val="2"/>
          <w:numId w:val="20"/>
        </w:numPr>
        <w:autoSpaceDE/>
        <w:autoSpaceDN/>
        <w:adjustRightInd/>
      </w:pPr>
      <w:r w:rsidRPr="006C1524">
        <w:t>Confirming Care Home Eligibility</w:t>
      </w:r>
    </w:p>
    <w:p w14:paraId="55804D73" w14:textId="77777777" w:rsidR="006C1524" w:rsidRPr="006C1524" w:rsidRDefault="006C1524" w:rsidP="009B13F3">
      <w:pPr>
        <w:numPr>
          <w:ilvl w:val="2"/>
          <w:numId w:val="20"/>
        </w:numPr>
        <w:autoSpaceDE/>
        <w:autoSpaceDN/>
        <w:adjustRightInd/>
      </w:pPr>
      <w:r w:rsidRPr="006C1524">
        <w:t>Participant Consent</w:t>
      </w:r>
    </w:p>
    <w:p w14:paraId="36281B21" w14:textId="77777777" w:rsidR="006C1524" w:rsidRPr="006C1524" w:rsidRDefault="006C1524" w:rsidP="009B13F3">
      <w:pPr>
        <w:numPr>
          <w:ilvl w:val="2"/>
          <w:numId w:val="20"/>
        </w:numPr>
        <w:autoSpaceDE/>
        <w:autoSpaceDN/>
        <w:adjustRightInd/>
      </w:pPr>
      <w:r w:rsidRPr="006C1524">
        <w:t>Care Home Allocation</w:t>
      </w:r>
    </w:p>
    <w:p w14:paraId="3BA59F79" w14:textId="77777777" w:rsidR="006C1524" w:rsidRPr="006C1524" w:rsidRDefault="006C1524" w:rsidP="009B13F3">
      <w:pPr>
        <w:numPr>
          <w:ilvl w:val="2"/>
          <w:numId w:val="20"/>
        </w:numPr>
        <w:autoSpaceDE/>
        <w:autoSpaceDN/>
        <w:adjustRightInd/>
      </w:pPr>
      <w:r w:rsidRPr="006C1524">
        <w:t>DCM Training</w:t>
      </w:r>
    </w:p>
    <w:p w14:paraId="5BE3C0AB" w14:textId="77777777" w:rsidR="006C1524" w:rsidRPr="006C1524" w:rsidRDefault="006C1524" w:rsidP="009B13F3">
      <w:pPr>
        <w:numPr>
          <w:ilvl w:val="2"/>
          <w:numId w:val="20"/>
        </w:numPr>
        <w:autoSpaceDE/>
        <w:autoSpaceDN/>
        <w:adjustRightInd/>
      </w:pPr>
      <w:r w:rsidRPr="006C1524">
        <w:t>Data Collection – Researcher Interview / Questionnaires</w:t>
      </w:r>
    </w:p>
    <w:p w14:paraId="4B63468C" w14:textId="77777777" w:rsidR="006C1524" w:rsidRPr="006C1524" w:rsidRDefault="006C1524" w:rsidP="009B13F3">
      <w:pPr>
        <w:numPr>
          <w:ilvl w:val="0"/>
          <w:numId w:val="20"/>
        </w:numPr>
        <w:autoSpaceDE/>
        <w:autoSpaceDN/>
        <w:adjustRightInd/>
      </w:pPr>
      <w:r w:rsidRPr="006C1524">
        <w:t>Clarification of “What do I do if I am Interested in taking part?”</w:t>
      </w:r>
    </w:p>
    <w:p w14:paraId="3A964E50" w14:textId="77777777" w:rsidR="006C1524" w:rsidRPr="006C1524" w:rsidRDefault="006C1524" w:rsidP="009B13F3">
      <w:pPr>
        <w:autoSpaceDE/>
        <w:autoSpaceDN/>
        <w:adjustRightInd/>
        <w:rPr>
          <w:b/>
          <w:u w:val="single"/>
        </w:rPr>
      </w:pPr>
      <w:r w:rsidRPr="006C1524">
        <w:rPr>
          <w:b/>
          <w:u w:val="single"/>
        </w:rPr>
        <w:t>SA3 – Approved 26/06/2014</w:t>
      </w:r>
    </w:p>
    <w:p w14:paraId="33472AA8" w14:textId="77777777" w:rsidR="006C1524" w:rsidRPr="006C1524" w:rsidRDefault="006C1524" w:rsidP="009B13F3">
      <w:pPr>
        <w:autoSpaceDE/>
        <w:autoSpaceDN/>
        <w:adjustRightInd/>
        <w:rPr>
          <w:b/>
        </w:rPr>
      </w:pPr>
      <w:r w:rsidRPr="006C1524">
        <w:rPr>
          <w:b/>
        </w:rPr>
        <w:t>Protocol amendments</w:t>
      </w:r>
    </w:p>
    <w:p w14:paraId="4C3C2F78" w14:textId="77777777" w:rsidR="006C1524" w:rsidRPr="006C1524" w:rsidRDefault="006C1524" w:rsidP="009B13F3">
      <w:pPr>
        <w:numPr>
          <w:ilvl w:val="0"/>
          <w:numId w:val="20"/>
        </w:numPr>
        <w:autoSpaceDE/>
        <w:autoSpaceDN/>
        <w:adjustRightInd/>
        <w:rPr>
          <w:b/>
        </w:rPr>
      </w:pPr>
      <w:r w:rsidRPr="006C1524">
        <w:rPr>
          <w:b/>
        </w:rPr>
        <w:t>Updated Care Home Selection process</w:t>
      </w:r>
    </w:p>
    <w:p w14:paraId="3BF5F087" w14:textId="77777777" w:rsidR="006C1524" w:rsidRPr="006C1524" w:rsidRDefault="006C1524" w:rsidP="009B13F3">
      <w:pPr>
        <w:autoSpaceDE/>
        <w:autoSpaceDN/>
        <w:adjustRightInd/>
      </w:pPr>
      <w:r w:rsidRPr="006C1524">
        <w:t>The proposed plan for care home selection has been revised during consultations with the statistical team and researchers experienced in recruitment in the care home setting to minimise the burden on care home staff. In order to maximise response rates whilst retaining a representative sample of care homes in an attempt to maximise generalisability of trial results we therefore propose to amend section 7.2 of the protocol (see enclosed version with tracked changes) to incorporate the following key changes;</w:t>
      </w:r>
    </w:p>
    <w:p w14:paraId="65192E07" w14:textId="77777777" w:rsidR="006C1524" w:rsidRPr="006C1524" w:rsidRDefault="006C1524" w:rsidP="009B13F3">
      <w:pPr>
        <w:numPr>
          <w:ilvl w:val="0"/>
          <w:numId w:val="27"/>
        </w:numPr>
        <w:autoSpaceDE/>
        <w:autoSpaceDN/>
        <w:adjustRightInd/>
      </w:pPr>
      <w:r w:rsidRPr="006C1524">
        <w:t>Care Homes within Hub catchment area screened for eligibility and randomly ordered for subsequent contact.</w:t>
      </w:r>
    </w:p>
    <w:p w14:paraId="1207AB39" w14:textId="77777777" w:rsidR="006C1524" w:rsidRPr="006C1524" w:rsidRDefault="006C1524" w:rsidP="009B13F3">
      <w:pPr>
        <w:numPr>
          <w:ilvl w:val="0"/>
          <w:numId w:val="27"/>
        </w:numPr>
        <w:autoSpaceDE/>
        <w:autoSpaceDN/>
        <w:adjustRightInd/>
      </w:pPr>
      <w:r w:rsidRPr="006C1524">
        <w:t>Invitation information sent to ordered samples of eligible care homes.</w:t>
      </w:r>
    </w:p>
    <w:p w14:paraId="4B4053AB" w14:textId="77777777" w:rsidR="006C1524" w:rsidRPr="006C1524" w:rsidRDefault="006C1524" w:rsidP="009B13F3">
      <w:pPr>
        <w:numPr>
          <w:ilvl w:val="0"/>
          <w:numId w:val="27"/>
        </w:numPr>
        <w:autoSpaceDE/>
        <w:autoSpaceDN/>
        <w:adjustRightInd/>
      </w:pPr>
      <w:r w:rsidRPr="006C1524">
        <w:t>Researchers contact all invited care homes (via telephone) to determine interest – care home reply slip no longer required.</w:t>
      </w:r>
    </w:p>
    <w:p w14:paraId="7DD6962B" w14:textId="77777777" w:rsidR="006C1524" w:rsidRPr="006C1524" w:rsidRDefault="006C1524" w:rsidP="009B13F3">
      <w:pPr>
        <w:numPr>
          <w:ilvl w:val="0"/>
          <w:numId w:val="27"/>
        </w:numPr>
        <w:autoSpaceDE/>
        <w:autoSpaceDN/>
        <w:adjustRightInd/>
      </w:pPr>
      <w:r w:rsidRPr="006C1524">
        <w:t>If interested care homes will complete eligibility assessments via researcher interview, eligibility screening questionnaire no longer required.</w:t>
      </w:r>
    </w:p>
    <w:p w14:paraId="2C4BE1AA" w14:textId="77777777" w:rsidR="006C1524" w:rsidRPr="006C1524" w:rsidRDefault="006C1524" w:rsidP="009B13F3">
      <w:pPr>
        <w:numPr>
          <w:ilvl w:val="0"/>
          <w:numId w:val="20"/>
        </w:numPr>
        <w:autoSpaceDE/>
        <w:autoSpaceDN/>
        <w:adjustRightInd/>
        <w:rPr>
          <w:b/>
        </w:rPr>
      </w:pPr>
      <w:r w:rsidRPr="006C1524">
        <w:rPr>
          <w:b/>
        </w:rPr>
        <w:t xml:space="preserve">Eligibility Criteria </w:t>
      </w:r>
    </w:p>
    <w:p w14:paraId="761CFBEA" w14:textId="77777777" w:rsidR="006C1524" w:rsidRPr="006C1524" w:rsidRDefault="006C1524" w:rsidP="009B13F3">
      <w:pPr>
        <w:numPr>
          <w:ilvl w:val="1"/>
          <w:numId w:val="20"/>
        </w:numPr>
        <w:autoSpaceDE/>
        <w:autoSpaceDN/>
        <w:adjustRightInd/>
        <w:rPr>
          <w:b/>
        </w:rPr>
      </w:pPr>
      <w:r w:rsidRPr="006C1524">
        <w:rPr>
          <w:b/>
        </w:rPr>
        <w:t>English Proficiency</w:t>
      </w:r>
    </w:p>
    <w:p w14:paraId="50F932F2" w14:textId="77777777" w:rsidR="006C1524" w:rsidRPr="006C1524" w:rsidRDefault="006C1524" w:rsidP="009B13F3">
      <w:pPr>
        <w:autoSpaceDE/>
        <w:autoSpaceDN/>
        <w:adjustRightInd/>
      </w:pPr>
      <w:r w:rsidRPr="006C1524">
        <w:t xml:space="preserve">Following discussions with the Trial Management Group (TMG) and Trial Steering Committee (TSC) we intend to update the eligibility criteria for Residents, Staff (completing Staff Measures only), and Resident’s Relative / Friend to include the following; “Has sufficient proficiency in English to contribute to the data collection required for the research”. </w:t>
      </w:r>
    </w:p>
    <w:p w14:paraId="25905E5E" w14:textId="77777777" w:rsidR="006C1524" w:rsidRPr="006C1524" w:rsidRDefault="006C1524" w:rsidP="009B13F3">
      <w:pPr>
        <w:autoSpaceDE/>
        <w:autoSpaceDN/>
        <w:adjustRightInd/>
      </w:pPr>
      <w:r w:rsidRPr="006C1524">
        <w:t>We propose this change for Staff completing Staff Measures as this questionnaire will be self-completed by members of Staff with no assistance from trial researchers. Therefore to ensure that staff comprehend questions asked they would require sufficient proficiency in written English. Validated translations of assessments are also not available, therefore the TMG agreed it was not appropriate to use translated versions due to the potential impact on the validity of data collected. Consultation with care home managers and staff suggested that the majority of staff working within a UK care home should have sufficient English proficiency as required for employment.</w:t>
      </w:r>
    </w:p>
    <w:p w14:paraId="27CB43E2" w14:textId="77777777" w:rsidR="006C1524" w:rsidRPr="006C1524" w:rsidRDefault="006C1524" w:rsidP="009B13F3">
      <w:pPr>
        <w:autoSpaceDE/>
        <w:autoSpaceDN/>
        <w:adjustRightInd/>
      </w:pPr>
      <w:r w:rsidRPr="006C1524">
        <w:t>The proposed change has been suggested for Residents and their Relative / Friend (if applicable) as assessments are completed via Researcher Interview, therefore sufficient English proficiency is required to develop a meaningful dialog. Availability and accuracy of translated discussions was deemed to be infeasible by the TMG/TSC.</w:t>
      </w:r>
    </w:p>
    <w:p w14:paraId="3BF7F398" w14:textId="77777777" w:rsidR="006C1524" w:rsidRPr="006C1524" w:rsidRDefault="006C1524" w:rsidP="009B13F3">
      <w:pPr>
        <w:numPr>
          <w:ilvl w:val="0"/>
          <w:numId w:val="28"/>
        </w:numPr>
        <w:autoSpaceDE/>
        <w:autoSpaceDN/>
        <w:adjustRightInd/>
      </w:pPr>
      <w:r w:rsidRPr="006C1524">
        <w:rPr>
          <w:b/>
        </w:rPr>
        <w:t>Proxy Informant</w:t>
      </w:r>
    </w:p>
    <w:p w14:paraId="3248D46D" w14:textId="0A46F97D" w:rsidR="006C1524" w:rsidRPr="006C1524" w:rsidRDefault="006C1524" w:rsidP="009B13F3">
      <w:pPr>
        <w:autoSpaceDE/>
        <w:autoSpaceDN/>
        <w:adjustRightInd/>
      </w:pPr>
      <w:r w:rsidRPr="006C1524">
        <w:t xml:space="preserve">As outlined in the protocol the primary outcome for analysis is based upon completion of the CMAI by a Proxy Informant (Staff). </w:t>
      </w:r>
      <w:r w:rsidR="00EC0517" w:rsidRPr="006C1524">
        <w:t>Therefore,</w:t>
      </w:r>
      <w:r w:rsidRPr="006C1524">
        <w:t xml:space="preserve"> we propose to update section 8 of the protocol to incorporate the following inclusion criteria for Residents;</w:t>
      </w:r>
    </w:p>
    <w:p w14:paraId="2F0A3B01" w14:textId="77777777" w:rsidR="006C1524" w:rsidRPr="006C1524" w:rsidRDefault="006C1524" w:rsidP="009B13F3">
      <w:pPr>
        <w:numPr>
          <w:ilvl w:val="0"/>
          <w:numId w:val="21"/>
        </w:numPr>
        <w:autoSpaceDE/>
        <w:autoSpaceDN/>
        <w:adjustRightInd/>
      </w:pPr>
      <w:r w:rsidRPr="006C1524">
        <w:t>Has an allocated member of staff willing to provide proxy data.</w:t>
      </w:r>
    </w:p>
    <w:p w14:paraId="5F2866C4" w14:textId="77777777" w:rsidR="006C1524" w:rsidRPr="006C1524" w:rsidRDefault="006C1524" w:rsidP="009B13F3">
      <w:pPr>
        <w:numPr>
          <w:ilvl w:val="1"/>
          <w:numId w:val="20"/>
        </w:numPr>
        <w:autoSpaceDE/>
        <w:autoSpaceDN/>
        <w:adjustRightInd/>
      </w:pPr>
      <w:r w:rsidRPr="006C1524">
        <w:rPr>
          <w:b/>
        </w:rPr>
        <w:t>Screening Questionnaires</w:t>
      </w:r>
    </w:p>
    <w:p w14:paraId="2BFB6145" w14:textId="77777777" w:rsidR="006C1524" w:rsidRPr="006C1524" w:rsidRDefault="006C1524" w:rsidP="009B13F3">
      <w:pPr>
        <w:autoSpaceDE/>
        <w:autoSpaceDN/>
        <w:adjustRightInd/>
      </w:pPr>
      <w:r w:rsidRPr="006C1524">
        <w:t xml:space="preserve">Proxy Informants (Staff and Relative/Friend) were initially required to demonstrate their willingness to participate by completing and returning a screening questionnaire. However following a review of the process the TMG have confirmed that it would be more appropriate to collect Proxy Informant data via Researcher Interview. It is hoped that this will decrease the burden on Proxy Informants and increase response.  We therefore propose to amend the relevant section of the protocol (10.1-10.2). </w:t>
      </w:r>
    </w:p>
    <w:p w14:paraId="5E0C393E" w14:textId="77777777" w:rsidR="006C1524" w:rsidRPr="006C1524" w:rsidRDefault="006C1524" w:rsidP="009B13F3">
      <w:pPr>
        <w:numPr>
          <w:ilvl w:val="1"/>
          <w:numId w:val="20"/>
        </w:numPr>
        <w:autoSpaceDE/>
        <w:autoSpaceDN/>
        <w:adjustRightInd/>
      </w:pPr>
      <w:r w:rsidRPr="006C1524">
        <w:rPr>
          <w:b/>
        </w:rPr>
        <w:t>Mutually exclusive roles</w:t>
      </w:r>
    </w:p>
    <w:p w14:paraId="15FCDDC9" w14:textId="77777777" w:rsidR="006C1524" w:rsidRPr="006C1524" w:rsidRDefault="006C1524" w:rsidP="009B13F3">
      <w:pPr>
        <w:autoSpaceDE/>
        <w:autoSpaceDN/>
        <w:adjustRightInd/>
      </w:pPr>
      <w:r w:rsidRPr="006C1524">
        <w:t>The protocol outlines roles that staff members can undertake within the trial and highlights any that are mutually exclusive (e.g. Mapper cannot act as Proxy Informant). However to clarify further we propose to update exclusion criteria by role to ensure eligibility is assessed ahead of consent. This update will also clarify that a Staff Nominated Consultee cannot actively participate in the trial in any way (e.g. Providing Staff or Proxy Measures).</w:t>
      </w:r>
    </w:p>
    <w:p w14:paraId="2D724772" w14:textId="77777777" w:rsidR="006C1524" w:rsidRPr="006C1524" w:rsidRDefault="006C1524" w:rsidP="009B13F3">
      <w:pPr>
        <w:numPr>
          <w:ilvl w:val="0"/>
          <w:numId w:val="19"/>
        </w:numPr>
        <w:autoSpaceDE/>
        <w:autoSpaceDN/>
        <w:adjustRightInd/>
        <w:rPr>
          <w:b/>
        </w:rPr>
      </w:pPr>
      <w:r w:rsidRPr="006C1524">
        <w:rPr>
          <w:b/>
        </w:rPr>
        <w:t>Translation of trial documentation (information sheets/questionnaires)</w:t>
      </w:r>
    </w:p>
    <w:p w14:paraId="142B9E62" w14:textId="77777777" w:rsidR="006C1524" w:rsidRPr="006C1524" w:rsidRDefault="006C1524" w:rsidP="009B13F3">
      <w:pPr>
        <w:autoSpaceDE/>
        <w:autoSpaceDN/>
        <w:adjustRightInd/>
      </w:pPr>
      <w:r w:rsidRPr="006C1524">
        <w:t>Following consultation with the TMG and suggested updates regarding sufficient English Proficiency the TMG agreed that Translation of trial documentation would no longer be required. Discussions regarding the variety of translations required by region (Hub) also suggested that this process would not be feasible. Therefore references to translation of materials have been removed from the protocol (please refer to tracked changes).</w:t>
      </w:r>
    </w:p>
    <w:p w14:paraId="71D8E794" w14:textId="77777777" w:rsidR="006C1524" w:rsidRPr="006C1524" w:rsidRDefault="006C1524" w:rsidP="009B13F3">
      <w:pPr>
        <w:numPr>
          <w:ilvl w:val="0"/>
          <w:numId w:val="19"/>
        </w:numPr>
        <w:autoSpaceDE/>
        <w:autoSpaceDN/>
        <w:adjustRightInd/>
      </w:pPr>
      <w:r w:rsidRPr="006C1524">
        <w:rPr>
          <w:b/>
        </w:rPr>
        <w:t>Data collection / assessments</w:t>
      </w:r>
    </w:p>
    <w:p w14:paraId="29391B71" w14:textId="77777777" w:rsidR="006C1524" w:rsidRPr="006C1524" w:rsidRDefault="006C1524" w:rsidP="009B13F3">
      <w:pPr>
        <w:numPr>
          <w:ilvl w:val="1"/>
          <w:numId w:val="19"/>
        </w:numPr>
        <w:autoSpaceDE/>
        <w:autoSpaceDN/>
        <w:adjustRightInd/>
      </w:pPr>
      <w:r w:rsidRPr="006C1524">
        <w:rPr>
          <w:b/>
        </w:rPr>
        <w:t>Assessments</w:t>
      </w:r>
    </w:p>
    <w:p w14:paraId="0EDE8F80" w14:textId="77777777" w:rsidR="006C1524" w:rsidRPr="006C1524" w:rsidRDefault="006C1524" w:rsidP="009B13F3">
      <w:pPr>
        <w:autoSpaceDE/>
        <w:autoSpaceDN/>
        <w:adjustRightInd/>
      </w:pPr>
      <w:r w:rsidRPr="006C1524">
        <w:t>We propose to amend data collection assessments used within the trial (please refer to tracked changes) following review with the TMG as summarised below;</w:t>
      </w:r>
    </w:p>
    <w:p w14:paraId="0B33E5FD" w14:textId="77777777" w:rsidR="006C1524" w:rsidRPr="006C1524" w:rsidRDefault="006C1524" w:rsidP="009B13F3">
      <w:pPr>
        <w:numPr>
          <w:ilvl w:val="0"/>
          <w:numId w:val="21"/>
        </w:numPr>
        <w:autoSpaceDE/>
        <w:autoSpaceDN/>
        <w:adjustRightInd/>
      </w:pPr>
      <w:r w:rsidRPr="006C1524">
        <w:t>DEMQOL replaced with QOL-AD: TMG agreed more appropriate to trial population.</w:t>
      </w:r>
    </w:p>
    <w:p w14:paraId="610ACF22" w14:textId="77777777" w:rsidR="006C1524" w:rsidRPr="006C1524" w:rsidRDefault="006C1524" w:rsidP="009B13F3">
      <w:pPr>
        <w:numPr>
          <w:ilvl w:val="0"/>
          <w:numId w:val="21"/>
        </w:numPr>
        <w:autoSpaceDE/>
        <w:autoSpaceDN/>
        <w:adjustRightInd/>
      </w:pPr>
      <w:r w:rsidRPr="006C1524">
        <w:t>CES replaced with SCIDS: TMG agreed more appropriate to trial population.</w:t>
      </w:r>
    </w:p>
    <w:p w14:paraId="76B93C57" w14:textId="77777777" w:rsidR="006C1524" w:rsidRPr="006C1524" w:rsidRDefault="006C1524" w:rsidP="009B13F3">
      <w:pPr>
        <w:numPr>
          <w:ilvl w:val="0"/>
          <w:numId w:val="21"/>
        </w:numPr>
        <w:autoSpaceDE/>
        <w:autoSpaceDN/>
        <w:adjustRightInd/>
      </w:pPr>
      <w:r w:rsidRPr="006C1524">
        <w:t>BADL removed: TMG agreed not appropriate to collect in trial population.</w:t>
      </w:r>
    </w:p>
    <w:p w14:paraId="3B4CD283" w14:textId="77777777" w:rsidR="006C1524" w:rsidRPr="006C1524" w:rsidRDefault="006C1524" w:rsidP="009B13F3">
      <w:pPr>
        <w:autoSpaceDE/>
        <w:autoSpaceDN/>
        <w:adjustRightInd/>
      </w:pPr>
      <w:r w:rsidRPr="006C1524">
        <w:t>The overall quantity, and therefore perceived participant burden remains the same.</w:t>
      </w:r>
    </w:p>
    <w:p w14:paraId="0D34BDA4" w14:textId="77777777" w:rsidR="006C1524" w:rsidRPr="006C1524" w:rsidRDefault="006C1524" w:rsidP="009B13F3">
      <w:pPr>
        <w:numPr>
          <w:ilvl w:val="0"/>
          <w:numId w:val="29"/>
        </w:numPr>
        <w:autoSpaceDE/>
        <w:autoSpaceDN/>
        <w:adjustRightInd/>
      </w:pPr>
      <w:r w:rsidRPr="006C1524">
        <w:rPr>
          <w:b/>
        </w:rPr>
        <w:t>Completion of Assessments (PAS / QUIS)</w:t>
      </w:r>
    </w:p>
    <w:p w14:paraId="3B5BEC15" w14:textId="77777777" w:rsidR="006C1524" w:rsidRPr="006C1524" w:rsidRDefault="006C1524" w:rsidP="009B13F3">
      <w:pPr>
        <w:autoSpaceDE/>
        <w:autoSpaceDN/>
        <w:adjustRightInd/>
      </w:pPr>
      <w:r w:rsidRPr="006C1524">
        <w:t xml:space="preserve">The proposed plan for collection of independent assessments (PAS / QUIS) suggested that the PAS and QUIS would be completed on a random 25% of registered residents. However as these assessments are completed following observations made within communal areas the TMG agreed that it would not be appropriate to restrict observations to a random sample of residents, as if they were not available within communal areas at the time of observation, the data could not be completed, affecting the integrity of data for analysis. Thus it was agreed that PAS / QUIS data would be collected for all registered residents. The protocol has been updated (please refer to tracked changes) to incorporate these changes.   </w:t>
      </w:r>
    </w:p>
    <w:p w14:paraId="5D1C71A9" w14:textId="77777777" w:rsidR="006C1524" w:rsidRPr="006C1524" w:rsidRDefault="006C1524" w:rsidP="009B13F3">
      <w:pPr>
        <w:numPr>
          <w:ilvl w:val="0"/>
          <w:numId w:val="30"/>
        </w:numPr>
        <w:autoSpaceDE/>
        <w:autoSpaceDN/>
        <w:adjustRightInd/>
        <w:rPr>
          <w:b/>
        </w:rPr>
      </w:pPr>
      <w:r w:rsidRPr="006C1524">
        <w:rPr>
          <w:b/>
        </w:rPr>
        <w:t>Monitoring – Recording Sessions</w:t>
      </w:r>
    </w:p>
    <w:p w14:paraId="27414121" w14:textId="77777777" w:rsidR="006C1524" w:rsidRPr="006C1524" w:rsidRDefault="006C1524" w:rsidP="009B13F3">
      <w:pPr>
        <w:numPr>
          <w:ilvl w:val="1"/>
          <w:numId w:val="19"/>
        </w:numPr>
        <w:autoSpaceDE/>
        <w:autoSpaceDN/>
        <w:adjustRightInd/>
        <w:rPr>
          <w:b/>
        </w:rPr>
      </w:pPr>
      <w:r w:rsidRPr="006C1524">
        <w:rPr>
          <w:b/>
        </w:rPr>
        <w:t>DCM</w:t>
      </w:r>
      <w:r w:rsidRPr="006C1524">
        <w:rPr>
          <w:b/>
          <w:vertAlign w:val="superscript"/>
        </w:rPr>
        <w:t>TM</w:t>
      </w:r>
      <w:r w:rsidRPr="006C1524">
        <w:rPr>
          <w:b/>
        </w:rPr>
        <w:t xml:space="preserve"> Intervention – Feedback Sessions</w:t>
      </w:r>
    </w:p>
    <w:p w14:paraId="0D6C5593" w14:textId="13FAF51E" w:rsidR="006C1524" w:rsidRPr="006C1524" w:rsidRDefault="006C1524" w:rsidP="009B13F3">
      <w:pPr>
        <w:autoSpaceDE/>
        <w:autoSpaceDN/>
        <w:adjustRightInd/>
      </w:pPr>
      <w:r w:rsidRPr="006C1524">
        <w:t>The protocol outlines planed recording of Dementia Care Mapping Feedback sessions within a sample (minimum of 10 Care Homes) of randomised Care Homes (n=30). Following discussions with DCM</w:t>
      </w:r>
      <w:r w:rsidRPr="006C1524">
        <w:rPr>
          <w:vertAlign w:val="superscript"/>
        </w:rPr>
        <w:t xml:space="preserve">TM </w:t>
      </w:r>
      <w:r w:rsidRPr="006C1524">
        <w:t xml:space="preserve">Experts it was agree that the feasibility and accuracy of standardised review would not be sufficiently robust therefore should not be undertaken. </w:t>
      </w:r>
      <w:r w:rsidR="00EC0517" w:rsidRPr="006C1524">
        <w:t>Therefore,</w:t>
      </w:r>
      <w:r w:rsidRPr="006C1524">
        <w:t xml:space="preserve"> we propose to update section 12.7 of the protocol (please see tracked changes) to remove references to audio recording.</w:t>
      </w:r>
    </w:p>
    <w:p w14:paraId="0ED3116E" w14:textId="77777777" w:rsidR="006C1524" w:rsidRPr="006C1524" w:rsidRDefault="006C1524" w:rsidP="009B13F3">
      <w:pPr>
        <w:numPr>
          <w:ilvl w:val="0"/>
          <w:numId w:val="30"/>
        </w:numPr>
        <w:autoSpaceDE/>
        <w:autoSpaceDN/>
        <w:adjustRightInd/>
        <w:rPr>
          <w:b/>
        </w:rPr>
      </w:pPr>
      <w:r w:rsidRPr="006C1524">
        <w:rPr>
          <w:b/>
        </w:rPr>
        <w:t>Withdrawal</w:t>
      </w:r>
    </w:p>
    <w:p w14:paraId="525063A1" w14:textId="77777777" w:rsidR="006C1524" w:rsidRPr="006C1524" w:rsidRDefault="006C1524" w:rsidP="009B13F3">
      <w:pPr>
        <w:numPr>
          <w:ilvl w:val="1"/>
          <w:numId w:val="30"/>
        </w:numPr>
        <w:autoSpaceDE/>
        <w:autoSpaceDN/>
        <w:adjustRightInd/>
        <w:rPr>
          <w:b/>
        </w:rPr>
      </w:pPr>
      <w:r w:rsidRPr="006C1524">
        <w:rPr>
          <w:b/>
        </w:rPr>
        <w:t>Proxy Informant – Relative / Friend</w:t>
      </w:r>
    </w:p>
    <w:p w14:paraId="710AF9F1" w14:textId="6AA7DFA7" w:rsidR="006C1524" w:rsidRPr="006C1524" w:rsidRDefault="006C1524" w:rsidP="009B13F3">
      <w:pPr>
        <w:autoSpaceDE/>
        <w:autoSpaceDN/>
        <w:adjustRightInd/>
      </w:pPr>
      <w:r w:rsidRPr="006C1524">
        <w:t xml:space="preserve">We propose to amend the planed process for data collection following Relative / Friend withdrawal. The protocol currently suggests that in the event of a Relative / Friend withdrawal Researchers would encourage continuation of completion of a subset of assessments. </w:t>
      </w:r>
      <w:r w:rsidR="00EC0517" w:rsidRPr="006C1524">
        <w:t>However,</w:t>
      </w:r>
      <w:r w:rsidRPr="006C1524">
        <w:t xml:space="preserve"> following review with the statistical team, discussions concluded that this process would not be feasible and does not significantly impact upon the validity of data for analysis. </w:t>
      </w:r>
      <w:r w:rsidR="00EC0517" w:rsidRPr="006C1524">
        <w:t>Therefore,</w:t>
      </w:r>
      <w:r w:rsidRPr="006C1524">
        <w:t xml:space="preserve"> we propose to amend section 12.12 of the protocol (please refer to tracked changes) to outline that in the event of a Relative / Friend withdrawal a new Proxy Informant will be identified to complete all assessment measures.</w:t>
      </w:r>
    </w:p>
    <w:p w14:paraId="4D238651" w14:textId="77777777" w:rsidR="006C1524" w:rsidRPr="006C1524" w:rsidRDefault="006C1524" w:rsidP="009B13F3">
      <w:pPr>
        <w:numPr>
          <w:ilvl w:val="1"/>
          <w:numId w:val="30"/>
        </w:numPr>
        <w:autoSpaceDE/>
        <w:autoSpaceDN/>
        <w:adjustRightInd/>
      </w:pPr>
      <w:r w:rsidRPr="006C1524">
        <w:rPr>
          <w:b/>
        </w:rPr>
        <w:t>Resident Safety</w:t>
      </w:r>
    </w:p>
    <w:p w14:paraId="66E49D53" w14:textId="77777777" w:rsidR="006C1524" w:rsidRPr="006C1524" w:rsidRDefault="006C1524" w:rsidP="009B13F3">
      <w:pPr>
        <w:autoSpaceDE/>
        <w:autoSpaceDN/>
        <w:adjustRightInd/>
      </w:pPr>
      <w:r w:rsidRPr="006C1524">
        <w:t>Following consultation with the trial Data Monitoring Ethics Committee (DMEC) we propose changes to the protocol (please refer to tracked changes) to collect sufficient safety data for on-going safety monitoring. Proposed changes include;</w:t>
      </w:r>
    </w:p>
    <w:p w14:paraId="6B74796D" w14:textId="77777777" w:rsidR="006C1524" w:rsidRPr="006C1524" w:rsidRDefault="006C1524" w:rsidP="009B13F3">
      <w:pPr>
        <w:numPr>
          <w:ilvl w:val="1"/>
          <w:numId w:val="21"/>
        </w:numPr>
        <w:autoSpaceDE/>
        <w:autoSpaceDN/>
        <w:adjustRightInd/>
      </w:pPr>
      <w:r w:rsidRPr="006C1524">
        <w:t>Proactive (monthly) reporting of Adverse Events that fulfil Serious (SAE) criteria (i.e. Hospitalisation).</w:t>
      </w:r>
    </w:p>
    <w:p w14:paraId="6E634999" w14:textId="77777777" w:rsidR="006C1524" w:rsidRPr="006C1524" w:rsidRDefault="006C1524" w:rsidP="009B13F3">
      <w:pPr>
        <w:numPr>
          <w:ilvl w:val="1"/>
          <w:numId w:val="21"/>
        </w:numPr>
        <w:autoSpaceDE/>
        <w:autoSpaceDN/>
        <w:adjustRightInd/>
      </w:pPr>
      <w:r w:rsidRPr="006C1524">
        <w:t>Annual summary of hospitalisations for registered residents collected from Health and Social Care Information Centre (HSCIC).</w:t>
      </w:r>
    </w:p>
    <w:p w14:paraId="720B6E49" w14:textId="77777777" w:rsidR="006C1524" w:rsidRPr="006C1524" w:rsidRDefault="006C1524" w:rsidP="009B13F3">
      <w:pPr>
        <w:autoSpaceDE/>
        <w:autoSpaceDN/>
        <w:adjustRightInd/>
      </w:pPr>
      <w:r w:rsidRPr="006C1524">
        <w:t>Suggested amendments to safety reporting have been reviewed by external experts (DMEC/TSC) to ensure reporting is commensurate with risk for this population in the context of this trial.</w:t>
      </w:r>
    </w:p>
    <w:p w14:paraId="3B92E287" w14:textId="77777777" w:rsidR="006C1524" w:rsidRPr="006C1524" w:rsidRDefault="006C1524" w:rsidP="009B13F3">
      <w:pPr>
        <w:numPr>
          <w:ilvl w:val="0"/>
          <w:numId w:val="30"/>
        </w:numPr>
        <w:autoSpaceDE/>
        <w:autoSpaceDN/>
        <w:adjustRightInd/>
        <w:rPr>
          <w:b/>
        </w:rPr>
      </w:pPr>
      <w:r w:rsidRPr="006C1524">
        <w:rPr>
          <w:b/>
        </w:rPr>
        <w:t>Data Monitoring Ethics Committee (DMEC)</w:t>
      </w:r>
    </w:p>
    <w:p w14:paraId="0D092033" w14:textId="77777777" w:rsidR="006C1524" w:rsidRPr="006C1524" w:rsidRDefault="006C1524" w:rsidP="009B13F3">
      <w:pPr>
        <w:autoSpaceDE/>
        <w:autoSpaceDN/>
        <w:adjustRightInd/>
      </w:pPr>
      <w:r w:rsidRPr="006C1524">
        <w:t>In accordance with guidance from the trial funder (NIHR HTA) a trial DMEC has been established and responsibilities agreed. We therefore propose changes to the protocol (please refer to tracked changes) to incorporate the DMEC.</w:t>
      </w:r>
    </w:p>
    <w:p w14:paraId="505C23C0" w14:textId="77777777" w:rsidR="006C1524" w:rsidRPr="006C1524" w:rsidRDefault="006C1524" w:rsidP="009B13F3">
      <w:pPr>
        <w:autoSpaceDE/>
        <w:autoSpaceDN/>
        <w:adjustRightInd/>
        <w:rPr>
          <w:b/>
          <w:u w:val="single"/>
        </w:rPr>
      </w:pPr>
      <w:r w:rsidRPr="006C1524">
        <w:rPr>
          <w:b/>
          <w:u w:val="single"/>
        </w:rPr>
        <w:t>Patient Information Sheets and Informed Consent Document amendments</w:t>
      </w:r>
    </w:p>
    <w:p w14:paraId="79D44E45" w14:textId="77777777" w:rsidR="006C1524" w:rsidRPr="006C1524" w:rsidRDefault="006C1524" w:rsidP="009B13F3">
      <w:pPr>
        <w:numPr>
          <w:ilvl w:val="0"/>
          <w:numId w:val="30"/>
        </w:numPr>
        <w:autoSpaceDE/>
        <w:autoSpaceDN/>
        <w:adjustRightInd/>
      </w:pPr>
      <w:r w:rsidRPr="006C1524">
        <w:rPr>
          <w:b/>
        </w:rPr>
        <w:t>Study Title</w:t>
      </w:r>
    </w:p>
    <w:p w14:paraId="60CB9EE1" w14:textId="77777777" w:rsidR="006C1524" w:rsidRPr="006C1524" w:rsidRDefault="006C1524" w:rsidP="009B13F3">
      <w:pPr>
        <w:autoSpaceDE/>
        <w:autoSpaceDN/>
        <w:adjustRightInd/>
      </w:pPr>
      <w:r w:rsidRPr="006C1524">
        <w:t>Following consultation with Patient and Public Involvement groups and Experts by Experience, the TMG have agreed to amend the study title in publicly available information to remove the acronym DCM (Dementia Care Mapping). We therefore include amended information sheets and consent documents with the title amended throughout.</w:t>
      </w:r>
    </w:p>
    <w:p w14:paraId="1F59FDEA" w14:textId="77777777" w:rsidR="006C1524" w:rsidRPr="006C1524" w:rsidRDefault="006C1524" w:rsidP="009B13F3">
      <w:pPr>
        <w:numPr>
          <w:ilvl w:val="0"/>
          <w:numId w:val="22"/>
        </w:numPr>
        <w:autoSpaceDE/>
        <w:autoSpaceDN/>
        <w:adjustRightInd/>
        <w:rPr>
          <w:b/>
        </w:rPr>
      </w:pPr>
      <w:r w:rsidRPr="006C1524">
        <w:rPr>
          <w:b/>
        </w:rPr>
        <w:t>Participant Consent</w:t>
      </w:r>
    </w:p>
    <w:p w14:paraId="5A6EC90E" w14:textId="77777777" w:rsidR="006C1524" w:rsidRPr="006C1524" w:rsidRDefault="006C1524" w:rsidP="009B13F3">
      <w:pPr>
        <w:numPr>
          <w:ilvl w:val="1"/>
          <w:numId w:val="22"/>
        </w:numPr>
        <w:autoSpaceDE/>
        <w:autoSpaceDN/>
        <w:adjustRightInd/>
        <w:rPr>
          <w:b/>
        </w:rPr>
      </w:pPr>
      <w:r w:rsidRPr="006C1524">
        <w:rPr>
          <w:b/>
        </w:rPr>
        <w:t xml:space="preserve">Mapper </w:t>
      </w:r>
    </w:p>
    <w:p w14:paraId="67241020" w14:textId="77777777" w:rsidR="006C1524" w:rsidRPr="006C1524" w:rsidRDefault="006C1524" w:rsidP="009B13F3">
      <w:pPr>
        <w:autoSpaceDE/>
        <w:autoSpaceDN/>
        <w:adjustRightInd/>
      </w:pPr>
      <w:r w:rsidRPr="006C1524">
        <w:t>We propose to add an additional statement to the Mapper consent form to reference the DCM</w:t>
      </w:r>
      <w:r w:rsidRPr="006C1524">
        <w:rPr>
          <w:vertAlign w:val="superscript"/>
        </w:rPr>
        <w:t>TM</w:t>
      </w:r>
      <w:r w:rsidRPr="006C1524">
        <w:t xml:space="preserve"> Training Course schedule to make it clear to Mappers that we are asking them to be available for training; “I agree to attend the next scheduled DCM</w:t>
      </w:r>
      <w:r w:rsidRPr="006C1524">
        <w:rPr>
          <w:vertAlign w:val="superscript"/>
        </w:rPr>
        <w:t>TM</w:t>
      </w:r>
      <w:r w:rsidRPr="006C1524">
        <w:t xml:space="preserve"> training course if my care home is randomly allocated to DCM</w:t>
      </w:r>
      <w:r w:rsidRPr="006C1524">
        <w:rPr>
          <w:vertAlign w:val="superscript"/>
        </w:rPr>
        <w:t>TM</w:t>
      </w:r>
      <w:r w:rsidRPr="006C1524">
        <w:t xml:space="preserve"> + UC. &lt;Insert course date&gt;”. As the DCM</w:t>
      </w:r>
      <w:r w:rsidRPr="006C1524">
        <w:rPr>
          <w:vertAlign w:val="superscript"/>
        </w:rPr>
        <w:t>TM</w:t>
      </w:r>
      <w:r w:rsidRPr="006C1524">
        <w:t xml:space="preserve"> Training Course is a publicly available course, dates are scheduled in advance and cannot be changed, so we need to be sure that mappers are able to attend on specified dates.  This will reflect the implementation of the intervention in practice. </w:t>
      </w:r>
    </w:p>
    <w:p w14:paraId="1CC6C9A4" w14:textId="77777777" w:rsidR="006C1524" w:rsidRPr="006C1524" w:rsidRDefault="006C1524" w:rsidP="009B13F3">
      <w:pPr>
        <w:numPr>
          <w:ilvl w:val="1"/>
          <w:numId w:val="22"/>
        </w:numPr>
        <w:autoSpaceDE/>
        <w:autoSpaceDN/>
        <w:adjustRightInd/>
        <w:rPr>
          <w:b/>
        </w:rPr>
      </w:pPr>
      <w:r w:rsidRPr="006C1524">
        <w:rPr>
          <w:b/>
        </w:rPr>
        <w:t>Staff Proxy</w:t>
      </w:r>
    </w:p>
    <w:p w14:paraId="11326CBA" w14:textId="1AEA28BD" w:rsidR="006C1524" w:rsidRPr="006C1524" w:rsidRDefault="006C1524" w:rsidP="009B13F3">
      <w:pPr>
        <w:autoSpaceDE/>
        <w:autoSpaceDN/>
        <w:adjustRightInd/>
      </w:pPr>
      <w:r w:rsidRPr="006C1524">
        <w:t xml:space="preserve">The proposed plan for Staff Proxy Informant consent was vague in the protocol, with no previous Staff Proxy Informant Consent form being submitted for REC approval. </w:t>
      </w:r>
      <w:r w:rsidR="00EC0517" w:rsidRPr="006C1524">
        <w:t>Therefore,</w:t>
      </w:r>
      <w:r w:rsidRPr="006C1524">
        <w:t xml:space="preserve"> in accordance with the proposed protocol update which removes references to the screening questionnaire (implied consent following return of data) a Staff Proxy Informant Consent Form has been produced and is submitted for approval. This document will be version 4.0 (dated 30.05.2014) to match existing documentation following approval of this amendment.</w:t>
      </w:r>
    </w:p>
    <w:p w14:paraId="4CD6F232" w14:textId="77777777" w:rsidR="006C1524" w:rsidRPr="006C1524" w:rsidRDefault="006C1524" w:rsidP="009B13F3">
      <w:pPr>
        <w:numPr>
          <w:ilvl w:val="1"/>
          <w:numId w:val="22"/>
        </w:numPr>
        <w:autoSpaceDE/>
        <w:autoSpaceDN/>
        <w:adjustRightInd/>
        <w:rPr>
          <w:b/>
        </w:rPr>
      </w:pPr>
      <w:r w:rsidRPr="006C1524">
        <w:rPr>
          <w:b/>
        </w:rPr>
        <w:t>Resident (including Nominated and Personal Consultee)</w:t>
      </w:r>
    </w:p>
    <w:p w14:paraId="6D164047" w14:textId="77777777" w:rsidR="006C1524" w:rsidRPr="006C1524" w:rsidRDefault="006C1524" w:rsidP="009B13F3">
      <w:pPr>
        <w:autoSpaceDE/>
        <w:autoSpaceDN/>
        <w:adjustRightInd/>
      </w:pPr>
      <w:r w:rsidRPr="006C1524">
        <w:t>As Resident and a Resident’s Relative / Friend data is not used as part of the primary analysis, the TMG have agreed that consent to obtain information from Residents and their Relative/Friend can be optional. We therefore propose to update the relevant information sheets to incorporate these optional statements (please refer to tracked changes version attached.</w:t>
      </w:r>
    </w:p>
    <w:p w14:paraId="46749940" w14:textId="77777777" w:rsidR="006C1524" w:rsidRPr="006C1524" w:rsidRDefault="006C1524" w:rsidP="009B13F3">
      <w:pPr>
        <w:numPr>
          <w:ilvl w:val="0"/>
          <w:numId w:val="22"/>
        </w:numPr>
        <w:autoSpaceDE/>
        <w:autoSpaceDN/>
        <w:adjustRightInd/>
        <w:rPr>
          <w:b/>
        </w:rPr>
      </w:pPr>
      <w:r w:rsidRPr="006C1524">
        <w:rPr>
          <w:b/>
        </w:rPr>
        <w:t>Short form of Participant Information</w:t>
      </w:r>
    </w:p>
    <w:p w14:paraId="0227F8D5" w14:textId="77777777" w:rsidR="006C1524" w:rsidRPr="006C1524" w:rsidRDefault="006C1524" w:rsidP="009B13F3">
      <w:pPr>
        <w:autoSpaceDE/>
        <w:autoSpaceDN/>
        <w:adjustRightInd/>
      </w:pPr>
      <w:r w:rsidRPr="006C1524">
        <w:t xml:space="preserve">Following consultation with Patient and Public Involvement groups and Experts by Experience we have developed shortened versions of the information sheets for Staff (Measures), Staff Proxy, Relative / Friend Proxy. These short versions summarise key information from existing information sheets in a simple to understand format. It is intended that these information sheets will be used in addition to existing participant information to ensure informed consent is obtained. </w:t>
      </w:r>
    </w:p>
    <w:p w14:paraId="533A1949" w14:textId="77777777" w:rsidR="006C1524" w:rsidRPr="006C1524" w:rsidRDefault="006C1524" w:rsidP="009B13F3">
      <w:pPr>
        <w:autoSpaceDE/>
        <w:autoSpaceDN/>
        <w:adjustRightInd/>
      </w:pPr>
      <w:r w:rsidRPr="006C1524">
        <w:t>The existing Short form of the Resident Information Sheet has also been amended to reflect the format of the new short form information sheets. Please refer to relevant attachments for additional information. These documents will be versioned 4.0 (dated 30.05.2014) to reflect existing documentation following approval of this amendment.</w:t>
      </w:r>
    </w:p>
    <w:p w14:paraId="76E8F529" w14:textId="77777777" w:rsidR="006C1524" w:rsidRPr="006C1524" w:rsidRDefault="006C1524" w:rsidP="009B13F3">
      <w:pPr>
        <w:autoSpaceDE/>
        <w:autoSpaceDN/>
        <w:adjustRightInd/>
        <w:rPr>
          <w:b/>
          <w:u w:val="single"/>
        </w:rPr>
      </w:pPr>
      <w:r w:rsidRPr="006C1524">
        <w:rPr>
          <w:b/>
          <w:u w:val="single"/>
        </w:rPr>
        <w:t>SA 4 – Approved 10/09/2014</w:t>
      </w:r>
    </w:p>
    <w:p w14:paraId="62121875" w14:textId="77777777" w:rsidR="006C1524" w:rsidRPr="006C1524" w:rsidRDefault="006C1524" w:rsidP="009B13F3">
      <w:pPr>
        <w:autoSpaceDE/>
        <w:autoSpaceDN/>
        <w:adjustRightInd/>
        <w:rPr>
          <w:b/>
          <w:u w:val="single"/>
        </w:rPr>
      </w:pPr>
      <w:r w:rsidRPr="006C1524">
        <w:rPr>
          <w:b/>
          <w:u w:val="single"/>
        </w:rPr>
        <w:t xml:space="preserve">Protocol amendments </w:t>
      </w:r>
    </w:p>
    <w:p w14:paraId="6B41365D" w14:textId="77777777" w:rsidR="006C1524" w:rsidRPr="006C1524" w:rsidRDefault="006C1524" w:rsidP="009B13F3">
      <w:pPr>
        <w:numPr>
          <w:ilvl w:val="0"/>
          <w:numId w:val="22"/>
        </w:numPr>
        <w:autoSpaceDE/>
        <w:autoSpaceDN/>
        <w:adjustRightInd/>
        <w:rPr>
          <w:b/>
        </w:rPr>
      </w:pPr>
      <w:r w:rsidRPr="006C1524">
        <w:rPr>
          <w:b/>
        </w:rPr>
        <w:t>Submission of a new document for approval (Personal Consultee Introductory Letter)</w:t>
      </w:r>
    </w:p>
    <w:p w14:paraId="3FCF8346" w14:textId="77777777" w:rsidR="006C1524" w:rsidRPr="006C1524" w:rsidRDefault="006C1524" w:rsidP="009B13F3">
      <w:pPr>
        <w:autoSpaceDE/>
        <w:autoSpaceDN/>
        <w:adjustRightInd/>
      </w:pPr>
      <w:r w:rsidRPr="006C1524">
        <w:t>The protocol (version 4.0) states in section 8.3.2 – Consent for those (Residents) without capacity, that if an identified potential personal consultee is not present within the Care Home during participant (Resident) recruitment they may be posted information regarding taking part (acting as a personal consultee) by the Care Home. We therefore enclose a proposed introductory letter template to be sent by Care Homes with the relevant (REC approved) Information Sheets. As this letter is designed to be sent by the Care Home it will be used as a template, and added to where appropriate by the Care Home to personalise it for the person in question.</w:t>
      </w:r>
    </w:p>
    <w:p w14:paraId="16EBE714" w14:textId="77777777" w:rsidR="006C1524" w:rsidRPr="006C1524" w:rsidRDefault="006C1524" w:rsidP="009B13F3">
      <w:pPr>
        <w:numPr>
          <w:ilvl w:val="0"/>
          <w:numId w:val="22"/>
        </w:numPr>
        <w:autoSpaceDE/>
        <w:autoSpaceDN/>
        <w:adjustRightInd/>
        <w:rPr>
          <w:b/>
        </w:rPr>
      </w:pPr>
      <w:r w:rsidRPr="006C1524">
        <w:rPr>
          <w:b/>
        </w:rPr>
        <w:t>Submission of a new document for approval (Personal Consultee Reminder Letter)</w:t>
      </w:r>
    </w:p>
    <w:p w14:paraId="730CAB27" w14:textId="77777777" w:rsidR="006C1524" w:rsidRPr="006C1524" w:rsidRDefault="006C1524" w:rsidP="009B13F3">
      <w:pPr>
        <w:autoSpaceDE/>
        <w:autoSpaceDN/>
        <w:adjustRightInd/>
      </w:pPr>
      <w:r w:rsidRPr="006C1524">
        <w:t xml:space="preserve">The protocol (version 4.0) states in section 8.3.2 – Consent for those (Residents) without capacity, that a reminder will be sent to a potential personal consultee within one week of being approached to complete the relevant (REC approved) declaration form. We therefore enclose a proposed reminder letter template for Researchers to send within one week of initial approach (if required). As this letter is designed to be sent after initial discussions with the Researcher it this letter will be used as a template and added to by the Researcher where appropriate. </w:t>
      </w:r>
    </w:p>
    <w:p w14:paraId="480EDC8C" w14:textId="77777777" w:rsidR="006C1524" w:rsidRPr="006C1524" w:rsidRDefault="006C1524" w:rsidP="009B13F3">
      <w:pPr>
        <w:numPr>
          <w:ilvl w:val="0"/>
          <w:numId w:val="22"/>
        </w:numPr>
        <w:autoSpaceDE/>
        <w:autoSpaceDN/>
        <w:adjustRightInd/>
      </w:pPr>
      <w:r w:rsidRPr="006C1524">
        <w:rPr>
          <w:b/>
        </w:rPr>
        <w:t>Submission of a new document for approval (Relative/Friend Proxy Informant Introductory Letter)</w:t>
      </w:r>
    </w:p>
    <w:p w14:paraId="7D2FB78E" w14:textId="77777777" w:rsidR="006C1524" w:rsidRPr="006C1524" w:rsidRDefault="006C1524" w:rsidP="009B13F3">
      <w:pPr>
        <w:autoSpaceDE/>
        <w:autoSpaceDN/>
        <w:adjustRightInd/>
      </w:pPr>
      <w:r w:rsidRPr="006C1524">
        <w:t>The protocol (version 4.0) states in section 10.1 – Relative/Friend and Informants, that if an identified potential Relative/Friend is not present within the Care Home during participant recruitment that information regarding taking part can be posted (by the Care Home) to them. We therefore enclose a proposed introductory letter template to be sent by the Care Home with the relevant (REC approved) Information Sheets. As this letter is designed to be sent by the Care Home it will be used as a template, and added to where appropriate by the Care Home to personalise it for the relative.</w:t>
      </w:r>
    </w:p>
    <w:p w14:paraId="2AA1B47B" w14:textId="77777777" w:rsidR="006C1524" w:rsidRPr="006C1524" w:rsidRDefault="006C1524" w:rsidP="009B13F3">
      <w:pPr>
        <w:autoSpaceDE/>
        <w:autoSpaceDN/>
        <w:adjustRightInd/>
        <w:rPr>
          <w:b/>
          <w:u w:val="single"/>
        </w:rPr>
      </w:pPr>
      <w:r w:rsidRPr="006C1524">
        <w:rPr>
          <w:b/>
          <w:u w:val="single"/>
        </w:rPr>
        <w:t>SA5 – Approved 15/01/2015</w:t>
      </w:r>
    </w:p>
    <w:p w14:paraId="189589C2" w14:textId="77777777" w:rsidR="006C1524" w:rsidRPr="006C1524" w:rsidRDefault="006C1524" w:rsidP="009B13F3">
      <w:pPr>
        <w:autoSpaceDE/>
        <w:autoSpaceDN/>
        <w:adjustRightInd/>
        <w:rPr>
          <w:b/>
          <w:u w:val="single"/>
        </w:rPr>
      </w:pPr>
      <w:r w:rsidRPr="006C1524">
        <w:rPr>
          <w:b/>
          <w:u w:val="single"/>
        </w:rPr>
        <w:t>Patient Information Sheets and Informed Consent Document amendments</w:t>
      </w:r>
    </w:p>
    <w:p w14:paraId="3BD29E5C" w14:textId="77777777" w:rsidR="006C1524" w:rsidRPr="006C1524" w:rsidRDefault="006C1524" w:rsidP="009B13F3">
      <w:pPr>
        <w:numPr>
          <w:ilvl w:val="0"/>
          <w:numId w:val="22"/>
        </w:numPr>
        <w:autoSpaceDE/>
        <w:autoSpaceDN/>
        <w:adjustRightInd/>
        <w:rPr>
          <w:b/>
        </w:rPr>
      </w:pPr>
      <w:r w:rsidRPr="006C1524">
        <w:rPr>
          <w:b/>
        </w:rPr>
        <w:t>Submission of a new document for approval (GP Letter)</w:t>
      </w:r>
    </w:p>
    <w:p w14:paraId="1A1202D2" w14:textId="3E8D9957" w:rsidR="006C1524" w:rsidRPr="006C1524" w:rsidRDefault="006C1524" w:rsidP="009B13F3">
      <w:pPr>
        <w:autoSpaceDE/>
        <w:autoSpaceDN/>
        <w:adjustRightInd/>
      </w:pPr>
      <w:r w:rsidRPr="006C1524">
        <w:t>The protocol (version 4.0) states in section 12.1 – Intervention Details – Usual Care, that all GPs that deliver care within a consenting Care Home will be provided with current best practice guidelines for managing BSC (Behaviours Staff find Challenging</w:t>
      </w:r>
      <w:r w:rsidR="007955CE">
        <w:t xml:space="preserve"> to support</w:t>
      </w:r>
      <w:r w:rsidRPr="006C1524">
        <w:t>). We therefore enclose a proposed GP Letter template to be sent to GP practices with a copy of current antipsychotic prescribing guidance (Alzheimer’s Society). Please note in accordance with the protocol this information will not detail Residents currently participating in the study.</w:t>
      </w:r>
    </w:p>
    <w:p w14:paraId="4002EC22" w14:textId="77777777" w:rsidR="006C1524" w:rsidRPr="006C1524" w:rsidRDefault="006C1524" w:rsidP="009B13F3">
      <w:pPr>
        <w:autoSpaceDE/>
        <w:autoSpaceDN/>
        <w:adjustRightInd/>
        <w:rPr>
          <w:b/>
          <w:u w:val="single"/>
        </w:rPr>
      </w:pPr>
      <w:r w:rsidRPr="006C1524">
        <w:rPr>
          <w:b/>
          <w:u w:val="single"/>
        </w:rPr>
        <w:t>SA6 – Approved 15/01/2015</w:t>
      </w:r>
    </w:p>
    <w:p w14:paraId="4B29B6E2" w14:textId="77777777" w:rsidR="006C1524" w:rsidRPr="006C1524" w:rsidRDefault="006C1524" w:rsidP="009B13F3">
      <w:pPr>
        <w:autoSpaceDE/>
        <w:autoSpaceDN/>
        <w:adjustRightInd/>
        <w:rPr>
          <w:b/>
          <w:u w:val="single"/>
        </w:rPr>
      </w:pPr>
      <w:r w:rsidRPr="006C1524">
        <w:rPr>
          <w:b/>
          <w:u w:val="single"/>
        </w:rPr>
        <w:t>Protocol amendments</w:t>
      </w:r>
    </w:p>
    <w:p w14:paraId="1A59D079" w14:textId="77777777" w:rsidR="006C1524" w:rsidRPr="006C1524" w:rsidRDefault="006C1524" w:rsidP="009B13F3">
      <w:pPr>
        <w:numPr>
          <w:ilvl w:val="0"/>
          <w:numId w:val="22"/>
        </w:numPr>
        <w:autoSpaceDE/>
        <w:autoSpaceDN/>
        <w:adjustRightInd/>
        <w:rPr>
          <w:b/>
        </w:rPr>
      </w:pPr>
      <w:r w:rsidRPr="006C1524">
        <w:rPr>
          <w:b/>
        </w:rPr>
        <w:t>Change of Sponsor</w:t>
      </w:r>
    </w:p>
    <w:p w14:paraId="029F79AB" w14:textId="7F94B832" w:rsidR="006C1524" w:rsidRPr="006C1524" w:rsidRDefault="006C1524" w:rsidP="009B13F3">
      <w:pPr>
        <w:autoSpaceDE/>
        <w:autoSpaceDN/>
        <w:adjustRightInd/>
      </w:pPr>
      <w:r w:rsidRPr="006C1524">
        <w:t xml:space="preserve">Following acceptance of a Professorship role at Leeds Beckett University Claire Surr, DCM EPIC Chief Investigator will be transferring from the University of Bradford to Leeds Beckett from February 2015. </w:t>
      </w:r>
      <w:r w:rsidR="007955CE" w:rsidRPr="006C1524">
        <w:t>Therefore,</w:t>
      </w:r>
      <w:r w:rsidRPr="006C1524">
        <w:t xml:space="preserve"> the study Sponsor will be transferred to reflect this move. </w:t>
      </w:r>
    </w:p>
    <w:p w14:paraId="39F2D282" w14:textId="77777777" w:rsidR="006C1524" w:rsidRPr="006C1524" w:rsidRDefault="006C1524" w:rsidP="009B13F3">
      <w:pPr>
        <w:autoSpaceDE/>
        <w:autoSpaceDN/>
        <w:adjustRightInd/>
      </w:pPr>
      <w:r w:rsidRPr="006C1524">
        <w:t>The following documents have therefore been updated;</w:t>
      </w:r>
    </w:p>
    <w:p w14:paraId="33829C85" w14:textId="77777777" w:rsidR="006C1524" w:rsidRPr="006C1524" w:rsidRDefault="006C1524" w:rsidP="009B13F3">
      <w:pPr>
        <w:numPr>
          <w:ilvl w:val="0"/>
          <w:numId w:val="23"/>
        </w:numPr>
        <w:autoSpaceDE/>
        <w:autoSpaceDN/>
        <w:adjustRightInd/>
      </w:pPr>
      <w:r w:rsidRPr="006C1524">
        <w:t xml:space="preserve">NHS R&amp;D and REC Form </w:t>
      </w:r>
    </w:p>
    <w:p w14:paraId="34BB653F" w14:textId="77777777" w:rsidR="006C1524" w:rsidRPr="006C1524" w:rsidRDefault="006C1524" w:rsidP="009B13F3">
      <w:pPr>
        <w:numPr>
          <w:ilvl w:val="1"/>
          <w:numId w:val="31"/>
        </w:numPr>
        <w:autoSpaceDE/>
        <w:autoSpaceDN/>
        <w:adjustRightInd/>
      </w:pPr>
      <w:r w:rsidRPr="006C1524">
        <w:t>A3-1. Chief Investigator</w:t>
      </w:r>
    </w:p>
    <w:p w14:paraId="1427EDF1" w14:textId="77777777" w:rsidR="006C1524" w:rsidRPr="006C1524" w:rsidRDefault="006C1524" w:rsidP="009B13F3">
      <w:pPr>
        <w:numPr>
          <w:ilvl w:val="1"/>
          <w:numId w:val="31"/>
        </w:numPr>
        <w:autoSpaceDE/>
        <w:autoSpaceDN/>
        <w:adjustRightInd/>
      </w:pPr>
      <w:r w:rsidRPr="006C1524">
        <w:t>A4. Sponsor contact</w:t>
      </w:r>
    </w:p>
    <w:p w14:paraId="5ADFF809" w14:textId="77777777" w:rsidR="006C1524" w:rsidRPr="006C1524" w:rsidRDefault="006C1524" w:rsidP="009B13F3">
      <w:pPr>
        <w:numPr>
          <w:ilvl w:val="1"/>
          <w:numId w:val="31"/>
        </w:numPr>
        <w:autoSpaceDE/>
        <w:autoSpaceDN/>
        <w:adjustRightInd/>
      </w:pPr>
      <w:r w:rsidRPr="006C1524">
        <w:t>A64. Details of Research Sponsor</w:t>
      </w:r>
    </w:p>
    <w:p w14:paraId="5D3B6808" w14:textId="77777777" w:rsidR="006C1524" w:rsidRPr="006C1524" w:rsidRDefault="006C1524" w:rsidP="009B13F3">
      <w:pPr>
        <w:numPr>
          <w:ilvl w:val="1"/>
          <w:numId w:val="31"/>
        </w:numPr>
        <w:autoSpaceDE/>
        <w:autoSpaceDN/>
        <w:adjustRightInd/>
      </w:pPr>
      <w:r w:rsidRPr="006C1524">
        <w:t>A76. Insurance and/or Indemnity</w:t>
      </w:r>
    </w:p>
    <w:p w14:paraId="4B12D0EC" w14:textId="77777777" w:rsidR="006C1524" w:rsidRPr="006C1524" w:rsidRDefault="006C1524" w:rsidP="009B13F3">
      <w:pPr>
        <w:numPr>
          <w:ilvl w:val="0"/>
          <w:numId w:val="23"/>
        </w:numPr>
        <w:autoSpaceDE/>
        <w:autoSpaceDN/>
        <w:adjustRightInd/>
      </w:pPr>
      <w:r w:rsidRPr="006C1524">
        <w:t>Protocol (v5.0) section 20.4 – Clinical Governance Issues</w:t>
      </w:r>
    </w:p>
    <w:p w14:paraId="2BE5DBA8" w14:textId="77777777" w:rsidR="006C1524" w:rsidRPr="006C1524" w:rsidRDefault="006C1524" w:rsidP="009B13F3">
      <w:pPr>
        <w:numPr>
          <w:ilvl w:val="0"/>
          <w:numId w:val="23"/>
        </w:numPr>
        <w:autoSpaceDE/>
        <w:autoSpaceDN/>
        <w:adjustRightInd/>
      </w:pPr>
      <w:r w:rsidRPr="006C1524">
        <w:t>Protocol (v5.0) section 23 – Statement of Indemnity</w:t>
      </w:r>
    </w:p>
    <w:p w14:paraId="2C28816B" w14:textId="77777777" w:rsidR="006C1524" w:rsidRPr="006C1524" w:rsidRDefault="006C1524" w:rsidP="009B13F3">
      <w:pPr>
        <w:numPr>
          <w:ilvl w:val="0"/>
          <w:numId w:val="23"/>
        </w:numPr>
        <w:autoSpaceDE/>
        <w:autoSpaceDN/>
        <w:adjustRightInd/>
      </w:pPr>
      <w:r w:rsidRPr="006C1524">
        <w:t>Protocol (v5.0) section 24 – Trial Organisational Structure</w:t>
      </w:r>
    </w:p>
    <w:p w14:paraId="0BA1EFD1" w14:textId="77777777" w:rsidR="006C1524" w:rsidRPr="006C1524" w:rsidRDefault="006C1524" w:rsidP="009B13F3">
      <w:pPr>
        <w:numPr>
          <w:ilvl w:val="0"/>
          <w:numId w:val="18"/>
        </w:numPr>
        <w:autoSpaceDE/>
        <w:autoSpaceDN/>
        <w:adjustRightInd/>
        <w:rPr>
          <w:b/>
        </w:rPr>
      </w:pPr>
      <w:r w:rsidRPr="006C1524">
        <w:rPr>
          <w:b/>
        </w:rPr>
        <w:t>Care Home Eligibility Criteria</w:t>
      </w:r>
    </w:p>
    <w:p w14:paraId="5E79D999" w14:textId="77777777" w:rsidR="006C1524" w:rsidRPr="006C1524" w:rsidRDefault="006C1524" w:rsidP="009B13F3">
      <w:pPr>
        <w:autoSpaceDE/>
        <w:autoSpaceDN/>
        <w:adjustRightInd/>
      </w:pPr>
      <w:r w:rsidRPr="006C1524">
        <w:t xml:space="preserve">Based upon experience from “pilot” care home recruitment and consultation with the trial oversight committees (TMG/TSC) we propose to amend the Care Home Eligibility criteria to clarify requirements to have a sufficient population of permanent residents living with dementia to recruit (register) a minimum of 10 Residents. This wording will reduce exclusion of Care Homes that would otherwise be eligible but do not achieve the criteria as currently worded. </w:t>
      </w:r>
    </w:p>
    <w:p w14:paraId="54831EFF" w14:textId="77777777" w:rsidR="006C1524" w:rsidRPr="006C1524" w:rsidRDefault="006C1524" w:rsidP="009B13F3">
      <w:pPr>
        <w:autoSpaceDE/>
        <w:autoSpaceDN/>
        <w:adjustRightInd/>
      </w:pPr>
      <w:r w:rsidRPr="006C1524">
        <w:t xml:space="preserve">The protocol has also been updated to clarify minimum and maximum resident recruitment limits. As previously stated a minimum of 10 registered (Eligible, Consented, and completed Data) residents is required per Care Home. Following experiences of Care Home recruitment to date the trial team have also investigated whether a maximum recruitment limit is required. However from review of impact of cluster size variability on the power calculations for analysis with the trial oversight committees (TMG/TSC) have confirmed that no maximum limit for resident recruitment is required. </w:t>
      </w:r>
    </w:p>
    <w:p w14:paraId="1A4CE1B2" w14:textId="3C79FF4F" w:rsidR="006C1524" w:rsidRPr="006C1524" w:rsidRDefault="00EC0517" w:rsidP="009B13F3">
      <w:pPr>
        <w:autoSpaceDE/>
        <w:autoSpaceDN/>
        <w:adjustRightInd/>
      </w:pPr>
      <w:r w:rsidRPr="006C1524">
        <w:t>Therefore,</w:t>
      </w:r>
      <w:r w:rsidR="006C1524" w:rsidRPr="006C1524">
        <w:t xml:space="preserve"> the protocol (v5.0) section 7.1 Care Home Eligibility has been updated to reflect the suggested changes summarised above.</w:t>
      </w:r>
    </w:p>
    <w:p w14:paraId="185BDCC7" w14:textId="77777777" w:rsidR="006C1524" w:rsidRPr="006C1524" w:rsidRDefault="006C1524" w:rsidP="009B13F3">
      <w:pPr>
        <w:numPr>
          <w:ilvl w:val="0"/>
          <w:numId w:val="18"/>
        </w:numPr>
        <w:autoSpaceDE/>
        <w:autoSpaceDN/>
        <w:adjustRightInd/>
        <w:rPr>
          <w:b/>
        </w:rPr>
      </w:pPr>
      <w:r w:rsidRPr="006C1524">
        <w:rPr>
          <w:b/>
        </w:rPr>
        <w:t>Resident Eligibility Criteria</w:t>
      </w:r>
    </w:p>
    <w:p w14:paraId="173185A1" w14:textId="77777777" w:rsidR="006C1524" w:rsidRPr="006C1524" w:rsidRDefault="006C1524" w:rsidP="009B13F3">
      <w:pPr>
        <w:autoSpaceDE/>
        <w:autoSpaceDN/>
        <w:adjustRightInd/>
      </w:pPr>
      <w:r w:rsidRPr="006C1524">
        <w:t>During Care Home screening it has become apparent that the potential for co-enrolment to other studies is not only relevant to Care Homes, but Residents as well. For example, a trial may be recruiting a large number of homes within the DCM EPIC Hub catchment areas (London, Oxford, and West Yorkshire) but may only be recruiting a small proportion of Residents within the participating Care Home. Therefore it would not be appropriate to exclude the Care Home, due to the associated impact upon Care Home Recruitment, but it would be appropriate to exclude the Resident, due to the potential for confounding factors and associated participant burden and research fatigue.</w:t>
      </w:r>
    </w:p>
    <w:p w14:paraId="6E83EE93" w14:textId="77777777" w:rsidR="006C1524" w:rsidRPr="006C1524" w:rsidRDefault="006C1524" w:rsidP="009B13F3">
      <w:pPr>
        <w:autoSpaceDE/>
        <w:autoSpaceDN/>
        <w:adjustRightInd/>
      </w:pPr>
      <w:r w:rsidRPr="006C1524">
        <w:t>Therefore the protocol (v5.0 – section 8.1) has been updated to include “involvement in another trial that conflicts with DCM</w:t>
      </w:r>
      <w:r w:rsidRPr="006C1524">
        <w:rPr>
          <w:vertAlign w:val="superscript"/>
        </w:rPr>
        <w:t xml:space="preserve">TM </w:t>
      </w:r>
      <w:r w:rsidRPr="006C1524">
        <w:t xml:space="preserve">or with the data collection during the course of their involvement in the EPIC study“. </w:t>
      </w:r>
    </w:p>
    <w:p w14:paraId="64176463" w14:textId="77777777" w:rsidR="006C1524" w:rsidRPr="006C1524" w:rsidRDefault="006C1524" w:rsidP="009B13F3">
      <w:pPr>
        <w:numPr>
          <w:ilvl w:val="0"/>
          <w:numId w:val="18"/>
        </w:numPr>
        <w:autoSpaceDE/>
        <w:autoSpaceDN/>
        <w:adjustRightInd/>
        <w:rPr>
          <w:b/>
        </w:rPr>
      </w:pPr>
      <w:r w:rsidRPr="006C1524">
        <w:rPr>
          <w:b/>
        </w:rPr>
        <w:t>Randomisation</w:t>
      </w:r>
    </w:p>
    <w:p w14:paraId="70731675" w14:textId="44155692" w:rsidR="006C1524" w:rsidRPr="006C1524" w:rsidRDefault="006C1524" w:rsidP="009B13F3">
      <w:pPr>
        <w:autoSpaceDE/>
        <w:autoSpaceDN/>
        <w:adjustRightInd/>
      </w:pPr>
      <w:r w:rsidRPr="006C1524">
        <w:t xml:space="preserve">Following randomisation of the first two “pilot” homes the team have reviewed the stratification factors (external factor (other than intervention) that could impact upon trial outcome) for Care Home Randomisation with the trial oversight committees (TMG/TSC). It was noted that the current 4 stratification factors do not include stratification by Hub (London, Oxford, and West Yorkshire). </w:t>
      </w:r>
      <w:r w:rsidR="00EC0517" w:rsidRPr="006C1524">
        <w:t>However,</w:t>
      </w:r>
      <w:r w:rsidRPr="006C1524">
        <w:t xml:space="preserve"> it was noted that “previous use of DCM</w:t>
      </w:r>
      <w:r w:rsidRPr="006C1524">
        <w:rPr>
          <w:vertAlign w:val="superscript"/>
        </w:rPr>
        <w:t>TM</w:t>
      </w:r>
      <w:r w:rsidRPr="006C1524">
        <w:t>” could depict Hub, with Oxford Care Homes introducing DCM</w:t>
      </w:r>
      <w:r w:rsidRPr="006C1524">
        <w:rPr>
          <w:vertAlign w:val="superscript"/>
        </w:rPr>
        <w:t>TM</w:t>
      </w:r>
      <w:r w:rsidRPr="006C1524">
        <w:t xml:space="preserve"> at a local level. </w:t>
      </w:r>
    </w:p>
    <w:p w14:paraId="29209E78" w14:textId="491EB1BC" w:rsidR="006C1524" w:rsidRPr="006C1524" w:rsidRDefault="00EC0517" w:rsidP="009B13F3">
      <w:pPr>
        <w:autoSpaceDE/>
        <w:autoSpaceDN/>
        <w:adjustRightInd/>
      </w:pPr>
      <w:r w:rsidRPr="006C1524">
        <w:t>Therefore,</w:t>
      </w:r>
      <w:r w:rsidR="006C1524" w:rsidRPr="006C1524">
        <w:t xml:space="preserve"> the team concluded, in consultation with the trial oversight committees that the Care Home Randomisation stratification factors should be updated to replace “previous use of DCM</w:t>
      </w:r>
      <w:r w:rsidR="006C1524" w:rsidRPr="006C1524">
        <w:rPr>
          <w:vertAlign w:val="superscript"/>
        </w:rPr>
        <w:t>TM</w:t>
      </w:r>
      <w:r w:rsidR="006C1524" w:rsidRPr="006C1524">
        <w:t>” with “Recruiting Hub”. Protocol v5.0, section 11.2 has been updated to reflect the suggested changes summarised above.</w:t>
      </w:r>
    </w:p>
    <w:p w14:paraId="636C20FB" w14:textId="77777777" w:rsidR="006C1524" w:rsidRPr="006C1524" w:rsidRDefault="006C1524" w:rsidP="009B13F3">
      <w:pPr>
        <w:autoSpaceDE/>
        <w:autoSpaceDN/>
        <w:adjustRightInd/>
        <w:rPr>
          <w:b/>
        </w:rPr>
      </w:pPr>
      <w:r w:rsidRPr="006C1524">
        <w:rPr>
          <w:b/>
        </w:rPr>
        <w:t>SA7 – Approved 22/10/2015</w:t>
      </w:r>
    </w:p>
    <w:p w14:paraId="463A30A6" w14:textId="77777777" w:rsidR="006C1524" w:rsidRPr="006C1524" w:rsidRDefault="006C1524" w:rsidP="009B13F3">
      <w:pPr>
        <w:autoSpaceDE/>
        <w:autoSpaceDN/>
        <w:adjustRightInd/>
        <w:rPr>
          <w:b/>
          <w:u w:val="single"/>
        </w:rPr>
      </w:pPr>
      <w:r w:rsidRPr="006C1524">
        <w:rPr>
          <w:b/>
          <w:u w:val="single"/>
        </w:rPr>
        <w:t>Protocol amendments</w:t>
      </w:r>
    </w:p>
    <w:p w14:paraId="4169269F" w14:textId="77777777" w:rsidR="006C1524" w:rsidRPr="006C1524" w:rsidRDefault="006C1524" w:rsidP="009B13F3">
      <w:pPr>
        <w:numPr>
          <w:ilvl w:val="0"/>
          <w:numId w:val="18"/>
        </w:numPr>
        <w:autoSpaceDE/>
        <w:autoSpaceDN/>
        <w:adjustRightInd/>
        <w:rPr>
          <w:b/>
        </w:rPr>
      </w:pPr>
      <w:r w:rsidRPr="006C1524">
        <w:rPr>
          <w:b/>
        </w:rPr>
        <w:t>Witnessing Consent</w:t>
      </w:r>
    </w:p>
    <w:p w14:paraId="79FB8530" w14:textId="668142FB" w:rsidR="006C1524" w:rsidRPr="006C1524" w:rsidRDefault="006C1524" w:rsidP="009B13F3">
      <w:pPr>
        <w:autoSpaceDE/>
        <w:autoSpaceDN/>
        <w:adjustRightInd/>
      </w:pPr>
      <w:r w:rsidRPr="006C1524">
        <w:t xml:space="preserve">We have had a few recent instances where we have quite illegible resident signatures – some can pass for a </w:t>
      </w:r>
      <w:r w:rsidR="00EC0517" w:rsidRPr="006C1524">
        <w:t>signature;</w:t>
      </w:r>
      <w:r w:rsidRPr="006C1524">
        <w:t xml:space="preserve"> others are more of a mark. We have discussed this with the Chief Investigator who is happy that any form of signature stands as informed consent, and notes that we must respect residents’ dignity by not asking for a witness counter signature just because their handwriting isn’t clear. In the current version of the protocol (section 8.3.1) we say:</w:t>
      </w:r>
    </w:p>
    <w:p w14:paraId="23A43CF2" w14:textId="77777777" w:rsidR="006C1524" w:rsidRPr="006C1524" w:rsidRDefault="006C1524" w:rsidP="009B13F3">
      <w:pPr>
        <w:autoSpaceDE/>
        <w:autoSpaceDN/>
        <w:adjustRightInd/>
      </w:pPr>
      <w:r w:rsidRPr="006C1524">
        <w:t>“Residents who are able to give informed consent will sign the trial consent form. Where a resident is unable to sign his/her name, s/he will be asked to make a mark on a consent form that will be witnessed by an independent observer (staff member, relative or friend).”</w:t>
      </w:r>
    </w:p>
    <w:p w14:paraId="4297B070" w14:textId="77777777" w:rsidR="006C1524" w:rsidRPr="006C1524" w:rsidRDefault="006C1524" w:rsidP="009B13F3">
      <w:pPr>
        <w:autoSpaceDE/>
        <w:autoSpaceDN/>
        <w:adjustRightInd/>
      </w:pPr>
      <w:r w:rsidRPr="006C1524">
        <w:t>However, on checking HRA guidance and the clinical trials toolkit it seems that any form of mark is acceptable and we would only expect a witness where a participant cannot write at all.</w:t>
      </w:r>
    </w:p>
    <w:p w14:paraId="7075DCA9" w14:textId="77777777" w:rsidR="006C1524" w:rsidRPr="006C1524" w:rsidRDefault="006C1524" w:rsidP="009B13F3">
      <w:pPr>
        <w:autoSpaceDE/>
        <w:autoSpaceDN/>
        <w:adjustRightInd/>
      </w:pPr>
      <w:r w:rsidRPr="006C1524">
        <w:t>Following verbal confirmation from the REC Manager that following the HRA guidance on this issue is acceptable, we have removed this statement from the protocol and clarified that the witness of an independent observer is only required where a resident is unable to make any kind of mark on the form. As such, section 8.3.1 has been updated as follows:</w:t>
      </w:r>
    </w:p>
    <w:p w14:paraId="1BF026FD" w14:textId="77777777" w:rsidR="006C1524" w:rsidRPr="006C1524" w:rsidRDefault="006C1524" w:rsidP="009B13F3">
      <w:pPr>
        <w:autoSpaceDE/>
        <w:autoSpaceDN/>
        <w:adjustRightInd/>
      </w:pPr>
      <w:r w:rsidRPr="006C1524">
        <w:t xml:space="preserve">‘Residents who are able to give informed consent will sign, or make a mark on the trial </w:t>
      </w:r>
      <w:r w:rsidRPr="006C1524">
        <w:tab/>
        <w:t xml:space="preserve">consent form. Where a resident is unable to sign, or make a mark, s/he will be asked to </w:t>
      </w:r>
      <w:r w:rsidRPr="006C1524">
        <w:tab/>
        <w:t xml:space="preserve">indicate his/her consent verbally. This will be witnessed by an independent observer </w:t>
      </w:r>
      <w:r w:rsidRPr="006C1524">
        <w:tab/>
        <w:t>(staff member, relative or friend) and recorded on the trial consent form.’</w:t>
      </w:r>
    </w:p>
    <w:p w14:paraId="67146CE2" w14:textId="77777777" w:rsidR="006C1524" w:rsidRPr="006C1524" w:rsidRDefault="006C1524" w:rsidP="009B13F3">
      <w:pPr>
        <w:numPr>
          <w:ilvl w:val="0"/>
          <w:numId w:val="32"/>
        </w:numPr>
        <w:autoSpaceDE/>
        <w:autoSpaceDN/>
        <w:adjustRightInd/>
        <w:rPr>
          <w:b/>
        </w:rPr>
      </w:pPr>
      <w:r w:rsidRPr="006C1524">
        <w:rPr>
          <w:b/>
        </w:rPr>
        <w:t>Text messages to mappers</w:t>
      </w:r>
    </w:p>
    <w:p w14:paraId="15A2040E" w14:textId="77777777" w:rsidR="006C1524" w:rsidRPr="006C1524" w:rsidRDefault="006C1524" w:rsidP="009B13F3">
      <w:pPr>
        <w:autoSpaceDE/>
        <w:autoSpaceDN/>
        <w:adjustRightInd/>
      </w:pPr>
      <w:r w:rsidRPr="006C1524">
        <w:t xml:space="preserve">In order to assist the mappers in planning subsequent cycles, ahead of each of the three DCM™ mapping cycles, we will send a short text messages to each mapper. The standard wording for these text messages can be found in the attached document (Mapper Text Reminders_V1.0_28/09/2015 </w:t>
      </w:r>
    </w:p>
    <w:p w14:paraId="03823A6C" w14:textId="7E4C1F55" w:rsidR="006C1524" w:rsidRPr="006C1524" w:rsidRDefault="006C1524" w:rsidP="009B13F3">
      <w:pPr>
        <w:autoSpaceDE/>
        <w:autoSpaceDN/>
        <w:adjustRightInd/>
      </w:pPr>
      <w:r w:rsidRPr="006C1524">
        <w:t>The following statement has been added to section 12.2.3</w:t>
      </w:r>
      <w:r w:rsidR="00EC0517">
        <w:t xml:space="preserve"> </w:t>
      </w:r>
      <w:r w:rsidRPr="006C1524">
        <w:t>to reflect this process:</w:t>
      </w:r>
    </w:p>
    <w:p w14:paraId="69A5A2E6" w14:textId="77777777" w:rsidR="006C1524" w:rsidRPr="006C1524" w:rsidRDefault="006C1524" w:rsidP="009B13F3">
      <w:pPr>
        <w:autoSpaceDE/>
        <w:autoSpaceDN/>
        <w:adjustRightInd/>
      </w:pPr>
      <w:r w:rsidRPr="006C1524">
        <w:t>“Ahead of each mapping cycle the CTRU will contact each mapper via SMS to remind them of the upcoming cycle.”</w:t>
      </w:r>
    </w:p>
    <w:p w14:paraId="201FF801" w14:textId="77777777" w:rsidR="006C1524" w:rsidRPr="006C1524" w:rsidRDefault="006C1524" w:rsidP="009B13F3">
      <w:pPr>
        <w:autoSpaceDE/>
        <w:autoSpaceDN/>
        <w:adjustRightInd/>
        <w:rPr>
          <w:b/>
          <w:u w:val="single"/>
        </w:rPr>
      </w:pPr>
      <w:r w:rsidRPr="006C1524">
        <w:rPr>
          <w:b/>
          <w:u w:val="single"/>
        </w:rPr>
        <w:t>Patient Information Sheets and Informed Consent Document amendments</w:t>
      </w:r>
    </w:p>
    <w:p w14:paraId="057A0BFE" w14:textId="77777777" w:rsidR="006C1524" w:rsidRPr="006C1524" w:rsidRDefault="006C1524" w:rsidP="009B13F3">
      <w:pPr>
        <w:autoSpaceDE/>
        <w:autoSpaceDN/>
        <w:adjustRightInd/>
      </w:pPr>
      <w:r w:rsidRPr="006C1524">
        <w:t>The table below summarises Substantial amendments made to the Participant Information Sheets, consent forms and covering letters. All amendments can be reviewed in tracked changed versions of the relevant document.</w:t>
      </w:r>
    </w:p>
    <w:tbl>
      <w:tblPr>
        <w:tblW w:w="10323" w:type="dxa"/>
        <w:jc w:val="center"/>
        <w:tblLook w:val="04A0" w:firstRow="1" w:lastRow="0" w:firstColumn="1" w:lastColumn="0" w:noHBand="0" w:noVBand="1"/>
      </w:tblPr>
      <w:tblGrid>
        <w:gridCol w:w="1842"/>
        <w:gridCol w:w="8481"/>
      </w:tblGrid>
      <w:tr w:rsidR="006C1524" w:rsidRPr="006C1524" w14:paraId="00D5DC02" w14:textId="77777777" w:rsidTr="00487663">
        <w:trPr>
          <w:jc w:val="center"/>
        </w:trPr>
        <w:tc>
          <w:tcPr>
            <w:tcW w:w="1842" w:type="dxa"/>
            <w:vAlign w:val="center"/>
          </w:tcPr>
          <w:p w14:paraId="22868587" w14:textId="77777777" w:rsidR="006C1524" w:rsidRPr="006C1524" w:rsidRDefault="006C1524" w:rsidP="009B13F3">
            <w:pPr>
              <w:autoSpaceDE/>
              <w:autoSpaceDN/>
              <w:adjustRightInd/>
              <w:rPr>
                <w:b/>
              </w:rPr>
            </w:pPr>
            <w:r w:rsidRPr="006C1524">
              <w:rPr>
                <w:b/>
              </w:rPr>
              <w:t>Document</w:t>
            </w:r>
          </w:p>
        </w:tc>
        <w:tc>
          <w:tcPr>
            <w:tcW w:w="8481" w:type="dxa"/>
            <w:vAlign w:val="center"/>
          </w:tcPr>
          <w:p w14:paraId="1DBD4391" w14:textId="77777777" w:rsidR="006C1524" w:rsidRPr="006C1524" w:rsidRDefault="006C1524" w:rsidP="009B13F3">
            <w:pPr>
              <w:autoSpaceDE/>
              <w:autoSpaceDN/>
              <w:adjustRightInd/>
              <w:rPr>
                <w:b/>
              </w:rPr>
            </w:pPr>
            <w:r w:rsidRPr="006C1524">
              <w:rPr>
                <w:b/>
              </w:rPr>
              <w:t>Amendment Details</w:t>
            </w:r>
          </w:p>
        </w:tc>
      </w:tr>
      <w:tr w:rsidR="006C1524" w:rsidRPr="006C1524" w14:paraId="1D7126B6" w14:textId="77777777" w:rsidTr="00487663">
        <w:trPr>
          <w:jc w:val="center"/>
        </w:trPr>
        <w:tc>
          <w:tcPr>
            <w:tcW w:w="1842" w:type="dxa"/>
            <w:vAlign w:val="center"/>
          </w:tcPr>
          <w:p w14:paraId="2765F366" w14:textId="77777777" w:rsidR="006C1524" w:rsidRPr="006C1524" w:rsidRDefault="006C1524" w:rsidP="009B13F3">
            <w:pPr>
              <w:autoSpaceDE/>
              <w:autoSpaceDN/>
              <w:adjustRightInd/>
            </w:pPr>
            <w:r w:rsidRPr="006C1524">
              <w:t>Relative/Friend Proxy Informant Introductory Letter for Personal Consultees</w:t>
            </w:r>
          </w:p>
        </w:tc>
        <w:tc>
          <w:tcPr>
            <w:tcW w:w="8481" w:type="dxa"/>
            <w:vAlign w:val="center"/>
          </w:tcPr>
          <w:p w14:paraId="0D374C27" w14:textId="77777777" w:rsidR="006C1524" w:rsidRPr="006C1524" w:rsidRDefault="006C1524" w:rsidP="009B13F3">
            <w:pPr>
              <w:numPr>
                <w:ilvl w:val="0"/>
                <w:numId w:val="25"/>
              </w:numPr>
              <w:autoSpaceDE/>
              <w:autoSpaceDN/>
              <w:adjustRightInd/>
            </w:pPr>
            <w:r w:rsidRPr="006C1524">
              <w:rPr>
                <w:b/>
              </w:rPr>
              <w:t>NEW LETTER</w:t>
            </w:r>
            <w:r w:rsidRPr="006C1524">
              <w:t>: We have drafted a new letter to be used in instances where the Personal Consultee is also invited to act as the Relative/Friend Proxy Informant for the resident. The current Relative/Friend Proxy Informant covering letters previously approved by the REC are aimed at Relative/Friends who have no prior knowledge of the EPIC study, so are not appropriate in these circumstances.</w:t>
            </w:r>
          </w:p>
        </w:tc>
      </w:tr>
      <w:tr w:rsidR="006C1524" w:rsidRPr="006C1524" w14:paraId="5020FF4A" w14:textId="77777777" w:rsidTr="00487663">
        <w:trPr>
          <w:jc w:val="center"/>
        </w:trPr>
        <w:tc>
          <w:tcPr>
            <w:tcW w:w="1842" w:type="dxa"/>
            <w:vAlign w:val="center"/>
          </w:tcPr>
          <w:p w14:paraId="18E6C83C" w14:textId="77777777" w:rsidR="006C1524" w:rsidRPr="006C1524" w:rsidRDefault="006C1524" w:rsidP="009B13F3">
            <w:pPr>
              <w:autoSpaceDE/>
              <w:autoSpaceDN/>
              <w:adjustRightInd/>
            </w:pPr>
            <w:r w:rsidRPr="006C1524">
              <w:t>Personal Consultee Reminder Letter – POSTAL TEMPLATE (approach by CH Manager)</w:t>
            </w:r>
          </w:p>
        </w:tc>
        <w:tc>
          <w:tcPr>
            <w:tcW w:w="8481" w:type="dxa"/>
            <w:vAlign w:val="center"/>
          </w:tcPr>
          <w:p w14:paraId="689C52CA" w14:textId="77777777" w:rsidR="006C1524" w:rsidRPr="006C1524" w:rsidRDefault="006C1524" w:rsidP="009B13F3">
            <w:pPr>
              <w:numPr>
                <w:ilvl w:val="0"/>
                <w:numId w:val="24"/>
              </w:numPr>
              <w:autoSpaceDE/>
              <w:autoSpaceDN/>
              <w:adjustRightInd/>
            </w:pPr>
            <w:r w:rsidRPr="006C1524">
              <w:rPr>
                <w:b/>
              </w:rPr>
              <w:t>NEW LETTER</w:t>
            </w:r>
            <w:r w:rsidRPr="006C1524">
              <w:t xml:space="preserve">: The current Personal Consultee Reminder Letter previously approved by the REC is aimed at Personal Consultees who have previously spoken with the Researcher at the care home regarding the EPIC study. In some instances, the potential Personal Consultee is approached via post as opposed to face to face in the Care Home (ie. in cases where their visits don’t coincide with the researcher’s time in the care home), and therefore the wording of the current letter isn’t appropriate. This new letter is aimed at Personal Consultees who have had no prior contact with the Researcher and therefore the initial approach would be by the Care Home Manager / Research Lead. </w:t>
            </w:r>
          </w:p>
        </w:tc>
      </w:tr>
      <w:tr w:rsidR="006C1524" w:rsidRPr="006C1524" w14:paraId="5728607B" w14:textId="77777777" w:rsidTr="00487663">
        <w:trPr>
          <w:jc w:val="center"/>
        </w:trPr>
        <w:tc>
          <w:tcPr>
            <w:tcW w:w="1842" w:type="dxa"/>
            <w:vAlign w:val="center"/>
          </w:tcPr>
          <w:p w14:paraId="1CEE8B42" w14:textId="77777777" w:rsidR="006C1524" w:rsidRPr="006C1524" w:rsidRDefault="006C1524" w:rsidP="009B13F3">
            <w:pPr>
              <w:autoSpaceDE/>
              <w:autoSpaceDN/>
              <w:adjustRightInd/>
            </w:pPr>
            <w:r w:rsidRPr="006C1524">
              <w:t>Personal Consultee Reminder Letter – POSTAL TEMPLATE (approach by Researcher)</w:t>
            </w:r>
          </w:p>
        </w:tc>
        <w:tc>
          <w:tcPr>
            <w:tcW w:w="8481" w:type="dxa"/>
            <w:vAlign w:val="center"/>
          </w:tcPr>
          <w:p w14:paraId="0661207F" w14:textId="77777777" w:rsidR="006C1524" w:rsidRPr="006C1524" w:rsidRDefault="006C1524" w:rsidP="009B13F3">
            <w:pPr>
              <w:numPr>
                <w:ilvl w:val="0"/>
                <w:numId w:val="24"/>
              </w:numPr>
              <w:autoSpaceDE/>
              <w:autoSpaceDN/>
              <w:adjustRightInd/>
            </w:pPr>
            <w:r w:rsidRPr="006C1524">
              <w:rPr>
                <w:b/>
              </w:rPr>
              <w:t>NEW LETTER</w:t>
            </w:r>
            <w:r w:rsidRPr="006C1524">
              <w:t>: This letter will be used for circumstances similar to the one outlined above, however this will be for cases where a potential Personal Consultee has already given consent to be contacted by the Researcher directly and therefore the letter is from the Researcher, rather than the CH Manager / Research Lead.</w:t>
            </w:r>
          </w:p>
        </w:tc>
      </w:tr>
      <w:tr w:rsidR="006C1524" w:rsidRPr="006C1524" w14:paraId="2E19F3EF" w14:textId="77777777" w:rsidTr="00487663">
        <w:trPr>
          <w:jc w:val="center"/>
        </w:trPr>
        <w:tc>
          <w:tcPr>
            <w:tcW w:w="1842" w:type="dxa"/>
            <w:vAlign w:val="center"/>
          </w:tcPr>
          <w:p w14:paraId="430A3F4D" w14:textId="77777777" w:rsidR="006C1524" w:rsidRPr="006C1524" w:rsidRDefault="006C1524" w:rsidP="009B13F3">
            <w:pPr>
              <w:autoSpaceDE/>
              <w:autoSpaceDN/>
              <w:adjustRightInd/>
            </w:pPr>
            <w:r w:rsidRPr="006C1524">
              <w:t>Relative/Friend Proxy Consent form</w:t>
            </w:r>
          </w:p>
        </w:tc>
        <w:tc>
          <w:tcPr>
            <w:tcW w:w="8481" w:type="dxa"/>
            <w:vAlign w:val="center"/>
          </w:tcPr>
          <w:p w14:paraId="7B2B4708" w14:textId="77777777" w:rsidR="006C1524" w:rsidRPr="006C1524" w:rsidRDefault="006C1524" w:rsidP="009B13F3">
            <w:pPr>
              <w:numPr>
                <w:ilvl w:val="0"/>
                <w:numId w:val="24"/>
              </w:numPr>
              <w:autoSpaceDE/>
              <w:autoSpaceDN/>
              <w:adjustRightInd/>
            </w:pPr>
            <w:r w:rsidRPr="006C1524">
              <w:t>Updated to include date of birth (for identification purposes).</w:t>
            </w:r>
          </w:p>
          <w:p w14:paraId="46510AD9" w14:textId="77777777" w:rsidR="006C1524" w:rsidRPr="006C1524" w:rsidRDefault="006C1524" w:rsidP="009B13F3">
            <w:pPr>
              <w:numPr>
                <w:ilvl w:val="0"/>
                <w:numId w:val="24"/>
              </w:numPr>
              <w:autoSpaceDE/>
              <w:autoSpaceDN/>
              <w:adjustRightInd/>
            </w:pPr>
            <w:r w:rsidRPr="006C1524">
              <w:t>Address and telephone number of relative/friend proxy added in and a sentence regarding why this is collected added to page 2.</w:t>
            </w:r>
          </w:p>
        </w:tc>
      </w:tr>
      <w:tr w:rsidR="006C1524" w:rsidRPr="006C1524" w14:paraId="7A801EA7" w14:textId="77777777" w:rsidTr="00487663">
        <w:trPr>
          <w:jc w:val="center"/>
        </w:trPr>
        <w:tc>
          <w:tcPr>
            <w:tcW w:w="1842" w:type="dxa"/>
            <w:vAlign w:val="center"/>
          </w:tcPr>
          <w:p w14:paraId="34AFEE25" w14:textId="77777777" w:rsidR="006C1524" w:rsidRPr="006C1524" w:rsidRDefault="006C1524" w:rsidP="009B13F3">
            <w:pPr>
              <w:autoSpaceDE/>
              <w:autoSpaceDN/>
              <w:adjustRightInd/>
            </w:pPr>
            <w:r w:rsidRPr="006C1524">
              <w:t>Personal Consultee Declaration Form</w:t>
            </w:r>
          </w:p>
        </w:tc>
        <w:tc>
          <w:tcPr>
            <w:tcW w:w="8481" w:type="dxa"/>
            <w:vAlign w:val="center"/>
          </w:tcPr>
          <w:p w14:paraId="5C4FBE82" w14:textId="77777777" w:rsidR="006C1524" w:rsidRPr="006C1524" w:rsidRDefault="006C1524" w:rsidP="009B13F3">
            <w:pPr>
              <w:numPr>
                <w:ilvl w:val="0"/>
                <w:numId w:val="24"/>
              </w:numPr>
              <w:autoSpaceDE/>
              <w:autoSpaceDN/>
              <w:adjustRightInd/>
            </w:pPr>
            <w:r w:rsidRPr="006C1524">
              <w:t>Optional consent questions amended from initials to ‘Y’ or ‘N’ to aid completion.</w:t>
            </w:r>
          </w:p>
          <w:p w14:paraId="7A4C5C7C" w14:textId="77777777" w:rsidR="006C1524" w:rsidRPr="006C1524" w:rsidRDefault="006C1524" w:rsidP="009B13F3">
            <w:pPr>
              <w:numPr>
                <w:ilvl w:val="0"/>
                <w:numId w:val="24"/>
              </w:numPr>
              <w:autoSpaceDE/>
              <w:autoSpaceDN/>
              <w:adjustRightInd/>
            </w:pPr>
            <w:r w:rsidRPr="006C1524">
              <w:t>There had been some confusion highlighted by the Researchers over question 12 therefore an additional question (Q12) has been added for clarification – The additional question confirms if the Personal Consultee is happy to be asked questions about their relative/friend (i.e. acting as a proxy)</w:t>
            </w:r>
          </w:p>
          <w:p w14:paraId="5E850A64" w14:textId="77777777" w:rsidR="006C1524" w:rsidRPr="006C1524" w:rsidRDefault="006C1524" w:rsidP="009B13F3">
            <w:pPr>
              <w:numPr>
                <w:ilvl w:val="0"/>
                <w:numId w:val="24"/>
              </w:numPr>
              <w:autoSpaceDE/>
              <w:autoSpaceDN/>
              <w:adjustRightInd/>
            </w:pPr>
            <w:r w:rsidRPr="006C1524">
              <w:t xml:space="preserve">Due to the addition of Q12, Q13 has been reworded to confirm that if the personal consultee is not willing to be a relative/friend proxy they are happy for other relatives/friends to take on this role.  </w:t>
            </w:r>
          </w:p>
          <w:p w14:paraId="30EC7638" w14:textId="77777777" w:rsidR="006C1524" w:rsidRPr="006C1524" w:rsidRDefault="006C1524" w:rsidP="009B13F3">
            <w:pPr>
              <w:numPr>
                <w:ilvl w:val="0"/>
                <w:numId w:val="24"/>
              </w:numPr>
              <w:autoSpaceDE/>
              <w:autoSpaceDN/>
              <w:adjustRightInd/>
            </w:pPr>
            <w:r w:rsidRPr="006C1524">
              <w:t>Address and telephone number of personal consultee added in and a sentence regarding why this is collected added to page 2.</w:t>
            </w:r>
          </w:p>
        </w:tc>
      </w:tr>
    </w:tbl>
    <w:p w14:paraId="2024E47B" w14:textId="77777777" w:rsidR="006C1524" w:rsidRPr="006C1524" w:rsidRDefault="006C1524" w:rsidP="009B13F3">
      <w:pPr>
        <w:autoSpaceDE/>
        <w:autoSpaceDN/>
        <w:adjustRightInd/>
      </w:pPr>
    </w:p>
    <w:p w14:paraId="425E073E" w14:textId="77777777" w:rsidR="006C1524" w:rsidRPr="006C1524" w:rsidRDefault="006C1524" w:rsidP="009B13F3">
      <w:pPr>
        <w:autoSpaceDE/>
        <w:autoSpaceDN/>
        <w:adjustRightInd/>
        <w:rPr>
          <w:b/>
          <w:u w:val="single"/>
        </w:rPr>
      </w:pPr>
      <w:r w:rsidRPr="006C1524">
        <w:rPr>
          <w:b/>
          <w:u w:val="single"/>
        </w:rPr>
        <w:t>SA8 – Approved 04/02/2016</w:t>
      </w:r>
    </w:p>
    <w:p w14:paraId="2C48B715" w14:textId="77777777" w:rsidR="006C1524" w:rsidRPr="006C1524" w:rsidRDefault="006C1524" w:rsidP="009B13F3">
      <w:pPr>
        <w:autoSpaceDE/>
        <w:autoSpaceDN/>
        <w:adjustRightInd/>
        <w:rPr>
          <w:b/>
          <w:u w:val="single"/>
        </w:rPr>
      </w:pPr>
      <w:r w:rsidRPr="006C1524">
        <w:rPr>
          <w:b/>
          <w:u w:val="single"/>
        </w:rPr>
        <w:t>Protocol amendments</w:t>
      </w:r>
    </w:p>
    <w:p w14:paraId="7CA46722" w14:textId="77777777" w:rsidR="006C1524" w:rsidRPr="006C1524" w:rsidRDefault="006C1524" w:rsidP="009B13F3">
      <w:pPr>
        <w:numPr>
          <w:ilvl w:val="0"/>
          <w:numId w:val="32"/>
        </w:numPr>
        <w:autoSpaceDE/>
        <w:autoSpaceDN/>
        <w:adjustRightInd/>
        <w:rPr>
          <w:b/>
        </w:rPr>
      </w:pPr>
      <w:r w:rsidRPr="006C1524">
        <w:rPr>
          <w:b/>
        </w:rPr>
        <w:t xml:space="preserve">Process Evaluation </w:t>
      </w:r>
    </w:p>
    <w:p w14:paraId="4A1580A2" w14:textId="77777777" w:rsidR="006C1524" w:rsidRPr="006C1524" w:rsidRDefault="006C1524" w:rsidP="009B13F3">
      <w:pPr>
        <w:autoSpaceDE/>
        <w:autoSpaceDN/>
        <w:adjustRightInd/>
      </w:pPr>
      <w:r w:rsidRPr="006C1524">
        <w:t>More detail added to protocol on how the process evaluation associated with the trial will work in practice. The design of the process evaluation remains the same (integrating data from the main trial dataset/documentation with qualitative data from interviews and focus groups) we have simply provided more detail on the patient information leaflets and consent forms, data collection methods, sampling and data analysis that will be used.</w:t>
      </w:r>
    </w:p>
    <w:p w14:paraId="03108BA2" w14:textId="77777777" w:rsidR="006C1524" w:rsidRPr="006C1524" w:rsidRDefault="006C1524" w:rsidP="009B13F3">
      <w:pPr>
        <w:autoSpaceDE/>
        <w:autoSpaceDN/>
        <w:adjustRightInd/>
      </w:pPr>
      <w:r w:rsidRPr="006C1524">
        <w:t>Summaries of the extra detail provided are as follows:</w:t>
      </w:r>
    </w:p>
    <w:p w14:paraId="2CC98578" w14:textId="77777777" w:rsidR="006C1524" w:rsidRPr="006C1524" w:rsidRDefault="006C1524" w:rsidP="009B13F3">
      <w:pPr>
        <w:numPr>
          <w:ilvl w:val="0"/>
          <w:numId w:val="33"/>
        </w:numPr>
        <w:autoSpaceDE/>
        <w:autoSpaceDN/>
        <w:adjustRightInd/>
        <w:rPr>
          <w:b/>
        </w:rPr>
      </w:pPr>
      <w:r w:rsidRPr="006C1524">
        <w:rPr>
          <w:b/>
        </w:rPr>
        <w:t>Data collection</w:t>
      </w:r>
    </w:p>
    <w:p w14:paraId="4A12083D" w14:textId="77777777" w:rsidR="006C1524" w:rsidRPr="006C1524" w:rsidRDefault="006C1524" w:rsidP="009B13F3">
      <w:pPr>
        <w:autoSpaceDE/>
        <w:autoSpaceDN/>
        <w:adjustRightInd/>
      </w:pPr>
      <w:r w:rsidRPr="006C1524">
        <w:t>More detail has been provided on the data that will be extracted from the main trial dataset and trial documentation. Topic guides have been developed to indicate the kinds of questions that will be asked of participants during the qualitative data collection. The topic guides are enclosed with this amendment application.</w:t>
      </w:r>
    </w:p>
    <w:p w14:paraId="30D2ED1E" w14:textId="77777777" w:rsidR="006C1524" w:rsidRPr="006C1524" w:rsidRDefault="006C1524" w:rsidP="009B13F3">
      <w:pPr>
        <w:numPr>
          <w:ilvl w:val="0"/>
          <w:numId w:val="33"/>
        </w:numPr>
        <w:autoSpaceDE/>
        <w:autoSpaceDN/>
        <w:adjustRightInd/>
        <w:rPr>
          <w:b/>
        </w:rPr>
      </w:pPr>
      <w:r w:rsidRPr="006C1524">
        <w:rPr>
          <w:b/>
        </w:rPr>
        <w:t>Sampling</w:t>
      </w:r>
    </w:p>
    <w:p w14:paraId="26DF7363" w14:textId="77777777" w:rsidR="006C1524" w:rsidRPr="006C1524" w:rsidRDefault="006C1524" w:rsidP="009B13F3">
      <w:pPr>
        <w:autoSpaceDE/>
        <w:autoSpaceDN/>
        <w:adjustRightInd/>
      </w:pPr>
      <w:r w:rsidRPr="006C1524">
        <w:t>In order to explore implementation of the intervention with sufficient depth, we plan to conduct the qualitative data collection in a subset of homes. Homes will be primarily selected according to degree of intervention implementation so that the factors affecting implementation can be thoroughly explored. More details on the sampling strategy are included in the amended protocol. A more basic evaluation of implementation (utilising data from the main trial dataset and trial documentation) will still take place across all homes.</w:t>
      </w:r>
    </w:p>
    <w:p w14:paraId="655A6E7C" w14:textId="77777777" w:rsidR="006C1524" w:rsidRPr="006C1524" w:rsidRDefault="006C1524" w:rsidP="009B13F3">
      <w:pPr>
        <w:numPr>
          <w:ilvl w:val="0"/>
          <w:numId w:val="33"/>
        </w:numPr>
        <w:autoSpaceDE/>
        <w:autoSpaceDN/>
        <w:adjustRightInd/>
        <w:rPr>
          <w:b/>
        </w:rPr>
      </w:pPr>
      <w:r w:rsidRPr="006C1524">
        <w:rPr>
          <w:b/>
        </w:rPr>
        <w:t>Data Analysis</w:t>
      </w:r>
    </w:p>
    <w:p w14:paraId="594D7CDD" w14:textId="77777777" w:rsidR="006C1524" w:rsidRPr="006C1524" w:rsidRDefault="006C1524" w:rsidP="009B13F3">
      <w:pPr>
        <w:autoSpaceDE/>
        <w:autoSpaceDN/>
        <w:adjustRightInd/>
      </w:pPr>
      <w:r w:rsidRPr="006C1524">
        <w:t>More detail is provided on the approach to the qualitative data analysis (Framework Analysis) and how the qualitative and quantitative analysis will be integrated.</w:t>
      </w:r>
    </w:p>
    <w:p w14:paraId="0CBC00C2" w14:textId="77777777" w:rsidR="006C1524" w:rsidRPr="006C1524" w:rsidRDefault="006C1524" w:rsidP="009B13F3">
      <w:pPr>
        <w:autoSpaceDE/>
        <w:autoSpaceDN/>
        <w:adjustRightInd/>
      </w:pPr>
    </w:p>
    <w:p w14:paraId="2375B71E" w14:textId="77777777" w:rsidR="006C1524" w:rsidRPr="006C1524" w:rsidRDefault="006C1524" w:rsidP="009B13F3">
      <w:pPr>
        <w:numPr>
          <w:ilvl w:val="0"/>
          <w:numId w:val="32"/>
        </w:numPr>
        <w:autoSpaceDE/>
        <w:autoSpaceDN/>
        <w:adjustRightInd/>
        <w:rPr>
          <w:b/>
        </w:rPr>
      </w:pPr>
      <w:r w:rsidRPr="006C1524">
        <w:rPr>
          <w:b/>
        </w:rPr>
        <w:t>Staff measure booklet</w:t>
      </w:r>
    </w:p>
    <w:p w14:paraId="75FECCEB" w14:textId="77777777" w:rsidR="006C1524" w:rsidRPr="006C1524" w:rsidRDefault="006C1524" w:rsidP="009B13F3">
      <w:pPr>
        <w:autoSpaceDE/>
        <w:autoSpaceDN/>
        <w:adjustRightInd/>
      </w:pPr>
      <w:r w:rsidRPr="006C1524">
        <w:t xml:space="preserve">There has been a poor return rate for the staff measures booklet, despite multiple efforts to increase compliance. Following consultation and discussion with the DMEC and the TSC it has been agreed that persistence with staff data is important because Dementia Care Mapping (the intervention) is designed to effect a ‘whole home’ change. To try and increase compliance the TSC have suggested reducing the length and identifiable nature of the staff booklet. To this end, we are proposing to remove the GHQ12 questionnaire and the request for personal data from the booklet. We would also like to improve the aesthetics of the booklet to ensure it is as easy for staff to complete as possible. </w:t>
      </w:r>
    </w:p>
    <w:p w14:paraId="1536B14C" w14:textId="77777777" w:rsidR="006C1524" w:rsidRPr="006C1524" w:rsidRDefault="006C1524" w:rsidP="009B13F3">
      <w:pPr>
        <w:numPr>
          <w:ilvl w:val="0"/>
          <w:numId w:val="32"/>
        </w:numPr>
        <w:autoSpaceDE/>
        <w:autoSpaceDN/>
        <w:adjustRightInd/>
        <w:rPr>
          <w:b/>
        </w:rPr>
      </w:pPr>
      <w:r w:rsidRPr="006C1524">
        <w:rPr>
          <w:b/>
        </w:rPr>
        <w:t>Relative/Friend Informants</w:t>
      </w:r>
    </w:p>
    <w:p w14:paraId="6E3C63B5" w14:textId="77777777" w:rsidR="006C1524" w:rsidRPr="006C1524" w:rsidRDefault="006C1524" w:rsidP="009B13F3">
      <w:pPr>
        <w:autoSpaceDE/>
        <w:autoSpaceDN/>
        <w:adjustRightInd/>
      </w:pPr>
      <w:r w:rsidRPr="006C1524">
        <w:t>There has been poor trial participation by relatives/friends despite efforts to encourage uptake. It has been agreed by the oversight committees that the low percentage of data received will not be sufficient for quantitative analyses. Therefore, new relative/friend informants will not be identified at any follow up time points as this would utilise significant researcher resources but be unlikely to result in much additional uptake or data. However, we will continue to request follow up data for relative/friends who provided data at baseline because data from different time points could still be usefully analysed (for example to allow analysis of agreement between staff, resident and relative/friend completed measures and to augment the process evaluation). Relatives/friends who completed these baseline measures also indicated that they valued the opportunity to share their experiences and so would be likely to continue to take part. It seems unethical to exclude their data due to poor participation from other relatives.</w:t>
      </w:r>
    </w:p>
    <w:p w14:paraId="6C2D4EC4" w14:textId="77777777" w:rsidR="006C1524" w:rsidRPr="006C1524" w:rsidRDefault="006C1524" w:rsidP="009B13F3">
      <w:pPr>
        <w:autoSpaceDE/>
        <w:autoSpaceDN/>
        <w:adjustRightInd/>
        <w:rPr>
          <w:b/>
          <w:u w:val="single"/>
        </w:rPr>
      </w:pPr>
      <w:r w:rsidRPr="006C1524">
        <w:rPr>
          <w:b/>
          <w:u w:val="single"/>
        </w:rPr>
        <w:t>Patient Information Sheets and Informed Consent Document amendments</w:t>
      </w:r>
    </w:p>
    <w:p w14:paraId="2133AEE4" w14:textId="77777777" w:rsidR="006C1524" w:rsidRPr="006C1524" w:rsidRDefault="006C1524" w:rsidP="009B13F3">
      <w:pPr>
        <w:autoSpaceDE/>
        <w:autoSpaceDN/>
        <w:adjustRightInd/>
      </w:pPr>
      <w:r w:rsidRPr="006C1524">
        <w:t>We have developed new participant information leaflets and consent forms for the three groups that will be asked to participate in the process evaluation - staff, residents and relatives. The information leaflets and consent forms have been developed with PPI input.</w:t>
      </w:r>
    </w:p>
    <w:p w14:paraId="56C913B4" w14:textId="77777777" w:rsidR="006C1524" w:rsidRPr="006C1524" w:rsidRDefault="006C1524" w:rsidP="009B13F3">
      <w:pPr>
        <w:autoSpaceDE/>
        <w:autoSpaceDN/>
        <w:adjustRightInd/>
      </w:pPr>
    </w:p>
    <w:p w14:paraId="7B05C70A" w14:textId="77777777" w:rsidR="006C1524" w:rsidRPr="006C1524" w:rsidRDefault="006C1524" w:rsidP="009B13F3">
      <w:pPr>
        <w:autoSpaceDE/>
        <w:autoSpaceDN/>
        <w:adjustRightInd/>
        <w:rPr>
          <w:b/>
          <w:u w:val="single"/>
        </w:rPr>
      </w:pPr>
      <w:r w:rsidRPr="006C1524">
        <w:rPr>
          <w:b/>
          <w:u w:val="single"/>
        </w:rPr>
        <w:t>SA9 – Approved 15/04/2016</w:t>
      </w:r>
    </w:p>
    <w:p w14:paraId="27B1C4FE" w14:textId="77777777" w:rsidR="006C1524" w:rsidRPr="006C1524" w:rsidRDefault="006C1524" w:rsidP="009B13F3">
      <w:pPr>
        <w:autoSpaceDE/>
        <w:autoSpaceDN/>
        <w:adjustRightInd/>
        <w:rPr>
          <w:b/>
          <w:u w:val="single"/>
        </w:rPr>
      </w:pPr>
      <w:r w:rsidRPr="006C1524">
        <w:rPr>
          <w:b/>
          <w:u w:val="single"/>
        </w:rPr>
        <w:t>Protocol amendments</w:t>
      </w:r>
    </w:p>
    <w:p w14:paraId="69DF0F93" w14:textId="77777777" w:rsidR="006C1524" w:rsidRPr="006C1524" w:rsidRDefault="006C1524" w:rsidP="009B13F3">
      <w:pPr>
        <w:numPr>
          <w:ilvl w:val="0"/>
          <w:numId w:val="18"/>
        </w:numPr>
        <w:autoSpaceDE/>
        <w:autoSpaceDN/>
        <w:adjustRightInd/>
        <w:rPr>
          <w:b/>
        </w:rPr>
      </w:pPr>
      <w:r w:rsidRPr="006C1524">
        <w:rPr>
          <w:b/>
        </w:rPr>
        <w:t>Design Change</w:t>
      </w:r>
    </w:p>
    <w:p w14:paraId="2D65694C" w14:textId="044792C4" w:rsidR="006C1524" w:rsidRPr="006C1524" w:rsidRDefault="006C1524" w:rsidP="009B13F3">
      <w:pPr>
        <w:autoSpaceDE/>
        <w:autoSpaceDN/>
        <w:adjustRightInd/>
      </w:pPr>
      <w:r w:rsidRPr="006C1524">
        <w:t>We are proposing a change to the design of the EPIC Trial, such that additional residents will be recruited at the 1</w:t>
      </w:r>
      <w:r w:rsidR="00EC0517">
        <w:t>6-</w:t>
      </w:r>
      <w:r w:rsidRPr="006C1524">
        <w:t>month follow-up time point from each care home to minimise bias (due to higher than anticipated loss to follow-up) and maintain power and validity of the trial. This impacts on the following elements of trial conduct:</w:t>
      </w:r>
    </w:p>
    <w:p w14:paraId="26855BDB" w14:textId="77777777" w:rsidR="006C1524" w:rsidRPr="006C1524" w:rsidRDefault="006C1524" w:rsidP="009B13F3">
      <w:pPr>
        <w:numPr>
          <w:ilvl w:val="0"/>
          <w:numId w:val="26"/>
        </w:numPr>
        <w:autoSpaceDE/>
        <w:autoSpaceDN/>
        <w:adjustRightInd/>
      </w:pPr>
      <w:r w:rsidRPr="006C1524">
        <w:t>Additional resident screening, recruitment and registration</w:t>
      </w:r>
    </w:p>
    <w:p w14:paraId="6521B2D4" w14:textId="77777777" w:rsidR="006C1524" w:rsidRPr="006C1524" w:rsidRDefault="006C1524" w:rsidP="009B13F3">
      <w:pPr>
        <w:numPr>
          <w:ilvl w:val="0"/>
          <w:numId w:val="26"/>
        </w:numPr>
        <w:autoSpaceDE/>
        <w:autoSpaceDN/>
        <w:adjustRightInd/>
      </w:pPr>
      <w:r w:rsidRPr="006C1524">
        <w:t>Identification of new staff proxies</w:t>
      </w:r>
    </w:p>
    <w:p w14:paraId="58D659CA" w14:textId="77777777" w:rsidR="006C1524" w:rsidRPr="006C1524" w:rsidRDefault="006C1524" w:rsidP="009B13F3">
      <w:pPr>
        <w:numPr>
          <w:ilvl w:val="0"/>
          <w:numId w:val="26"/>
        </w:numPr>
        <w:autoSpaceDE/>
        <w:autoSpaceDN/>
        <w:adjustRightInd/>
      </w:pPr>
      <w:r w:rsidRPr="006C1524">
        <w:t>Additional data collection from staff proxies</w:t>
      </w:r>
    </w:p>
    <w:p w14:paraId="323F6E01" w14:textId="77777777" w:rsidR="006C1524" w:rsidRPr="006C1524" w:rsidRDefault="006C1524" w:rsidP="009B13F3">
      <w:pPr>
        <w:numPr>
          <w:ilvl w:val="0"/>
          <w:numId w:val="26"/>
        </w:numPr>
        <w:autoSpaceDE/>
        <w:autoSpaceDN/>
        <w:adjustRightInd/>
      </w:pPr>
      <w:r w:rsidRPr="006C1524">
        <w:t>Data management</w:t>
      </w:r>
    </w:p>
    <w:p w14:paraId="466BEB1D" w14:textId="77777777" w:rsidR="006C1524" w:rsidRPr="006C1524" w:rsidRDefault="006C1524" w:rsidP="009B13F3">
      <w:pPr>
        <w:numPr>
          <w:ilvl w:val="0"/>
          <w:numId w:val="26"/>
        </w:numPr>
        <w:autoSpaceDE/>
        <w:autoSpaceDN/>
        <w:adjustRightInd/>
      </w:pPr>
      <w:r w:rsidRPr="006C1524">
        <w:t>Statistical analyses</w:t>
      </w:r>
    </w:p>
    <w:p w14:paraId="35278DB4" w14:textId="6934081B" w:rsidR="006C1524" w:rsidRPr="006C1524" w:rsidRDefault="00EC0517" w:rsidP="009B13F3">
      <w:pPr>
        <w:autoSpaceDE/>
        <w:autoSpaceDN/>
        <w:adjustRightInd/>
      </w:pPr>
      <w:r w:rsidRPr="006C1524">
        <w:t>Therefore,</w:t>
      </w:r>
      <w:r w:rsidR="006C1524" w:rsidRPr="006C1524">
        <w:t xml:space="preserve"> the relevant sections of the protocol have been updated and the following new supporting documents have been produced to support the recruitment process;</w:t>
      </w:r>
    </w:p>
    <w:p w14:paraId="497407E2" w14:textId="77777777" w:rsidR="006C1524" w:rsidRPr="006C1524" w:rsidRDefault="006C1524" w:rsidP="009B13F3">
      <w:pPr>
        <w:numPr>
          <w:ilvl w:val="0"/>
          <w:numId w:val="26"/>
        </w:numPr>
        <w:autoSpaceDE/>
        <w:autoSpaceDN/>
        <w:adjustRightInd/>
      </w:pPr>
      <w:r w:rsidRPr="006C1524">
        <w:t>16M Resident Information Sheet_SHORT_v1.0 18 March 2016</w:t>
      </w:r>
    </w:p>
    <w:p w14:paraId="035F4C9C" w14:textId="77777777" w:rsidR="006C1524" w:rsidRPr="006C1524" w:rsidRDefault="006C1524" w:rsidP="009B13F3">
      <w:pPr>
        <w:numPr>
          <w:ilvl w:val="0"/>
          <w:numId w:val="26"/>
        </w:numPr>
        <w:autoSpaceDE/>
        <w:autoSpaceDN/>
        <w:adjustRightInd/>
      </w:pPr>
      <w:r w:rsidRPr="006C1524">
        <w:t>16M Resident Information Sheet_v1.0 18 March 2016</w:t>
      </w:r>
    </w:p>
    <w:p w14:paraId="7A0AB889" w14:textId="77777777" w:rsidR="006C1524" w:rsidRPr="006C1524" w:rsidRDefault="006C1524" w:rsidP="009B13F3">
      <w:pPr>
        <w:numPr>
          <w:ilvl w:val="0"/>
          <w:numId w:val="26"/>
        </w:numPr>
        <w:autoSpaceDE/>
        <w:autoSpaceDN/>
        <w:adjustRightInd/>
      </w:pPr>
      <w:r w:rsidRPr="006C1524">
        <w:t>16M Resident Consent Form_v1.0 18 March 2016</w:t>
      </w:r>
    </w:p>
    <w:p w14:paraId="085664FF" w14:textId="77777777" w:rsidR="006C1524" w:rsidRPr="006C1524" w:rsidRDefault="006C1524" w:rsidP="009B13F3">
      <w:pPr>
        <w:numPr>
          <w:ilvl w:val="0"/>
          <w:numId w:val="26"/>
        </w:numPr>
        <w:autoSpaceDE/>
        <w:autoSpaceDN/>
        <w:adjustRightInd/>
      </w:pPr>
      <w:r w:rsidRPr="006C1524">
        <w:t>16M Personal Consultee Introductory Letter_v1.0 18 March 2016</w:t>
      </w:r>
    </w:p>
    <w:p w14:paraId="756D3C9C" w14:textId="77777777" w:rsidR="006C1524" w:rsidRPr="006C1524" w:rsidRDefault="006C1524" w:rsidP="009B13F3">
      <w:pPr>
        <w:numPr>
          <w:ilvl w:val="0"/>
          <w:numId w:val="26"/>
        </w:numPr>
        <w:autoSpaceDE/>
        <w:autoSpaceDN/>
        <w:adjustRightInd/>
      </w:pPr>
      <w:r w:rsidRPr="006C1524">
        <w:t>16M Personal Consultee Declaration Form_v1.0 18 March 2016</w:t>
      </w:r>
    </w:p>
    <w:p w14:paraId="7ABB32CA" w14:textId="77777777" w:rsidR="006C1524" w:rsidRPr="006C1524" w:rsidRDefault="006C1524" w:rsidP="009B13F3">
      <w:pPr>
        <w:autoSpaceDE/>
        <w:autoSpaceDN/>
        <w:adjustRightInd/>
      </w:pPr>
    </w:p>
    <w:p w14:paraId="7A9874FA" w14:textId="77777777" w:rsidR="006C1524" w:rsidRPr="006C1524" w:rsidRDefault="006C1524" w:rsidP="009B13F3">
      <w:pPr>
        <w:numPr>
          <w:ilvl w:val="0"/>
          <w:numId w:val="18"/>
        </w:numPr>
        <w:autoSpaceDE/>
        <w:autoSpaceDN/>
        <w:adjustRightInd/>
        <w:rPr>
          <w:b/>
        </w:rPr>
      </w:pPr>
      <w:r w:rsidRPr="006C1524">
        <w:rPr>
          <w:b/>
        </w:rPr>
        <w:t>Staff Proxy Informant Consent</w:t>
      </w:r>
    </w:p>
    <w:p w14:paraId="45CC95ED" w14:textId="77777777" w:rsidR="006C1524" w:rsidRPr="006C1524" w:rsidRDefault="006C1524" w:rsidP="009B13F3">
      <w:pPr>
        <w:autoSpaceDE/>
        <w:autoSpaceDN/>
        <w:adjustRightInd/>
      </w:pPr>
      <w:r w:rsidRPr="006C1524">
        <w:t>We propose an alternative method of documenting staff agreement to provide data about the resident they know well. In a similar trial in care homes run by the CTRU, the REC have agreed that provision of information to staff proxies followed by verbal consent to take on the role is sufficient. Agreement to hold their name for follow-up purposes is documented by the researcher in the data collection booklets. It is felt that this process is fit for purpose given we are not collecting any other personal data relating to the staff member.</w:t>
      </w:r>
    </w:p>
    <w:p w14:paraId="2EB671E4" w14:textId="60C2FB65" w:rsidR="006C1524" w:rsidRPr="006C1524" w:rsidRDefault="006C1524" w:rsidP="009B13F3">
      <w:pPr>
        <w:autoSpaceDE/>
        <w:autoSpaceDN/>
        <w:adjustRightInd/>
      </w:pPr>
      <w:r w:rsidRPr="006C1524">
        <w:t>We propose adoption of this process for involvement of all staff proxies recruited at 16</w:t>
      </w:r>
      <w:r w:rsidR="00B80810">
        <w:t>-months</w:t>
      </w:r>
      <w:r w:rsidRPr="006C1524">
        <w:t xml:space="preserve"> in the EPIC trial, and will adjust the data collection booklets accordingly. </w:t>
      </w:r>
    </w:p>
    <w:p w14:paraId="231163B6" w14:textId="77777777" w:rsidR="006C1524" w:rsidRPr="006C1524" w:rsidRDefault="006C1524" w:rsidP="009B13F3">
      <w:pPr>
        <w:numPr>
          <w:ilvl w:val="0"/>
          <w:numId w:val="18"/>
        </w:numPr>
        <w:autoSpaceDE/>
        <w:autoSpaceDN/>
        <w:adjustRightInd/>
        <w:rPr>
          <w:b/>
        </w:rPr>
      </w:pPr>
      <w:r w:rsidRPr="006C1524">
        <w:rPr>
          <w:b/>
        </w:rPr>
        <w:t>Care Home Indemnity</w:t>
      </w:r>
    </w:p>
    <w:p w14:paraId="6D2AF34A" w14:textId="6B9F53DA" w:rsidR="006C1524" w:rsidRPr="006C1524" w:rsidRDefault="006C1524" w:rsidP="009B13F3">
      <w:pPr>
        <w:autoSpaceDE/>
        <w:autoSpaceDN/>
        <w:adjustRightInd/>
        <w:rPr>
          <w:b/>
        </w:rPr>
      </w:pPr>
      <w:r w:rsidRPr="006C1524">
        <w:t xml:space="preserve">We propose to remove the statement “Possession of the appropriate insurance will be checked at point of recruitment of the care home to the study.” This is in line with new guidance received following the change of study Sponsor. The Sponsor has advised removal of this statements as EPIC is a trial of a low risk intervention, with care home employees delivering the intervention. </w:t>
      </w:r>
      <w:r w:rsidR="00EC0517" w:rsidRPr="006C1524">
        <w:t>Therefore,</w:t>
      </w:r>
      <w:r w:rsidRPr="006C1524">
        <w:t xml:space="preserve"> it is appropriate to assume that standard care home insurance will cover activities of their employees and additional checks are not required.</w:t>
      </w:r>
    </w:p>
    <w:p w14:paraId="23C4443D" w14:textId="77777777" w:rsidR="006C1524" w:rsidRPr="006C1524" w:rsidRDefault="006C1524" w:rsidP="009B13F3">
      <w:pPr>
        <w:numPr>
          <w:ilvl w:val="0"/>
          <w:numId w:val="18"/>
        </w:numPr>
        <w:autoSpaceDE/>
        <w:autoSpaceDN/>
        <w:adjustRightInd/>
        <w:rPr>
          <w:b/>
        </w:rPr>
      </w:pPr>
      <w:r w:rsidRPr="006C1524">
        <w:rPr>
          <w:b/>
        </w:rPr>
        <w:t>Staff Measures data collection</w:t>
      </w:r>
    </w:p>
    <w:p w14:paraId="3B7A906F" w14:textId="31FD9A42" w:rsidR="006C1524" w:rsidRPr="006C1524" w:rsidRDefault="006C1524" w:rsidP="009B13F3">
      <w:pPr>
        <w:autoSpaceDE/>
        <w:autoSpaceDN/>
        <w:adjustRightInd/>
      </w:pPr>
      <w:r w:rsidRPr="006C1524">
        <w:t xml:space="preserve">Following a review of data </w:t>
      </w:r>
      <w:r w:rsidR="00EC0517" w:rsidRPr="006C1524">
        <w:t>collection,</w:t>
      </w:r>
      <w:r w:rsidRPr="006C1524">
        <w:t xml:space="preserve"> we have amended the trial protocol (section 9 – Staff roles, eligibility, recruitment, and consent) to include collection of “current pattern of work”. This information will be used to determine the impact of shift patterns on staff training and exposure to the trial intervention.</w:t>
      </w:r>
    </w:p>
    <w:p w14:paraId="6803B59C" w14:textId="77777777" w:rsidR="006C1524" w:rsidRPr="006C1524" w:rsidRDefault="006C1524" w:rsidP="009B13F3">
      <w:pPr>
        <w:numPr>
          <w:ilvl w:val="0"/>
          <w:numId w:val="18"/>
        </w:numPr>
        <w:autoSpaceDE/>
        <w:autoSpaceDN/>
        <w:adjustRightInd/>
        <w:rPr>
          <w:b/>
        </w:rPr>
      </w:pPr>
      <w:r w:rsidRPr="006C1524">
        <w:rPr>
          <w:b/>
        </w:rPr>
        <w:t>Process Evaluation – Relative Friend Recruitment</w:t>
      </w:r>
    </w:p>
    <w:p w14:paraId="715AFFDB" w14:textId="77777777" w:rsidR="006C1524" w:rsidRPr="006C1524" w:rsidRDefault="006C1524" w:rsidP="009B13F3">
      <w:pPr>
        <w:autoSpaceDE/>
        <w:autoSpaceDN/>
        <w:adjustRightInd/>
      </w:pPr>
      <w:r w:rsidRPr="006C1524">
        <w:t>We are proposing to introduce a new document “RF Introductory Letter – PE” to support postal invitations to Relative/Friends to participate in the Process Evaluation. This document would be sent with a copy of the relevant information sheet and consent form, to RFs currently participating in the main trial that are not available in the care home during researcher visits. EPIC Researchers would confirm that postal contact is appropriate with the Care Home Manager (or delegate) prior to contacting the Relative/Friend.</w:t>
      </w:r>
    </w:p>
    <w:p w14:paraId="4B165AC3" w14:textId="77777777" w:rsidR="006C1524" w:rsidRPr="006C1524" w:rsidRDefault="006C1524" w:rsidP="009B13F3">
      <w:pPr>
        <w:autoSpaceDE/>
        <w:autoSpaceDN/>
        <w:adjustRightInd/>
      </w:pPr>
      <w:r w:rsidRPr="006C1524">
        <w:t>In addition to the new introductory letter we also propose to amend the RF consent form so that those completing and returning by post can outline their availability for discussions. This information would be useful to help Researchers schedule their time and ensure availability for RF feedback.</w:t>
      </w:r>
    </w:p>
    <w:p w14:paraId="33A4BB64" w14:textId="77777777" w:rsidR="006C1524" w:rsidRPr="006C1524" w:rsidRDefault="006C1524" w:rsidP="009B13F3">
      <w:pPr>
        <w:autoSpaceDE/>
        <w:autoSpaceDN/>
        <w:adjustRightInd/>
      </w:pPr>
      <w:r w:rsidRPr="006C1524">
        <w:t>Following comments from the trial funder we also propose to amend the number of residents and staff members approached to participate in the PE. We had originally planned to include 2-3 residents and 8 members of staff, however we now propose to recruit up to 5 residents and up to 10 members of staff. This amendment will also allow for flexibility in homes that have limited numbers of residents, or the emergence of key themes from fewer interviews.</w:t>
      </w:r>
    </w:p>
    <w:p w14:paraId="51B5A8EB" w14:textId="77777777" w:rsidR="006C1524" w:rsidRPr="006C1524" w:rsidRDefault="006C1524" w:rsidP="009B13F3">
      <w:pPr>
        <w:numPr>
          <w:ilvl w:val="0"/>
          <w:numId w:val="18"/>
        </w:numPr>
        <w:autoSpaceDE/>
        <w:autoSpaceDN/>
        <w:adjustRightInd/>
        <w:rPr>
          <w:b/>
        </w:rPr>
      </w:pPr>
      <w:r w:rsidRPr="006C1524">
        <w:rPr>
          <w:b/>
        </w:rPr>
        <w:t>GP Information for residents recruited at 16M</w:t>
      </w:r>
    </w:p>
    <w:p w14:paraId="411E250D" w14:textId="6B00E254" w:rsidR="006C1524" w:rsidRPr="006C1524" w:rsidRDefault="006C1524" w:rsidP="009B13F3">
      <w:pPr>
        <w:autoSpaceDE/>
        <w:autoSpaceDN/>
        <w:adjustRightInd/>
      </w:pPr>
      <w:r w:rsidRPr="006C1524">
        <w:t>We propose to update the Protocol (section 12) to clarify that we will only be sending generic best practice guidance to GPs for residents recruited at BL and not those additional residents recruited at 16M (associated with design change summarised above). This is due to the timelines for circulation of information to GPs and the potential confusion regarding active care home participation in the project, which ceases after 16</w:t>
      </w:r>
      <w:r w:rsidR="00B80810">
        <w:t>-month</w:t>
      </w:r>
      <w:r w:rsidRPr="006C1524">
        <w:t xml:space="preserve"> data collection. The guidance information would therefore also have limited impact upon trial outcomes at this stage (i.e. supporting person centred care).</w:t>
      </w:r>
    </w:p>
    <w:p w14:paraId="3C8029DB" w14:textId="77777777" w:rsidR="006C1524" w:rsidRPr="006C1524" w:rsidRDefault="006C1524" w:rsidP="009B13F3">
      <w:pPr>
        <w:numPr>
          <w:ilvl w:val="0"/>
          <w:numId w:val="18"/>
        </w:numPr>
        <w:autoSpaceDE/>
        <w:autoSpaceDN/>
        <w:adjustRightInd/>
        <w:rPr>
          <w:b/>
        </w:rPr>
      </w:pPr>
      <w:r w:rsidRPr="006C1524">
        <w:rPr>
          <w:b/>
        </w:rPr>
        <w:t>Personal Consultee Capacity</w:t>
      </w:r>
    </w:p>
    <w:p w14:paraId="1BD29100" w14:textId="2BFF64E9" w:rsidR="006C1524" w:rsidRPr="006C1524" w:rsidRDefault="006C1524" w:rsidP="009B13F3">
      <w:pPr>
        <w:autoSpaceDE/>
        <w:autoSpaceDN/>
        <w:adjustRightInd/>
      </w:pPr>
      <w:r w:rsidRPr="006C1524">
        <w:t xml:space="preserve">Following a review of trial </w:t>
      </w:r>
      <w:r w:rsidR="00EC0517" w:rsidRPr="006C1524">
        <w:t>processes,</w:t>
      </w:r>
      <w:r w:rsidRPr="006C1524">
        <w:t xml:space="preserve"> we are proposing to update the Protocol (section 8.1.2 Consent for those without capacity) to clarify the process for confirming ongoing capacity of Personal Consultees (PC). As a PC is not required to visit a care home with any frequency, and has the ability to provide postal ascent for trial participation, trial Researchers may never have face-to-face contact with a PC. </w:t>
      </w:r>
      <w:r w:rsidR="00EC0517" w:rsidRPr="006C1524">
        <w:t>Therefore,</w:t>
      </w:r>
      <w:r w:rsidRPr="006C1524">
        <w:t xml:space="preserve"> it is not feasible to determine any changes in capacity overtime in accordance with the MCA. In these </w:t>
      </w:r>
      <w:r w:rsidR="00EC0517" w:rsidRPr="006C1524">
        <w:t>instances,</w:t>
      </w:r>
      <w:r w:rsidRPr="006C1524">
        <w:t xml:space="preserve"> it is essential to obtain input from care home staff that may have more frequent interactions with the PC and be best placed to identify changes in capacity over time. </w:t>
      </w:r>
    </w:p>
    <w:p w14:paraId="781169B0" w14:textId="77777777" w:rsidR="006C1524" w:rsidRPr="006C1524" w:rsidRDefault="006C1524" w:rsidP="009B13F3">
      <w:pPr>
        <w:autoSpaceDE/>
        <w:autoSpaceDN/>
        <w:adjustRightInd/>
        <w:rPr>
          <w:b/>
          <w:u w:val="single"/>
        </w:rPr>
      </w:pPr>
      <w:r w:rsidRPr="006C1524">
        <w:rPr>
          <w:b/>
          <w:u w:val="single"/>
        </w:rPr>
        <w:t>SA10 – Approved 25/07/2016</w:t>
      </w:r>
    </w:p>
    <w:p w14:paraId="4F108A16" w14:textId="77777777" w:rsidR="006C1524" w:rsidRPr="006C1524" w:rsidRDefault="006C1524" w:rsidP="009B13F3">
      <w:pPr>
        <w:autoSpaceDE/>
        <w:autoSpaceDN/>
        <w:adjustRightInd/>
        <w:rPr>
          <w:b/>
          <w:u w:val="single"/>
        </w:rPr>
      </w:pPr>
      <w:r w:rsidRPr="006C1524">
        <w:rPr>
          <w:b/>
          <w:u w:val="single"/>
        </w:rPr>
        <w:t>Protocol amendments</w:t>
      </w:r>
    </w:p>
    <w:p w14:paraId="488E3F4A" w14:textId="77777777" w:rsidR="006C1524" w:rsidRPr="006C1524" w:rsidRDefault="006C1524" w:rsidP="009B13F3">
      <w:pPr>
        <w:numPr>
          <w:ilvl w:val="0"/>
          <w:numId w:val="18"/>
        </w:numPr>
        <w:autoSpaceDE/>
        <w:autoSpaceDN/>
        <w:adjustRightInd/>
        <w:rPr>
          <w:b/>
        </w:rPr>
      </w:pPr>
      <w:r w:rsidRPr="006C1524">
        <w:rPr>
          <w:b/>
        </w:rPr>
        <w:t>Process Evaluation – participant demographics</w:t>
      </w:r>
    </w:p>
    <w:p w14:paraId="141ED6CC" w14:textId="76F18DE0" w:rsidR="006C1524" w:rsidRPr="006C1524" w:rsidRDefault="006C1524" w:rsidP="009B13F3">
      <w:pPr>
        <w:autoSpaceDE/>
        <w:autoSpaceDN/>
        <w:adjustRightInd/>
      </w:pPr>
      <w:r w:rsidRPr="006C1524">
        <w:t xml:space="preserve">We are proposing additional data collection of participant demographics (Age/Gender) for those consented to participate in the process evaluation to aide with summarising the population sampled at analysis. As participants in the Process Evaluation are not required to have taken part in the main trial (as the intervention impacts the entire Care Home irrespective of individual trial participation) we are not able to summarise demographics as a subset of the main trial population. </w:t>
      </w:r>
      <w:r w:rsidR="00EC0517" w:rsidRPr="006C1524">
        <w:t>Therefore,</w:t>
      </w:r>
      <w:r w:rsidRPr="006C1524">
        <w:t xml:space="preserve"> we have amended relevant sections of the EPIC Protocol (section 14 – Process Evaluation).</w:t>
      </w:r>
    </w:p>
    <w:p w14:paraId="7E230C93" w14:textId="77777777" w:rsidR="006C1524" w:rsidRPr="006C1524" w:rsidRDefault="006C1524" w:rsidP="009B13F3">
      <w:pPr>
        <w:autoSpaceDE/>
        <w:autoSpaceDN/>
        <w:adjustRightInd/>
      </w:pPr>
      <w:r w:rsidRPr="006C1524">
        <w:t>We have also updated the topic guides to include prompts to confirm participant details (ID, Role) at the start of the interview to assist with identification of recordings as is best practice for qualitative interviews. Any personal identifiers (i.e. Name) will be removed from all transcriptions.</w:t>
      </w:r>
    </w:p>
    <w:p w14:paraId="04E3BEAE" w14:textId="77777777" w:rsidR="006C1524" w:rsidRPr="006C1524" w:rsidRDefault="006C1524" w:rsidP="009B13F3">
      <w:pPr>
        <w:numPr>
          <w:ilvl w:val="0"/>
          <w:numId w:val="18"/>
        </w:numPr>
        <w:autoSpaceDE/>
        <w:autoSpaceDN/>
        <w:adjustRightInd/>
        <w:rPr>
          <w:b/>
        </w:rPr>
      </w:pPr>
      <w:r w:rsidRPr="006C1524">
        <w:rPr>
          <w:b/>
        </w:rPr>
        <w:t>Text Messages to Mappers</w:t>
      </w:r>
    </w:p>
    <w:p w14:paraId="3016D59B" w14:textId="64902543" w:rsidR="006C1524" w:rsidRPr="006C1524" w:rsidRDefault="006C1524" w:rsidP="009B13F3">
      <w:pPr>
        <w:autoSpaceDE/>
        <w:autoSpaceDN/>
        <w:adjustRightInd/>
      </w:pPr>
      <w:r w:rsidRPr="006C1524">
        <w:t>We propose to introduce an additional text message to Staff members acting as DCM</w:t>
      </w:r>
      <w:r w:rsidRPr="006C1524">
        <w:rPr>
          <w:vertAlign w:val="superscript"/>
        </w:rPr>
        <w:t xml:space="preserve">TM </w:t>
      </w:r>
      <w:r w:rsidRPr="006C1524">
        <w:t>Mappers to highlight the mutually exclusive roles in EPIC ahead of follow-up (6</w:t>
      </w:r>
      <w:r w:rsidR="00B80810">
        <w:t>-</w:t>
      </w:r>
      <w:r w:rsidRPr="006C1524">
        <w:t xml:space="preserve"> and 16</w:t>
      </w:r>
      <w:r w:rsidR="00B80810">
        <w:t>-months</w:t>
      </w:r>
      <w:r w:rsidRPr="006C1524">
        <w:t>). In EPIC Researchers completing follow-up data collection (6</w:t>
      </w:r>
      <w:r w:rsidR="00B80810">
        <w:t>-</w:t>
      </w:r>
      <w:r w:rsidRPr="006C1524">
        <w:t xml:space="preserve"> and 16</w:t>
      </w:r>
      <w:r w:rsidR="00B80810">
        <w:t>-months</w:t>
      </w:r>
      <w:r w:rsidRPr="006C1524">
        <w:t xml:space="preserve"> post randomisation) are blinded to Care Home allocation and are therefore not aware of any changes to Staff members delivering the trial intervention (Researchers recruit Staff to act as Mappers at baseline in all home (n=50), however due to high staff turnover these often change during the course of the trial for those homes randomised to deliver the intervention (n=31)). This has therefore led to instances of inappropriate members of staff (i.e. Mappers – those delivering the trial intervention) providing data (Staff Proxy Informant) for participating residents.</w:t>
      </w:r>
    </w:p>
    <w:p w14:paraId="770D5E37" w14:textId="77777777" w:rsidR="006C1524" w:rsidRPr="006C1524" w:rsidRDefault="006C1524" w:rsidP="009B13F3">
      <w:pPr>
        <w:autoSpaceDE/>
        <w:autoSpaceDN/>
        <w:adjustRightInd/>
      </w:pPr>
    </w:p>
    <w:p w14:paraId="56E46C0D" w14:textId="21B895C0" w:rsidR="006C1524" w:rsidRPr="006C1524" w:rsidRDefault="006C1524" w:rsidP="009B13F3">
      <w:pPr>
        <w:autoSpaceDE/>
        <w:autoSpaceDN/>
        <w:adjustRightInd/>
      </w:pPr>
      <w:r w:rsidRPr="006C1524">
        <w:t>We would therefore like to circulate the following text message ahead of follow-up (6</w:t>
      </w:r>
      <w:r w:rsidR="00B80810">
        <w:t>-</w:t>
      </w:r>
      <w:r w:rsidRPr="006C1524">
        <w:t xml:space="preserve"> and 16</w:t>
      </w:r>
      <w:r w:rsidR="00B80810">
        <w:t>-months</w:t>
      </w:r>
      <w:r w:rsidRPr="006C1524">
        <w:t>) to staff acting currently consented as a Mapper;</w:t>
      </w:r>
    </w:p>
    <w:p w14:paraId="1210574D" w14:textId="77777777" w:rsidR="006C1524" w:rsidRPr="006C1524" w:rsidRDefault="006C1524" w:rsidP="009B13F3">
      <w:pPr>
        <w:autoSpaceDE/>
        <w:autoSpaceDN/>
        <w:adjustRightInd/>
      </w:pPr>
      <w:r w:rsidRPr="006C1524">
        <w:t>“EPIC Researchers will be visiting your home shortly to collect some more data. Please remember not to provide data on behalf of any residents during this visit. Do not tell the Researcher you are acting as a DCM Mapper. Regards, The EPIC team!”</w:t>
      </w:r>
    </w:p>
    <w:p w14:paraId="327157D1" w14:textId="77777777" w:rsidR="006C1524" w:rsidRPr="006C1524" w:rsidRDefault="006C1524" w:rsidP="009B13F3">
      <w:pPr>
        <w:autoSpaceDE/>
        <w:autoSpaceDN/>
        <w:adjustRightInd/>
      </w:pPr>
      <w:r w:rsidRPr="006C1524">
        <w:t>The following statement has been added to the Protocol (section 9 Staff roles, eligibility, recruitment and consent);</w:t>
      </w:r>
    </w:p>
    <w:p w14:paraId="4142A9B1" w14:textId="7C8C0074" w:rsidR="006C1524" w:rsidRPr="006C1524" w:rsidRDefault="006C1524" w:rsidP="009B13F3">
      <w:pPr>
        <w:autoSpaceDE/>
        <w:autoSpaceDN/>
        <w:adjustRightInd/>
        <w:sectPr w:rsidR="006C1524" w:rsidRPr="006C1524" w:rsidSect="00487663">
          <w:pgSz w:w="11906" w:h="16838"/>
          <w:pgMar w:top="1440" w:right="1440" w:bottom="1440" w:left="851" w:header="709" w:footer="709" w:gutter="0"/>
          <w:cols w:space="708"/>
          <w:docGrid w:linePitch="360"/>
        </w:sectPr>
      </w:pPr>
      <w:r w:rsidRPr="006C1524">
        <w:t>“A text message will be sent to trained DCM</w:t>
      </w:r>
      <w:r w:rsidRPr="006C1524">
        <w:rPr>
          <w:vertAlign w:val="superscript"/>
        </w:rPr>
        <w:t>TM</w:t>
      </w:r>
      <w:r w:rsidRPr="006C1524">
        <w:t xml:space="preserve"> mappers ahead of data collection (6 and 16months post randomisation) to remind mappers not to provide pr</w:t>
      </w:r>
      <w:r>
        <w:t>oxy data relating to residents</w:t>
      </w:r>
    </w:p>
    <w:p w14:paraId="164B9A87" w14:textId="5B0C54F4" w:rsidR="0057533D" w:rsidRDefault="0057533D" w:rsidP="009B13F3">
      <w:pPr>
        <w:pStyle w:val="Heading2"/>
      </w:pPr>
      <w:bookmarkStart w:id="369" w:name="_Toc525544072"/>
      <w:r w:rsidRPr="00563AD3">
        <w:t xml:space="preserve">Appendix </w:t>
      </w:r>
      <w:r w:rsidR="00CC68C0">
        <w:t>3</w:t>
      </w:r>
      <w:r w:rsidRPr="00563AD3">
        <w:t>: Rationale for design change</w:t>
      </w:r>
      <w:bookmarkEnd w:id="369"/>
    </w:p>
    <w:p w14:paraId="1916593A" w14:textId="77777777" w:rsidR="007955CE" w:rsidRPr="00EE49FD" w:rsidRDefault="007955CE" w:rsidP="009B13F3">
      <w:pPr>
        <w:spacing w:after="0"/>
        <w:jc w:val="center"/>
        <w:rPr>
          <w:rFonts w:eastAsia="Times New Roman"/>
          <w:b/>
          <w:lang w:eastAsia="en-US"/>
        </w:rPr>
      </w:pPr>
      <w:r w:rsidRPr="00EE49FD">
        <w:rPr>
          <w:rFonts w:eastAsia="Times New Roman"/>
          <w:b/>
          <w:lang w:eastAsia="en-US"/>
        </w:rPr>
        <w:t>HTA extension application 11/13/15 The EPIC Trial</w:t>
      </w:r>
    </w:p>
    <w:p w14:paraId="0969C204" w14:textId="77777777" w:rsidR="007955CE" w:rsidRPr="00EE49FD" w:rsidRDefault="007955CE" w:rsidP="009B13F3">
      <w:pPr>
        <w:jc w:val="center"/>
        <w:rPr>
          <w:rFonts w:eastAsia="Times New Roman"/>
          <w:b/>
          <w:lang w:eastAsia="en-US"/>
        </w:rPr>
      </w:pPr>
      <w:r w:rsidRPr="00EE49FD">
        <w:rPr>
          <w:rFonts w:eastAsia="Times New Roman"/>
          <w:b/>
          <w:lang w:eastAsia="en-US"/>
        </w:rPr>
        <w:t>(March 2016)</w:t>
      </w:r>
    </w:p>
    <w:p w14:paraId="205C5571" w14:textId="77777777" w:rsidR="007955CE" w:rsidRPr="006C0B32" w:rsidRDefault="007955CE" w:rsidP="009B13F3">
      <w:pPr>
        <w:autoSpaceDE/>
        <w:autoSpaceDN/>
        <w:adjustRightInd/>
        <w:spacing w:after="0"/>
        <w:rPr>
          <w:rFonts w:eastAsia="Calibri"/>
          <w:b/>
          <w:u w:val="single"/>
          <w:lang w:eastAsia="en-US"/>
        </w:rPr>
      </w:pPr>
      <w:r w:rsidRPr="006C0B32">
        <w:rPr>
          <w:rFonts w:eastAsia="Calibri"/>
          <w:b/>
          <w:u w:val="single"/>
          <w:lang w:eastAsia="en-US"/>
        </w:rPr>
        <w:t>Justification</w:t>
      </w:r>
    </w:p>
    <w:p w14:paraId="1146A240" w14:textId="77777777" w:rsidR="007955CE" w:rsidRPr="006C0B32" w:rsidRDefault="007955CE" w:rsidP="009B13F3">
      <w:pPr>
        <w:autoSpaceDE/>
        <w:autoSpaceDN/>
        <w:adjustRightInd/>
        <w:spacing w:after="0"/>
        <w:rPr>
          <w:rFonts w:eastAsia="Calibri"/>
          <w:b/>
          <w:u w:val="single"/>
          <w:lang w:eastAsia="en-US"/>
        </w:rPr>
      </w:pPr>
    </w:p>
    <w:p w14:paraId="5DCB2EB1" w14:textId="4350E5DA" w:rsidR="007955CE" w:rsidRPr="006C0B32" w:rsidRDefault="007955CE" w:rsidP="009B13F3">
      <w:pPr>
        <w:autoSpaceDE/>
        <w:autoSpaceDN/>
        <w:adjustRightInd/>
        <w:spacing w:after="0"/>
        <w:rPr>
          <w:rFonts w:eastAsia="Calibri"/>
          <w:lang w:eastAsia="en-US"/>
        </w:rPr>
      </w:pPr>
      <w:r w:rsidRPr="006C0B32">
        <w:rPr>
          <w:rFonts w:eastAsia="Calibri"/>
          <w:lang w:eastAsia="en-US"/>
        </w:rPr>
        <w:t>In our original sample size estimation, we anticipated a 25% loss to follow-up rate of residents at 16</w:t>
      </w:r>
      <w:r w:rsidR="00B80810" w:rsidRPr="006C0B32">
        <w:rPr>
          <w:rFonts w:eastAsia="Calibri"/>
          <w:lang w:eastAsia="en-US"/>
        </w:rPr>
        <w:t>-months</w:t>
      </w:r>
      <w:r w:rsidRPr="006C0B32">
        <w:rPr>
          <w:rFonts w:eastAsia="Calibri"/>
          <w:lang w:eastAsia="en-US"/>
        </w:rPr>
        <w:t xml:space="preserve"> (our primary outcome) following care home randomisation, to detect a clinically important difference of 3 points (SD 7.5) in agitation using the CMAI questionnaire. If loss to follow-up was higher than anticipated (but no greater than 35%), our sample size of 750 residents was still intended to provide more than 85% power at a 2-sided 5% significance level to detect the moderate effect size, equating to 0.4 SDs.</w:t>
      </w:r>
    </w:p>
    <w:p w14:paraId="56CB140A" w14:textId="77777777" w:rsidR="007955CE" w:rsidRPr="006C0B32" w:rsidRDefault="007955CE" w:rsidP="009B13F3">
      <w:pPr>
        <w:autoSpaceDE/>
        <w:autoSpaceDN/>
        <w:adjustRightInd/>
        <w:spacing w:after="0"/>
        <w:rPr>
          <w:rFonts w:eastAsia="Calibri"/>
          <w:lang w:eastAsia="en-US"/>
        </w:rPr>
      </w:pPr>
    </w:p>
    <w:p w14:paraId="47CCB85F" w14:textId="1A5FF977" w:rsidR="007955CE" w:rsidRPr="006C0B32" w:rsidRDefault="007955CE" w:rsidP="009B13F3">
      <w:pPr>
        <w:autoSpaceDE/>
        <w:autoSpaceDN/>
        <w:adjustRightInd/>
        <w:spacing w:after="0"/>
        <w:rPr>
          <w:rFonts w:eastAsia="Calibri"/>
          <w:lang w:eastAsia="en-US"/>
        </w:rPr>
      </w:pPr>
      <w:r w:rsidRPr="006C0B32">
        <w:rPr>
          <w:rFonts w:eastAsia="Calibri"/>
          <w:lang w:eastAsia="en-US"/>
        </w:rPr>
        <w:t>By monitoring loss to follow-up within the trial, we are now confident that the rate will exceed our lower limit of 25%. Using data from care homes randomised into the trial up to the 27</w:t>
      </w:r>
      <w:r w:rsidRPr="006C0B32">
        <w:rPr>
          <w:rFonts w:eastAsia="Calibri"/>
          <w:vertAlign w:val="superscript"/>
          <w:lang w:eastAsia="en-US"/>
        </w:rPr>
        <w:t>th</w:t>
      </w:r>
      <w:r w:rsidRPr="006C0B32">
        <w:rPr>
          <w:rFonts w:eastAsia="Calibri"/>
          <w:lang w:eastAsia="en-US"/>
        </w:rPr>
        <w:t xml:space="preserve"> November 2015, we predict that loss to follow-up at 16</w:t>
      </w:r>
      <w:r w:rsidR="00B80810" w:rsidRPr="006C0B32">
        <w:rPr>
          <w:rFonts w:eastAsia="Calibri"/>
          <w:lang w:eastAsia="en-US"/>
        </w:rPr>
        <w:t>-months</w:t>
      </w:r>
      <w:r w:rsidRPr="006C0B32">
        <w:rPr>
          <w:rFonts w:eastAsia="Calibri"/>
          <w:lang w:eastAsia="en-US"/>
        </w:rPr>
        <w:t xml:space="preserve"> will be in the range of 32.4% to 48.1%. As such, continuation of the trial as currently planned is unlikely to provide sufficient power for statistical analysis of the primary endpoint and so an amendment is required to ensure the results of trial are robust and generalizable. Therefore, based on consideration of all the available options, we propose recruiting more residents at follow-up (i.e. move to an “open cohort” design).</w:t>
      </w:r>
    </w:p>
    <w:p w14:paraId="13C9EE34" w14:textId="77777777" w:rsidR="007955CE" w:rsidRPr="006C0B32" w:rsidRDefault="007955CE" w:rsidP="009B13F3">
      <w:pPr>
        <w:autoSpaceDE/>
        <w:autoSpaceDN/>
        <w:adjustRightInd/>
        <w:spacing w:after="0"/>
        <w:rPr>
          <w:rFonts w:eastAsia="Calibri"/>
          <w:lang w:eastAsia="en-US"/>
        </w:rPr>
      </w:pPr>
    </w:p>
    <w:p w14:paraId="44C404A0" w14:textId="44225A1A" w:rsidR="007955CE" w:rsidRPr="006C0B32" w:rsidRDefault="007955CE" w:rsidP="009B13F3">
      <w:pPr>
        <w:autoSpaceDE/>
        <w:autoSpaceDN/>
        <w:adjustRightInd/>
        <w:spacing w:after="0"/>
        <w:rPr>
          <w:rFonts w:eastAsia="Calibri"/>
          <w:lang w:eastAsia="en-US"/>
        </w:rPr>
      </w:pPr>
      <w:r w:rsidRPr="006C0B32">
        <w:rPr>
          <w:rFonts w:eastAsia="Calibri"/>
          <w:lang w:eastAsia="en-US"/>
        </w:rPr>
        <w:t>As of 27</w:t>
      </w:r>
      <w:r w:rsidRPr="006C0B32">
        <w:rPr>
          <w:rFonts w:eastAsia="Calibri"/>
          <w:vertAlign w:val="superscript"/>
          <w:lang w:eastAsia="en-US"/>
        </w:rPr>
        <w:t>th</w:t>
      </w:r>
      <w:r w:rsidRPr="006C0B32">
        <w:rPr>
          <w:rFonts w:eastAsia="Calibri"/>
          <w:lang w:eastAsia="en-US"/>
        </w:rPr>
        <w:t xml:space="preserve"> November 2015, there were 42 care homes randomised, with 638 registered residents. Residents are registered before care home randomisation. Overall, there were 11 residents lost before the care homes were randomised, so at the point of randomisation 627 residents were included in the trial. None of th</w:t>
      </w:r>
      <w:r w:rsidR="00B80810" w:rsidRPr="006C0B32">
        <w:rPr>
          <w:rFonts w:eastAsia="Calibri"/>
          <w:lang w:eastAsia="en-US"/>
        </w:rPr>
        <w:t>e care homes had reached the 16-</w:t>
      </w:r>
      <w:r w:rsidRPr="006C0B32">
        <w:rPr>
          <w:rFonts w:eastAsia="Calibri"/>
          <w:lang w:eastAsia="en-US"/>
        </w:rPr>
        <w:t>month follow-up time point, and there were two care homes currently at 13</w:t>
      </w:r>
      <w:r w:rsidR="00B80810" w:rsidRPr="006C0B32">
        <w:rPr>
          <w:rFonts w:eastAsia="Calibri"/>
          <w:lang w:eastAsia="en-US"/>
        </w:rPr>
        <w:t>-months</w:t>
      </w:r>
      <w:r w:rsidRPr="006C0B32">
        <w:rPr>
          <w:rFonts w:eastAsia="Calibri"/>
          <w:lang w:eastAsia="en-US"/>
        </w:rPr>
        <w:t xml:space="preserve"> following randomisation. </w:t>
      </w:r>
    </w:p>
    <w:p w14:paraId="2EF24FC2" w14:textId="77777777" w:rsidR="007955CE" w:rsidRPr="006C0B32" w:rsidRDefault="007955CE" w:rsidP="009B13F3">
      <w:pPr>
        <w:autoSpaceDE/>
        <w:autoSpaceDN/>
        <w:adjustRightInd/>
        <w:spacing w:after="0"/>
        <w:rPr>
          <w:rFonts w:eastAsia="Calibri"/>
          <w:lang w:eastAsia="en-US"/>
        </w:rPr>
      </w:pPr>
    </w:p>
    <w:p w14:paraId="20EA92F4" w14:textId="6615AF67" w:rsidR="007955CE" w:rsidRPr="006C0B32" w:rsidRDefault="007955CE" w:rsidP="009B13F3">
      <w:pPr>
        <w:autoSpaceDE/>
        <w:autoSpaceDN/>
        <w:adjustRightInd/>
        <w:spacing w:after="0"/>
        <w:rPr>
          <w:rFonts w:eastAsia="Calibri"/>
          <w:lang w:eastAsia="en-US"/>
        </w:rPr>
      </w:pPr>
      <w:r w:rsidRPr="006C0B32">
        <w:rPr>
          <w:rFonts w:eastAsia="Calibri"/>
          <w:lang w:eastAsia="en-US"/>
        </w:rPr>
        <w:t>Loss-to-follow-up rates were estimated using the number of residents who died or moved care home between randomisation and 27</w:t>
      </w:r>
      <w:r w:rsidRPr="006C0B32">
        <w:rPr>
          <w:rFonts w:eastAsia="Calibri"/>
          <w:vertAlign w:val="superscript"/>
          <w:lang w:eastAsia="en-US"/>
        </w:rPr>
        <w:t>th</w:t>
      </w:r>
      <w:r w:rsidRPr="006C0B32">
        <w:rPr>
          <w:rFonts w:eastAsia="Calibri"/>
          <w:lang w:eastAsia="en-US"/>
        </w:rPr>
        <w:t xml:space="preserve"> November 2015. The rate was then extrapolated to 16</w:t>
      </w:r>
      <w:r w:rsidR="00B80810" w:rsidRPr="006C0B32">
        <w:rPr>
          <w:rFonts w:eastAsia="Calibri"/>
          <w:lang w:eastAsia="en-US"/>
        </w:rPr>
        <w:t>-month</w:t>
      </w:r>
      <w:r w:rsidRPr="006C0B32">
        <w:rPr>
          <w:rFonts w:eastAsia="Calibri"/>
          <w:lang w:eastAsia="en-US"/>
        </w:rPr>
        <w:t xml:space="preserve">s. </w:t>
      </w:r>
      <w:r w:rsidR="001F6DA0">
        <w:rPr>
          <w:rFonts w:eastAsia="Calibri"/>
          <w:lang w:eastAsia="en-US"/>
        </w:rPr>
        <w:t>Figure 10</w:t>
      </w:r>
      <w:r w:rsidRPr="006C0B32">
        <w:rPr>
          <w:rFonts w:eastAsia="Calibri"/>
          <w:lang w:eastAsia="en-US"/>
        </w:rPr>
        <w:t xml:space="preserve"> summarises the actual and predicted loss-to-follow-up rates by number of months since randomisation. The same is displayed graphically in the Kaplan-Meier curve in </w:t>
      </w:r>
      <w:r w:rsidR="00BB6C59" w:rsidRPr="006C0B32">
        <w:rPr>
          <w:rFonts w:eastAsia="Calibri"/>
          <w:lang w:eastAsia="en-US"/>
        </w:rPr>
        <w:fldChar w:fldCharType="begin"/>
      </w:r>
      <w:r w:rsidR="00BB6C59" w:rsidRPr="006C0B32">
        <w:rPr>
          <w:rFonts w:eastAsia="Calibri"/>
          <w:lang w:eastAsia="en-US"/>
        </w:rPr>
        <w:instrText xml:space="preserve"> REF _Ref438219539 \h  \* MERGEFORMAT </w:instrText>
      </w:r>
      <w:r w:rsidR="00BB6C59" w:rsidRPr="006C0B32">
        <w:rPr>
          <w:rFonts w:eastAsia="Calibri"/>
          <w:lang w:eastAsia="en-US"/>
        </w:rPr>
      </w:r>
      <w:r w:rsidR="00BB6C59" w:rsidRPr="006C0B32">
        <w:rPr>
          <w:rFonts w:eastAsia="Calibri"/>
          <w:lang w:eastAsia="en-US"/>
        </w:rPr>
        <w:fldChar w:fldCharType="separate"/>
      </w:r>
      <w:r w:rsidR="008015C7" w:rsidRPr="007955CE">
        <w:rPr>
          <w:rFonts w:eastAsia="Calibri"/>
          <w:lang w:eastAsia="en-US"/>
        </w:rPr>
        <w:t xml:space="preserve">Figure </w:t>
      </w:r>
      <w:r w:rsidR="00BB6C59" w:rsidRPr="006C0B32">
        <w:rPr>
          <w:rFonts w:eastAsia="Calibri"/>
          <w:lang w:eastAsia="en-US"/>
        </w:rPr>
        <w:fldChar w:fldCharType="end"/>
      </w:r>
      <w:r w:rsidRPr="006C0B32">
        <w:rPr>
          <w:rFonts w:eastAsia="Calibri"/>
          <w:lang w:eastAsia="en-US"/>
        </w:rPr>
        <w:t>.</w:t>
      </w:r>
    </w:p>
    <w:p w14:paraId="62146D6F" w14:textId="77777777" w:rsidR="007955CE" w:rsidRPr="007955CE" w:rsidRDefault="007955CE" w:rsidP="009B13F3">
      <w:pPr>
        <w:autoSpaceDE/>
        <w:autoSpaceDN/>
        <w:adjustRightInd/>
        <w:spacing w:after="0"/>
        <w:rPr>
          <w:rFonts w:eastAsia="Calibri"/>
          <w:sz w:val="20"/>
          <w:szCs w:val="20"/>
          <w:lang w:eastAsia="en-US"/>
        </w:rPr>
      </w:pPr>
    </w:p>
    <w:p w14:paraId="19D5DCDC" w14:textId="77777777" w:rsidR="006C0B32" w:rsidRDefault="006C0B32" w:rsidP="006C0B32">
      <w:pPr>
        <w:pStyle w:val="Figure"/>
        <w:rPr>
          <w:rFonts w:eastAsia="Calibri"/>
          <w:lang w:eastAsia="en-US"/>
        </w:rPr>
      </w:pPr>
      <w:bookmarkStart w:id="370" w:name="_Ref438219175"/>
    </w:p>
    <w:p w14:paraId="44B73083" w14:textId="14D95D1C" w:rsidR="007955CE" w:rsidRPr="007955CE" w:rsidRDefault="007955CE" w:rsidP="006C0B32">
      <w:pPr>
        <w:pStyle w:val="Figure"/>
        <w:rPr>
          <w:rFonts w:eastAsia="Calibri"/>
          <w:noProof/>
        </w:rPr>
      </w:pPr>
      <w:bookmarkStart w:id="371" w:name="_Toc525805246"/>
      <w:r w:rsidRPr="007955CE">
        <w:rPr>
          <w:rFonts w:eastAsia="Calibri"/>
          <w:lang w:eastAsia="en-US"/>
        </w:rPr>
        <w:t xml:space="preserve">Figure </w:t>
      </w:r>
      <w:bookmarkEnd w:id="370"/>
      <w:r w:rsidR="00095C6B">
        <w:rPr>
          <w:rFonts w:eastAsia="Calibri"/>
          <w:lang w:eastAsia="en-US"/>
        </w:rPr>
        <w:t>10</w:t>
      </w:r>
      <w:r w:rsidRPr="007955CE">
        <w:rPr>
          <w:rFonts w:eastAsia="Calibri"/>
          <w:lang w:eastAsia="en-US"/>
        </w:rPr>
        <w:t xml:space="preserve">: </w:t>
      </w:r>
      <w:r w:rsidRPr="007955CE">
        <w:rPr>
          <w:rFonts w:eastAsia="Calibri"/>
          <w:noProof/>
        </w:rPr>
        <w:t>Predicted loss to follow-up</w:t>
      </w:r>
      <w:bookmarkEnd w:id="371"/>
    </w:p>
    <w:p w14:paraId="42CCEEBA" w14:textId="77777777" w:rsidR="007955CE" w:rsidRPr="007955CE" w:rsidRDefault="007955CE" w:rsidP="009B13F3">
      <w:pPr>
        <w:autoSpaceDE/>
        <w:autoSpaceDN/>
        <w:adjustRightInd/>
        <w:spacing w:before="120" w:after="0"/>
        <w:rPr>
          <w:rFonts w:eastAsia="Calibri"/>
          <w:szCs w:val="24"/>
        </w:rPr>
      </w:pPr>
      <w:r w:rsidRPr="007955CE">
        <w:rPr>
          <w:rFonts w:eastAsia="Calibri"/>
          <w:noProof/>
          <w:szCs w:val="24"/>
        </w:rPr>
        <w:drawing>
          <wp:inline distT="0" distB="0" distL="0" distR="0" wp14:anchorId="2ECF00C1" wp14:editId="565CBA90">
            <wp:extent cx="5040000" cy="307279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0000" cy="3072790"/>
                    </a:xfrm>
                    <a:prstGeom prst="rect">
                      <a:avLst/>
                    </a:prstGeom>
                    <a:noFill/>
                  </pic:spPr>
                </pic:pic>
              </a:graphicData>
            </a:graphic>
          </wp:inline>
        </w:drawing>
      </w:r>
    </w:p>
    <w:p w14:paraId="4AEF26F1" w14:textId="77777777" w:rsidR="007955CE" w:rsidRPr="007955CE" w:rsidRDefault="007955CE" w:rsidP="009B13F3">
      <w:pPr>
        <w:autoSpaceDE/>
        <w:autoSpaceDN/>
        <w:adjustRightInd/>
        <w:spacing w:before="120" w:after="0"/>
        <w:rPr>
          <w:rFonts w:eastAsia="Calibri"/>
          <w:sz w:val="20"/>
          <w:szCs w:val="20"/>
          <w:vertAlign w:val="superscript"/>
          <w:lang w:eastAsia="en-US"/>
        </w:rPr>
      </w:pPr>
      <w:r w:rsidRPr="007955CE">
        <w:rPr>
          <w:rFonts w:eastAsia="Calibri"/>
          <w:sz w:val="20"/>
          <w:szCs w:val="20"/>
          <w:vertAlign w:val="superscript"/>
          <w:lang w:eastAsia="en-US"/>
        </w:rPr>
        <w:t>x-axis represents number of months care homes have been randomised, numbers lost to follow-up are grouped by care home and month</w:t>
      </w:r>
    </w:p>
    <w:p w14:paraId="53B5CF6E" w14:textId="12F804CD" w:rsidR="007955CE" w:rsidRPr="007955CE" w:rsidRDefault="007955CE" w:rsidP="006C0B32">
      <w:pPr>
        <w:pStyle w:val="Figure"/>
        <w:rPr>
          <w:rFonts w:eastAsia="Calibri"/>
          <w:lang w:eastAsia="en-US"/>
        </w:rPr>
      </w:pPr>
      <w:bookmarkStart w:id="372" w:name="_Ref438219539"/>
      <w:bookmarkStart w:id="373" w:name="_Toc525805247"/>
      <w:r w:rsidRPr="007955CE">
        <w:rPr>
          <w:rFonts w:eastAsia="Calibri"/>
          <w:lang w:eastAsia="en-US"/>
        </w:rPr>
        <w:t xml:space="preserve">Figure </w:t>
      </w:r>
      <w:bookmarkEnd w:id="372"/>
      <w:r w:rsidR="004371D1">
        <w:rPr>
          <w:rFonts w:eastAsia="Calibri"/>
          <w:lang w:eastAsia="en-US"/>
        </w:rPr>
        <w:t>1</w:t>
      </w:r>
      <w:r w:rsidR="00095C6B">
        <w:rPr>
          <w:rFonts w:eastAsia="Calibri"/>
          <w:lang w:eastAsia="en-US"/>
        </w:rPr>
        <w:t>1</w:t>
      </w:r>
      <w:r w:rsidRPr="007955CE">
        <w:rPr>
          <w:rFonts w:eastAsia="Calibri"/>
          <w:lang w:eastAsia="en-US"/>
        </w:rPr>
        <w:t>: Kaplan-Meier Survival Curve stratified by the length of care home in the trial</w:t>
      </w:r>
      <w:bookmarkEnd w:id="373"/>
    </w:p>
    <w:p w14:paraId="00E38DAD" w14:textId="77777777" w:rsidR="007955CE" w:rsidRPr="007955CE" w:rsidRDefault="007955CE" w:rsidP="009B13F3">
      <w:pPr>
        <w:autoSpaceDE/>
        <w:autoSpaceDN/>
        <w:adjustRightInd/>
        <w:spacing w:before="120" w:after="0"/>
        <w:rPr>
          <w:rFonts w:eastAsia="Calibri"/>
          <w:sz w:val="20"/>
          <w:szCs w:val="20"/>
          <w:lang w:eastAsia="en-US"/>
        </w:rPr>
      </w:pPr>
      <w:r w:rsidRPr="007955CE">
        <w:rPr>
          <w:rFonts w:eastAsia="Calibri"/>
          <w:noProof/>
          <w:sz w:val="20"/>
          <w:szCs w:val="20"/>
        </w:rPr>
        <mc:AlternateContent>
          <mc:Choice Requires="wps">
            <w:drawing>
              <wp:anchor distT="0" distB="0" distL="114300" distR="114300" simplePos="0" relativeHeight="251659264" behindDoc="0" locked="0" layoutInCell="1" allowOverlap="1" wp14:anchorId="3E6E06F8" wp14:editId="1E0E3E13">
                <wp:simplePos x="0" y="0"/>
                <wp:positionH relativeFrom="column">
                  <wp:posOffset>4467225</wp:posOffset>
                </wp:positionH>
                <wp:positionV relativeFrom="paragraph">
                  <wp:posOffset>73025</wp:posOffset>
                </wp:positionV>
                <wp:extent cx="0" cy="29146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914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C0531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75pt,5.75pt" to="351.75pt,2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" strokecolor="#4a7ebb"/>
            </w:pict>
          </mc:Fallback>
        </mc:AlternateContent>
      </w:r>
      <w:r w:rsidRPr="007955CE">
        <w:rPr>
          <w:rFonts w:eastAsia="Calibri"/>
          <w:noProof/>
          <w:sz w:val="20"/>
          <w:szCs w:val="20"/>
        </w:rPr>
        <w:drawing>
          <wp:inline distT="0" distB="0" distL="0" distR="0" wp14:anchorId="23701A8C" wp14:editId="1EB736D1">
            <wp:extent cx="5037826" cy="3562710"/>
            <wp:effectExtent l="0" t="0" r="0" b="0"/>
            <wp:docPr id="10" name="Picture 10" descr="P:\CTRU\Projects\Health_Sciences\Older People\DCM EPIC\Stats\Plots\Design change\kmplotD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RU\Projects\Health_Sciences\Older People\DCM EPIC\Stats\Plots\Design change\kmplotDoc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40000" cy="3564247"/>
                    </a:xfrm>
                    <a:prstGeom prst="rect">
                      <a:avLst/>
                    </a:prstGeom>
                    <a:noFill/>
                    <a:ln>
                      <a:noFill/>
                    </a:ln>
                  </pic:spPr>
                </pic:pic>
              </a:graphicData>
            </a:graphic>
          </wp:inline>
        </w:drawing>
      </w:r>
    </w:p>
    <w:p w14:paraId="34BEC9BD" w14:textId="0F5E19F7" w:rsidR="007955CE" w:rsidRPr="007955CE" w:rsidRDefault="007955CE" w:rsidP="009B13F3">
      <w:pPr>
        <w:autoSpaceDE/>
        <w:autoSpaceDN/>
        <w:adjustRightInd/>
        <w:spacing w:before="120" w:after="0"/>
        <w:rPr>
          <w:rFonts w:eastAsia="Times New Roman"/>
          <w:sz w:val="20"/>
          <w:szCs w:val="20"/>
          <w:vertAlign w:val="superscript"/>
          <w:lang w:eastAsia="en-US"/>
        </w:rPr>
      </w:pPr>
      <w:r w:rsidRPr="007955CE">
        <w:rPr>
          <w:rFonts w:eastAsia="Times New Roman"/>
          <w:sz w:val="20"/>
          <w:szCs w:val="20"/>
          <w:vertAlign w:val="superscript"/>
          <w:lang w:eastAsia="en-US"/>
        </w:rPr>
        <w:t>Numbers at risk: at care home randomisation, 3, 6, 9 and 12</w:t>
      </w:r>
      <w:r w:rsidR="00B80810">
        <w:rPr>
          <w:rFonts w:eastAsia="Times New Roman"/>
          <w:sz w:val="20"/>
          <w:szCs w:val="20"/>
          <w:vertAlign w:val="superscript"/>
          <w:lang w:eastAsia="en-US"/>
        </w:rPr>
        <w:t>-months</w:t>
      </w:r>
      <w:r w:rsidRPr="007955CE">
        <w:rPr>
          <w:rFonts w:eastAsia="Times New Roman"/>
          <w:sz w:val="20"/>
          <w:szCs w:val="20"/>
          <w:vertAlign w:val="superscript"/>
          <w:lang w:eastAsia="en-US"/>
        </w:rPr>
        <w:t>. Note that 16</w:t>
      </w:r>
      <w:r w:rsidR="00B80810">
        <w:rPr>
          <w:rFonts w:eastAsia="Times New Roman"/>
          <w:sz w:val="20"/>
          <w:szCs w:val="20"/>
          <w:vertAlign w:val="superscript"/>
          <w:lang w:eastAsia="en-US"/>
        </w:rPr>
        <w:t>-month</w:t>
      </w:r>
      <w:r w:rsidRPr="007955CE">
        <w:rPr>
          <w:rFonts w:eastAsia="Times New Roman"/>
          <w:sz w:val="20"/>
          <w:szCs w:val="20"/>
          <w:vertAlign w:val="superscript"/>
          <w:lang w:eastAsia="en-US"/>
        </w:rPr>
        <w:t xml:space="preserve">s is 487 days “survival”. </w:t>
      </w:r>
    </w:p>
    <w:p w14:paraId="164E31BA" w14:textId="77777777" w:rsidR="007955CE" w:rsidRPr="007955CE" w:rsidRDefault="007955CE" w:rsidP="009B13F3">
      <w:pPr>
        <w:autoSpaceDE/>
        <w:autoSpaceDN/>
        <w:adjustRightInd/>
        <w:spacing w:after="0"/>
        <w:rPr>
          <w:rFonts w:eastAsia="Calibri"/>
          <w:sz w:val="20"/>
          <w:szCs w:val="20"/>
          <w:lang w:eastAsia="en-US"/>
        </w:rPr>
      </w:pPr>
    </w:p>
    <w:p w14:paraId="50D67849" w14:textId="77777777" w:rsidR="007955CE" w:rsidRPr="007701F9" w:rsidRDefault="007955CE" w:rsidP="009B13F3">
      <w:pPr>
        <w:autoSpaceDE/>
        <w:autoSpaceDN/>
        <w:adjustRightInd/>
        <w:spacing w:after="0"/>
        <w:rPr>
          <w:rFonts w:eastAsia="Calibri"/>
          <w:lang w:eastAsia="en-US"/>
        </w:rPr>
      </w:pPr>
      <w:r w:rsidRPr="007701F9">
        <w:rPr>
          <w:rFonts w:eastAsia="Calibri"/>
          <w:lang w:eastAsia="en-US"/>
        </w:rPr>
        <w:t>In order to provide a robust evaluation of the trial, we propose to move to An</w:t>
      </w:r>
      <w:r w:rsidRPr="007701F9">
        <w:rPr>
          <w:rFonts w:eastAsia="Calibri"/>
          <w:b/>
          <w:lang w:eastAsia="en-US"/>
        </w:rPr>
        <w:t xml:space="preserve"> open cohort design</w:t>
      </w:r>
      <w:r w:rsidRPr="007701F9">
        <w:rPr>
          <w:rFonts w:eastAsia="Calibri"/>
          <w:lang w:eastAsia="en-US"/>
        </w:rPr>
        <w:t xml:space="preserve"> in which </w:t>
      </w:r>
      <w:r w:rsidRPr="007701F9">
        <w:rPr>
          <w:rFonts w:eastAsia="Calibri"/>
          <w:b/>
          <w:lang w:eastAsia="en-US"/>
        </w:rPr>
        <w:t>all eligible residents</w:t>
      </w:r>
      <w:r w:rsidRPr="007701F9">
        <w:rPr>
          <w:rFonts w:eastAsia="Calibri"/>
          <w:lang w:eastAsia="en-US"/>
        </w:rPr>
        <w:t xml:space="preserve"> (i) residing in the care home for 3-months or more at 16-months after care home randomisation and (ii) who are not already taking part in the trial or who have not already declined to take part, will be approached to provide consent for trial participation at the 16-months follow-up visit. All those consenting to take part (residents </w:t>
      </w:r>
      <w:r w:rsidRPr="007701F9">
        <w:rPr>
          <w:rFonts w:eastAsia="Calibri"/>
          <w:u w:val="single"/>
          <w:lang w:eastAsia="en-US"/>
        </w:rPr>
        <w:t>already</w:t>
      </w:r>
      <w:r w:rsidRPr="007701F9">
        <w:rPr>
          <w:rFonts w:eastAsia="Calibri"/>
          <w:lang w:eastAsia="en-US"/>
        </w:rPr>
        <w:t xml:space="preserve"> participating in the trial and consented at baseline, as well as additional residents consenting at 16-months), will provide data at 16-months. </w:t>
      </w:r>
    </w:p>
    <w:p w14:paraId="4ED16432" w14:textId="77777777" w:rsidR="007955CE" w:rsidRPr="007701F9" w:rsidRDefault="007955CE" w:rsidP="009B13F3">
      <w:pPr>
        <w:autoSpaceDE/>
        <w:autoSpaceDN/>
        <w:adjustRightInd/>
        <w:spacing w:after="0"/>
        <w:rPr>
          <w:rFonts w:eastAsia="Calibri"/>
          <w:lang w:eastAsia="en-US"/>
        </w:rPr>
      </w:pPr>
    </w:p>
    <w:p w14:paraId="51FDA1E3" w14:textId="77777777" w:rsidR="007955CE" w:rsidRPr="007701F9" w:rsidRDefault="007955CE" w:rsidP="009B13F3">
      <w:pPr>
        <w:autoSpaceDE/>
        <w:autoSpaceDN/>
        <w:adjustRightInd/>
        <w:spacing w:after="0"/>
        <w:rPr>
          <w:rFonts w:eastAsia="Calibri"/>
          <w:lang w:eastAsia="en-US"/>
        </w:rPr>
      </w:pPr>
      <w:r w:rsidRPr="007701F9">
        <w:rPr>
          <w:rFonts w:eastAsia="Calibri"/>
          <w:u w:val="single"/>
          <w:lang w:eastAsia="en-US"/>
        </w:rPr>
        <w:t>The key impact of this option will be an increase to the size of the cohort at follow-up to maintain the power of the trial and its ability to detect the effect size of 0.4 with 90% power.</w:t>
      </w:r>
      <w:r w:rsidRPr="007701F9">
        <w:rPr>
          <w:rFonts w:eastAsia="Calibri"/>
          <w:lang w:eastAsia="en-US"/>
        </w:rPr>
        <w:t xml:space="preserve"> </w:t>
      </w:r>
    </w:p>
    <w:p w14:paraId="0A38657F" w14:textId="77777777" w:rsidR="007955CE" w:rsidRPr="007701F9" w:rsidRDefault="007955CE" w:rsidP="009B13F3">
      <w:pPr>
        <w:autoSpaceDE/>
        <w:autoSpaceDN/>
        <w:adjustRightInd/>
        <w:spacing w:after="0"/>
        <w:rPr>
          <w:rFonts w:eastAsia="Calibri"/>
          <w:lang w:eastAsia="en-US"/>
        </w:rPr>
      </w:pPr>
    </w:p>
    <w:p w14:paraId="309A7F6C" w14:textId="77777777" w:rsidR="007955CE" w:rsidRPr="007701F9" w:rsidRDefault="007955CE" w:rsidP="009B13F3">
      <w:pPr>
        <w:autoSpaceDE/>
        <w:autoSpaceDN/>
        <w:adjustRightInd/>
        <w:spacing w:after="0"/>
        <w:rPr>
          <w:rFonts w:eastAsia="Calibri"/>
          <w:i/>
          <w:lang w:eastAsia="en-US"/>
        </w:rPr>
      </w:pPr>
      <w:r w:rsidRPr="007701F9">
        <w:rPr>
          <w:rFonts w:eastAsia="Calibri"/>
          <w:i/>
          <w:lang w:eastAsia="en-US"/>
        </w:rPr>
        <w:t>Sample size calculations</w:t>
      </w:r>
    </w:p>
    <w:p w14:paraId="3217143F" w14:textId="77777777" w:rsidR="007955CE" w:rsidRPr="007701F9" w:rsidRDefault="007955CE" w:rsidP="009B13F3">
      <w:pPr>
        <w:autoSpaceDE/>
        <w:autoSpaceDN/>
        <w:adjustRightInd/>
        <w:spacing w:after="0"/>
        <w:rPr>
          <w:rFonts w:eastAsia="Calibri"/>
          <w:lang w:eastAsia="en-US"/>
        </w:rPr>
      </w:pPr>
      <w:r w:rsidRPr="007701F9">
        <w:rPr>
          <w:rFonts w:eastAsia="Calibri"/>
          <w:lang w:eastAsia="en-US"/>
        </w:rPr>
        <w:t xml:space="preserve">With a current estimated 48.2% loss to follow up, we expect to lose 360 residents before 16-month follow-up meaning we will have data at all three time points from 388 residents. All the other parameters – significance level, 2-sided test, ICC of 0.1 are the same. We have worked out sample size calculations for three different scenarios of additional recruitment and all provide sufficient power to detect the effect size of 0.4. </w:t>
      </w:r>
    </w:p>
    <w:p w14:paraId="3A708FB3" w14:textId="77777777" w:rsidR="007955CE" w:rsidRPr="007701F9" w:rsidRDefault="007955CE" w:rsidP="009B13F3">
      <w:pPr>
        <w:autoSpaceDE/>
        <w:autoSpaceDN/>
        <w:adjustRightInd/>
        <w:spacing w:after="0"/>
        <w:rPr>
          <w:rFonts w:eastAsia="Calibri"/>
          <w:lang w:eastAsia="en-US"/>
        </w:rPr>
      </w:pPr>
    </w:p>
    <w:p w14:paraId="0B45A591" w14:textId="77777777" w:rsidR="007955CE" w:rsidRPr="007701F9" w:rsidRDefault="007955CE" w:rsidP="009B13F3">
      <w:pPr>
        <w:autoSpaceDE/>
        <w:autoSpaceDN/>
        <w:adjustRightInd/>
        <w:spacing w:after="0"/>
        <w:rPr>
          <w:rFonts w:eastAsia="Calibri"/>
          <w:lang w:eastAsia="en-US"/>
        </w:rPr>
      </w:pPr>
      <w:r w:rsidRPr="007701F9">
        <w:rPr>
          <w:rFonts w:eastAsia="Calibri"/>
          <w:lang w:eastAsia="en-US"/>
        </w:rPr>
        <w:t>If we recruit, on average, an additional three residents per care home at 16-month follow-up (from the remaining 48 care homes) the sample size will be 388+48*3=532 residents (that is 10.64 residents/ care home). Design effect will be 1+(10.64-1)*0.1=1.964. We will achieve 89% power to detect the effect size of 0.4.</w:t>
      </w:r>
    </w:p>
    <w:p w14:paraId="09ED4F7F" w14:textId="77777777" w:rsidR="007955CE" w:rsidRPr="007701F9" w:rsidRDefault="007955CE" w:rsidP="009B13F3">
      <w:pPr>
        <w:autoSpaceDE/>
        <w:autoSpaceDN/>
        <w:adjustRightInd/>
        <w:spacing w:after="0"/>
        <w:rPr>
          <w:rFonts w:eastAsia="Calibri"/>
          <w:lang w:eastAsia="en-US"/>
        </w:rPr>
      </w:pPr>
    </w:p>
    <w:p w14:paraId="700F67DE" w14:textId="77777777" w:rsidR="007955CE" w:rsidRPr="007701F9" w:rsidRDefault="007955CE" w:rsidP="009B13F3">
      <w:pPr>
        <w:autoSpaceDE/>
        <w:autoSpaceDN/>
        <w:adjustRightInd/>
        <w:spacing w:after="0"/>
        <w:rPr>
          <w:rFonts w:eastAsia="Calibri"/>
          <w:lang w:eastAsia="en-US"/>
        </w:rPr>
      </w:pPr>
      <w:r w:rsidRPr="007701F9">
        <w:rPr>
          <w:rFonts w:eastAsia="Calibri"/>
          <w:lang w:eastAsia="en-US"/>
        </w:rPr>
        <w:t>Replacing residents with 35% recruited residents (columns F and G), overall number of residents available for analysis would be 388+254 (additional recruits)=642. Mean number of residents/ CH (cluster size) would be 12.8. Design effect is now 1+(12.8-1)*0.1=2.18. And the power to detect effect size of 0.4 would be 91% (or with 90% power, we can detect smaller effect size of 0.39).</w:t>
      </w:r>
    </w:p>
    <w:p w14:paraId="1A109A59" w14:textId="77777777" w:rsidR="007955CE" w:rsidRPr="007701F9" w:rsidRDefault="007955CE" w:rsidP="009B13F3">
      <w:pPr>
        <w:autoSpaceDE/>
        <w:autoSpaceDN/>
        <w:adjustRightInd/>
        <w:spacing w:after="0"/>
        <w:rPr>
          <w:rFonts w:eastAsia="Calibri"/>
          <w:lang w:eastAsia="en-US"/>
        </w:rPr>
      </w:pPr>
    </w:p>
    <w:p w14:paraId="09FE14FD" w14:textId="77777777" w:rsidR="007955CE" w:rsidRPr="007701F9" w:rsidRDefault="007955CE" w:rsidP="009B13F3">
      <w:pPr>
        <w:autoSpaceDE/>
        <w:autoSpaceDN/>
        <w:adjustRightInd/>
        <w:spacing w:after="0"/>
        <w:rPr>
          <w:rFonts w:eastAsia="Calibri"/>
          <w:lang w:eastAsia="en-US"/>
        </w:rPr>
      </w:pPr>
      <w:r w:rsidRPr="007701F9">
        <w:rPr>
          <w:rFonts w:eastAsia="Calibri"/>
          <w:lang w:eastAsia="en-US"/>
        </w:rPr>
        <w:t>Replacing residents with 25% recruited residents (columns H and I), overall number of residents available for analysis would be 388+182 (additional recruits)=570. The mean number of CH residents/ CH (cluster size) will be 11.4. Design effect is now 1+(11.4-1)*0.1=2.04. And the power to detect 0.4 effect size would be 90%.</w:t>
      </w:r>
    </w:p>
    <w:p w14:paraId="7377DA6A" w14:textId="77777777" w:rsidR="007955CE" w:rsidRPr="007701F9" w:rsidRDefault="007955CE" w:rsidP="009B13F3">
      <w:pPr>
        <w:autoSpaceDE/>
        <w:autoSpaceDN/>
        <w:adjustRightInd/>
        <w:spacing w:after="0"/>
        <w:rPr>
          <w:rFonts w:eastAsia="Calibri"/>
          <w:lang w:eastAsia="en-US"/>
        </w:rPr>
      </w:pPr>
    </w:p>
    <w:p w14:paraId="580310AA" w14:textId="77777777" w:rsidR="007955CE" w:rsidRPr="007701F9" w:rsidRDefault="007955CE" w:rsidP="009B13F3">
      <w:pPr>
        <w:autoSpaceDE/>
        <w:autoSpaceDN/>
        <w:adjustRightInd/>
        <w:spacing w:after="0"/>
        <w:rPr>
          <w:rFonts w:eastAsia="Calibri"/>
          <w:lang w:eastAsia="en-US"/>
        </w:rPr>
      </w:pPr>
      <w:r w:rsidRPr="007701F9">
        <w:rPr>
          <w:rFonts w:eastAsia="Calibri"/>
          <w:lang w:eastAsia="en-US"/>
        </w:rPr>
        <w:t xml:space="preserve">All scenarios will achieve the desired effect size with sufficient power. The message to researchers should still be to recruit as many residents as possible in order to minimise bias. We will need to monitor recruitment to ensure we have at least 3 extra residents from each remaining care home. </w:t>
      </w:r>
    </w:p>
    <w:p w14:paraId="08A322DA" w14:textId="77777777" w:rsidR="007955CE" w:rsidRPr="007701F9" w:rsidRDefault="007955CE" w:rsidP="009B13F3">
      <w:pPr>
        <w:autoSpaceDE/>
        <w:autoSpaceDN/>
        <w:adjustRightInd/>
        <w:spacing w:after="0"/>
        <w:rPr>
          <w:rFonts w:eastAsia="Calibri"/>
          <w:lang w:eastAsia="en-US"/>
        </w:rPr>
      </w:pPr>
    </w:p>
    <w:p w14:paraId="757CB78B" w14:textId="77777777" w:rsidR="007955CE" w:rsidRPr="007701F9" w:rsidRDefault="007955CE" w:rsidP="009B13F3">
      <w:pPr>
        <w:autoSpaceDE/>
        <w:autoSpaceDN/>
        <w:adjustRightInd/>
        <w:spacing w:after="0"/>
        <w:rPr>
          <w:rFonts w:eastAsia="Calibri"/>
          <w:lang w:eastAsia="en-US"/>
        </w:rPr>
      </w:pPr>
    </w:p>
    <w:p w14:paraId="4C9A5218" w14:textId="77777777" w:rsidR="007955CE" w:rsidRPr="007701F9" w:rsidRDefault="007955CE" w:rsidP="009B13F3">
      <w:pPr>
        <w:autoSpaceDE/>
        <w:autoSpaceDN/>
        <w:adjustRightInd/>
        <w:spacing w:after="0"/>
        <w:rPr>
          <w:rFonts w:eastAsia="Calibri"/>
          <w:lang w:eastAsia="en-US"/>
        </w:rPr>
      </w:pPr>
      <w:r w:rsidRPr="007701F9">
        <w:rPr>
          <w:rFonts w:eastAsia="Calibri"/>
          <w:lang w:eastAsia="en-US"/>
        </w:rPr>
        <w:t xml:space="preserve">Benefits of this design change are: </w:t>
      </w:r>
    </w:p>
    <w:p w14:paraId="574C53A2" w14:textId="77777777" w:rsidR="007955CE" w:rsidRPr="007701F9" w:rsidRDefault="007955CE" w:rsidP="009B13F3">
      <w:pPr>
        <w:autoSpaceDE/>
        <w:autoSpaceDN/>
        <w:adjustRightInd/>
        <w:spacing w:after="0"/>
        <w:ind w:left="720"/>
        <w:rPr>
          <w:rFonts w:eastAsia="Calibri"/>
          <w:lang w:eastAsia="en-US"/>
        </w:rPr>
      </w:pPr>
      <w:r w:rsidRPr="007701F9">
        <w:rPr>
          <w:rFonts w:eastAsia="Calibri"/>
          <w:lang w:eastAsia="en-US"/>
        </w:rPr>
        <w:t xml:space="preserve">a) we will be able to detect intervention effects at the care home level (as the intervention is aimed at the whole care home); </w:t>
      </w:r>
    </w:p>
    <w:p w14:paraId="263163CA" w14:textId="5339A9CC" w:rsidR="007955CE" w:rsidRPr="007701F9" w:rsidRDefault="007955CE" w:rsidP="009B13F3">
      <w:pPr>
        <w:autoSpaceDE/>
        <w:autoSpaceDN/>
        <w:adjustRightInd/>
        <w:spacing w:after="0"/>
        <w:ind w:left="720"/>
        <w:rPr>
          <w:rFonts w:eastAsia="Calibri"/>
          <w:lang w:eastAsia="en-US"/>
        </w:rPr>
      </w:pPr>
      <w:r w:rsidRPr="007701F9">
        <w:rPr>
          <w:rFonts w:eastAsia="Calibri"/>
          <w:lang w:eastAsia="en-US"/>
        </w:rPr>
        <w:t>b) our conclusions can be generalised to a broader population of residents (i.e. not just to those still residing in the care home 16</w:t>
      </w:r>
      <w:r w:rsidR="00B80810" w:rsidRPr="007701F9">
        <w:rPr>
          <w:rFonts w:eastAsia="Calibri"/>
          <w:lang w:eastAsia="en-US"/>
        </w:rPr>
        <w:t>-month</w:t>
      </w:r>
      <w:r w:rsidRPr="007701F9">
        <w:rPr>
          <w:rFonts w:eastAsia="Calibri"/>
          <w:lang w:eastAsia="en-US"/>
        </w:rPr>
        <w:t xml:space="preserve">s following randomisation); </w:t>
      </w:r>
    </w:p>
    <w:p w14:paraId="4FCE127A" w14:textId="77777777" w:rsidR="007955CE" w:rsidRPr="007701F9" w:rsidRDefault="007955CE" w:rsidP="009B13F3">
      <w:pPr>
        <w:autoSpaceDE/>
        <w:autoSpaceDN/>
        <w:adjustRightInd/>
        <w:spacing w:after="0"/>
        <w:ind w:left="720"/>
        <w:rPr>
          <w:rFonts w:eastAsia="Calibri"/>
          <w:lang w:eastAsia="en-US"/>
        </w:rPr>
      </w:pPr>
      <w:r w:rsidRPr="007701F9">
        <w:rPr>
          <w:rFonts w:eastAsia="Calibri"/>
          <w:lang w:eastAsia="en-US"/>
        </w:rPr>
        <w:t xml:space="preserve">c) we will be able to analyse based on both a cross-sectional (i.e. open cohort) and closed cohort (longitudinal) design; </w:t>
      </w:r>
    </w:p>
    <w:p w14:paraId="2FA7A0D9" w14:textId="77777777" w:rsidR="007955CE" w:rsidRPr="007701F9" w:rsidRDefault="007955CE" w:rsidP="009B13F3">
      <w:pPr>
        <w:autoSpaceDE/>
        <w:autoSpaceDN/>
        <w:adjustRightInd/>
        <w:spacing w:after="0"/>
        <w:ind w:left="720"/>
        <w:rPr>
          <w:rFonts w:eastAsia="Calibri"/>
          <w:lang w:eastAsia="en-US"/>
        </w:rPr>
      </w:pPr>
      <w:r w:rsidRPr="007701F9">
        <w:rPr>
          <w:rFonts w:eastAsia="Calibri"/>
          <w:lang w:eastAsia="en-US"/>
        </w:rPr>
        <w:t xml:space="preserve">d) we will minimise selection bias by providing an objective criterion for inclusion (all eligible consenting residents); </w:t>
      </w:r>
    </w:p>
    <w:p w14:paraId="4CD26618" w14:textId="77777777" w:rsidR="007955CE" w:rsidRPr="007701F9" w:rsidRDefault="007955CE" w:rsidP="009B13F3">
      <w:pPr>
        <w:autoSpaceDE/>
        <w:autoSpaceDN/>
        <w:adjustRightInd/>
        <w:spacing w:after="0"/>
        <w:ind w:left="720"/>
        <w:rPr>
          <w:rFonts w:eastAsia="Calibri"/>
          <w:lang w:eastAsia="en-US"/>
        </w:rPr>
      </w:pPr>
      <w:r w:rsidRPr="007701F9">
        <w:rPr>
          <w:rFonts w:eastAsia="Calibri"/>
          <w:lang w:eastAsia="en-US"/>
        </w:rPr>
        <w:t xml:space="preserve">e) our recruitment process will be resource-effective since all eligible residents can be approached to participate at a single time-point; </w:t>
      </w:r>
    </w:p>
    <w:p w14:paraId="3EA38893" w14:textId="77777777" w:rsidR="007955CE" w:rsidRPr="007701F9" w:rsidRDefault="007955CE" w:rsidP="009B13F3">
      <w:pPr>
        <w:autoSpaceDE/>
        <w:autoSpaceDN/>
        <w:adjustRightInd/>
        <w:spacing w:after="0"/>
        <w:ind w:firstLine="720"/>
        <w:rPr>
          <w:rFonts w:eastAsia="Calibri"/>
          <w:lang w:eastAsia="en-US"/>
        </w:rPr>
      </w:pPr>
      <w:r w:rsidRPr="007701F9">
        <w:rPr>
          <w:rFonts w:eastAsia="Calibri"/>
          <w:lang w:eastAsia="en-US"/>
        </w:rPr>
        <w:t>f) we will be less reliant on assumptions around missing data mechanisms.</w:t>
      </w:r>
    </w:p>
    <w:p w14:paraId="22BB51C9" w14:textId="77777777" w:rsidR="007955CE" w:rsidRPr="007701F9" w:rsidRDefault="007955CE" w:rsidP="009B13F3">
      <w:pPr>
        <w:autoSpaceDE/>
        <w:autoSpaceDN/>
        <w:adjustRightInd/>
        <w:spacing w:after="0"/>
        <w:rPr>
          <w:rFonts w:eastAsia="Calibri"/>
          <w:b/>
          <w:lang w:eastAsia="en-US"/>
        </w:rPr>
      </w:pPr>
    </w:p>
    <w:p w14:paraId="073D5275" w14:textId="77777777" w:rsidR="007955CE" w:rsidRPr="007701F9" w:rsidRDefault="007955CE" w:rsidP="009B13F3">
      <w:pPr>
        <w:autoSpaceDE/>
        <w:autoSpaceDN/>
        <w:adjustRightInd/>
        <w:spacing w:after="0"/>
        <w:rPr>
          <w:rFonts w:eastAsia="Calibri"/>
          <w:lang w:eastAsia="en-US"/>
        </w:rPr>
      </w:pPr>
      <w:r w:rsidRPr="007701F9">
        <w:rPr>
          <w:rFonts w:eastAsia="Calibri"/>
          <w:lang w:eastAsia="en-US"/>
        </w:rPr>
        <w:t>Consideration was given to recruiting only a proportion of eligible residents at each home at 16-months (to increase resident numbers to 75% baseline recruits in line with originally predicted loss to follow-up rates). However the team and oversight committees (TSC and DMEC) agreed that such an option would be open to selection bias, that statistical power and the ability to generalise could be limited by including a ceiling of the number of residents recruited at baseline. Recruitment processes could also be protracted by virtue of allowing time for Personal Consultee response – i.e. should this be negative, further resident-consultee dyads would then need to be approached, so considerably lengthening the recruitment process and adding to researcher workload (and thus cost).</w:t>
      </w:r>
    </w:p>
    <w:p w14:paraId="5690FC17" w14:textId="77777777" w:rsidR="007955CE" w:rsidRPr="007701F9" w:rsidRDefault="007955CE" w:rsidP="009B13F3">
      <w:pPr>
        <w:autoSpaceDE/>
        <w:autoSpaceDN/>
        <w:adjustRightInd/>
        <w:spacing w:after="0"/>
        <w:rPr>
          <w:rFonts w:eastAsia="Calibri"/>
          <w:lang w:eastAsia="en-US"/>
        </w:rPr>
      </w:pPr>
    </w:p>
    <w:p w14:paraId="1323D0EE" w14:textId="77777777" w:rsidR="007955CE" w:rsidRPr="007701F9" w:rsidRDefault="007955CE" w:rsidP="009B13F3">
      <w:pPr>
        <w:autoSpaceDE/>
        <w:autoSpaceDN/>
        <w:adjustRightInd/>
        <w:spacing w:after="0"/>
        <w:rPr>
          <w:rFonts w:eastAsia="Calibri"/>
          <w:lang w:eastAsia="en-US"/>
        </w:rPr>
      </w:pPr>
      <w:r w:rsidRPr="007701F9">
        <w:rPr>
          <w:rFonts w:eastAsia="Calibri"/>
          <w:lang w:eastAsia="en-US"/>
        </w:rPr>
        <w:t>As well as maintaining power and increasing generalisability, this design change incurs minimal additional cost (see ‘justification of funding requested’ section below), compared for example to recruiting additional clusters.</w:t>
      </w:r>
    </w:p>
    <w:p w14:paraId="6012F461" w14:textId="77777777" w:rsidR="007955CE" w:rsidRPr="007701F9" w:rsidRDefault="007955CE" w:rsidP="009B13F3">
      <w:pPr>
        <w:autoSpaceDE/>
        <w:autoSpaceDN/>
        <w:adjustRightInd/>
        <w:spacing w:after="0"/>
        <w:rPr>
          <w:rFonts w:eastAsia="Calibri"/>
          <w:lang w:eastAsia="en-US"/>
        </w:rPr>
      </w:pPr>
    </w:p>
    <w:p w14:paraId="523616BD" w14:textId="77777777" w:rsidR="007955CE" w:rsidRPr="007701F9" w:rsidRDefault="007955CE" w:rsidP="009B13F3">
      <w:pPr>
        <w:autoSpaceDE/>
        <w:autoSpaceDN/>
        <w:adjustRightInd/>
        <w:spacing w:after="0"/>
        <w:rPr>
          <w:rFonts w:eastAsia="Calibri"/>
          <w:lang w:eastAsia="en-US"/>
        </w:rPr>
      </w:pPr>
      <w:r w:rsidRPr="007701F9">
        <w:rPr>
          <w:rFonts w:eastAsia="Calibri"/>
          <w:lang w:eastAsia="en-US"/>
        </w:rPr>
        <w:t>This application for extension and the included options have been discussed in detail at the DMEC and TSC meetings in November and December 2015, respectively, based on the figures presented here. Those committee members supported the open cohort design, with the DMEC recommending it provided we address the risk of selection bias. It should be noted that, as of the beginning of January 2016, we have met our target of randomising 50 care homes but the patterns of loss to follow-up remain unchanged.</w:t>
      </w:r>
    </w:p>
    <w:p w14:paraId="001320EA" w14:textId="77777777" w:rsidR="007955CE" w:rsidRPr="007701F9" w:rsidRDefault="007955CE" w:rsidP="009B13F3">
      <w:pPr>
        <w:autoSpaceDE/>
        <w:autoSpaceDN/>
        <w:adjustRightInd/>
        <w:spacing w:after="0"/>
        <w:rPr>
          <w:rFonts w:eastAsia="Calibri"/>
          <w:lang w:eastAsia="en-US"/>
        </w:rPr>
      </w:pPr>
    </w:p>
    <w:p w14:paraId="78E252B9" w14:textId="77777777" w:rsidR="007955CE" w:rsidRPr="007701F9" w:rsidRDefault="007955CE" w:rsidP="009B13F3">
      <w:pPr>
        <w:autoSpaceDE/>
        <w:autoSpaceDN/>
        <w:adjustRightInd/>
        <w:spacing w:after="0"/>
        <w:rPr>
          <w:rFonts w:eastAsia="Calibri"/>
          <w:lang w:eastAsia="en-US"/>
        </w:rPr>
      </w:pPr>
      <w:r w:rsidRPr="007701F9">
        <w:rPr>
          <w:rFonts w:eastAsia="Calibri"/>
          <w:lang w:eastAsia="en-US"/>
        </w:rPr>
        <w:t xml:space="preserve">We believe approaching </w:t>
      </w:r>
      <w:r w:rsidRPr="007701F9">
        <w:rPr>
          <w:rFonts w:eastAsia="Calibri"/>
          <w:u w:val="single"/>
          <w:lang w:eastAsia="en-US"/>
        </w:rPr>
        <w:t>all</w:t>
      </w:r>
      <w:r w:rsidRPr="007701F9">
        <w:rPr>
          <w:rFonts w:eastAsia="Calibri"/>
          <w:lang w:eastAsia="en-US"/>
        </w:rPr>
        <w:t xml:space="preserve"> eligible residents best addresses the potential threat of selection bias. With additional recruitment of eligible residents we will be able to achieve power of over 90% even if loss to follow-up in the original sample of residents was 50%. Moving to an open cohort design will require additional funding and time to complete the trial – we are requesting an additional 3-months extension to the trial (to end Dec 2017) to allow for the additional analysis and write-up time that will be needed if the design change is approved. We are not requesting additional funding for all co-applicants and trial staff for this period (see reconciliation spreadsheet for details). </w:t>
      </w:r>
    </w:p>
    <w:p w14:paraId="1D8C795F" w14:textId="77777777" w:rsidR="007955CE" w:rsidRPr="007701F9" w:rsidRDefault="007955CE" w:rsidP="009B13F3">
      <w:pPr>
        <w:autoSpaceDE/>
        <w:autoSpaceDN/>
        <w:adjustRightInd/>
        <w:spacing w:after="200"/>
        <w:rPr>
          <w:rFonts w:eastAsia="Calibri"/>
          <w:b/>
          <w:u w:val="single"/>
          <w:lang w:eastAsia="en-US"/>
        </w:rPr>
      </w:pPr>
    </w:p>
    <w:p w14:paraId="311903DC" w14:textId="77777777" w:rsidR="007955CE" w:rsidRPr="007701F9" w:rsidRDefault="007955CE" w:rsidP="009B13F3">
      <w:pPr>
        <w:autoSpaceDE/>
        <w:autoSpaceDN/>
        <w:adjustRightInd/>
        <w:spacing w:after="200"/>
        <w:rPr>
          <w:rFonts w:eastAsia="Calibri"/>
          <w:b/>
          <w:u w:val="single"/>
          <w:lang w:eastAsia="en-US"/>
        </w:rPr>
      </w:pPr>
      <w:r w:rsidRPr="007701F9">
        <w:rPr>
          <w:rFonts w:eastAsia="Calibri"/>
          <w:b/>
          <w:u w:val="single"/>
          <w:lang w:eastAsia="en-US"/>
        </w:rPr>
        <w:t>Impact if approved</w:t>
      </w:r>
    </w:p>
    <w:p w14:paraId="27B5DA4D" w14:textId="77777777" w:rsidR="007955CE" w:rsidRPr="007701F9" w:rsidRDefault="007955CE" w:rsidP="009B13F3">
      <w:pPr>
        <w:autoSpaceDE/>
        <w:autoSpaceDN/>
        <w:adjustRightInd/>
        <w:spacing w:before="120" w:after="0"/>
        <w:rPr>
          <w:rFonts w:eastAsia="Calibri"/>
          <w:lang w:eastAsia="en-US"/>
        </w:rPr>
      </w:pPr>
      <w:r w:rsidRPr="007701F9">
        <w:rPr>
          <w:rFonts w:eastAsia="Calibri"/>
          <w:lang w:eastAsia="en-US"/>
        </w:rPr>
        <w:t>The design change only involves recruiting additional residents from care homes that are already randomised and aware of the requirements of the trial. We envisage that additional trial processes will result in minimal additional burden on care homes.</w:t>
      </w:r>
    </w:p>
    <w:p w14:paraId="06848B7A" w14:textId="77777777" w:rsidR="007955CE" w:rsidRPr="007701F9" w:rsidRDefault="007955CE" w:rsidP="009B13F3">
      <w:pPr>
        <w:autoSpaceDE/>
        <w:autoSpaceDN/>
        <w:adjustRightInd/>
        <w:spacing w:before="120" w:after="0"/>
        <w:rPr>
          <w:rFonts w:eastAsia="Calibri"/>
          <w:lang w:eastAsia="en-US"/>
        </w:rPr>
      </w:pPr>
      <w:r w:rsidRPr="007701F9">
        <w:rPr>
          <w:rFonts w:eastAsia="Calibri"/>
          <w:lang w:eastAsia="en-US"/>
        </w:rPr>
        <w:t>Researchers will be able to combine 16-month follow-up visits to existing care homes (to see existing residents) with recruitment and data collection for newly eligible residents. This reduces researcher burden (when compared to recruiting entirely new care homes), although it does involve additional time at each care home which is costed in a later section of this application.</w:t>
      </w:r>
    </w:p>
    <w:p w14:paraId="25E77015" w14:textId="77777777" w:rsidR="007955CE" w:rsidRPr="007701F9" w:rsidRDefault="007955CE" w:rsidP="009B13F3">
      <w:pPr>
        <w:autoSpaceDE/>
        <w:autoSpaceDN/>
        <w:adjustRightInd/>
        <w:spacing w:before="120" w:after="0"/>
        <w:rPr>
          <w:rFonts w:eastAsia="Calibri"/>
          <w:lang w:eastAsia="en-US"/>
        </w:rPr>
      </w:pPr>
      <w:r w:rsidRPr="007701F9">
        <w:rPr>
          <w:rFonts w:eastAsia="Calibri"/>
          <w:lang w:eastAsia="en-US"/>
        </w:rPr>
        <w:t xml:space="preserve">By implementing an open cohort design we will be able to generalise trial results to a broader group of dementia residents and complete the trial robustly with sufficient power. </w:t>
      </w:r>
    </w:p>
    <w:p w14:paraId="3AC3A847" w14:textId="77777777" w:rsidR="007955CE" w:rsidRPr="007701F9" w:rsidRDefault="007955CE" w:rsidP="009B13F3">
      <w:pPr>
        <w:autoSpaceDE/>
        <w:autoSpaceDN/>
        <w:adjustRightInd/>
        <w:spacing w:after="200"/>
        <w:rPr>
          <w:rFonts w:eastAsia="Calibri"/>
          <w:b/>
          <w:lang w:eastAsia="en-US"/>
        </w:rPr>
      </w:pPr>
    </w:p>
    <w:p w14:paraId="7F1B6CAD" w14:textId="77777777" w:rsidR="007955CE" w:rsidRPr="007701F9" w:rsidRDefault="007955CE" w:rsidP="009B13F3">
      <w:pPr>
        <w:autoSpaceDE/>
        <w:autoSpaceDN/>
        <w:adjustRightInd/>
        <w:spacing w:before="120" w:after="0"/>
        <w:rPr>
          <w:rFonts w:eastAsia="Calibri"/>
          <w:b/>
          <w:u w:val="single"/>
          <w:lang w:eastAsia="en-US"/>
        </w:rPr>
      </w:pPr>
      <w:r w:rsidRPr="007701F9">
        <w:rPr>
          <w:rFonts w:eastAsia="Calibri"/>
          <w:b/>
          <w:u w:val="single"/>
          <w:lang w:eastAsia="en-US"/>
        </w:rPr>
        <w:t>Impact if not approved</w:t>
      </w:r>
    </w:p>
    <w:p w14:paraId="5A253496" w14:textId="77777777" w:rsidR="007955CE" w:rsidRPr="007701F9" w:rsidRDefault="007955CE" w:rsidP="009B13F3">
      <w:pPr>
        <w:autoSpaceDE/>
        <w:autoSpaceDN/>
        <w:adjustRightInd/>
        <w:spacing w:before="120" w:after="0"/>
        <w:rPr>
          <w:rFonts w:eastAsia="Calibri"/>
          <w:lang w:eastAsia="en-US"/>
        </w:rPr>
      </w:pPr>
      <w:r w:rsidRPr="007701F9">
        <w:rPr>
          <w:rFonts w:eastAsia="Calibri"/>
          <w:lang w:eastAsia="en-US"/>
        </w:rPr>
        <w:t>If the request is not approved, high attrition rates may decrease the statistical power, introduce bias in trial reporting and pose a threat to the validity and generalizability of the trial.</w:t>
      </w:r>
    </w:p>
    <w:p w14:paraId="605F558D" w14:textId="77777777" w:rsidR="007955CE" w:rsidRPr="007701F9" w:rsidRDefault="007955CE" w:rsidP="009B13F3">
      <w:pPr>
        <w:autoSpaceDE/>
        <w:autoSpaceDN/>
        <w:adjustRightInd/>
        <w:spacing w:before="120" w:after="0"/>
        <w:rPr>
          <w:rFonts w:eastAsia="Times New Roman"/>
          <w:lang w:eastAsia="en-US"/>
        </w:rPr>
      </w:pPr>
      <w:r w:rsidRPr="007701F9">
        <w:rPr>
          <w:rFonts w:eastAsia="Times New Roman"/>
          <w:lang w:eastAsia="en-US"/>
        </w:rPr>
        <w:t xml:space="preserve">If we continue with the trial with its current design, based on current data the anticipated proportion of residents lost to follow-up (died or moved care home) would be at least 32%. However, only 17/42 (40.5%) care homes have been randomised for more than 6-months. If only those randomised for more than 6-months contributed to the estimation of overall loss to follow-up (as this allows more precise estimates), the predicted loss at 16-months would be 48%. </w:t>
      </w:r>
    </w:p>
    <w:p w14:paraId="4461F41D" w14:textId="77777777" w:rsidR="007955CE" w:rsidRPr="007701F9" w:rsidRDefault="007955CE" w:rsidP="009B13F3">
      <w:pPr>
        <w:autoSpaceDE/>
        <w:autoSpaceDN/>
        <w:adjustRightInd/>
        <w:spacing w:before="120" w:after="0"/>
        <w:rPr>
          <w:rFonts w:eastAsia="Times New Roman"/>
          <w:lang w:eastAsia="en-US"/>
        </w:rPr>
      </w:pPr>
      <w:r w:rsidRPr="007701F9">
        <w:rPr>
          <w:rFonts w:eastAsia="Times New Roman"/>
          <w:lang w:eastAsia="en-US"/>
        </w:rPr>
        <w:t xml:space="preserve">Loss of entire cluster(s) is also a realistic scenario with small clusters being most likely to be lost. Loss of clusters in addition to loss of residents induces further bias, as loss of cluster as a unit of randomisation has greater influence in cluster randomised trial analysis than loss of individual residents. </w:t>
      </w:r>
    </w:p>
    <w:p w14:paraId="7CDED9F8" w14:textId="21AA875A" w:rsidR="007955CE" w:rsidRPr="007955CE" w:rsidRDefault="007955CE" w:rsidP="007701F9">
      <w:pPr>
        <w:pStyle w:val="Tableheading"/>
        <w:rPr>
          <w:rFonts w:eastAsia="Calibri"/>
          <w:lang w:eastAsia="en-US"/>
        </w:rPr>
      </w:pPr>
      <w:bookmarkStart w:id="374" w:name="_Toc948264"/>
      <w:r w:rsidRPr="007955CE">
        <w:rPr>
          <w:rFonts w:eastAsia="Calibri"/>
          <w:lang w:eastAsia="en-US"/>
        </w:rPr>
        <w:t xml:space="preserve">Table </w:t>
      </w:r>
      <w:r w:rsidR="00FD6ACB">
        <w:rPr>
          <w:rFonts w:eastAsia="Calibri"/>
          <w:lang w:eastAsia="en-US"/>
        </w:rPr>
        <w:t>67</w:t>
      </w:r>
      <w:r w:rsidRPr="007955CE">
        <w:rPr>
          <w:rFonts w:eastAsia="Calibri"/>
          <w:lang w:eastAsia="en-US"/>
        </w:rPr>
        <w:t xml:space="preserve">: Effect size detected based on the number of residents at the end of recruitment </w:t>
      </w:r>
      <w:r w:rsidRPr="007701F9">
        <w:t>(variable cluster size with incorporated loss to follow up)</w:t>
      </w:r>
      <w:bookmarkEnd w:id="374"/>
    </w:p>
    <w:tbl>
      <w:tblPr>
        <w:tblStyle w:val="TableGrid6"/>
        <w:tblW w:w="3446" w:type="pct"/>
        <w:tblLook w:val="04A0" w:firstRow="1" w:lastRow="0" w:firstColumn="1" w:lastColumn="0" w:noHBand="0" w:noVBand="1"/>
      </w:tblPr>
      <w:tblGrid>
        <w:gridCol w:w="3410"/>
        <w:gridCol w:w="700"/>
        <w:gridCol w:w="703"/>
        <w:gridCol w:w="700"/>
        <w:gridCol w:w="701"/>
      </w:tblGrid>
      <w:tr w:rsidR="007955CE" w:rsidRPr="007955CE" w14:paraId="2D7734F3" w14:textId="77777777" w:rsidTr="00487663">
        <w:tc>
          <w:tcPr>
            <w:tcW w:w="2744" w:type="pct"/>
            <w:vAlign w:val="bottom"/>
          </w:tcPr>
          <w:p w14:paraId="0C5CEC58" w14:textId="77777777" w:rsidR="007955CE" w:rsidRPr="007955CE" w:rsidRDefault="007955CE" w:rsidP="009B13F3">
            <w:pPr>
              <w:autoSpaceDE/>
              <w:autoSpaceDN/>
              <w:adjustRightInd/>
              <w:spacing w:before="120"/>
              <w:rPr>
                <w:rFonts w:eastAsia="Times New Roman"/>
                <w:sz w:val="20"/>
                <w:szCs w:val="20"/>
                <w:lang w:eastAsia="en-US"/>
              </w:rPr>
            </w:pPr>
            <w:r w:rsidRPr="007955CE">
              <w:rPr>
                <w:rFonts w:eastAsia="Times New Roman"/>
                <w:sz w:val="20"/>
                <w:szCs w:val="20"/>
                <w:lang w:eastAsia="en-US"/>
              </w:rPr>
              <w:t>Number of registered residents at randomisation</w:t>
            </w:r>
          </w:p>
        </w:tc>
        <w:tc>
          <w:tcPr>
            <w:tcW w:w="2256" w:type="pct"/>
            <w:gridSpan w:val="4"/>
            <w:vAlign w:val="bottom"/>
          </w:tcPr>
          <w:p w14:paraId="63E39926" w14:textId="77777777" w:rsidR="007955CE" w:rsidRPr="007955CE" w:rsidRDefault="007955CE" w:rsidP="009B13F3">
            <w:pPr>
              <w:autoSpaceDE/>
              <w:autoSpaceDN/>
              <w:adjustRightInd/>
              <w:spacing w:before="120"/>
              <w:jc w:val="center"/>
              <w:rPr>
                <w:rFonts w:eastAsia="Times New Roman"/>
                <w:sz w:val="20"/>
                <w:szCs w:val="20"/>
                <w:lang w:eastAsia="en-US"/>
              </w:rPr>
            </w:pPr>
            <w:r w:rsidRPr="007955CE">
              <w:rPr>
                <w:rFonts w:eastAsia="Times New Roman"/>
                <w:sz w:val="20"/>
                <w:szCs w:val="20"/>
                <w:lang w:eastAsia="en-US"/>
              </w:rPr>
              <w:t>750</w:t>
            </w:r>
          </w:p>
        </w:tc>
      </w:tr>
      <w:tr w:rsidR="007955CE" w:rsidRPr="007955CE" w14:paraId="101C5568" w14:textId="77777777" w:rsidTr="00487663">
        <w:tc>
          <w:tcPr>
            <w:tcW w:w="2744" w:type="pct"/>
            <w:vAlign w:val="bottom"/>
          </w:tcPr>
          <w:p w14:paraId="51372891" w14:textId="77777777" w:rsidR="007955CE" w:rsidRPr="007955CE" w:rsidRDefault="007955CE" w:rsidP="009B13F3">
            <w:pPr>
              <w:autoSpaceDE/>
              <w:autoSpaceDN/>
              <w:adjustRightInd/>
              <w:spacing w:before="120"/>
              <w:rPr>
                <w:rFonts w:eastAsia="Times New Roman"/>
                <w:sz w:val="20"/>
                <w:szCs w:val="20"/>
                <w:lang w:eastAsia="en-US"/>
              </w:rPr>
            </w:pPr>
            <w:r w:rsidRPr="007955CE">
              <w:rPr>
                <w:rFonts w:eastAsia="Times New Roman"/>
                <w:sz w:val="20"/>
                <w:szCs w:val="20"/>
                <w:lang w:eastAsia="en-US"/>
              </w:rPr>
              <w:t>Loss to follow up</w:t>
            </w:r>
          </w:p>
        </w:tc>
        <w:tc>
          <w:tcPr>
            <w:tcW w:w="1129" w:type="pct"/>
            <w:gridSpan w:val="2"/>
            <w:vAlign w:val="bottom"/>
          </w:tcPr>
          <w:p w14:paraId="4C1C17CB" w14:textId="77777777" w:rsidR="007955CE" w:rsidRPr="007955CE" w:rsidRDefault="007955CE" w:rsidP="009B13F3">
            <w:pPr>
              <w:autoSpaceDE/>
              <w:autoSpaceDN/>
              <w:adjustRightInd/>
              <w:spacing w:before="120"/>
              <w:jc w:val="center"/>
              <w:rPr>
                <w:rFonts w:eastAsia="Times New Roman"/>
                <w:sz w:val="20"/>
                <w:szCs w:val="20"/>
                <w:lang w:eastAsia="en-US"/>
              </w:rPr>
            </w:pPr>
            <w:r w:rsidRPr="007955CE">
              <w:rPr>
                <w:rFonts w:eastAsia="Times New Roman"/>
                <w:sz w:val="20"/>
                <w:szCs w:val="20"/>
                <w:lang w:eastAsia="en-US"/>
              </w:rPr>
              <w:t>32%</w:t>
            </w:r>
          </w:p>
        </w:tc>
        <w:tc>
          <w:tcPr>
            <w:tcW w:w="1127" w:type="pct"/>
            <w:gridSpan w:val="2"/>
            <w:vAlign w:val="bottom"/>
          </w:tcPr>
          <w:p w14:paraId="6CC9ADC5" w14:textId="77777777" w:rsidR="007955CE" w:rsidRPr="007955CE" w:rsidRDefault="007955CE" w:rsidP="009B13F3">
            <w:pPr>
              <w:autoSpaceDE/>
              <w:autoSpaceDN/>
              <w:adjustRightInd/>
              <w:spacing w:before="120"/>
              <w:jc w:val="center"/>
              <w:rPr>
                <w:rFonts w:eastAsia="Times New Roman"/>
                <w:sz w:val="20"/>
                <w:szCs w:val="20"/>
                <w:lang w:eastAsia="en-US"/>
              </w:rPr>
            </w:pPr>
            <w:r w:rsidRPr="007955CE">
              <w:rPr>
                <w:rFonts w:eastAsia="Times New Roman"/>
                <w:sz w:val="20"/>
                <w:szCs w:val="20"/>
                <w:lang w:eastAsia="en-US"/>
              </w:rPr>
              <w:t>48%</w:t>
            </w:r>
          </w:p>
        </w:tc>
      </w:tr>
      <w:tr w:rsidR="007955CE" w:rsidRPr="007955CE" w14:paraId="2ECE67D0" w14:textId="77777777" w:rsidTr="00487663">
        <w:tc>
          <w:tcPr>
            <w:tcW w:w="2744" w:type="pct"/>
            <w:vAlign w:val="bottom"/>
          </w:tcPr>
          <w:p w14:paraId="2A052D8E" w14:textId="77777777" w:rsidR="007955CE" w:rsidRPr="007955CE" w:rsidRDefault="007955CE" w:rsidP="009B13F3">
            <w:pPr>
              <w:autoSpaceDE/>
              <w:autoSpaceDN/>
              <w:adjustRightInd/>
              <w:spacing w:before="120"/>
              <w:rPr>
                <w:rFonts w:eastAsia="Times New Roman"/>
                <w:sz w:val="20"/>
                <w:szCs w:val="20"/>
                <w:lang w:eastAsia="en-US"/>
              </w:rPr>
            </w:pPr>
            <w:r w:rsidRPr="007955CE">
              <w:rPr>
                <w:rFonts w:eastAsia="Times New Roman"/>
                <w:sz w:val="20"/>
                <w:szCs w:val="20"/>
                <w:lang w:eastAsia="en-US"/>
              </w:rPr>
              <w:t>Design effect</w:t>
            </w:r>
          </w:p>
        </w:tc>
        <w:tc>
          <w:tcPr>
            <w:tcW w:w="1129" w:type="pct"/>
            <w:gridSpan w:val="2"/>
            <w:vAlign w:val="bottom"/>
          </w:tcPr>
          <w:p w14:paraId="23B171F6" w14:textId="77777777" w:rsidR="007955CE" w:rsidRPr="007955CE" w:rsidRDefault="007955CE" w:rsidP="009B13F3">
            <w:pPr>
              <w:autoSpaceDE/>
              <w:autoSpaceDN/>
              <w:adjustRightInd/>
              <w:spacing w:before="120"/>
              <w:jc w:val="center"/>
              <w:rPr>
                <w:rFonts w:eastAsia="Times New Roman"/>
                <w:sz w:val="20"/>
                <w:szCs w:val="20"/>
                <w:lang w:eastAsia="en-US"/>
              </w:rPr>
            </w:pPr>
            <w:r w:rsidRPr="007955CE">
              <w:rPr>
                <w:rFonts w:eastAsia="Times New Roman"/>
                <w:sz w:val="20"/>
                <w:szCs w:val="20"/>
                <w:lang w:eastAsia="en-US"/>
              </w:rPr>
              <w:t>1.96</w:t>
            </w:r>
          </w:p>
        </w:tc>
        <w:tc>
          <w:tcPr>
            <w:tcW w:w="1127" w:type="pct"/>
            <w:gridSpan w:val="2"/>
            <w:vAlign w:val="bottom"/>
          </w:tcPr>
          <w:p w14:paraId="696DA7E2" w14:textId="77777777" w:rsidR="007955CE" w:rsidRPr="007955CE" w:rsidRDefault="007955CE" w:rsidP="009B13F3">
            <w:pPr>
              <w:autoSpaceDE/>
              <w:autoSpaceDN/>
              <w:adjustRightInd/>
              <w:spacing w:before="120"/>
              <w:jc w:val="center"/>
              <w:rPr>
                <w:rFonts w:eastAsia="Times New Roman"/>
                <w:sz w:val="20"/>
                <w:szCs w:val="20"/>
                <w:lang w:eastAsia="en-US"/>
              </w:rPr>
            </w:pPr>
            <w:r w:rsidRPr="007955CE">
              <w:rPr>
                <w:rFonts w:eastAsia="Times New Roman"/>
                <w:sz w:val="20"/>
                <w:szCs w:val="20"/>
                <w:lang w:eastAsia="en-US"/>
              </w:rPr>
              <w:t>1.72</w:t>
            </w:r>
          </w:p>
        </w:tc>
      </w:tr>
      <w:tr w:rsidR="007955CE" w:rsidRPr="007955CE" w14:paraId="101EB5B7" w14:textId="77777777" w:rsidTr="00487663">
        <w:tc>
          <w:tcPr>
            <w:tcW w:w="2744" w:type="pct"/>
            <w:vAlign w:val="bottom"/>
          </w:tcPr>
          <w:p w14:paraId="3F7160D1" w14:textId="77777777" w:rsidR="007955CE" w:rsidRPr="007955CE" w:rsidRDefault="007955CE" w:rsidP="009B13F3">
            <w:pPr>
              <w:autoSpaceDE/>
              <w:autoSpaceDN/>
              <w:adjustRightInd/>
              <w:spacing w:before="120"/>
              <w:rPr>
                <w:rFonts w:eastAsia="Times New Roman"/>
                <w:sz w:val="20"/>
                <w:szCs w:val="20"/>
                <w:lang w:eastAsia="en-US"/>
              </w:rPr>
            </w:pPr>
            <w:r w:rsidRPr="007955CE">
              <w:rPr>
                <w:rFonts w:eastAsia="Times New Roman"/>
                <w:sz w:val="20"/>
                <w:szCs w:val="20"/>
                <w:lang w:eastAsia="en-US"/>
              </w:rPr>
              <w:t>Power</w:t>
            </w:r>
          </w:p>
        </w:tc>
        <w:tc>
          <w:tcPr>
            <w:tcW w:w="563" w:type="pct"/>
            <w:vAlign w:val="bottom"/>
          </w:tcPr>
          <w:p w14:paraId="7B9C0BFC" w14:textId="77777777" w:rsidR="007955CE" w:rsidRPr="007955CE" w:rsidRDefault="007955CE" w:rsidP="009B13F3">
            <w:pPr>
              <w:autoSpaceDE/>
              <w:autoSpaceDN/>
              <w:adjustRightInd/>
              <w:spacing w:before="120"/>
              <w:jc w:val="center"/>
              <w:rPr>
                <w:rFonts w:eastAsia="Times New Roman"/>
                <w:sz w:val="20"/>
                <w:szCs w:val="20"/>
                <w:lang w:eastAsia="en-US"/>
              </w:rPr>
            </w:pPr>
            <w:r w:rsidRPr="007955CE">
              <w:rPr>
                <w:rFonts w:eastAsia="Times New Roman"/>
                <w:sz w:val="20"/>
                <w:szCs w:val="20"/>
                <w:lang w:eastAsia="en-US"/>
              </w:rPr>
              <w:t>90%</w:t>
            </w:r>
          </w:p>
        </w:tc>
        <w:tc>
          <w:tcPr>
            <w:tcW w:w="566" w:type="pct"/>
            <w:vAlign w:val="bottom"/>
          </w:tcPr>
          <w:p w14:paraId="2C84CF7D" w14:textId="77777777" w:rsidR="007955CE" w:rsidRPr="007955CE" w:rsidRDefault="007955CE" w:rsidP="009B13F3">
            <w:pPr>
              <w:autoSpaceDE/>
              <w:autoSpaceDN/>
              <w:adjustRightInd/>
              <w:spacing w:before="120"/>
              <w:jc w:val="center"/>
              <w:rPr>
                <w:rFonts w:eastAsia="Times New Roman"/>
                <w:sz w:val="20"/>
                <w:szCs w:val="20"/>
                <w:lang w:eastAsia="en-US"/>
              </w:rPr>
            </w:pPr>
            <w:r w:rsidRPr="007955CE">
              <w:rPr>
                <w:rFonts w:eastAsia="Times New Roman"/>
                <w:sz w:val="20"/>
                <w:szCs w:val="20"/>
                <w:lang w:eastAsia="en-US"/>
              </w:rPr>
              <w:t>80%</w:t>
            </w:r>
          </w:p>
        </w:tc>
        <w:tc>
          <w:tcPr>
            <w:tcW w:w="563" w:type="pct"/>
            <w:vAlign w:val="bottom"/>
          </w:tcPr>
          <w:p w14:paraId="7E18BB82" w14:textId="77777777" w:rsidR="007955CE" w:rsidRPr="007955CE" w:rsidRDefault="007955CE" w:rsidP="009B13F3">
            <w:pPr>
              <w:autoSpaceDE/>
              <w:autoSpaceDN/>
              <w:adjustRightInd/>
              <w:spacing w:before="120"/>
              <w:jc w:val="center"/>
              <w:rPr>
                <w:rFonts w:eastAsia="Times New Roman"/>
                <w:sz w:val="20"/>
                <w:szCs w:val="20"/>
                <w:lang w:eastAsia="en-US"/>
              </w:rPr>
            </w:pPr>
            <w:r w:rsidRPr="007955CE">
              <w:rPr>
                <w:rFonts w:eastAsia="Times New Roman"/>
                <w:sz w:val="20"/>
                <w:szCs w:val="20"/>
                <w:lang w:eastAsia="en-US"/>
              </w:rPr>
              <w:t>90%</w:t>
            </w:r>
          </w:p>
        </w:tc>
        <w:tc>
          <w:tcPr>
            <w:tcW w:w="564" w:type="pct"/>
            <w:vAlign w:val="bottom"/>
          </w:tcPr>
          <w:p w14:paraId="15DE66E9" w14:textId="77777777" w:rsidR="007955CE" w:rsidRPr="007955CE" w:rsidRDefault="007955CE" w:rsidP="009B13F3">
            <w:pPr>
              <w:autoSpaceDE/>
              <w:autoSpaceDN/>
              <w:adjustRightInd/>
              <w:spacing w:before="120"/>
              <w:jc w:val="center"/>
              <w:rPr>
                <w:rFonts w:eastAsia="Times New Roman"/>
                <w:sz w:val="20"/>
                <w:szCs w:val="20"/>
                <w:lang w:eastAsia="en-US"/>
              </w:rPr>
            </w:pPr>
            <w:r w:rsidRPr="007955CE">
              <w:rPr>
                <w:rFonts w:eastAsia="Times New Roman"/>
                <w:sz w:val="20"/>
                <w:szCs w:val="20"/>
                <w:lang w:eastAsia="en-US"/>
              </w:rPr>
              <w:t>80%</w:t>
            </w:r>
          </w:p>
        </w:tc>
      </w:tr>
      <w:tr w:rsidR="007955CE" w:rsidRPr="007955CE" w14:paraId="55261B31" w14:textId="77777777" w:rsidTr="00487663">
        <w:tc>
          <w:tcPr>
            <w:tcW w:w="2744" w:type="pct"/>
            <w:vAlign w:val="bottom"/>
          </w:tcPr>
          <w:p w14:paraId="052DE262" w14:textId="77777777" w:rsidR="007955CE" w:rsidRPr="007955CE" w:rsidRDefault="007955CE" w:rsidP="009B13F3">
            <w:pPr>
              <w:autoSpaceDE/>
              <w:autoSpaceDN/>
              <w:adjustRightInd/>
              <w:spacing w:before="120"/>
              <w:rPr>
                <w:rFonts w:eastAsia="Times New Roman"/>
                <w:sz w:val="20"/>
                <w:szCs w:val="20"/>
                <w:lang w:eastAsia="en-US"/>
              </w:rPr>
            </w:pPr>
            <w:r w:rsidRPr="007955CE">
              <w:rPr>
                <w:rFonts w:eastAsia="Times New Roman"/>
                <w:sz w:val="20"/>
                <w:szCs w:val="20"/>
                <w:lang w:eastAsia="en-US"/>
              </w:rPr>
              <w:t xml:space="preserve">Able to detect </w:t>
            </w:r>
            <w:r w:rsidRPr="007955CE">
              <w:rPr>
                <w:rFonts w:eastAsia="Times New Roman"/>
                <w:b/>
                <w:sz w:val="20"/>
                <w:szCs w:val="20"/>
                <w:lang w:eastAsia="en-US"/>
              </w:rPr>
              <w:t>the effect size</w:t>
            </w:r>
          </w:p>
        </w:tc>
        <w:tc>
          <w:tcPr>
            <w:tcW w:w="563" w:type="pct"/>
            <w:vAlign w:val="bottom"/>
          </w:tcPr>
          <w:p w14:paraId="4C528638" w14:textId="77777777" w:rsidR="007955CE" w:rsidRPr="007955CE" w:rsidRDefault="007955CE" w:rsidP="009B13F3">
            <w:pPr>
              <w:autoSpaceDE/>
              <w:autoSpaceDN/>
              <w:adjustRightInd/>
              <w:spacing w:before="120"/>
              <w:jc w:val="center"/>
              <w:rPr>
                <w:rFonts w:eastAsia="Times New Roman"/>
                <w:b/>
                <w:sz w:val="20"/>
                <w:szCs w:val="20"/>
                <w:lang w:eastAsia="en-US"/>
              </w:rPr>
            </w:pPr>
            <w:r w:rsidRPr="007955CE">
              <w:rPr>
                <w:rFonts w:eastAsia="Times New Roman"/>
                <w:b/>
                <w:sz w:val="20"/>
                <w:szCs w:val="20"/>
                <w:lang w:eastAsia="en-US"/>
              </w:rPr>
              <w:t>0.41</w:t>
            </w:r>
          </w:p>
        </w:tc>
        <w:tc>
          <w:tcPr>
            <w:tcW w:w="566" w:type="pct"/>
            <w:vAlign w:val="bottom"/>
          </w:tcPr>
          <w:p w14:paraId="14F3EA2A" w14:textId="77777777" w:rsidR="007955CE" w:rsidRPr="007955CE" w:rsidRDefault="007955CE" w:rsidP="009B13F3">
            <w:pPr>
              <w:autoSpaceDE/>
              <w:autoSpaceDN/>
              <w:adjustRightInd/>
              <w:spacing w:before="120"/>
              <w:jc w:val="center"/>
              <w:rPr>
                <w:rFonts w:eastAsia="Times New Roman"/>
                <w:b/>
                <w:sz w:val="20"/>
                <w:szCs w:val="20"/>
                <w:lang w:eastAsia="en-US"/>
              </w:rPr>
            </w:pPr>
            <w:r w:rsidRPr="007955CE">
              <w:rPr>
                <w:rFonts w:eastAsia="Times New Roman"/>
                <w:b/>
                <w:sz w:val="20"/>
                <w:szCs w:val="20"/>
                <w:lang w:eastAsia="en-US"/>
              </w:rPr>
              <w:t>0.36</w:t>
            </w:r>
          </w:p>
        </w:tc>
        <w:tc>
          <w:tcPr>
            <w:tcW w:w="563" w:type="pct"/>
            <w:vAlign w:val="bottom"/>
          </w:tcPr>
          <w:p w14:paraId="6C6AFC3C" w14:textId="77777777" w:rsidR="007955CE" w:rsidRPr="007955CE" w:rsidRDefault="007955CE" w:rsidP="009B13F3">
            <w:pPr>
              <w:autoSpaceDE/>
              <w:autoSpaceDN/>
              <w:adjustRightInd/>
              <w:spacing w:before="120"/>
              <w:jc w:val="center"/>
              <w:rPr>
                <w:rFonts w:eastAsia="Times New Roman"/>
                <w:b/>
                <w:sz w:val="20"/>
                <w:szCs w:val="20"/>
                <w:lang w:eastAsia="en-US"/>
              </w:rPr>
            </w:pPr>
            <w:r w:rsidRPr="007955CE">
              <w:rPr>
                <w:rFonts w:eastAsia="Times New Roman"/>
                <w:b/>
                <w:sz w:val="20"/>
                <w:szCs w:val="20"/>
                <w:lang w:eastAsia="en-US"/>
              </w:rPr>
              <w:t>0.45</w:t>
            </w:r>
          </w:p>
        </w:tc>
        <w:tc>
          <w:tcPr>
            <w:tcW w:w="564" w:type="pct"/>
            <w:vAlign w:val="bottom"/>
          </w:tcPr>
          <w:p w14:paraId="5F5B85BA" w14:textId="77777777" w:rsidR="007955CE" w:rsidRPr="007955CE" w:rsidRDefault="007955CE" w:rsidP="009B13F3">
            <w:pPr>
              <w:autoSpaceDE/>
              <w:autoSpaceDN/>
              <w:adjustRightInd/>
              <w:spacing w:before="120"/>
              <w:jc w:val="center"/>
              <w:rPr>
                <w:rFonts w:eastAsia="Times New Roman"/>
                <w:b/>
                <w:sz w:val="20"/>
                <w:szCs w:val="20"/>
                <w:lang w:eastAsia="en-US"/>
              </w:rPr>
            </w:pPr>
            <w:r w:rsidRPr="007955CE">
              <w:rPr>
                <w:rFonts w:eastAsia="Times New Roman"/>
                <w:b/>
                <w:sz w:val="20"/>
                <w:szCs w:val="20"/>
                <w:lang w:eastAsia="en-US"/>
              </w:rPr>
              <w:t>0.39</w:t>
            </w:r>
          </w:p>
        </w:tc>
      </w:tr>
    </w:tbl>
    <w:p w14:paraId="1555E5D4" w14:textId="774F8EDF" w:rsidR="007955CE" w:rsidRDefault="007955CE" w:rsidP="009B13F3">
      <w:pPr>
        <w:autoSpaceDE/>
        <w:autoSpaceDN/>
        <w:adjustRightInd/>
        <w:spacing w:before="120" w:after="0"/>
        <w:rPr>
          <w:rFonts w:eastAsia="Times New Roman"/>
          <w:sz w:val="20"/>
          <w:szCs w:val="20"/>
          <w:lang w:eastAsia="en-US"/>
        </w:rPr>
      </w:pPr>
      <w:r w:rsidRPr="007701F9">
        <w:rPr>
          <w:rFonts w:eastAsia="Times New Roman"/>
          <w:lang w:eastAsia="en-US"/>
        </w:rPr>
        <w:t>The design effect (due to clustering of resident outcomes within care homes) is lower with higher loss to follow-up because the available mean cluster size at follow-up is smaller. However, high losses to follow-up with loss of entire clusters threaten the validity of the trial, introduce bi</w:t>
      </w:r>
      <w:r w:rsidR="00EC0517" w:rsidRPr="007701F9">
        <w:rPr>
          <w:rFonts w:eastAsia="Times New Roman"/>
          <w:lang w:eastAsia="en-US"/>
        </w:rPr>
        <w:t>as and affect generalisability</w:t>
      </w:r>
      <w:r w:rsidR="00EC0517">
        <w:rPr>
          <w:rFonts w:eastAsia="Times New Roman"/>
          <w:sz w:val="20"/>
          <w:szCs w:val="20"/>
          <w:lang w:eastAsia="en-US"/>
        </w:rPr>
        <w:t>.</w:t>
      </w:r>
    </w:p>
    <w:p w14:paraId="0AA3BCE5" w14:textId="517C73D7" w:rsidR="00684382" w:rsidRDefault="00684382" w:rsidP="009B13F3">
      <w:pPr>
        <w:autoSpaceDE/>
        <w:autoSpaceDN/>
        <w:adjustRightInd/>
        <w:rPr>
          <w:rFonts w:eastAsia="Times New Roman"/>
          <w:sz w:val="20"/>
          <w:szCs w:val="20"/>
          <w:lang w:eastAsia="en-US"/>
        </w:rPr>
      </w:pPr>
    </w:p>
    <w:sectPr w:rsidR="00684382" w:rsidSect="008E05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5633" w14:textId="77777777" w:rsidR="00411708" w:rsidRDefault="00411708" w:rsidP="00480E7A">
      <w:pPr>
        <w:spacing w:after="0" w:line="240" w:lineRule="auto"/>
      </w:pPr>
      <w:r>
        <w:separator/>
      </w:r>
    </w:p>
  </w:endnote>
  <w:endnote w:type="continuationSeparator" w:id="0">
    <w:p w14:paraId="13EDA2C1" w14:textId="77777777" w:rsidR="00411708" w:rsidRDefault="00411708" w:rsidP="0048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818315"/>
      <w:docPartObj>
        <w:docPartGallery w:val="Page Numbers (Bottom of Page)"/>
        <w:docPartUnique/>
      </w:docPartObj>
    </w:sdtPr>
    <w:sdtEndPr>
      <w:rPr>
        <w:noProof/>
      </w:rPr>
    </w:sdtEndPr>
    <w:sdtContent>
      <w:p w14:paraId="367AFCC0" w14:textId="0D90D201" w:rsidR="00411708" w:rsidRDefault="00411708">
        <w:pPr>
          <w:pStyle w:val="Footer"/>
          <w:jc w:val="center"/>
        </w:pPr>
        <w:r>
          <w:fldChar w:fldCharType="begin"/>
        </w:r>
        <w:r>
          <w:instrText xml:space="preserve"> PAGE   \* MERGEFORMAT </w:instrText>
        </w:r>
        <w:r>
          <w:fldChar w:fldCharType="separate"/>
        </w:r>
        <w:r w:rsidR="00D53D38">
          <w:rPr>
            <w:noProof/>
          </w:rPr>
          <w:t>45</w:t>
        </w:r>
        <w:r>
          <w:rPr>
            <w:noProof/>
          </w:rPr>
          <w:fldChar w:fldCharType="end"/>
        </w:r>
      </w:p>
    </w:sdtContent>
  </w:sdt>
  <w:p w14:paraId="0DBA22CB" w14:textId="77777777" w:rsidR="00411708" w:rsidRDefault="00411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841911"/>
      <w:docPartObj>
        <w:docPartGallery w:val="Page Numbers (Bottom of Page)"/>
        <w:docPartUnique/>
      </w:docPartObj>
    </w:sdtPr>
    <w:sdtEndPr>
      <w:rPr>
        <w:noProof/>
      </w:rPr>
    </w:sdtEndPr>
    <w:sdtContent>
      <w:p w14:paraId="51B3C38D" w14:textId="5A0F04FA" w:rsidR="00411708" w:rsidRDefault="00411708">
        <w:pPr>
          <w:pStyle w:val="Footer"/>
          <w:jc w:val="center"/>
        </w:pPr>
        <w:r>
          <w:fldChar w:fldCharType="begin"/>
        </w:r>
        <w:r>
          <w:instrText xml:space="preserve"> PAGE   \* MERGEFORMAT </w:instrText>
        </w:r>
        <w:r>
          <w:fldChar w:fldCharType="separate"/>
        </w:r>
        <w:r w:rsidR="003A6740">
          <w:rPr>
            <w:noProof/>
          </w:rPr>
          <w:t>100</w:t>
        </w:r>
        <w:r>
          <w:rPr>
            <w:noProof/>
          </w:rPr>
          <w:fldChar w:fldCharType="end"/>
        </w:r>
      </w:p>
    </w:sdtContent>
  </w:sdt>
  <w:p w14:paraId="3CE7DFE2" w14:textId="77777777" w:rsidR="00411708" w:rsidRDefault="00411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672178"/>
      <w:docPartObj>
        <w:docPartGallery w:val="Page Numbers (Bottom of Page)"/>
        <w:docPartUnique/>
      </w:docPartObj>
    </w:sdtPr>
    <w:sdtEndPr>
      <w:rPr>
        <w:noProof/>
      </w:rPr>
    </w:sdtEndPr>
    <w:sdtContent>
      <w:p w14:paraId="49797E46" w14:textId="6EB1CFE1" w:rsidR="00411708" w:rsidRDefault="00411708">
        <w:pPr>
          <w:pStyle w:val="Footer"/>
          <w:jc w:val="right"/>
        </w:pPr>
        <w:r>
          <w:fldChar w:fldCharType="begin"/>
        </w:r>
        <w:r>
          <w:instrText xml:space="preserve"> PAGE   \* MERGEFORMAT </w:instrText>
        </w:r>
        <w:r>
          <w:fldChar w:fldCharType="separate"/>
        </w:r>
        <w:r w:rsidR="003A6740">
          <w:rPr>
            <w:noProof/>
          </w:rPr>
          <w:t>239</w:t>
        </w:r>
        <w:r>
          <w:rPr>
            <w:noProof/>
          </w:rPr>
          <w:fldChar w:fldCharType="end"/>
        </w:r>
      </w:p>
    </w:sdtContent>
  </w:sdt>
  <w:p w14:paraId="54EE2416" w14:textId="77777777" w:rsidR="00411708" w:rsidRDefault="00411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D7D45" w14:textId="77777777" w:rsidR="00411708" w:rsidRDefault="00411708" w:rsidP="00480E7A">
      <w:pPr>
        <w:spacing w:after="0" w:line="240" w:lineRule="auto"/>
      </w:pPr>
      <w:r>
        <w:separator/>
      </w:r>
    </w:p>
  </w:footnote>
  <w:footnote w:type="continuationSeparator" w:id="0">
    <w:p w14:paraId="0CC443C9" w14:textId="77777777" w:rsidR="00411708" w:rsidRDefault="00411708" w:rsidP="00480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F88C" w14:textId="1D444FC4" w:rsidR="003A6740" w:rsidRDefault="003A6740">
    <w:pPr>
      <w:pStyle w:val="Header"/>
    </w:pPr>
    <w:r w:rsidRPr="003A6740">
      <w:t>Health Technology Assessment Accepted version 20.2.19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D9B7" w14:textId="5ED0F2C8" w:rsidR="00411708" w:rsidRPr="00AB4DF2" w:rsidRDefault="00411708" w:rsidP="00AB4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10D3" w14:textId="77777777" w:rsidR="00411708" w:rsidRDefault="00411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73EF2"/>
    <w:multiLevelType w:val="hybridMultilevel"/>
    <w:tmpl w:val="F63617DE"/>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977475F"/>
    <w:multiLevelType w:val="hybridMultilevel"/>
    <w:tmpl w:val="ECD64C84"/>
    <w:lvl w:ilvl="0" w:tplc="7B643F52">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C0657"/>
    <w:multiLevelType w:val="hybridMultilevel"/>
    <w:tmpl w:val="C554ABBA"/>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707D73"/>
    <w:multiLevelType w:val="hybridMultilevel"/>
    <w:tmpl w:val="B4AA5ACC"/>
    <w:lvl w:ilvl="0" w:tplc="ECC60C2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9160E"/>
    <w:multiLevelType w:val="multilevel"/>
    <w:tmpl w:val="74648D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C82013"/>
    <w:multiLevelType w:val="hybridMultilevel"/>
    <w:tmpl w:val="2116CB0C"/>
    <w:lvl w:ilvl="0" w:tplc="07E2D13A">
      <w:start w:val="1"/>
      <w:numFmt w:val="decimal"/>
      <w:lvlText w:val="%1."/>
      <w:lvlJc w:val="left"/>
      <w:pPr>
        <w:ind w:left="360" w:hanging="360"/>
      </w:pPr>
      <w:rPr>
        <w:rFonts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460D6E"/>
    <w:multiLevelType w:val="hybridMultilevel"/>
    <w:tmpl w:val="E624A950"/>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D3CDB"/>
    <w:multiLevelType w:val="hybridMultilevel"/>
    <w:tmpl w:val="E624A950"/>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C1205"/>
    <w:multiLevelType w:val="hybridMultilevel"/>
    <w:tmpl w:val="AE50BF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C7CB8"/>
    <w:multiLevelType w:val="hybridMultilevel"/>
    <w:tmpl w:val="DB562D88"/>
    <w:lvl w:ilvl="0" w:tplc="4C62D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04418"/>
    <w:multiLevelType w:val="hybridMultilevel"/>
    <w:tmpl w:val="291A41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5043C1"/>
    <w:multiLevelType w:val="hybridMultilevel"/>
    <w:tmpl w:val="83E800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97A43"/>
    <w:multiLevelType w:val="hybridMultilevel"/>
    <w:tmpl w:val="38B2766E"/>
    <w:lvl w:ilvl="0" w:tplc="ECC60C2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F7B4E"/>
    <w:multiLevelType w:val="hybridMultilevel"/>
    <w:tmpl w:val="46A6CE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B0720E"/>
    <w:multiLevelType w:val="hybridMultilevel"/>
    <w:tmpl w:val="19F07046"/>
    <w:lvl w:ilvl="0" w:tplc="ECC60C28">
      <w:numFmt w:val="bullet"/>
      <w:lvlText w:val="-"/>
      <w:lvlJc w:val="left"/>
      <w:pPr>
        <w:ind w:left="720" w:hanging="360"/>
      </w:pPr>
      <w:rPr>
        <w:rFonts w:ascii="Calibri" w:eastAsia="Calibri" w:hAnsi="Calibri" w:cs="Arial" w:hint="default"/>
        <w:b/>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67521"/>
    <w:multiLevelType w:val="hybridMultilevel"/>
    <w:tmpl w:val="6F36D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016891"/>
    <w:multiLevelType w:val="hybridMultilevel"/>
    <w:tmpl w:val="A6BAB98E"/>
    <w:lvl w:ilvl="0" w:tplc="ECC60C2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94BC2"/>
    <w:multiLevelType w:val="hybridMultilevel"/>
    <w:tmpl w:val="0B98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964EB"/>
    <w:multiLevelType w:val="hybridMultilevel"/>
    <w:tmpl w:val="C118611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9CD727A"/>
    <w:multiLevelType w:val="multilevel"/>
    <w:tmpl w:val="EF9E2504"/>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D13BCF"/>
    <w:multiLevelType w:val="hybridMultilevel"/>
    <w:tmpl w:val="20047C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7E56B1"/>
    <w:multiLevelType w:val="hybridMultilevel"/>
    <w:tmpl w:val="00BEFB4E"/>
    <w:lvl w:ilvl="0" w:tplc="3D5A0C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866E06"/>
    <w:multiLevelType w:val="hybridMultilevel"/>
    <w:tmpl w:val="4C5828D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CE61C54"/>
    <w:multiLevelType w:val="hybridMultilevel"/>
    <w:tmpl w:val="85EE9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11E5E"/>
    <w:multiLevelType w:val="hybridMultilevel"/>
    <w:tmpl w:val="069CE1FC"/>
    <w:lvl w:ilvl="0" w:tplc="ECC60C28">
      <w:numFmt w:val="bullet"/>
      <w:lvlText w:val="-"/>
      <w:lvlJc w:val="left"/>
      <w:pPr>
        <w:ind w:left="720" w:hanging="360"/>
      </w:pPr>
      <w:rPr>
        <w:rFonts w:ascii="Calibri" w:eastAsia="Calibri" w:hAnsi="Calibri"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3672E7"/>
    <w:multiLevelType w:val="hybridMultilevel"/>
    <w:tmpl w:val="98626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C34E34"/>
    <w:multiLevelType w:val="hybridMultilevel"/>
    <w:tmpl w:val="67103B3C"/>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78435F"/>
    <w:multiLevelType w:val="hybridMultilevel"/>
    <w:tmpl w:val="FC5611D4"/>
    <w:lvl w:ilvl="0" w:tplc="ECC60C28">
      <w:numFmt w:val="bullet"/>
      <w:lvlText w:val="-"/>
      <w:lvlJc w:val="left"/>
      <w:pPr>
        <w:ind w:left="360" w:hanging="360"/>
      </w:pPr>
      <w:rPr>
        <w:rFonts w:ascii="Calibri" w:eastAsia="Calibri"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E309C7"/>
    <w:multiLevelType w:val="hybridMultilevel"/>
    <w:tmpl w:val="57421B54"/>
    <w:lvl w:ilvl="0" w:tplc="08090001">
      <w:start w:val="1"/>
      <w:numFmt w:val="bullet"/>
      <w:lvlText w:val=""/>
      <w:lvlJc w:val="left"/>
      <w:pPr>
        <w:ind w:left="720" w:hanging="360"/>
      </w:pPr>
      <w:rPr>
        <w:rFonts w:ascii="Symbol" w:hAnsi="Symbol" w:hint="default"/>
      </w:rPr>
    </w:lvl>
    <w:lvl w:ilvl="1" w:tplc="A712D8F2">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D1B9B"/>
    <w:multiLevelType w:val="hybridMultilevel"/>
    <w:tmpl w:val="73F63A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C7AB6"/>
    <w:multiLevelType w:val="hybridMultilevel"/>
    <w:tmpl w:val="375AD614"/>
    <w:lvl w:ilvl="0" w:tplc="E396AD9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B9700D"/>
    <w:multiLevelType w:val="hybridMultilevel"/>
    <w:tmpl w:val="5FF829E4"/>
    <w:lvl w:ilvl="0" w:tplc="08090003">
      <w:start w:val="1"/>
      <w:numFmt w:val="bullet"/>
      <w:lvlText w:val="o"/>
      <w:lvlJc w:val="left"/>
      <w:pPr>
        <w:ind w:left="1080" w:hanging="360"/>
      </w:pPr>
      <w:rPr>
        <w:rFonts w:ascii="Courier New" w:hAnsi="Courier New" w:cs="Courier New" w:hint="default"/>
      </w:rPr>
    </w:lvl>
    <w:lvl w:ilvl="1" w:tplc="F82085D0">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C769A1"/>
    <w:multiLevelType w:val="hybridMultilevel"/>
    <w:tmpl w:val="181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D5EE5"/>
    <w:multiLevelType w:val="hybridMultilevel"/>
    <w:tmpl w:val="DA9E6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5200E"/>
    <w:multiLevelType w:val="hybridMultilevel"/>
    <w:tmpl w:val="E7CE72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1"/>
  </w:num>
  <w:num w:numId="3">
    <w:abstractNumId w:val="34"/>
  </w:num>
  <w:num w:numId="4">
    <w:abstractNumId w:val="36"/>
  </w:num>
  <w:num w:numId="5">
    <w:abstractNumId w:val="8"/>
  </w:num>
  <w:num w:numId="6">
    <w:abstractNumId w:val="3"/>
  </w:num>
  <w:num w:numId="7">
    <w:abstractNumId w:val="32"/>
  </w:num>
  <w:num w:numId="8">
    <w:abstractNumId w:val="1"/>
  </w:num>
  <w:num w:numId="9">
    <w:abstractNumId w:val="0"/>
  </w:num>
  <w:num w:numId="10">
    <w:abstractNumId w:val="20"/>
  </w:num>
  <w:num w:numId="11">
    <w:abstractNumId w:val="9"/>
  </w:num>
  <w:num w:numId="12">
    <w:abstractNumId w:val="21"/>
  </w:num>
  <w:num w:numId="13">
    <w:abstractNumId w:val="19"/>
  </w:num>
  <w:num w:numId="14">
    <w:abstractNumId w:val="10"/>
  </w:num>
  <w:num w:numId="15">
    <w:abstractNumId w:val="31"/>
  </w:num>
  <w:num w:numId="16">
    <w:abstractNumId w:val="6"/>
  </w:num>
  <w:num w:numId="17">
    <w:abstractNumId w:val="7"/>
  </w:num>
  <w:num w:numId="18">
    <w:abstractNumId w:val="26"/>
  </w:num>
  <w:num w:numId="19">
    <w:abstractNumId w:val="14"/>
  </w:num>
  <w:num w:numId="20">
    <w:abstractNumId w:val="5"/>
  </w:num>
  <w:num w:numId="21">
    <w:abstractNumId w:val="28"/>
  </w:num>
  <w:num w:numId="22">
    <w:abstractNumId w:val="16"/>
  </w:num>
  <w:num w:numId="23">
    <w:abstractNumId w:val="33"/>
  </w:num>
  <w:num w:numId="24">
    <w:abstractNumId w:val="17"/>
  </w:num>
  <w:num w:numId="25">
    <w:abstractNumId w:val="27"/>
  </w:num>
  <w:num w:numId="26">
    <w:abstractNumId w:val="22"/>
  </w:num>
  <w:num w:numId="27">
    <w:abstractNumId w:val="12"/>
  </w:num>
  <w:num w:numId="28">
    <w:abstractNumId w:val="15"/>
  </w:num>
  <w:num w:numId="29">
    <w:abstractNumId w:val="2"/>
  </w:num>
  <w:num w:numId="30">
    <w:abstractNumId w:val="29"/>
  </w:num>
  <w:num w:numId="31">
    <w:abstractNumId w:val="4"/>
  </w:num>
  <w:num w:numId="32">
    <w:abstractNumId w:val="18"/>
  </w:num>
  <w:num w:numId="33">
    <w:abstractNumId w:val="24"/>
  </w:num>
  <w:num w:numId="34">
    <w:abstractNumId w:val="30"/>
  </w:num>
  <w:num w:numId="35">
    <w:abstractNumId w:val="25"/>
  </w:num>
  <w:num w:numId="36">
    <w:abstractNumId w:val="35"/>
  </w:num>
  <w:num w:numId="3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styleLockTheme/>
  <w:styleLockQFSet/>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R Journals Library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rxwptv75dtdree0t5x2ptmvadptw5fr2ww&quot;&gt;Claire&amp;apos;s library Copy-Converted-Saved&lt;record-ids&gt;&lt;item&gt;130&lt;/item&gt;&lt;item&gt;146&lt;/item&gt;&lt;item&gt;273&lt;/item&gt;&lt;item&gt;275&lt;/item&gt;&lt;item&gt;276&lt;/item&gt;&lt;item&gt;282&lt;/item&gt;&lt;item&gt;288&lt;/item&gt;&lt;item&gt;300&lt;/item&gt;&lt;item&gt;301&lt;/item&gt;&lt;item&gt;313&lt;/item&gt;&lt;item&gt;314&lt;/item&gt;&lt;item&gt;315&lt;/item&gt;&lt;item&gt;346&lt;/item&gt;&lt;item&gt;492&lt;/item&gt;&lt;item&gt;506&lt;/item&gt;&lt;item&gt;781&lt;/item&gt;&lt;item&gt;826&lt;/item&gt;&lt;item&gt;832&lt;/item&gt;&lt;item&gt;841&lt;/item&gt;&lt;item&gt;843&lt;/item&gt;&lt;item&gt;844&lt;/item&gt;&lt;item&gt;845&lt;/item&gt;&lt;item&gt;852&lt;/item&gt;&lt;item&gt;886&lt;/item&gt;&lt;item&gt;1015&lt;/item&gt;&lt;item&gt;1027&lt;/item&gt;&lt;item&gt;1032&lt;/item&gt;&lt;item&gt;1058&lt;/item&gt;&lt;item&gt;1062&lt;/item&gt;&lt;item&gt;1063&lt;/item&gt;&lt;item&gt;1069&lt;/item&gt;&lt;item&gt;1070&lt;/item&gt;&lt;item&gt;1073&lt;/item&gt;&lt;item&gt;1087&lt;/item&gt;&lt;item&gt;1092&lt;/item&gt;&lt;item&gt;1101&lt;/item&gt;&lt;item&gt;1102&lt;/item&gt;&lt;item&gt;1108&lt;/item&gt;&lt;item&gt;1109&lt;/item&gt;&lt;item&gt;1112&lt;/item&gt;&lt;item&gt;1113&lt;/item&gt;&lt;item&gt;1114&lt;/item&gt;&lt;item&gt;1117&lt;/item&gt;&lt;item&gt;1118&lt;/item&gt;&lt;item&gt;1119&lt;/item&gt;&lt;item&gt;1121&lt;/item&gt;&lt;item&gt;1122&lt;/item&gt;&lt;item&gt;1123&lt;/item&gt;&lt;item&gt;1124&lt;/item&gt;&lt;item&gt;1127&lt;/item&gt;&lt;item&gt;1128&lt;/item&gt;&lt;item&gt;1129&lt;/item&gt;&lt;item&gt;1130&lt;/item&gt;&lt;item&gt;1131&lt;/item&gt;&lt;item&gt;1132&lt;/item&gt;&lt;item&gt;1133&lt;/item&gt;&lt;item&gt;1134&lt;/item&gt;&lt;item&gt;1135&lt;/item&gt;&lt;item&gt;1136&lt;/item&gt;&lt;item&gt;1137&lt;/item&gt;&lt;item&gt;1138&lt;/item&gt;&lt;item&gt;1139&lt;/item&gt;&lt;item&gt;1141&lt;/item&gt;&lt;item&gt;1150&lt;/item&gt;&lt;item&gt;1151&lt;/item&gt;&lt;item&gt;1152&lt;/item&gt;&lt;item&gt;1153&lt;/item&gt;&lt;item&gt;1155&lt;/item&gt;&lt;item&gt;1156&lt;/item&gt;&lt;item&gt;1157&lt;/item&gt;&lt;item&gt;1159&lt;/item&gt;&lt;item&gt;1160&lt;/item&gt;&lt;item&gt;1161&lt;/item&gt;&lt;item&gt;1162&lt;/item&gt;&lt;item&gt;1163&lt;/item&gt;&lt;item&gt;1164&lt;/item&gt;&lt;item&gt;1165&lt;/item&gt;&lt;item&gt;1166&lt;/item&gt;&lt;item&gt;1167&lt;/item&gt;&lt;item&gt;1168&lt;/item&gt;&lt;item&gt;1169&lt;/item&gt;&lt;item&gt;1170&lt;/item&gt;&lt;item&gt;1171&lt;/item&gt;&lt;item&gt;1172&lt;/item&gt;&lt;item&gt;1173&lt;/item&gt;&lt;item&gt;1176&lt;/item&gt;&lt;item&gt;1179&lt;/item&gt;&lt;item&gt;1181&lt;/item&gt;&lt;item&gt;1184&lt;/item&gt;&lt;item&gt;1186&lt;/item&gt;&lt;item&gt;1187&lt;/item&gt;&lt;item&gt;1188&lt;/item&gt;&lt;item&gt;1189&lt;/item&gt;&lt;item&gt;1190&lt;/item&gt;&lt;item&gt;1191&lt;/item&gt;&lt;item&gt;1193&lt;/item&gt;&lt;item&gt;1195&lt;/item&gt;&lt;item&gt;1196&lt;/item&gt;&lt;item&gt;1199&lt;/item&gt;&lt;item&gt;1202&lt;/item&gt;&lt;item&gt;1203&lt;/item&gt;&lt;item&gt;1204&lt;/item&gt;&lt;item&gt;1205&lt;/item&gt;&lt;item&gt;1206&lt;/item&gt;&lt;item&gt;1208&lt;/item&gt;&lt;item&gt;1209&lt;/item&gt;&lt;item&gt;1210&lt;/item&gt;&lt;item&gt;1223&lt;/item&gt;&lt;item&gt;1225&lt;/item&gt;&lt;item&gt;1334&lt;/item&gt;&lt;item&gt;1337&lt;/item&gt;&lt;item&gt;1392&lt;/item&gt;&lt;item&gt;1405&lt;/item&gt;&lt;item&gt;1406&lt;/item&gt;&lt;item&gt;1407&lt;/item&gt;&lt;item&gt;1408&lt;/item&gt;&lt;item&gt;1522&lt;/item&gt;&lt;item&gt;1524&lt;/item&gt;&lt;item&gt;1536&lt;/item&gt;&lt;item&gt;1651&lt;/item&gt;&lt;item&gt;1704&lt;/item&gt;&lt;item&gt;1726&lt;/item&gt;&lt;item&gt;1730&lt;/item&gt;&lt;item&gt;1731&lt;/item&gt;&lt;item&gt;1732&lt;/item&gt;&lt;item&gt;1741&lt;/item&gt;&lt;item&gt;1774&lt;/item&gt;&lt;item&gt;1775&lt;/item&gt;&lt;item&gt;1776&lt;/item&gt;&lt;item&gt;1777&lt;/item&gt;&lt;item&gt;1778&lt;/item&gt;&lt;item&gt;1779&lt;/item&gt;&lt;item&gt;1780&lt;/item&gt;&lt;item&gt;1782&lt;/item&gt;&lt;item&gt;1796&lt;/item&gt;&lt;item&gt;1797&lt;/item&gt;&lt;item&gt;1798&lt;/item&gt;&lt;item&gt;1799&lt;/item&gt;&lt;item&gt;1800&lt;/item&gt;&lt;item&gt;1808&lt;/item&gt;&lt;item&gt;1809&lt;/item&gt;&lt;item&gt;1810&lt;/item&gt;&lt;item&gt;1811&lt;/item&gt;&lt;item&gt;1812&lt;/item&gt;&lt;item&gt;1813&lt;/item&gt;&lt;item&gt;1814&lt;/item&gt;&lt;item&gt;1815&lt;/item&gt;&lt;item&gt;1816&lt;/item&gt;&lt;item&gt;1817&lt;/item&gt;&lt;item&gt;1852&lt;/item&gt;&lt;item&gt;1855&lt;/item&gt;&lt;item&gt;1864&lt;/item&gt;&lt;item&gt;1865&lt;/item&gt;&lt;item&gt;1872&lt;/item&gt;&lt;item&gt;1918&lt;/item&gt;&lt;item&gt;1919&lt;/item&gt;&lt;item&gt;1971&lt;/item&gt;&lt;/record-ids&gt;&lt;/item&gt;&lt;/Libraries&gt;"/>
  </w:docVars>
  <w:rsids>
    <w:rsidRoot w:val="004765FE"/>
    <w:rsid w:val="00002B88"/>
    <w:rsid w:val="00003D2E"/>
    <w:rsid w:val="000053D2"/>
    <w:rsid w:val="00005465"/>
    <w:rsid w:val="000106A1"/>
    <w:rsid w:val="00011994"/>
    <w:rsid w:val="00013239"/>
    <w:rsid w:val="000137D2"/>
    <w:rsid w:val="00014021"/>
    <w:rsid w:val="000143E1"/>
    <w:rsid w:val="000162DA"/>
    <w:rsid w:val="0001759A"/>
    <w:rsid w:val="00017AC7"/>
    <w:rsid w:val="000207A1"/>
    <w:rsid w:val="0002108F"/>
    <w:rsid w:val="00024D80"/>
    <w:rsid w:val="00026C62"/>
    <w:rsid w:val="00026EFC"/>
    <w:rsid w:val="0002782F"/>
    <w:rsid w:val="00030D43"/>
    <w:rsid w:val="000316AD"/>
    <w:rsid w:val="00032F23"/>
    <w:rsid w:val="000338AD"/>
    <w:rsid w:val="000374E6"/>
    <w:rsid w:val="00037B00"/>
    <w:rsid w:val="00040937"/>
    <w:rsid w:val="00044E54"/>
    <w:rsid w:val="0005048E"/>
    <w:rsid w:val="000504C1"/>
    <w:rsid w:val="0005151C"/>
    <w:rsid w:val="000525C8"/>
    <w:rsid w:val="000554EC"/>
    <w:rsid w:val="000556C9"/>
    <w:rsid w:val="000561D9"/>
    <w:rsid w:val="00061C49"/>
    <w:rsid w:val="00063B4B"/>
    <w:rsid w:val="00063B85"/>
    <w:rsid w:val="00064F63"/>
    <w:rsid w:val="00065223"/>
    <w:rsid w:val="00066AB6"/>
    <w:rsid w:val="00070560"/>
    <w:rsid w:val="00070856"/>
    <w:rsid w:val="000710A5"/>
    <w:rsid w:val="00072202"/>
    <w:rsid w:val="000737E6"/>
    <w:rsid w:val="00073C01"/>
    <w:rsid w:val="0007401C"/>
    <w:rsid w:val="000743DC"/>
    <w:rsid w:val="000744AF"/>
    <w:rsid w:val="00074D2E"/>
    <w:rsid w:val="000753D2"/>
    <w:rsid w:val="00075770"/>
    <w:rsid w:val="00075E0E"/>
    <w:rsid w:val="000766D7"/>
    <w:rsid w:val="00081ED4"/>
    <w:rsid w:val="00082563"/>
    <w:rsid w:val="000828E6"/>
    <w:rsid w:val="00082AB6"/>
    <w:rsid w:val="00083258"/>
    <w:rsid w:val="00083982"/>
    <w:rsid w:val="00084A7F"/>
    <w:rsid w:val="00084D0E"/>
    <w:rsid w:val="00084DB8"/>
    <w:rsid w:val="00084F8D"/>
    <w:rsid w:val="000852D7"/>
    <w:rsid w:val="00086218"/>
    <w:rsid w:val="00087868"/>
    <w:rsid w:val="000904BB"/>
    <w:rsid w:val="00093267"/>
    <w:rsid w:val="0009360E"/>
    <w:rsid w:val="0009510C"/>
    <w:rsid w:val="00095926"/>
    <w:rsid w:val="00095C6B"/>
    <w:rsid w:val="00095F88"/>
    <w:rsid w:val="000978FE"/>
    <w:rsid w:val="000A0AFF"/>
    <w:rsid w:val="000A32F7"/>
    <w:rsid w:val="000A3D82"/>
    <w:rsid w:val="000A5AD8"/>
    <w:rsid w:val="000A7336"/>
    <w:rsid w:val="000A7B86"/>
    <w:rsid w:val="000B4E72"/>
    <w:rsid w:val="000B667A"/>
    <w:rsid w:val="000C0803"/>
    <w:rsid w:val="000C3146"/>
    <w:rsid w:val="000C5012"/>
    <w:rsid w:val="000C5D1D"/>
    <w:rsid w:val="000C5F05"/>
    <w:rsid w:val="000C6DE8"/>
    <w:rsid w:val="000D1E48"/>
    <w:rsid w:val="000D2B92"/>
    <w:rsid w:val="000D3E11"/>
    <w:rsid w:val="000D5F0A"/>
    <w:rsid w:val="000D7658"/>
    <w:rsid w:val="000E022B"/>
    <w:rsid w:val="000E03A8"/>
    <w:rsid w:val="000E06B2"/>
    <w:rsid w:val="000E12E6"/>
    <w:rsid w:val="000E1B64"/>
    <w:rsid w:val="000E4AD6"/>
    <w:rsid w:val="000E5342"/>
    <w:rsid w:val="000E7F40"/>
    <w:rsid w:val="000F0858"/>
    <w:rsid w:val="000F12A0"/>
    <w:rsid w:val="000F13D6"/>
    <w:rsid w:val="000F1A0B"/>
    <w:rsid w:val="000F2D5C"/>
    <w:rsid w:val="000F2EB8"/>
    <w:rsid w:val="000F37E0"/>
    <w:rsid w:val="000F655E"/>
    <w:rsid w:val="000F79ED"/>
    <w:rsid w:val="00100183"/>
    <w:rsid w:val="00102BB7"/>
    <w:rsid w:val="001036EF"/>
    <w:rsid w:val="00103777"/>
    <w:rsid w:val="00103C7C"/>
    <w:rsid w:val="00105731"/>
    <w:rsid w:val="00106467"/>
    <w:rsid w:val="00113E62"/>
    <w:rsid w:val="00116253"/>
    <w:rsid w:val="00117E44"/>
    <w:rsid w:val="00120FF8"/>
    <w:rsid w:val="0012399A"/>
    <w:rsid w:val="00123FAC"/>
    <w:rsid w:val="001258F3"/>
    <w:rsid w:val="00125F74"/>
    <w:rsid w:val="001267CF"/>
    <w:rsid w:val="00126C95"/>
    <w:rsid w:val="00127D5C"/>
    <w:rsid w:val="0013162C"/>
    <w:rsid w:val="001338F6"/>
    <w:rsid w:val="001344E4"/>
    <w:rsid w:val="001348D0"/>
    <w:rsid w:val="00135718"/>
    <w:rsid w:val="001357AD"/>
    <w:rsid w:val="00137D8B"/>
    <w:rsid w:val="001422DB"/>
    <w:rsid w:val="001432A0"/>
    <w:rsid w:val="0014350A"/>
    <w:rsid w:val="00144236"/>
    <w:rsid w:val="001447B6"/>
    <w:rsid w:val="00144D30"/>
    <w:rsid w:val="0014504C"/>
    <w:rsid w:val="0014549B"/>
    <w:rsid w:val="00147021"/>
    <w:rsid w:val="00147999"/>
    <w:rsid w:val="00151EAD"/>
    <w:rsid w:val="00152145"/>
    <w:rsid w:val="00153F29"/>
    <w:rsid w:val="00157423"/>
    <w:rsid w:val="00157E18"/>
    <w:rsid w:val="00164324"/>
    <w:rsid w:val="00165F9D"/>
    <w:rsid w:val="001675B8"/>
    <w:rsid w:val="001703F5"/>
    <w:rsid w:val="001713F9"/>
    <w:rsid w:val="0017337B"/>
    <w:rsid w:val="00174AA8"/>
    <w:rsid w:val="00175053"/>
    <w:rsid w:val="001754AF"/>
    <w:rsid w:val="00176691"/>
    <w:rsid w:val="001774F3"/>
    <w:rsid w:val="00180B24"/>
    <w:rsid w:val="00181989"/>
    <w:rsid w:val="00181C3A"/>
    <w:rsid w:val="00182DC5"/>
    <w:rsid w:val="00182EBE"/>
    <w:rsid w:val="001847FE"/>
    <w:rsid w:val="00184A4C"/>
    <w:rsid w:val="00187131"/>
    <w:rsid w:val="0019007C"/>
    <w:rsid w:val="00191950"/>
    <w:rsid w:val="001927C1"/>
    <w:rsid w:val="00192C3F"/>
    <w:rsid w:val="00192C70"/>
    <w:rsid w:val="001940CF"/>
    <w:rsid w:val="0019471F"/>
    <w:rsid w:val="0019754B"/>
    <w:rsid w:val="001A1E0D"/>
    <w:rsid w:val="001A3BC3"/>
    <w:rsid w:val="001A6703"/>
    <w:rsid w:val="001A70AD"/>
    <w:rsid w:val="001A70C8"/>
    <w:rsid w:val="001A743A"/>
    <w:rsid w:val="001B1112"/>
    <w:rsid w:val="001B1313"/>
    <w:rsid w:val="001B28CD"/>
    <w:rsid w:val="001B39CC"/>
    <w:rsid w:val="001B4512"/>
    <w:rsid w:val="001B4FBD"/>
    <w:rsid w:val="001C26BB"/>
    <w:rsid w:val="001C3D97"/>
    <w:rsid w:val="001C5FB0"/>
    <w:rsid w:val="001D041E"/>
    <w:rsid w:val="001D1817"/>
    <w:rsid w:val="001D403E"/>
    <w:rsid w:val="001D633F"/>
    <w:rsid w:val="001E2831"/>
    <w:rsid w:val="001E2F80"/>
    <w:rsid w:val="001E3D61"/>
    <w:rsid w:val="001E5A81"/>
    <w:rsid w:val="001E614B"/>
    <w:rsid w:val="001F0AB7"/>
    <w:rsid w:val="001F16B4"/>
    <w:rsid w:val="001F1773"/>
    <w:rsid w:val="001F1A70"/>
    <w:rsid w:val="001F1C8A"/>
    <w:rsid w:val="001F1FB9"/>
    <w:rsid w:val="001F4A81"/>
    <w:rsid w:val="001F534F"/>
    <w:rsid w:val="001F663B"/>
    <w:rsid w:val="001F6DA0"/>
    <w:rsid w:val="001F7712"/>
    <w:rsid w:val="00202BF3"/>
    <w:rsid w:val="002072CA"/>
    <w:rsid w:val="00207810"/>
    <w:rsid w:val="0021026C"/>
    <w:rsid w:val="002108C0"/>
    <w:rsid w:val="002117E1"/>
    <w:rsid w:val="002135A6"/>
    <w:rsid w:val="00213D6A"/>
    <w:rsid w:val="00214742"/>
    <w:rsid w:val="002149AF"/>
    <w:rsid w:val="0021527F"/>
    <w:rsid w:val="002165D7"/>
    <w:rsid w:val="00217F46"/>
    <w:rsid w:val="0022226C"/>
    <w:rsid w:val="00223A25"/>
    <w:rsid w:val="00223E30"/>
    <w:rsid w:val="002247EC"/>
    <w:rsid w:val="00224EFB"/>
    <w:rsid w:val="00225079"/>
    <w:rsid w:val="002313C5"/>
    <w:rsid w:val="00232175"/>
    <w:rsid w:val="002331D4"/>
    <w:rsid w:val="00233B0D"/>
    <w:rsid w:val="00234AE6"/>
    <w:rsid w:val="00235606"/>
    <w:rsid w:val="0024067A"/>
    <w:rsid w:val="00241598"/>
    <w:rsid w:val="0024185B"/>
    <w:rsid w:val="00241A27"/>
    <w:rsid w:val="002425C2"/>
    <w:rsid w:val="002429D7"/>
    <w:rsid w:val="002432EF"/>
    <w:rsid w:val="00245F9D"/>
    <w:rsid w:val="00246670"/>
    <w:rsid w:val="00251998"/>
    <w:rsid w:val="0025325A"/>
    <w:rsid w:val="0025468F"/>
    <w:rsid w:val="00254B07"/>
    <w:rsid w:val="00260B65"/>
    <w:rsid w:val="002654E3"/>
    <w:rsid w:val="0026637E"/>
    <w:rsid w:val="002721BE"/>
    <w:rsid w:val="00276713"/>
    <w:rsid w:val="00280E40"/>
    <w:rsid w:val="002859BF"/>
    <w:rsid w:val="002911D8"/>
    <w:rsid w:val="0029158C"/>
    <w:rsid w:val="0029266B"/>
    <w:rsid w:val="002927C6"/>
    <w:rsid w:val="00294A44"/>
    <w:rsid w:val="002953C0"/>
    <w:rsid w:val="00295B65"/>
    <w:rsid w:val="002A0A93"/>
    <w:rsid w:val="002A3F7D"/>
    <w:rsid w:val="002A61CE"/>
    <w:rsid w:val="002A637B"/>
    <w:rsid w:val="002B20F2"/>
    <w:rsid w:val="002B49E6"/>
    <w:rsid w:val="002B574B"/>
    <w:rsid w:val="002B6E25"/>
    <w:rsid w:val="002C23CF"/>
    <w:rsid w:val="002C413C"/>
    <w:rsid w:val="002C538A"/>
    <w:rsid w:val="002C59D2"/>
    <w:rsid w:val="002C5E7F"/>
    <w:rsid w:val="002C5F00"/>
    <w:rsid w:val="002C71CC"/>
    <w:rsid w:val="002C71CD"/>
    <w:rsid w:val="002D0667"/>
    <w:rsid w:val="002D1565"/>
    <w:rsid w:val="002D1FFB"/>
    <w:rsid w:val="002D26DE"/>
    <w:rsid w:val="002D32D8"/>
    <w:rsid w:val="002D34A0"/>
    <w:rsid w:val="002D5157"/>
    <w:rsid w:val="002D5821"/>
    <w:rsid w:val="002D5AA1"/>
    <w:rsid w:val="002D6D1A"/>
    <w:rsid w:val="002D798A"/>
    <w:rsid w:val="002E415C"/>
    <w:rsid w:val="002E46B4"/>
    <w:rsid w:val="002E6044"/>
    <w:rsid w:val="002F0213"/>
    <w:rsid w:val="002F0273"/>
    <w:rsid w:val="002F203A"/>
    <w:rsid w:val="002F242F"/>
    <w:rsid w:val="002F288D"/>
    <w:rsid w:val="002F4ED3"/>
    <w:rsid w:val="0030041C"/>
    <w:rsid w:val="0030048D"/>
    <w:rsid w:val="00304503"/>
    <w:rsid w:val="003047B3"/>
    <w:rsid w:val="00305A7B"/>
    <w:rsid w:val="00305F9E"/>
    <w:rsid w:val="00306AF5"/>
    <w:rsid w:val="0031048E"/>
    <w:rsid w:val="00310814"/>
    <w:rsid w:val="003139E3"/>
    <w:rsid w:val="00314654"/>
    <w:rsid w:val="0031558D"/>
    <w:rsid w:val="00316E3D"/>
    <w:rsid w:val="003172F9"/>
    <w:rsid w:val="003202D0"/>
    <w:rsid w:val="00323093"/>
    <w:rsid w:val="00323892"/>
    <w:rsid w:val="00324B54"/>
    <w:rsid w:val="003250A3"/>
    <w:rsid w:val="00325FF9"/>
    <w:rsid w:val="003265D2"/>
    <w:rsid w:val="003313E6"/>
    <w:rsid w:val="003319A5"/>
    <w:rsid w:val="0033267D"/>
    <w:rsid w:val="0033283F"/>
    <w:rsid w:val="00334CFF"/>
    <w:rsid w:val="003356EE"/>
    <w:rsid w:val="00336171"/>
    <w:rsid w:val="00336BDD"/>
    <w:rsid w:val="00337CA2"/>
    <w:rsid w:val="00340A03"/>
    <w:rsid w:val="003413B8"/>
    <w:rsid w:val="00342465"/>
    <w:rsid w:val="00342FE8"/>
    <w:rsid w:val="00344D1F"/>
    <w:rsid w:val="003456A1"/>
    <w:rsid w:val="00346276"/>
    <w:rsid w:val="00346595"/>
    <w:rsid w:val="00351A24"/>
    <w:rsid w:val="00351DAD"/>
    <w:rsid w:val="00352792"/>
    <w:rsid w:val="00352A05"/>
    <w:rsid w:val="00353665"/>
    <w:rsid w:val="003550F0"/>
    <w:rsid w:val="00357FDE"/>
    <w:rsid w:val="00360406"/>
    <w:rsid w:val="00361318"/>
    <w:rsid w:val="00361E4F"/>
    <w:rsid w:val="003621B6"/>
    <w:rsid w:val="00363300"/>
    <w:rsid w:val="0036395B"/>
    <w:rsid w:val="0036503A"/>
    <w:rsid w:val="00365CE3"/>
    <w:rsid w:val="0036704C"/>
    <w:rsid w:val="00367D25"/>
    <w:rsid w:val="003704A8"/>
    <w:rsid w:val="00372583"/>
    <w:rsid w:val="003744D4"/>
    <w:rsid w:val="003755E7"/>
    <w:rsid w:val="003761C6"/>
    <w:rsid w:val="0038040D"/>
    <w:rsid w:val="0038083D"/>
    <w:rsid w:val="003811AC"/>
    <w:rsid w:val="00382BD6"/>
    <w:rsid w:val="0038313A"/>
    <w:rsid w:val="0038669D"/>
    <w:rsid w:val="00390096"/>
    <w:rsid w:val="003934B2"/>
    <w:rsid w:val="0039491E"/>
    <w:rsid w:val="003A264E"/>
    <w:rsid w:val="003A3F59"/>
    <w:rsid w:val="003A6740"/>
    <w:rsid w:val="003A6CC3"/>
    <w:rsid w:val="003B09E8"/>
    <w:rsid w:val="003B3997"/>
    <w:rsid w:val="003B3D41"/>
    <w:rsid w:val="003B3F1B"/>
    <w:rsid w:val="003B60A1"/>
    <w:rsid w:val="003B6B22"/>
    <w:rsid w:val="003B7C3A"/>
    <w:rsid w:val="003C2395"/>
    <w:rsid w:val="003C23AF"/>
    <w:rsid w:val="003C2700"/>
    <w:rsid w:val="003C3971"/>
    <w:rsid w:val="003C5730"/>
    <w:rsid w:val="003C5A55"/>
    <w:rsid w:val="003C6429"/>
    <w:rsid w:val="003C660A"/>
    <w:rsid w:val="003D109D"/>
    <w:rsid w:val="003D1680"/>
    <w:rsid w:val="003D26B5"/>
    <w:rsid w:val="003D30C3"/>
    <w:rsid w:val="003D3586"/>
    <w:rsid w:val="003D49BD"/>
    <w:rsid w:val="003D6083"/>
    <w:rsid w:val="003E19BF"/>
    <w:rsid w:val="003E2349"/>
    <w:rsid w:val="003E2600"/>
    <w:rsid w:val="003E3451"/>
    <w:rsid w:val="003E41F6"/>
    <w:rsid w:val="003E617B"/>
    <w:rsid w:val="003E6B40"/>
    <w:rsid w:val="003E7482"/>
    <w:rsid w:val="003E78EF"/>
    <w:rsid w:val="003F1453"/>
    <w:rsid w:val="003F1B4B"/>
    <w:rsid w:val="003F55E7"/>
    <w:rsid w:val="003F60A4"/>
    <w:rsid w:val="00401735"/>
    <w:rsid w:val="00403BB1"/>
    <w:rsid w:val="0040573B"/>
    <w:rsid w:val="00405871"/>
    <w:rsid w:val="004077E6"/>
    <w:rsid w:val="00410C6F"/>
    <w:rsid w:val="00411708"/>
    <w:rsid w:val="0042186B"/>
    <w:rsid w:val="00421D22"/>
    <w:rsid w:val="00422371"/>
    <w:rsid w:val="004225FD"/>
    <w:rsid w:val="00422ABA"/>
    <w:rsid w:val="00424844"/>
    <w:rsid w:val="00424C80"/>
    <w:rsid w:val="004277D5"/>
    <w:rsid w:val="00431DEA"/>
    <w:rsid w:val="004327CA"/>
    <w:rsid w:val="0043299A"/>
    <w:rsid w:val="00433C32"/>
    <w:rsid w:val="004344E8"/>
    <w:rsid w:val="004352F8"/>
    <w:rsid w:val="00435F3C"/>
    <w:rsid w:val="004371D1"/>
    <w:rsid w:val="004407A8"/>
    <w:rsid w:val="00440D2E"/>
    <w:rsid w:val="00441760"/>
    <w:rsid w:val="00442B2F"/>
    <w:rsid w:val="004456A2"/>
    <w:rsid w:val="0044608F"/>
    <w:rsid w:val="004500C1"/>
    <w:rsid w:val="00450222"/>
    <w:rsid w:val="00451434"/>
    <w:rsid w:val="00455458"/>
    <w:rsid w:val="00460751"/>
    <w:rsid w:val="00464F85"/>
    <w:rsid w:val="0047089A"/>
    <w:rsid w:val="004713A3"/>
    <w:rsid w:val="00472308"/>
    <w:rsid w:val="004734E1"/>
    <w:rsid w:val="00475926"/>
    <w:rsid w:val="00475C89"/>
    <w:rsid w:val="004760C4"/>
    <w:rsid w:val="0047659A"/>
    <w:rsid w:val="004765FE"/>
    <w:rsid w:val="004768E9"/>
    <w:rsid w:val="00477EA8"/>
    <w:rsid w:val="00477F75"/>
    <w:rsid w:val="00480E7A"/>
    <w:rsid w:val="00481452"/>
    <w:rsid w:val="004818D9"/>
    <w:rsid w:val="00484227"/>
    <w:rsid w:val="00484C18"/>
    <w:rsid w:val="004872B6"/>
    <w:rsid w:val="00487663"/>
    <w:rsid w:val="00487E96"/>
    <w:rsid w:val="00490084"/>
    <w:rsid w:val="00490FC2"/>
    <w:rsid w:val="00494492"/>
    <w:rsid w:val="004959D0"/>
    <w:rsid w:val="004962A6"/>
    <w:rsid w:val="004A5041"/>
    <w:rsid w:val="004A5527"/>
    <w:rsid w:val="004A6A6A"/>
    <w:rsid w:val="004A6BC2"/>
    <w:rsid w:val="004A74DC"/>
    <w:rsid w:val="004B0847"/>
    <w:rsid w:val="004B3679"/>
    <w:rsid w:val="004B3D9A"/>
    <w:rsid w:val="004B4CFB"/>
    <w:rsid w:val="004B591E"/>
    <w:rsid w:val="004B65A8"/>
    <w:rsid w:val="004B6A00"/>
    <w:rsid w:val="004B6D8F"/>
    <w:rsid w:val="004C1837"/>
    <w:rsid w:val="004C4825"/>
    <w:rsid w:val="004C5103"/>
    <w:rsid w:val="004C53EE"/>
    <w:rsid w:val="004C5DE1"/>
    <w:rsid w:val="004C7E76"/>
    <w:rsid w:val="004D6CEA"/>
    <w:rsid w:val="004E1D71"/>
    <w:rsid w:val="004E21B6"/>
    <w:rsid w:val="004E2E91"/>
    <w:rsid w:val="004E3ED1"/>
    <w:rsid w:val="004E43F1"/>
    <w:rsid w:val="004E5DCE"/>
    <w:rsid w:val="004E7F90"/>
    <w:rsid w:val="004F03D0"/>
    <w:rsid w:val="004F0DB2"/>
    <w:rsid w:val="004F325A"/>
    <w:rsid w:val="004F3E12"/>
    <w:rsid w:val="004F5CDB"/>
    <w:rsid w:val="004F61EC"/>
    <w:rsid w:val="004F64A1"/>
    <w:rsid w:val="004F6B9D"/>
    <w:rsid w:val="00501613"/>
    <w:rsid w:val="00501CF8"/>
    <w:rsid w:val="00505B84"/>
    <w:rsid w:val="00505CA0"/>
    <w:rsid w:val="00506490"/>
    <w:rsid w:val="00510C75"/>
    <w:rsid w:val="00511105"/>
    <w:rsid w:val="005118E4"/>
    <w:rsid w:val="00511B81"/>
    <w:rsid w:val="00513A34"/>
    <w:rsid w:val="00513BC9"/>
    <w:rsid w:val="00514BF6"/>
    <w:rsid w:val="00514CEF"/>
    <w:rsid w:val="00515545"/>
    <w:rsid w:val="005157E0"/>
    <w:rsid w:val="005159EA"/>
    <w:rsid w:val="005163BD"/>
    <w:rsid w:val="005170A7"/>
    <w:rsid w:val="0052091B"/>
    <w:rsid w:val="00520D7C"/>
    <w:rsid w:val="00521AFF"/>
    <w:rsid w:val="00522706"/>
    <w:rsid w:val="0052298D"/>
    <w:rsid w:val="0052463D"/>
    <w:rsid w:val="00525A54"/>
    <w:rsid w:val="005269FB"/>
    <w:rsid w:val="005319FE"/>
    <w:rsid w:val="005330A8"/>
    <w:rsid w:val="00535E40"/>
    <w:rsid w:val="00536A88"/>
    <w:rsid w:val="00536FB6"/>
    <w:rsid w:val="0054007C"/>
    <w:rsid w:val="00541046"/>
    <w:rsid w:val="005445F0"/>
    <w:rsid w:val="00547550"/>
    <w:rsid w:val="00553112"/>
    <w:rsid w:val="00553E08"/>
    <w:rsid w:val="005542CA"/>
    <w:rsid w:val="005545ED"/>
    <w:rsid w:val="00555A29"/>
    <w:rsid w:val="00561F37"/>
    <w:rsid w:val="00563AD3"/>
    <w:rsid w:val="00563F85"/>
    <w:rsid w:val="00564580"/>
    <w:rsid w:val="00564F83"/>
    <w:rsid w:val="00566366"/>
    <w:rsid w:val="00570B41"/>
    <w:rsid w:val="00570C3C"/>
    <w:rsid w:val="00571DFD"/>
    <w:rsid w:val="00572F0A"/>
    <w:rsid w:val="00573F5B"/>
    <w:rsid w:val="0057431D"/>
    <w:rsid w:val="005745FD"/>
    <w:rsid w:val="005752B3"/>
    <w:rsid w:val="0057533D"/>
    <w:rsid w:val="00576A74"/>
    <w:rsid w:val="00576B84"/>
    <w:rsid w:val="00577060"/>
    <w:rsid w:val="00577828"/>
    <w:rsid w:val="00577921"/>
    <w:rsid w:val="005821ED"/>
    <w:rsid w:val="00582925"/>
    <w:rsid w:val="00583A91"/>
    <w:rsid w:val="005878DC"/>
    <w:rsid w:val="00587C4D"/>
    <w:rsid w:val="0059064C"/>
    <w:rsid w:val="00590C47"/>
    <w:rsid w:val="00591C0D"/>
    <w:rsid w:val="00592152"/>
    <w:rsid w:val="00592844"/>
    <w:rsid w:val="005928D8"/>
    <w:rsid w:val="00592F41"/>
    <w:rsid w:val="005939CF"/>
    <w:rsid w:val="00594041"/>
    <w:rsid w:val="005952D9"/>
    <w:rsid w:val="005972D5"/>
    <w:rsid w:val="005976F4"/>
    <w:rsid w:val="00597D22"/>
    <w:rsid w:val="005A18FD"/>
    <w:rsid w:val="005A1CC8"/>
    <w:rsid w:val="005A1D7B"/>
    <w:rsid w:val="005A2E6F"/>
    <w:rsid w:val="005A50AD"/>
    <w:rsid w:val="005A6FCB"/>
    <w:rsid w:val="005B09F1"/>
    <w:rsid w:val="005B1C9E"/>
    <w:rsid w:val="005B29F6"/>
    <w:rsid w:val="005B2ABB"/>
    <w:rsid w:val="005B3A57"/>
    <w:rsid w:val="005B45D1"/>
    <w:rsid w:val="005B51B3"/>
    <w:rsid w:val="005B5A30"/>
    <w:rsid w:val="005C08A3"/>
    <w:rsid w:val="005C22CA"/>
    <w:rsid w:val="005C2E16"/>
    <w:rsid w:val="005C2EEA"/>
    <w:rsid w:val="005C577F"/>
    <w:rsid w:val="005C68D3"/>
    <w:rsid w:val="005D0BF0"/>
    <w:rsid w:val="005D1A36"/>
    <w:rsid w:val="005D2488"/>
    <w:rsid w:val="005D2998"/>
    <w:rsid w:val="005D5094"/>
    <w:rsid w:val="005D5A41"/>
    <w:rsid w:val="005D67C6"/>
    <w:rsid w:val="005D683B"/>
    <w:rsid w:val="005D697F"/>
    <w:rsid w:val="005E065C"/>
    <w:rsid w:val="005E0A27"/>
    <w:rsid w:val="005E1D6E"/>
    <w:rsid w:val="005E26ED"/>
    <w:rsid w:val="005E338D"/>
    <w:rsid w:val="005E4B3B"/>
    <w:rsid w:val="005E644C"/>
    <w:rsid w:val="005E706F"/>
    <w:rsid w:val="005F1F5E"/>
    <w:rsid w:val="005F25CE"/>
    <w:rsid w:val="005F27E3"/>
    <w:rsid w:val="005F2811"/>
    <w:rsid w:val="005F4FAD"/>
    <w:rsid w:val="005F6902"/>
    <w:rsid w:val="0060027D"/>
    <w:rsid w:val="00600C27"/>
    <w:rsid w:val="00602636"/>
    <w:rsid w:val="006041A6"/>
    <w:rsid w:val="006046D1"/>
    <w:rsid w:val="006056B9"/>
    <w:rsid w:val="0060645A"/>
    <w:rsid w:val="0060648E"/>
    <w:rsid w:val="00607724"/>
    <w:rsid w:val="00611452"/>
    <w:rsid w:val="006124D2"/>
    <w:rsid w:val="00612FE0"/>
    <w:rsid w:val="00614933"/>
    <w:rsid w:val="006165C3"/>
    <w:rsid w:val="006172D2"/>
    <w:rsid w:val="00617EF5"/>
    <w:rsid w:val="006239B1"/>
    <w:rsid w:val="00623B3C"/>
    <w:rsid w:val="00624E5E"/>
    <w:rsid w:val="00625C1A"/>
    <w:rsid w:val="00626F8D"/>
    <w:rsid w:val="006270FB"/>
    <w:rsid w:val="006273F3"/>
    <w:rsid w:val="0063112D"/>
    <w:rsid w:val="006311A8"/>
    <w:rsid w:val="006352CA"/>
    <w:rsid w:val="00637463"/>
    <w:rsid w:val="00637F01"/>
    <w:rsid w:val="00640D4D"/>
    <w:rsid w:val="006411E3"/>
    <w:rsid w:val="00641E8A"/>
    <w:rsid w:val="00643B2B"/>
    <w:rsid w:val="00644841"/>
    <w:rsid w:val="006456D4"/>
    <w:rsid w:val="00645DC5"/>
    <w:rsid w:val="0065224D"/>
    <w:rsid w:val="006526EB"/>
    <w:rsid w:val="00655603"/>
    <w:rsid w:val="0065633B"/>
    <w:rsid w:val="006576C0"/>
    <w:rsid w:val="00657928"/>
    <w:rsid w:val="0066098F"/>
    <w:rsid w:val="00660B4F"/>
    <w:rsid w:val="006639A1"/>
    <w:rsid w:val="0066471A"/>
    <w:rsid w:val="006647E9"/>
    <w:rsid w:val="006660BE"/>
    <w:rsid w:val="00667F73"/>
    <w:rsid w:val="00673E53"/>
    <w:rsid w:val="006760DC"/>
    <w:rsid w:val="00676C0A"/>
    <w:rsid w:val="00682360"/>
    <w:rsid w:val="00682841"/>
    <w:rsid w:val="00684382"/>
    <w:rsid w:val="0068757A"/>
    <w:rsid w:val="006878BA"/>
    <w:rsid w:val="00690602"/>
    <w:rsid w:val="00690A69"/>
    <w:rsid w:val="0069288A"/>
    <w:rsid w:val="00692C18"/>
    <w:rsid w:val="00693CF8"/>
    <w:rsid w:val="00697E94"/>
    <w:rsid w:val="006A0D8E"/>
    <w:rsid w:val="006A227F"/>
    <w:rsid w:val="006A2D4F"/>
    <w:rsid w:val="006A3260"/>
    <w:rsid w:val="006B095C"/>
    <w:rsid w:val="006B4B6B"/>
    <w:rsid w:val="006B5A4D"/>
    <w:rsid w:val="006B6952"/>
    <w:rsid w:val="006B7E91"/>
    <w:rsid w:val="006C0B32"/>
    <w:rsid w:val="006C1450"/>
    <w:rsid w:val="006C1524"/>
    <w:rsid w:val="006C1AC9"/>
    <w:rsid w:val="006C22A0"/>
    <w:rsid w:val="006C27E1"/>
    <w:rsid w:val="006C3F0D"/>
    <w:rsid w:val="006C4791"/>
    <w:rsid w:val="006C493C"/>
    <w:rsid w:val="006C4F1C"/>
    <w:rsid w:val="006C50C4"/>
    <w:rsid w:val="006C61EC"/>
    <w:rsid w:val="006D11F1"/>
    <w:rsid w:val="006D3EC9"/>
    <w:rsid w:val="006D4517"/>
    <w:rsid w:val="006D5211"/>
    <w:rsid w:val="006D6035"/>
    <w:rsid w:val="006D7B04"/>
    <w:rsid w:val="006D7D65"/>
    <w:rsid w:val="006E08FA"/>
    <w:rsid w:val="006E140F"/>
    <w:rsid w:val="006E6169"/>
    <w:rsid w:val="006F0BEB"/>
    <w:rsid w:val="006F3191"/>
    <w:rsid w:val="006F4287"/>
    <w:rsid w:val="006F6444"/>
    <w:rsid w:val="00701654"/>
    <w:rsid w:val="00702C3B"/>
    <w:rsid w:val="0070364A"/>
    <w:rsid w:val="007050CA"/>
    <w:rsid w:val="00707B09"/>
    <w:rsid w:val="00711A7A"/>
    <w:rsid w:val="007127F8"/>
    <w:rsid w:val="00713E47"/>
    <w:rsid w:val="00714318"/>
    <w:rsid w:val="0071581D"/>
    <w:rsid w:val="00716F21"/>
    <w:rsid w:val="00721FB0"/>
    <w:rsid w:val="00723572"/>
    <w:rsid w:val="00724342"/>
    <w:rsid w:val="00724ADB"/>
    <w:rsid w:val="007301D7"/>
    <w:rsid w:val="00730E8B"/>
    <w:rsid w:val="00734F02"/>
    <w:rsid w:val="00735A4C"/>
    <w:rsid w:val="00736A23"/>
    <w:rsid w:val="00737DE0"/>
    <w:rsid w:val="007408B0"/>
    <w:rsid w:val="0074111D"/>
    <w:rsid w:val="00741AF3"/>
    <w:rsid w:val="00744FB8"/>
    <w:rsid w:val="00745923"/>
    <w:rsid w:val="0074649B"/>
    <w:rsid w:val="00747F9C"/>
    <w:rsid w:val="00751367"/>
    <w:rsid w:val="00753E18"/>
    <w:rsid w:val="00754320"/>
    <w:rsid w:val="00755D73"/>
    <w:rsid w:val="007571E2"/>
    <w:rsid w:val="00757DE1"/>
    <w:rsid w:val="0076067A"/>
    <w:rsid w:val="007619F4"/>
    <w:rsid w:val="0076563B"/>
    <w:rsid w:val="00767428"/>
    <w:rsid w:val="007701F9"/>
    <w:rsid w:val="007709D7"/>
    <w:rsid w:val="00770AEA"/>
    <w:rsid w:val="00775892"/>
    <w:rsid w:val="007807DD"/>
    <w:rsid w:val="00782530"/>
    <w:rsid w:val="0078280A"/>
    <w:rsid w:val="00783B0D"/>
    <w:rsid w:val="0078407C"/>
    <w:rsid w:val="007852F4"/>
    <w:rsid w:val="0078769C"/>
    <w:rsid w:val="00787CDB"/>
    <w:rsid w:val="00790B6C"/>
    <w:rsid w:val="007943C4"/>
    <w:rsid w:val="007955CE"/>
    <w:rsid w:val="00797416"/>
    <w:rsid w:val="007976F5"/>
    <w:rsid w:val="007A15E3"/>
    <w:rsid w:val="007A22C9"/>
    <w:rsid w:val="007A3B66"/>
    <w:rsid w:val="007A3CA7"/>
    <w:rsid w:val="007A4DF1"/>
    <w:rsid w:val="007B1099"/>
    <w:rsid w:val="007B1470"/>
    <w:rsid w:val="007B1727"/>
    <w:rsid w:val="007B2218"/>
    <w:rsid w:val="007B4E97"/>
    <w:rsid w:val="007B62A3"/>
    <w:rsid w:val="007B79CB"/>
    <w:rsid w:val="007C1515"/>
    <w:rsid w:val="007C3099"/>
    <w:rsid w:val="007C3663"/>
    <w:rsid w:val="007C431A"/>
    <w:rsid w:val="007C52A1"/>
    <w:rsid w:val="007C599E"/>
    <w:rsid w:val="007C624A"/>
    <w:rsid w:val="007C6544"/>
    <w:rsid w:val="007C6799"/>
    <w:rsid w:val="007C68FA"/>
    <w:rsid w:val="007C72E7"/>
    <w:rsid w:val="007D195A"/>
    <w:rsid w:val="007D19F4"/>
    <w:rsid w:val="007D34AE"/>
    <w:rsid w:val="007D367E"/>
    <w:rsid w:val="007D52B9"/>
    <w:rsid w:val="007E0E48"/>
    <w:rsid w:val="007E1EB2"/>
    <w:rsid w:val="007E2367"/>
    <w:rsid w:val="007E4077"/>
    <w:rsid w:val="007E4967"/>
    <w:rsid w:val="007E4BE7"/>
    <w:rsid w:val="007E557A"/>
    <w:rsid w:val="007E5B8C"/>
    <w:rsid w:val="007F38C4"/>
    <w:rsid w:val="007F3F75"/>
    <w:rsid w:val="007F424F"/>
    <w:rsid w:val="007F4768"/>
    <w:rsid w:val="007F51ED"/>
    <w:rsid w:val="007F5798"/>
    <w:rsid w:val="008012AE"/>
    <w:rsid w:val="008015C7"/>
    <w:rsid w:val="008045B1"/>
    <w:rsid w:val="008052F0"/>
    <w:rsid w:val="008075E9"/>
    <w:rsid w:val="0081409F"/>
    <w:rsid w:val="008148B4"/>
    <w:rsid w:val="008149D5"/>
    <w:rsid w:val="0081792C"/>
    <w:rsid w:val="00817C57"/>
    <w:rsid w:val="00817F2A"/>
    <w:rsid w:val="00817FE6"/>
    <w:rsid w:val="008200D7"/>
    <w:rsid w:val="00820357"/>
    <w:rsid w:val="008203D5"/>
    <w:rsid w:val="00820403"/>
    <w:rsid w:val="00822219"/>
    <w:rsid w:val="00823C08"/>
    <w:rsid w:val="008312F4"/>
    <w:rsid w:val="00832155"/>
    <w:rsid w:val="008344BC"/>
    <w:rsid w:val="00836E46"/>
    <w:rsid w:val="008435A0"/>
    <w:rsid w:val="00843DEE"/>
    <w:rsid w:val="00845170"/>
    <w:rsid w:val="00846C22"/>
    <w:rsid w:val="00846F32"/>
    <w:rsid w:val="00850487"/>
    <w:rsid w:val="00850874"/>
    <w:rsid w:val="0085250D"/>
    <w:rsid w:val="00852D7A"/>
    <w:rsid w:val="00853FE7"/>
    <w:rsid w:val="008556A1"/>
    <w:rsid w:val="008559CD"/>
    <w:rsid w:val="00856329"/>
    <w:rsid w:val="00862383"/>
    <w:rsid w:val="00862E8C"/>
    <w:rsid w:val="008650EF"/>
    <w:rsid w:val="0086568D"/>
    <w:rsid w:val="0086664D"/>
    <w:rsid w:val="00871C02"/>
    <w:rsid w:val="00873342"/>
    <w:rsid w:val="008752F1"/>
    <w:rsid w:val="00875F22"/>
    <w:rsid w:val="0087696B"/>
    <w:rsid w:val="00877393"/>
    <w:rsid w:val="00880D08"/>
    <w:rsid w:val="0088150A"/>
    <w:rsid w:val="00882B42"/>
    <w:rsid w:val="00885B11"/>
    <w:rsid w:val="0088749C"/>
    <w:rsid w:val="008968BB"/>
    <w:rsid w:val="008A026E"/>
    <w:rsid w:val="008A0C14"/>
    <w:rsid w:val="008A1A04"/>
    <w:rsid w:val="008A5202"/>
    <w:rsid w:val="008A5E7F"/>
    <w:rsid w:val="008A60E2"/>
    <w:rsid w:val="008A7494"/>
    <w:rsid w:val="008B2FA9"/>
    <w:rsid w:val="008B4090"/>
    <w:rsid w:val="008B4AA0"/>
    <w:rsid w:val="008B4BA7"/>
    <w:rsid w:val="008B4F96"/>
    <w:rsid w:val="008B709E"/>
    <w:rsid w:val="008B76E2"/>
    <w:rsid w:val="008C09C5"/>
    <w:rsid w:val="008C30BC"/>
    <w:rsid w:val="008C36C6"/>
    <w:rsid w:val="008C38AC"/>
    <w:rsid w:val="008C46DD"/>
    <w:rsid w:val="008C61BB"/>
    <w:rsid w:val="008C6AB9"/>
    <w:rsid w:val="008C7FD1"/>
    <w:rsid w:val="008D03E7"/>
    <w:rsid w:val="008D04D9"/>
    <w:rsid w:val="008D3C01"/>
    <w:rsid w:val="008D4123"/>
    <w:rsid w:val="008D467B"/>
    <w:rsid w:val="008D5BBA"/>
    <w:rsid w:val="008D7871"/>
    <w:rsid w:val="008D7B9B"/>
    <w:rsid w:val="008E053E"/>
    <w:rsid w:val="008E12FE"/>
    <w:rsid w:val="008E3A32"/>
    <w:rsid w:val="008E5291"/>
    <w:rsid w:val="008E745F"/>
    <w:rsid w:val="008F0DD8"/>
    <w:rsid w:val="008F47C3"/>
    <w:rsid w:val="008F4B9A"/>
    <w:rsid w:val="008F757C"/>
    <w:rsid w:val="00902E95"/>
    <w:rsid w:val="00903520"/>
    <w:rsid w:val="0090395D"/>
    <w:rsid w:val="00906C08"/>
    <w:rsid w:val="00907D13"/>
    <w:rsid w:val="00907EB9"/>
    <w:rsid w:val="009128FC"/>
    <w:rsid w:val="009135CB"/>
    <w:rsid w:val="0091563C"/>
    <w:rsid w:val="00915DE2"/>
    <w:rsid w:val="00916844"/>
    <w:rsid w:val="00917404"/>
    <w:rsid w:val="00917B45"/>
    <w:rsid w:val="009200D0"/>
    <w:rsid w:val="00921620"/>
    <w:rsid w:val="009219BB"/>
    <w:rsid w:val="00922554"/>
    <w:rsid w:val="00922ECB"/>
    <w:rsid w:val="00925707"/>
    <w:rsid w:val="00926A16"/>
    <w:rsid w:val="009271DA"/>
    <w:rsid w:val="00930923"/>
    <w:rsid w:val="00931070"/>
    <w:rsid w:val="009351A4"/>
    <w:rsid w:val="0093618F"/>
    <w:rsid w:val="00937239"/>
    <w:rsid w:val="00937474"/>
    <w:rsid w:val="009376CC"/>
    <w:rsid w:val="00941557"/>
    <w:rsid w:val="00942A6F"/>
    <w:rsid w:val="00942B9B"/>
    <w:rsid w:val="00944051"/>
    <w:rsid w:val="009453DF"/>
    <w:rsid w:val="00950A33"/>
    <w:rsid w:val="00951B6E"/>
    <w:rsid w:val="0095320B"/>
    <w:rsid w:val="0095336E"/>
    <w:rsid w:val="00953587"/>
    <w:rsid w:val="009536B2"/>
    <w:rsid w:val="00955ECB"/>
    <w:rsid w:val="00956315"/>
    <w:rsid w:val="009566A1"/>
    <w:rsid w:val="009646A9"/>
    <w:rsid w:val="00964DB1"/>
    <w:rsid w:val="00967A62"/>
    <w:rsid w:val="0097220C"/>
    <w:rsid w:val="00972B82"/>
    <w:rsid w:val="00973752"/>
    <w:rsid w:val="00974785"/>
    <w:rsid w:val="00975A95"/>
    <w:rsid w:val="0098046E"/>
    <w:rsid w:val="00981E16"/>
    <w:rsid w:val="009821D3"/>
    <w:rsid w:val="00985268"/>
    <w:rsid w:val="009919B5"/>
    <w:rsid w:val="00994914"/>
    <w:rsid w:val="00995F44"/>
    <w:rsid w:val="009A375E"/>
    <w:rsid w:val="009A3FB7"/>
    <w:rsid w:val="009A40B2"/>
    <w:rsid w:val="009A4AA7"/>
    <w:rsid w:val="009A6337"/>
    <w:rsid w:val="009A707D"/>
    <w:rsid w:val="009A7926"/>
    <w:rsid w:val="009A7C0D"/>
    <w:rsid w:val="009B13F3"/>
    <w:rsid w:val="009B3DD4"/>
    <w:rsid w:val="009B6060"/>
    <w:rsid w:val="009B7E0E"/>
    <w:rsid w:val="009C0276"/>
    <w:rsid w:val="009C0C7B"/>
    <w:rsid w:val="009C1030"/>
    <w:rsid w:val="009C4701"/>
    <w:rsid w:val="009C5AB2"/>
    <w:rsid w:val="009C62E3"/>
    <w:rsid w:val="009C727C"/>
    <w:rsid w:val="009C7DA0"/>
    <w:rsid w:val="009D00A8"/>
    <w:rsid w:val="009D0680"/>
    <w:rsid w:val="009D2051"/>
    <w:rsid w:val="009D42AD"/>
    <w:rsid w:val="009D575F"/>
    <w:rsid w:val="009E1472"/>
    <w:rsid w:val="009E4AA4"/>
    <w:rsid w:val="009E60E5"/>
    <w:rsid w:val="009E7481"/>
    <w:rsid w:val="009F1284"/>
    <w:rsid w:val="009F1990"/>
    <w:rsid w:val="009F26C5"/>
    <w:rsid w:val="009F2C05"/>
    <w:rsid w:val="009F492E"/>
    <w:rsid w:val="00A03A36"/>
    <w:rsid w:val="00A05DC2"/>
    <w:rsid w:val="00A06184"/>
    <w:rsid w:val="00A07B7F"/>
    <w:rsid w:val="00A12005"/>
    <w:rsid w:val="00A12370"/>
    <w:rsid w:val="00A126E7"/>
    <w:rsid w:val="00A17B52"/>
    <w:rsid w:val="00A20B0F"/>
    <w:rsid w:val="00A220A5"/>
    <w:rsid w:val="00A221F7"/>
    <w:rsid w:val="00A232A1"/>
    <w:rsid w:val="00A27CCD"/>
    <w:rsid w:val="00A338DD"/>
    <w:rsid w:val="00A34E0E"/>
    <w:rsid w:val="00A361F1"/>
    <w:rsid w:val="00A36D69"/>
    <w:rsid w:val="00A37575"/>
    <w:rsid w:val="00A4193C"/>
    <w:rsid w:val="00A42778"/>
    <w:rsid w:val="00A42ECB"/>
    <w:rsid w:val="00A443B7"/>
    <w:rsid w:val="00A47A4F"/>
    <w:rsid w:val="00A47F8C"/>
    <w:rsid w:val="00A5081C"/>
    <w:rsid w:val="00A51255"/>
    <w:rsid w:val="00A540A2"/>
    <w:rsid w:val="00A5520A"/>
    <w:rsid w:val="00A569FD"/>
    <w:rsid w:val="00A574F0"/>
    <w:rsid w:val="00A60501"/>
    <w:rsid w:val="00A61329"/>
    <w:rsid w:val="00A619C8"/>
    <w:rsid w:val="00A61A5A"/>
    <w:rsid w:val="00A62035"/>
    <w:rsid w:val="00A648BD"/>
    <w:rsid w:val="00A65E2D"/>
    <w:rsid w:val="00A66D05"/>
    <w:rsid w:val="00A6719D"/>
    <w:rsid w:val="00A700EB"/>
    <w:rsid w:val="00A71393"/>
    <w:rsid w:val="00A749D8"/>
    <w:rsid w:val="00A761CC"/>
    <w:rsid w:val="00A8069A"/>
    <w:rsid w:val="00A80F6C"/>
    <w:rsid w:val="00A840C4"/>
    <w:rsid w:val="00A8433A"/>
    <w:rsid w:val="00A851AA"/>
    <w:rsid w:val="00A8620A"/>
    <w:rsid w:val="00A90324"/>
    <w:rsid w:val="00A903B7"/>
    <w:rsid w:val="00A90504"/>
    <w:rsid w:val="00A92C21"/>
    <w:rsid w:val="00A972EE"/>
    <w:rsid w:val="00A97BB1"/>
    <w:rsid w:val="00A97DE0"/>
    <w:rsid w:val="00AA252B"/>
    <w:rsid w:val="00AA4B38"/>
    <w:rsid w:val="00AA729B"/>
    <w:rsid w:val="00AB08D0"/>
    <w:rsid w:val="00AB1ED7"/>
    <w:rsid w:val="00AB4DF2"/>
    <w:rsid w:val="00AB7B75"/>
    <w:rsid w:val="00AB7BA9"/>
    <w:rsid w:val="00AB7FBC"/>
    <w:rsid w:val="00AC0211"/>
    <w:rsid w:val="00AC1DF7"/>
    <w:rsid w:val="00AC2E5E"/>
    <w:rsid w:val="00AC38BD"/>
    <w:rsid w:val="00AC451D"/>
    <w:rsid w:val="00AC4D36"/>
    <w:rsid w:val="00AC7FB6"/>
    <w:rsid w:val="00AD03A3"/>
    <w:rsid w:val="00AD3E66"/>
    <w:rsid w:val="00AD4B16"/>
    <w:rsid w:val="00AD53DD"/>
    <w:rsid w:val="00AD5AB5"/>
    <w:rsid w:val="00AD61AB"/>
    <w:rsid w:val="00AD70D9"/>
    <w:rsid w:val="00AE112B"/>
    <w:rsid w:val="00AE119B"/>
    <w:rsid w:val="00AE280F"/>
    <w:rsid w:val="00AE5F87"/>
    <w:rsid w:val="00AF3EE1"/>
    <w:rsid w:val="00AF5B6E"/>
    <w:rsid w:val="00B0198D"/>
    <w:rsid w:val="00B03437"/>
    <w:rsid w:val="00B06E44"/>
    <w:rsid w:val="00B11D96"/>
    <w:rsid w:val="00B134A7"/>
    <w:rsid w:val="00B13C1C"/>
    <w:rsid w:val="00B21B6A"/>
    <w:rsid w:val="00B23A66"/>
    <w:rsid w:val="00B2778F"/>
    <w:rsid w:val="00B31BA8"/>
    <w:rsid w:val="00B32834"/>
    <w:rsid w:val="00B33B95"/>
    <w:rsid w:val="00B33E82"/>
    <w:rsid w:val="00B37B9D"/>
    <w:rsid w:val="00B37FFE"/>
    <w:rsid w:val="00B40768"/>
    <w:rsid w:val="00B426F1"/>
    <w:rsid w:val="00B4308A"/>
    <w:rsid w:val="00B44EB1"/>
    <w:rsid w:val="00B4508E"/>
    <w:rsid w:val="00B47536"/>
    <w:rsid w:val="00B501E2"/>
    <w:rsid w:val="00B52F4C"/>
    <w:rsid w:val="00B5464E"/>
    <w:rsid w:val="00B565D6"/>
    <w:rsid w:val="00B6227F"/>
    <w:rsid w:val="00B640EE"/>
    <w:rsid w:val="00B6425A"/>
    <w:rsid w:val="00B66738"/>
    <w:rsid w:val="00B66FB0"/>
    <w:rsid w:val="00B71FD3"/>
    <w:rsid w:val="00B72E90"/>
    <w:rsid w:val="00B73A17"/>
    <w:rsid w:val="00B76424"/>
    <w:rsid w:val="00B769F6"/>
    <w:rsid w:val="00B80810"/>
    <w:rsid w:val="00B80858"/>
    <w:rsid w:val="00B827ED"/>
    <w:rsid w:val="00B86F2A"/>
    <w:rsid w:val="00B870F9"/>
    <w:rsid w:val="00B94A34"/>
    <w:rsid w:val="00B94F6D"/>
    <w:rsid w:val="00B96189"/>
    <w:rsid w:val="00B9772E"/>
    <w:rsid w:val="00BA1EBE"/>
    <w:rsid w:val="00BA2794"/>
    <w:rsid w:val="00BA3E59"/>
    <w:rsid w:val="00BA79F0"/>
    <w:rsid w:val="00BB1674"/>
    <w:rsid w:val="00BB2DD4"/>
    <w:rsid w:val="00BB45B2"/>
    <w:rsid w:val="00BB5054"/>
    <w:rsid w:val="00BB6C59"/>
    <w:rsid w:val="00BC06BA"/>
    <w:rsid w:val="00BC1DCD"/>
    <w:rsid w:val="00BC4090"/>
    <w:rsid w:val="00BC4BEF"/>
    <w:rsid w:val="00BC5AB0"/>
    <w:rsid w:val="00BC7A4C"/>
    <w:rsid w:val="00BC7B22"/>
    <w:rsid w:val="00BD0030"/>
    <w:rsid w:val="00BD0294"/>
    <w:rsid w:val="00BE094B"/>
    <w:rsid w:val="00BE2EF7"/>
    <w:rsid w:val="00BE6E6F"/>
    <w:rsid w:val="00BF2742"/>
    <w:rsid w:val="00BF32BB"/>
    <w:rsid w:val="00BF47BE"/>
    <w:rsid w:val="00BF49C1"/>
    <w:rsid w:val="00BF53CB"/>
    <w:rsid w:val="00BF58CF"/>
    <w:rsid w:val="00BF6522"/>
    <w:rsid w:val="00BF73CF"/>
    <w:rsid w:val="00C03946"/>
    <w:rsid w:val="00C049EC"/>
    <w:rsid w:val="00C064F9"/>
    <w:rsid w:val="00C1267F"/>
    <w:rsid w:val="00C14DCC"/>
    <w:rsid w:val="00C163F3"/>
    <w:rsid w:val="00C168AC"/>
    <w:rsid w:val="00C16DE6"/>
    <w:rsid w:val="00C1716B"/>
    <w:rsid w:val="00C21835"/>
    <w:rsid w:val="00C21FCB"/>
    <w:rsid w:val="00C23035"/>
    <w:rsid w:val="00C245EA"/>
    <w:rsid w:val="00C24BF3"/>
    <w:rsid w:val="00C2649C"/>
    <w:rsid w:val="00C27710"/>
    <w:rsid w:val="00C3012E"/>
    <w:rsid w:val="00C3084D"/>
    <w:rsid w:val="00C320D4"/>
    <w:rsid w:val="00C32E9D"/>
    <w:rsid w:val="00C35043"/>
    <w:rsid w:val="00C35146"/>
    <w:rsid w:val="00C36195"/>
    <w:rsid w:val="00C436A4"/>
    <w:rsid w:val="00C43E71"/>
    <w:rsid w:val="00C50F92"/>
    <w:rsid w:val="00C520AE"/>
    <w:rsid w:val="00C529F3"/>
    <w:rsid w:val="00C532E3"/>
    <w:rsid w:val="00C547FB"/>
    <w:rsid w:val="00C55226"/>
    <w:rsid w:val="00C555F5"/>
    <w:rsid w:val="00C55F36"/>
    <w:rsid w:val="00C5686E"/>
    <w:rsid w:val="00C57428"/>
    <w:rsid w:val="00C601EB"/>
    <w:rsid w:val="00C61075"/>
    <w:rsid w:val="00C612A5"/>
    <w:rsid w:val="00C635D5"/>
    <w:rsid w:val="00C63EEE"/>
    <w:rsid w:val="00C718B2"/>
    <w:rsid w:val="00C72105"/>
    <w:rsid w:val="00C7350D"/>
    <w:rsid w:val="00C73528"/>
    <w:rsid w:val="00C74BB8"/>
    <w:rsid w:val="00C77AF0"/>
    <w:rsid w:val="00C80341"/>
    <w:rsid w:val="00C842B5"/>
    <w:rsid w:val="00C85305"/>
    <w:rsid w:val="00C87F91"/>
    <w:rsid w:val="00C90498"/>
    <w:rsid w:val="00C9094E"/>
    <w:rsid w:val="00C922DA"/>
    <w:rsid w:val="00C926A1"/>
    <w:rsid w:val="00C945F8"/>
    <w:rsid w:val="00C95111"/>
    <w:rsid w:val="00C96756"/>
    <w:rsid w:val="00C970BB"/>
    <w:rsid w:val="00CA05E8"/>
    <w:rsid w:val="00CA0733"/>
    <w:rsid w:val="00CA1821"/>
    <w:rsid w:val="00CA1ACF"/>
    <w:rsid w:val="00CA36E9"/>
    <w:rsid w:val="00CA50A1"/>
    <w:rsid w:val="00CA52F7"/>
    <w:rsid w:val="00CB0C3C"/>
    <w:rsid w:val="00CB0ED6"/>
    <w:rsid w:val="00CB1104"/>
    <w:rsid w:val="00CB17D0"/>
    <w:rsid w:val="00CB4EFE"/>
    <w:rsid w:val="00CB59EF"/>
    <w:rsid w:val="00CB639E"/>
    <w:rsid w:val="00CB7744"/>
    <w:rsid w:val="00CC0093"/>
    <w:rsid w:val="00CC20C1"/>
    <w:rsid w:val="00CC2799"/>
    <w:rsid w:val="00CC3527"/>
    <w:rsid w:val="00CC68C0"/>
    <w:rsid w:val="00CD2D63"/>
    <w:rsid w:val="00CD3E19"/>
    <w:rsid w:val="00CD4C4F"/>
    <w:rsid w:val="00CD5287"/>
    <w:rsid w:val="00CD630D"/>
    <w:rsid w:val="00CD6667"/>
    <w:rsid w:val="00CD762F"/>
    <w:rsid w:val="00CD7F8B"/>
    <w:rsid w:val="00CE1BCD"/>
    <w:rsid w:val="00CE21CE"/>
    <w:rsid w:val="00CE3499"/>
    <w:rsid w:val="00CE3754"/>
    <w:rsid w:val="00CE5005"/>
    <w:rsid w:val="00CF06D7"/>
    <w:rsid w:val="00CF0E84"/>
    <w:rsid w:val="00CF36A5"/>
    <w:rsid w:val="00CF4181"/>
    <w:rsid w:val="00CF62D3"/>
    <w:rsid w:val="00CF6A1F"/>
    <w:rsid w:val="00CF7BED"/>
    <w:rsid w:val="00D00035"/>
    <w:rsid w:val="00D01021"/>
    <w:rsid w:val="00D060B1"/>
    <w:rsid w:val="00D11DEA"/>
    <w:rsid w:val="00D12723"/>
    <w:rsid w:val="00D12C4D"/>
    <w:rsid w:val="00D13E53"/>
    <w:rsid w:val="00D15FEF"/>
    <w:rsid w:val="00D16E05"/>
    <w:rsid w:val="00D211DD"/>
    <w:rsid w:val="00D268A5"/>
    <w:rsid w:val="00D26B0C"/>
    <w:rsid w:val="00D27F6A"/>
    <w:rsid w:val="00D333DF"/>
    <w:rsid w:val="00D34A09"/>
    <w:rsid w:val="00D412C2"/>
    <w:rsid w:val="00D41F8D"/>
    <w:rsid w:val="00D45183"/>
    <w:rsid w:val="00D45DF9"/>
    <w:rsid w:val="00D46301"/>
    <w:rsid w:val="00D51416"/>
    <w:rsid w:val="00D53D38"/>
    <w:rsid w:val="00D55420"/>
    <w:rsid w:val="00D60661"/>
    <w:rsid w:val="00D611C6"/>
    <w:rsid w:val="00D61733"/>
    <w:rsid w:val="00D62469"/>
    <w:rsid w:val="00D62DA7"/>
    <w:rsid w:val="00D6366D"/>
    <w:rsid w:val="00D637AF"/>
    <w:rsid w:val="00D6464A"/>
    <w:rsid w:val="00D66F7D"/>
    <w:rsid w:val="00D672E0"/>
    <w:rsid w:val="00D7391F"/>
    <w:rsid w:val="00D75BCD"/>
    <w:rsid w:val="00D8143C"/>
    <w:rsid w:val="00D81614"/>
    <w:rsid w:val="00D81AF4"/>
    <w:rsid w:val="00D82C39"/>
    <w:rsid w:val="00D82FF9"/>
    <w:rsid w:val="00D83B84"/>
    <w:rsid w:val="00D841E9"/>
    <w:rsid w:val="00D849A0"/>
    <w:rsid w:val="00D84FE7"/>
    <w:rsid w:val="00D8530B"/>
    <w:rsid w:val="00D90EA7"/>
    <w:rsid w:val="00D91BF2"/>
    <w:rsid w:val="00D92869"/>
    <w:rsid w:val="00D93D82"/>
    <w:rsid w:val="00D93FC9"/>
    <w:rsid w:val="00D94EC7"/>
    <w:rsid w:val="00D967CD"/>
    <w:rsid w:val="00D9697D"/>
    <w:rsid w:val="00D96B21"/>
    <w:rsid w:val="00D96DE3"/>
    <w:rsid w:val="00DA0920"/>
    <w:rsid w:val="00DA2759"/>
    <w:rsid w:val="00DA37DD"/>
    <w:rsid w:val="00DA3906"/>
    <w:rsid w:val="00DA4E81"/>
    <w:rsid w:val="00DA4EB2"/>
    <w:rsid w:val="00DA69E1"/>
    <w:rsid w:val="00DB5515"/>
    <w:rsid w:val="00DB5BB1"/>
    <w:rsid w:val="00DB6295"/>
    <w:rsid w:val="00DB7B09"/>
    <w:rsid w:val="00DC0103"/>
    <w:rsid w:val="00DC1975"/>
    <w:rsid w:val="00DC1D91"/>
    <w:rsid w:val="00DC2071"/>
    <w:rsid w:val="00DC634B"/>
    <w:rsid w:val="00DC7447"/>
    <w:rsid w:val="00DC7C6A"/>
    <w:rsid w:val="00DD0BE6"/>
    <w:rsid w:val="00DD29A4"/>
    <w:rsid w:val="00DD4023"/>
    <w:rsid w:val="00DD4D62"/>
    <w:rsid w:val="00DD4ECD"/>
    <w:rsid w:val="00DD5577"/>
    <w:rsid w:val="00DE0B66"/>
    <w:rsid w:val="00DE153E"/>
    <w:rsid w:val="00DE5005"/>
    <w:rsid w:val="00DE53D7"/>
    <w:rsid w:val="00DE5A3E"/>
    <w:rsid w:val="00DE6B62"/>
    <w:rsid w:val="00DE6DC3"/>
    <w:rsid w:val="00DF5BEA"/>
    <w:rsid w:val="00DF76BB"/>
    <w:rsid w:val="00E00FEC"/>
    <w:rsid w:val="00E02CDE"/>
    <w:rsid w:val="00E05778"/>
    <w:rsid w:val="00E0585A"/>
    <w:rsid w:val="00E06617"/>
    <w:rsid w:val="00E07CDE"/>
    <w:rsid w:val="00E1072B"/>
    <w:rsid w:val="00E20D19"/>
    <w:rsid w:val="00E2174D"/>
    <w:rsid w:val="00E24E14"/>
    <w:rsid w:val="00E266D5"/>
    <w:rsid w:val="00E31EF9"/>
    <w:rsid w:val="00E323FA"/>
    <w:rsid w:val="00E32F1B"/>
    <w:rsid w:val="00E32FBA"/>
    <w:rsid w:val="00E35060"/>
    <w:rsid w:val="00E35291"/>
    <w:rsid w:val="00E36B36"/>
    <w:rsid w:val="00E36DF6"/>
    <w:rsid w:val="00E40A31"/>
    <w:rsid w:val="00E43ACB"/>
    <w:rsid w:val="00E44B69"/>
    <w:rsid w:val="00E44D89"/>
    <w:rsid w:val="00E458B3"/>
    <w:rsid w:val="00E47A43"/>
    <w:rsid w:val="00E47AE1"/>
    <w:rsid w:val="00E50D5F"/>
    <w:rsid w:val="00E55C4C"/>
    <w:rsid w:val="00E601E8"/>
    <w:rsid w:val="00E6030E"/>
    <w:rsid w:val="00E60851"/>
    <w:rsid w:val="00E610AF"/>
    <w:rsid w:val="00E627D4"/>
    <w:rsid w:val="00E62920"/>
    <w:rsid w:val="00E65EEF"/>
    <w:rsid w:val="00E67C18"/>
    <w:rsid w:val="00E67D20"/>
    <w:rsid w:val="00E70F2D"/>
    <w:rsid w:val="00E711AB"/>
    <w:rsid w:val="00E712D7"/>
    <w:rsid w:val="00E71B21"/>
    <w:rsid w:val="00E72C7F"/>
    <w:rsid w:val="00E73ABF"/>
    <w:rsid w:val="00E75BD7"/>
    <w:rsid w:val="00E76128"/>
    <w:rsid w:val="00E7660D"/>
    <w:rsid w:val="00E77172"/>
    <w:rsid w:val="00E81F5E"/>
    <w:rsid w:val="00E84528"/>
    <w:rsid w:val="00E85520"/>
    <w:rsid w:val="00E857B0"/>
    <w:rsid w:val="00E8735F"/>
    <w:rsid w:val="00E90FB1"/>
    <w:rsid w:val="00E937EC"/>
    <w:rsid w:val="00E94ACA"/>
    <w:rsid w:val="00E94CD9"/>
    <w:rsid w:val="00E95481"/>
    <w:rsid w:val="00E9568D"/>
    <w:rsid w:val="00E9667D"/>
    <w:rsid w:val="00EA23A4"/>
    <w:rsid w:val="00EA3343"/>
    <w:rsid w:val="00EA3861"/>
    <w:rsid w:val="00EA5047"/>
    <w:rsid w:val="00EA5251"/>
    <w:rsid w:val="00EA767E"/>
    <w:rsid w:val="00EB1CF3"/>
    <w:rsid w:val="00EB1ED8"/>
    <w:rsid w:val="00EB286C"/>
    <w:rsid w:val="00EB3021"/>
    <w:rsid w:val="00EB52D8"/>
    <w:rsid w:val="00EB6C75"/>
    <w:rsid w:val="00EB6FE6"/>
    <w:rsid w:val="00EB7658"/>
    <w:rsid w:val="00EC0517"/>
    <w:rsid w:val="00EC079A"/>
    <w:rsid w:val="00EC0FB7"/>
    <w:rsid w:val="00EC16F6"/>
    <w:rsid w:val="00EC2AA2"/>
    <w:rsid w:val="00ED28D6"/>
    <w:rsid w:val="00ED49FD"/>
    <w:rsid w:val="00ED4C82"/>
    <w:rsid w:val="00EE017A"/>
    <w:rsid w:val="00EE0E02"/>
    <w:rsid w:val="00EE3980"/>
    <w:rsid w:val="00EE3FC6"/>
    <w:rsid w:val="00EE49FD"/>
    <w:rsid w:val="00EE4BC4"/>
    <w:rsid w:val="00EE5E5D"/>
    <w:rsid w:val="00EE69DF"/>
    <w:rsid w:val="00EE6ECE"/>
    <w:rsid w:val="00EE7818"/>
    <w:rsid w:val="00EF07D0"/>
    <w:rsid w:val="00EF1C09"/>
    <w:rsid w:val="00EF595E"/>
    <w:rsid w:val="00EF645C"/>
    <w:rsid w:val="00EF67FE"/>
    <w:rsid w:val="00EF6808"/>
    <w:rsid w:val="00EF7C61"/>
    <w:rsid w:val="00F01889"/>
    <w:rsid w:val="00F0254F"/>
    <w:rsid w:val="00F02609"/>
    <w:rsid w:val="00F05160"/>
    <w:rsid w:val="00F05433"/>
    <w:rsid w:val="00F06BDA"/>
    <w:rsid w:val="00F06C3D"/>
    <w:rsid w:val="00F07F63"/>
    <w:rsid w:val="00F128B2"/>
    <w:rsid w:val="00F12B05"/>
    <w:rsid w:val="00F14C44"/>
    <w:rsid w:val="00F15553"/>
    <w:rsid w:val="00F17B0C"/>
    <w:rsid w:val="00F20D51"/>
    <w:rsid w:val="00F236DE"/>
    <w:rsid w:val="00F23FC8"/>
    <w:rsid w:val="00F252EC"/>
    <w:rsid w:val="00F25968"/>
    <w:rsid w:val="00F34696"/>
    <w:rsid w:val="00F3504B"/>
    <w:rsid w:val="00F35DF1"/>
    <w:rsid w:val="00F36340"/>
    <w:rsid w:val="00F37F7D"/>
    <w:rsid w:val="00F407F9"/>
    <w:rsid w:val="00F41387"/>
    <w:rsid w:val="00F417B5"/>
    <w:rsid w:val="00F43874"/>
    <w:rsid w:val="00F43F7E"/>
    <w:rsid w:val="00F44BE1"/>
    <w:rsid w:val="00F45047"/>
    <w:rsid w:val="00F45EB7"/>
    <w:rsid w:val="00F4685D"/>
    <w:rsid w:val="00F47246"/>
    <w:rsid w:val="00F5204D"/>
    <w:rsid w:val="00F534C5"/>
    <w:rsid w:val="00F535AF"/>
    <w:rsid w:val="00F55D90"/>
    <w:rsid w:val="00F5632C"/>
    <w:rsid w:val="00F5675C"/>
    <w:rsid w:val="00F60F83"/>
    <w:rsid w:val="00F61C26"/>
    <w:rsid w:val="00F656B7"/>
    <w:rsid w:val="00F65A34"/>
    <w:rsid w:val="00F661FF"/>
    <w:rsid w:val="00F67BCC"/>
    <w:rsid w:val="00F67FC3"/>
    <w:rsid w:val="00F71E14"/>
    <w:rsid w:val="00F72CBB"/>
    <w:rsid w:val="00F748FF"/>
    <w:rsid w:val="00F74B72"/>
    <w:rsid w:val="00F81128"/>
    <w:rsid w:val="00F85B84"/>
    <w:rsid w:val="00F9110A"/>
    <w:rsid w:val="00F9397C"/>
    <w:rsid w:val="00F9416E"/>
    <w:rsid w:val="00F975A5"/>
    <w:rsid w:val="00F97FE5"/>
    <w:rsid w:val="00FA3755"/>
    <w:rsid w:val="00FA58D8"/>
    <w:rsid w:val="00FA7351"/>
    <w:rsid w:val="00FA7AC1"/>
    <w:rsid w:val="00FB065B"/>
    <w:rsid w:val="00FB08DD"/>
    <w:rsid w:val="00FB1D1A"/>
    <w:rsid w:val="00FB2D96"/>
    <w:rsid w:val="00FB3685"/>
    <w:rsid w:val="00FB521A"/>
    <w:rsid w:val="00FB54F4"/>
    <w:rsid w:val="00FB62D9"/>
    <w:rsid w:val="00FB773D"/>
    <w:rsid w:val="00FC17BF"/>
    <w:rsid w:val="00FC2179"/>
    <w:rsid w:val="00FC2CE0"/>
    <w:rsid w:val="00FC34A8"/>
    <w:rsid w:val="00FC3CE5"/>
    <w:rsid w:val="00FC430A"/>
    <w:rsid w:val="00FC4A65"/>
    <w:rsid w:val="00FC749A"/>
    <w:rsid w:val="00FD0B49"/>
    <w:rsid w:val="00FD1FDB"/>
    <w:rsid w:val="00FD39DA"/>
    <w:rsid w:val="00FD3A24"/>
    <w:rsid w:val="00FD4D9E"/>
    <w:rsid w:val="00FD5CAE"/>
    <w:rsid w:val="00FD6389"/>
    <w:rsid w:val="00FD6A64"/>
    <w:rsid w:val="00FD6ACB"/>
    <w:rsid w:val="00FE1A5D"/>
    <w:rsid w:val="00FE2D1B"/>
    <w:rsid w:val="00FE36AC"/>
    <w:rsid w:val="00FE3E84"/>
    <w:rsid w:val="00FE4611"/>
    <w:rsid w:val="00FE4EDE"/>
    <w:rsid w:val="00FE5709"/>
    <w:rsid w:val="00FE6F70"/>
    <w:rsid w:val="00FF2F9E"/>
    <w:rsid w:val="00FF37E6"/>
    <w:rsid w:val="00FF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0FF176"/>
  <w15:docId w15:val="{4D1462DC-42BC-4F81-9BB2-6C2ECC65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11" w:qFormat="1"/>
    <w:lsdException w:name="Salutation" w:semiHidden="1" w:unhideWhenUsed="1"/>
    <w:lsdException w:name="Date" w:semiHidden="1" w:unhideWhenUsed="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locked="0" w:uiPriority="31" w:qFormat="1"/>
    <w:lsdException w:name="Intense Reference" w:locked="0"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044E54"/>
    <w:pPr>
      <w:autoSpaceDE w:val="0"/>
      <w:autoSpaceDN w:val="0"/>
      <w:adjustRightInd w:val="0"/>
      <w:spacing w:line="360" w:lineRule="auto"/>
    </w:pPr>
    <w:rPr>
      <w:rFonts w:ascii="Arial" w:eastAsiaTheme="minorEastAsia" w:hAnsi="Arial" w:cs="Arial"/>
      <w:lang w:eastAsia="en-GB"/>
    </w:rPr>
  </w:style>
  <w:style w:type="paragraph" w:styleId="Heading1">
    <w:name w:val="heading 1"/>
    <w:basedOn w:val="Normal"/>
    <w:next w:val="Normal"/>
    <w:link w:val="Heading1Char"/>
    <w:uiPriority w:val="9"/>
    <w:qFormat/>
    <w:rsid w:val="00B6425A"/>
    <w:pPr>
      <w:shd w:val="clear" w:color="auto" w:fill="FFFFFF"/>
      <w:spacing w:after="0" w:line="300" w:lineRule="atLeast"/>
      <w:outlineLvl w:val="0"/>
    </w:pPr>
    <w:rPr>
      <w:rFonts w:eastAsia="Times New Roman"/>
      <w:b/>
      <w:color w:val="333333"/>
      <w:sz w:val="28"/>
      <w:szCs w:val="28"/>
    </w:rPr>
  </w:style>
  <w:style w:type="paragraph" w:styleId="Heading2">
    <w:name w:val="heading 2"/>
    <w:basedOn w:val="Normal"/>
    <w:next w:val="Normal"/>
    <w:link w:val="Heading2Char"/>
    <w:uiPriority w:val="9"/>
    <w:unhideWhenUsed/>
    <w:qFormat/>
    <w:rsid w:val="00F23FC8"/>
    <w:pPr>
      <w:outlineLvl w:val="1"/>
    </w:pPr>
    <w:rPr>
      <w:b/>
    </w:rPr>
  </w:style>
  <w:style w:type="paragraph" w:styleId="Heading3">
    <w:name w:val="heading 3"/>
    <w:basedOn w:val="Normal"/>
    <w:next w:val="Normal"/>
    <w:link w:val="Heading3Char"/>
    <w:uiPriority w:val="9"/>
    <w:unhideWhenUsed/>
    <w:qFormat/>
    <w:rsid w:val="001927C1"/>
    <w:pPr>
      <w:outlineLvl w:val="2"/>
    </w:pPr>
    <w:rPr>
      <w:b/>
      <w:i/>
    </w:rPr>
  </w:style>
  <w:style w:type="paragraph" w:styleId="Heading4">
    <w:name w:val="heading 4"/>
    <w:basedOn w:val="Normal"/>
    <w:next w:val="Normal"/>
    <w:link w:val="Heading4Char"/>
    <w:uiPriority w:val="9"/>
    <w:unhideWhenUsed/>
    <w:qFormat/>
    <w:rsid w:val="003C5A55"/>
    <w:pPr>
      <w:outlineLvl w:val="3"/>
    </w:pPr>
    <w:rPr>
      <w:u w:val="single"/>
    </w:rPr>
  </w:style>
  <w:style w:type="paragraph" w:styleId="Heading5">
    <w:name w:val="heading 5"/>
    <w:basedOn w:val="Heading4"/>
    <w:next w:val="Normal"/>
    <w:link w:val="Heading5Char"/>
    <w:autoRedefine/>
    <w:uiPriority w:val="9"/>
    <w:unhideWhenUsed/>
    <w:qFormat/>
    <w:rsid w:val="00AF5B6E"/>
    <w:pPr>
      <w:outlineLvl w:val="4"/>
    </w:pPr>
    <w:rPr>
      <w:i/>
      <w:u w:val="none"/>
    </w:rPr>
  </w:style>
  <w:style w:type="paragraph" w:styleId="Heading6">
    <w:name w:val="heading 6"/>
    <w:basedOn w:val="Normal"/>
    <w:next w:val="Normal"/>
    <w:link w:val="Heading6Char"/>
    <w:uiPriority w:val="9"/>
    <w:unhideWhenUsed/>
    <w:qFormat/>
    <w:locked/>
    <w:rsid w:val="00862E8C"/>
    <w:pPr>
      <w:outlineLvl w:val="5"/>
    </w:pPr>
    <w:rPr>
      <w:i/>
    </w:rPr>
  </w:style>
  <w:style w:type="paragraph" w:styleId="Heading7">
    <w:name w:val="heading 7"/>
    <w:basedOn w:val="Normal"/>
    <w:next w:val="Normal"/>
    <w:link w:val="Heading7Char"/>
    <w:uiPriority w:val="9"/>
    <w:unhideWhenUsed/>
    <w:qFormat/>
    <w:locked/>
    <w:rsid w:val="003E78EF"/>
    <w:pPr>
      <w:keepNext/>
      <w:keepLines/>
      <w:autoSpaceDE/>
      <w:autoSpaceDN/>
      <w:adjustRightInd/>
      <w:spacing w:before="240" w:after="120" w:line="276" w:lineRule="auto"/>
      <w:outlineLvl w:val="6"/>
    </w:pPr>
    <w:rPr>
      <w:rFonts w:eastAsiaTheme="majorEastAsia" w:cstheme="majorBidi"/>
      <w:b/>
      <w:i/>
      <w:iCs/>
      <w:sz w:val="24"/>
      <w:szCs w:val="24"/>
      <w:lang w:eastAsia="en-US"/>
    </w:rPr>
  </w:style>
  <w:style w:type="paragraph" w:styleId="Heading8">
    <w:name w:val="heading 8"/>
    <w:basedOn w:val="Normal"/>
    <w:next w:val="Normal"/>
    <w:link w:val="Heading8Char"/>
    <w:uiPriority w:val="9"/>
    <w:unhideWhenUsed/>
    <w:qFormat/>
    <w:locked/>
    <w:rsid w:val="003E78EF"/>
    <w:pPr>
      <w:keepNext/>
      <w:keepLines/>
      <w:autoSpaceDE/>
      <w:autoSpaceDN/>
      <w:adjustRightInd/>
      <w:spacing w:before="240" w:after="120" w:line="276" w:lineRule="auto"/>
      <w:outlineLvl w:val="7"/>
    </w:pPr>
    <w:rPr>
      <w:rFonts w:eastAsiaTheme="majorEastAsia" w:cstheme="majorBidi"/>
      <w:sz w:val="24"/>
      <w:szCs w:val="20"/>
      <w:lang w:eastAsia="en-US"/>
    </w:rPr>
  </w:style>
  <w:style w:type="paragraph" w:styleId="Heading9">
    <w:name w:val="heading 9"/>
    <w:basedOn w:val="Normal"/>
    <w:next w:val="Normal"/>
    <w:link w:val="Heading9Char"/>
    <w:uiPriority w:val="9"/>
    <w:unhideWhenUsed/>
    <w:qFormat/>
    <w:locked/>
    <w:rsid w:val="003E78EF"/>
    <w:pPr>
      <w:keepNext/>
      <w:keepLines/>
      <w:autoSpaceDE/>
      <w:autoSpaceDN/>
      <w:adjustRightInd/>
      <w:spacing w:before="240" w:after="120" w:line="276" w:lineRule="auto"/>
      <w:outlineLvl w:val="8"/>
    </w:pPr>
    <w:rPr>
      <w:rFonts w:eastAsiaTheme="majorEastAsia" w:cstheme="majorBidi"/>
      <w:i/>
      <w:i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765FE"/>
    <w:pPr>
      <w:spacing w:after="0" w:line="240" w:lineRule="auto"/>
      <w:contextualSpacing/>
      <w:jc w:val="center"/>
    </w:pPr>
    <w:rPr>
      <w:rFonts w:eastAsia="Times New Roman"/>
      <w:b/>
      <w:spacing w:val="-10"/>
      <w:kern w:val="28"/>
      <w:sz w:val="28"/>
      <w:szCs w:val="28"/>
    </w:rPr>
  </w:style>
  <w:style w:type="character" w:customStyle="1" w:styleId="TitleChar">
    <w:name w:val="Title Char"/>
    <w:basedOn w:val="DefaultParagraphFont"/>
    <w:link w:val="Title"/>
    <w:uiPriority w:val="10"/>
    <w:rsid w:val="004765FE"/>
    <w:rPr>
      <w:rFonts w:ascii="Arial" w:eastAsia="Times New Roman" w:hAnsi="Arial" w:cs="Arial"/>
      <w:b/>
      <w:spacing w:val="-10"/>
      <w:kern w:val="28"/>
      <w:sz w:val="28"/>
      <w:szCs w:val="28"/>
      <w:lang w:eastAsia="en-GB"/>
    </w:rPr>
  </w:style>
  <w:style w:type="character" w:customStyle="1" w:styleId="Heading1Char">
    <w:name w:val="Heading 1 Char"/>
    <w:basedOn w:val="DefaultParagraphFont"/>
    <w:link w:val="Heading1"/>
    <w:uiPriority w:val="9"/>
    <w:rsid w:val="00B6425A"/>
    <w:rPr>
      <w:rFonts w:ascii="Arial" w:eastAsia="Times New Roman" w:hAnsi="Arial" w:cs="Arial"/>
      <w:b/>
      <w:color w:val="333333"/>
      <w:sz w:val="28"/>
      <w:szCs w:val="28"/>
      <w:shd w:val="clear" w:color="auto" w:fill="FFFFFF"/>
      <w:lang w:eastAsia="en-GB"/>
    </w:rPr>
  </w:style>
  <w:style w:type="character" w:styleId="CommentReference">
    <w:name w:val="annotation reference"/>
    <w:basedOn w:val="DefaultParagraphFont"/>
    <w:uiPriority w:val="99"/>
    <w:semiHidden/>
    <w:unhideWhenUsed/>
    <w:locked/>
    <w:rsid w:val="002C413C"/>
    <w:rPr>
      <w:sz w:val="16"/>
      <w:szCs w:val="16"/>
    </w:rPr>
  </w:style>
  <w:style w:type="paragraph" w:styleId="CommentText">
    <w:name w:val="annotation text"/>
    <w:basedOn w:val="Normal"/>
    <w:link w:val="CommentTextChar"/>
    <w:uiPriority w:val="99"/>
    <w:unhideWhenUsed/>
    <w:locked/>
    <w:rsid w:val="002C413C"/>
    <w:pPr>
      <w:spacing w:line="240" w:lineRule="auto"/>
    </w:pPr>
    <w:rPr>
      <w:sz w:val="20"/>
      <w:szCs w:val="20"/>
    </w:rPr>
  </w:style>
  <w:style w:type="character" w:customStyle="1" w:styleId="CommentTextChar">
    <w:name w:val="Comment Text Char"/>
    <w:basedOn w:val="DefaultParagraphFont"/>
    <w:link w:val="CommentText"/>
    <w:uiPriority w:val="99"/>
    <w:rsid w:val="002C413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2C413C"/>
    <w:rPr>
      <w:b/>
      <w:bCs/>
    </w:rPr>
  </w:style>
  <w:style w:type="character" w:customStyle="1" w:styleId="CommentSubjectChar">
    <w:name w:val="Comment Subject Char"/>
    <w:basedOn w:val="CommentTextChar"/>
    <w:link w:val="CommentSubject"/>
    <w:uiPriority w:val="99"/>
    <w:semiHidden/>
    <w:rsid w:val="002C413C"/>
    <w:rPr>
      <w:rFonts w:ascii="Arial" w:hAnsi="Arial" w:cs="Arial"/>
      <w:b/>
      <w:bCs/>
      <w:sz w:val="20"/>
      <w:szCs w:val="20"/>
    </w:rPr>
  </w:style>
  <w:style w:type="paragraph" w:styleId="BalloonText">
    <w:name w:val="Balloon Text"/>
    <w:basedOn w:val="Normal"/>
    <w:link w:val="BalloonTextChar"/>
    <w:uiPriority w:val="99"/>
    <w:semiHidden/>
    <w:unhideWhenUsed/>
    <w:locked/>
    <w:rsid w:val="002C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13C"/>
    <w:rPr>
      <w:rFonts w:ascii="Segoe UI" w:hAnsi="Segoe UI" w:cs="Segoe UI"/>
      <w:sz w:val="18"/>
      <w:szCs w:val="18"/>
    </w:rPr>
  </w:style>
  <w:style w:type="character" w:customStyle="1" w:styleId="Heading2Char">
    <w:name w:val="Heading 2 Char"/>
    <w:basedOn w:val="DefaultParagraphFont"/>
    <w:link w:val="Heading2"/>
    <w:uiPriority w:val="9"/>
    <w:rsid w:val="00F23FC8"/>
    <w:rPr>
      <w:rFonts w:ascii="Arial" w:hAnsi="Arial" w:cs="Arial"/>
      <w:b/>
      <w:sz w:val="24"/>
      <w:szCs w:val="24"/>
    </w:rPr>
  </w:style>
  <w:style w:type="paragraph" w:customStyle="1" w:styleId="EndNoteBibliographyTitle">
    <w:name w:val="EndNote Bibliography Title"/>
    <w:basedOn w:val="Normal"/>
    <w:link w:val="EndNoteBibliographyTitleChar"/>
    <w:locked/>
    <w:rsid w:val="000B4E72"/>
    <w:pPr>
      <w:spacing w:after="0"/>
      <w:jc w:val="center"/>
    </w:pPr>
    <w:rPr>
      <w:noProof/>
      <w:sz w:val="24"/>
      <w:lang w:val="en-US"/>
    </w:rPr>
  </w:style>
  <w:style w:type="character" w:customStyle="1" w:styleId="EndNoteBibliographyTitleChar">
    <w:name w:val="EndNote Bibliography Title Char"/>
    <w:basedOn w:val="Heading2Char"/>
    <w:link w:val="EndNoteBibliographyTitle"/>
    <w:rsid w:val="000B4E72"/>
    <w:rPr>
      <w:rFonts w:ascii="Arial" w:eastAsiaTheme="minorEastAsia" w:hAnsi="Arial" w:cs="Arial"/>
      <w:b w:val="0"/>
      <w:noProof/>
      <w:sz w:val="24"/>
      <w:szCs w:val="24"/>
      <w:lang w:val="en-US" w:eastAsia="en-GB"/>
    </w:rPr>
  </w:style>
  <w:style w:type="paragraph" w:customStyle="1" w:styleId="EndNoteBibliography">
    <w:name w:val="EndNote Bibliography"/>
    <w:basedOn w:val="Normal"/>
    <w:link w:val="EndNoteBibliographyChar"/>
    <w:locked/>
    <w:rsid w:val="000B4E72"/>
    <w:pPr>
      <w:spacing w:line="240" w:lineRule="auto"/>
    </w:pPr>
    <w:rPr>
      <w:noProof/>
      <w:sz w:val="24"/>
      <w:lang w:val="en-US"/>
    </w:rPr>
  </w:style>
  <w:style w:type="character" w:customStyle="1" w:styleId="EndNoteBibliographyChar">
    <w:name w:val="EndNote Bibliography Char"/>
    <w:basedOn w:val="Heading2Char"/>
    <w:link w:val="EndNoteBibliography"/>
    <w:rsid w:val="000B4E72"/>
    <w:rPr>
      <w:rFonts w:ascii="Arial" w:eastAsiaTheme="minorEastAsia" w:hAnsi="Arial" w:cs="Arial"/>
      <w:b w:val="0"/>
      <w:noProof/>
      <w:sz w:val="24"/>
      <w:szCs w:val="24"/>
      <w:lang w:val="en-US" w:eastAsia="en-GB"/>
    </w:rPr>
  </w:style>
  <w:style w:type="character" w:styleId="Hyperlink">
    <w:name w:val="Hyperlink"/>
    <w:basedOn w:val="DefaultParagraphFont"/>
    <w:uiPriority w:val="99"/>
    <w:unhideWhenUsed/>
    <w:locked/>
    <w:rsid w:val="00850874"/>
    <w:rPr>
      <w:color w:val="0563C1" w:themeColor="hyperlink"/>
      <w:u w:val="single"/>
    </w:rPr>
  </w:style>
  <w:style w:type="paragraph" w:customStyle="1" w:styleId="Chapterheading">
    <w:name w:val="Chapter heading"/>
    <w:basedOn w:val="Heading1"/>
    <w:qFormat/>
    <w:locked/>
    <w:rsid w:val="00B6425A"/>
    <w:rPr>
      <w:sz w:val="32"/>
      <w:szCs w:val="32"/>
    </w:rPr>
  </w:style>
  <w:style w:type="character" w:customStyle="1" w:styleId="Heading3Char">
    <w:name w:val="Heading 3 Char"/>
    <w:basedOn w:val="DefaultParagraphFont"/>
    <w:link w:val="Heading3"/>
    <w:uiPriority w:val="9"/>
    <w:rsid w:val="001927C1"/>
    <w:rPr>
      <w:rFonts w:ascii="Arial" w:hAnsi="Arial" w:cs="Arial"/>
      <w:b/>
      <w:i/>
    </w:rPr>
  </w:style>
  <w:style w:type="paragraph" w:styleId="ListParagraph">
    <w:name w:val="List Paragraph"/>
    <w:basedOn w:val="Normal"/>
    <w:uiPriority w:val="34"/>
    <w:qFormat/>
    <w:locked/>
    <w:rsid w:val="00CF7BED"/>
    <w:pPr>
      <w:ind w:left="720"/>
      <w:contextualSpacing/>
    </w:pPr>
  </w:style>
  <w:style w:type="paragraph" w:styleId="BodyTextIndent">
    <w:name w:val="Body Text Indent"/>
    <w:basedOn w:val="Normal"/>
    <w:link w:val="BodyTextIndentChar"/>
    <w:uiPriority w:val="99"/>
    <w:unhideWhenUsed/>
    <w:locked/>
    <w:rsid w:val="008D5BBA"/>
    <w:pPr>
      <w:widowControl w:val="0"/>
      <w:autoSpaceDE/>
      <w:autoSpaceDN/>
      <w:adjustRightInd/>
      <w:spacing w:after="120" w:line="240" w:lineRule="auto"/>
      <w:ind w:left="283"/>
    </w:pPr>
    <w:rPr>
      <w:rFonts w:ascii="Times New Roman" w:eastAsia="Times New Roman" w:hAnsi="Times New Roman" w:cs="Times New Roman"/>
      <w:snapToGrid w:val="0"/>
      <w:sz w:val="24"/>
      <w:szCs w:val="20"/>
      <w:lang w:eastAsia="en-US"/>
    </w:rPr>
  </w:style>
  <w:style w:type="character" w:customStyle="1" w:styleId="BodyTextIndentChar">
    <w:name w:val="Body Text Indent Char"/>
    <w:basedOn w:val="DefaultParagraphFont"/>
    <w:link w:val="BodyTextIndent"/>
    <w:uiPriority w:val="99"/>
    <w:rsid w:val="008D5BBA"/>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rsid w:val="003C5A55"/>
    <w:rPr>
      <w:rFonts w:ascii="Arial" w:eastAsiaTheme="minorEastAsia" w:hAnsi="Arial" w:cs="Arial"/>
      <w:u w:val="single"/>
      <w:lang w:eastAsia="en-GB"/>
    </w:rPr>
  </w:style>
  <w:style w:type="paragraph" w:styleId="Header">
    <w:name w:val="header"/>
    <w:basedOn w:val="Normal"/>
    <w:link w:val="HeaderChar"/>
    <w:uiPriority w:val="99"/>
    <w:unhideWhenUsed/>
    <w:locked/>
    <w:rsid w:val="00480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E7A"/>
    <w:rPr>
      <w:rFonts w:ascii="Arial" w:eastAsiaTheme="minorEastAsia" w:hAnsi="Arial" w:cs="Arial"/>
      <w:lang w:eastAsia="en-GB"/>
    </w:rPr>
  </w:style>
  <w:style w:type="paragraph" w:styleId="Footer">
    <w:name w:val="footer"/>
    <w:basedOn w:val="Normal"/>
    <w:link w:val="FooterChar"/>
    <w:uiPriority w:val="99"/>
    <w:unhideWhenUsed/>
    <w:locked/>
    <w:rsid w:val="00480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E7A"/>
    <w:rPr>
      <w:rFonts w:ascii="Arial" w:eastAsiaTheme="minorEastAsia" w:hAnsi="Arial" w:cs="Arial"/>
      <w:lang w:eastAsia="en-GB"/>
    </w:rPr>
  </w:style>
  <w:style w:type="character" w:customStyle="1" w:styleId="Heading5Char">
    <w:name w:val="Heading 5 Char"/>
    <w:basedOn w:val="DefaultParagraphFont"/>
    <w:link w:val="Heading5"/>
    <w:uiPriority w:val="9"/>
    <w:rsid w:val="00AF5B6E"/>
    <w:rPr>
      <w:rFonts w:ascii="Arial" w:eastAsiaTheme="minorEastAsia" w:hAnsi="Arial" w:cs="Arial"/>
      <w:i/>
      <w:lang w:eastAsia="en-GB"/>
    </w:rPr>
  </w:style>
  <w:style w:type="character" w:customStyle="1" w:styleId="Heading6Char">
    <w:name w:val="Heading 6 Char"/>
    <w:basedOn w:val="DefaultParagraphFont"/>
    <w:link w:val="Heading6"/>
    <w:uiPriority w:val="9"/>
    <w:rsid w:val="00862E8C"/>
    <w:rPr>
      <w:rFonts w:ascii="Arial" w:eastAsiaTheme="minorEastAsia" w:hAnsi="Arial" w:cs="Arial"/>
      <w:i/>
      <w:lang w:eastAsia="en-GB"/>
    </w:rPr>
  </w:style>
  <w:style w:type="character" w:customStyle="1" w:styleId="Heading7Char">
    <w:name w:val="Heading 7 Char"/>
    <w:basedOn w:val="DefaultParagraphFont"/>
    <w:link w:val="Heading7"/>
    <w:uiPriority w:val="9"/>
    <w:rsid w:val="003E78EF"/>
    <w:rPr>
      <w:rFonts w:ascii="Arial" w:eastAsiaTheme="majorEastAsia" w:hAnsi="Arial" w:cstheme="majorBidi"/>
      <w:b/>
      <w:i/>
      <w:iCs/>
      <w:sz w:val="24"/>
      <w:szCs w:val="24"/>
    </w:rPr>
  </w:style>
  <w:style w:type="character" w:customStyle="1" w:styleId="Heading8Char">
    <w:name w:val="Heading 8 Char"/>
    <w:basedOn w:val="DefaultParagraphFont"/>
    <w:link w:val="Heading8"/>
    <w:uiPriority w:val="9"/>
    <w:rsid w:val="003E78EF"/>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3E78EF"/>
    <w:rPr>
      <w:rFonts w:ascii="Arial" w:eastAsiaTheme="majorEastAsia" w:hAnsi="Arial" w:cstheme="majorBidi"/>
      <w:i/>
      <w:iCs/>
      <w:sz w:val="24"/>
      <w:szCs w:val="20"/>
    </w:rPr>
  </w:style>
  <w:style w:type="paragraph" w:customStyle="1" w:styleId="Subheading">
    <w:name w:val="Subheading"/>
    <w:basedOn w:val="Normal"/>
    <w:next w:val="Normal"/>
    <w:link w:val="SubheadingChar"/>
    <w:locked/>
    <w:rsid w:val="003E78EF"/>
    <w:pPr>
      <w:keepNext/>
      <w:autoSpaceDE/>
      <w:autoSpaceDN/>
      <w:adjustRightInd/>
      <w:spacing w:before="120" w:after="0" w:line="276" w:lineRule="auto"/>
    </w:pPr>
    <w:rPr>
      <w:rFonts w:eastAsiaTheme="minorHAnsi"/>
      <w:b/>
      <w:sz w:val="24"/>
      <w:szCs w:val="24"/>
      <w:lang w:eastAsia="en-US"/>
    </w:rPr>
  </w:style>
  <w:style w:type="character" w:customStyle="1" w:styleId="SubheadingChar">
    <w:name w:val="Subheading Char"/>
    <w:basedOn w:val="DefaultParagraphFont"/>
    <w:link w:val="Subheading"/>
    <w:rsid w:val="003E78EF"/>
    <w:rPr>
      <w:rFonts w:ascii="Arial" w:hAnsi="Arial" w:cs="Arial"/>
      <w:b/>
      <w:sz w:val="24"/>
      <w:szCs w:val="24"/>
    </w:rPr>
  </w:style>
  <w:style w:type="paragraph" w:styleId="Caption">
    <w:name w:val="caption"/>
    <w:basedOn w:val="Normal"/>
    <w:next w:val="Normal"/>
    <w:uiPriority w:val="35"/>
    <w:unhideWhenUsed/>
    <w:qFormat/>
    <w:locked/>
    <w:rsid w:val="003C2395"/>
    <w:pPr>
      <w:autoSpaceDE/>
      <w:autoSpaceDN/>
      <w:adjustRightInd/>
      <w:spacing w:before="120" w:after="0" w:line="240" w:lineRule="auto"/>
    </w:pPr>
    <w:rPr>
      <w:rFonts w:eastAsiaTheme="minorHAnsi"/>
      <w:bCs/>
      <w:szCs w:val="18"/>
      <w:lang w:eastAsia="en-US"/>
    </w:rPr>
  </w:style>
  <w:style w:type="paragraph" w:styleId="Subtitle">
    <w:name w:val="Subtitle"/>
    <w:basedOn w:val="Normal"/>
    <w:next w:val="Normal"/>
    <w:link w:val="SubtitleChar"/>
    <w:autoRedefine/>
    <w:uiPriority w:val="11"/>
    <w:qFormat/>
    <w:locked/>
    <w:rsid w:val="003E78EF"/>
    <w:pPr>
      <w:keepNext/>
      <w:numPr>
        <w:ilvl w:val="1"/>
      </w:numPr>
      <w:autoSpaceDE/>
      <w:autoSpaceDN/>
      <w:adjustRightInd/>
      <w:spacing w:before="120" w:after="0" w:line="276" w:lineRule="auto"/>
    </w:pPr>
    <w:rPr>
      <w:rFonts w:eastAsiaTheme="majorEastAsia"/>
      <w:iCs/>
      <w:spacing w:val="15"/>
      <w:sz w:val="28"/>
      <w:szCs w:val="24"/>
      <w:lang w:eastAsia="en-US"/>
    </w:rPr>
  </w:style>
  <w:style w:type="character" w:customStyle="1" w:styleId="SubtitleChar">
    <w:name w:val="Subtitle Char"/>
    <w:basedOn w:val="DefaultParagraphFont"/>
    <w:link w:val="Subtitle"/>
    <w:uiPriority w:val="11"/>
    <w:rsid w:val="003E78EF"/>
    <w:rPr>
      <w:rFonts w:ascii="Arial" w:eastAsiaTheme="majorEastAsia" w:hAnsi="Arial" w:cs="Arial"/>
      <w:iCs/>
      <w:spacing w:val="15"/>
      <w:sz w:val="28"/>
      <w:szCs w:val="24"/>
    </w:rPr>
  </w:style>
  <w:style w:type="paragraph" w:styleId="Quote">
    <w:name w:val="Quote"/>
    <w:basedOn w:val="Normal"/>
    <w:next w:val="Normal"/>
    <w:link w:val="QuoteChar1"/>
    <w:uiPriority w:val="29"/>
    <w:qFormat/>
    <w:locked/>
    <w:rsid w:val="00E02CDE"/>
    <w:pPr>
      <w:ind w:left="720"/>
    </w:pPr>
    <w:rPr>
      <w:i/>
    </w:rPr>
  </w:style>
  <w:style w:type="character" w:customStyle="1" w:styleId="QuoteChar">
    <w:name w:val="Quote Char"/>
    <w:basedOn w:val="DefaultParagraphFont"/>
    <w:uiPriority w:val="29"/>
    <w:locked/>
    <w:rsid w:val="003E78EF"/>
    <w:rPr>
      <w:rFonts w:ascii="Arial" w:eastAsiaTheme="minorEastAsia" w:hAnsi="Arial" w:cs="Arial"/>
      <w:i/>
      <w:iCs/>
      <w:color w:val="404040" w:themeColor="text1" w:themeTint="BF"/>
      <w:lang w:eastAsia="en-GB"/>
    </w:rPr>
  </w:style>
  <w:style w:type="character" w:customStyle="1" w:styleId="QuoteChar1">
    <w:name w:val="Quote Char1"/>
    <w:basedOn w:val="DefaultParagraphFont"/>
    <w:link w:val="Quote"/>
    <w:uiPriority w:val="29"/>
    <w:rsid w:val="00E02CDE"/>
    <w:rPr>
      <w:rFonts w:ascii="Arial" w:eastAsiaTheme="minorEastAsia" w:hAnsi="Arial" w:cs="Arial"/>
      <w:i/>
      <w:lang w:eastAsia="en-GB"/>
    </w:rPr>
  </w:style>
  <w:style w:type="paragraph" w:styleId="ListBullet">
    <w:name w:val="List Bullet"/>
    <w:basedOn w:val="Normal"/>
    <w:uiPriority w:val="99"/>
    <w:semiHidden/>
    <w:unhideWhenUsed/>
    <w:locked/>
    <w:rsid w:val="003E78EF"/>
    <w:pPr>
      <w:numPr>
        <w:numId w:val="8"/>
      </w:numPr>
      <w:autoSpaceDE/>
      <w:autoSpaceDN/>
      <w:adjustRightInd/>
      <w:spacing w:before="120" w:after="0" w:line="276" w:lineRule="auto"/>
      <w:contextualSpacing/>
    </w:pPr>
    <w:rPr>
      <w:rFonts w:eastAsiaTheme="minorHAnsi"/>
      <w:sz w:val="24"/>
      <w:szCs w:val="24"/>
      <w:lang w:eastAsia="en-US"/>
    </w:rPr>
  </w:style>
  <w:style w:type="paragraph" w:styleId="ListNumber">
    <w:name w:val="List Number"/>
    <w:basedOn w:val="Normal"/>
    <w:uiPriority w:val="99"/>
    <w:semiHidden/>
    <w:unhideWhenUsed/>
    <w:locked/>
    <w:rsid w:val="003E78EF"/>
    <w:pPr>
      <w:numPr>
        <w:numId w:val="9"/>
      </w:numPr>
      <w:autoSpaceDE/>
      <w:autoSpaceDN/>
      <w:adjustRightInd/>
      <w:spacing w:before="120" w:after="0" w:line="276" w:lineRule="auto"/>
      <w:contextualSpacing/>
    </w:pPr>
    <w:rPr>
      <w:rFonts w:eastAsiaTheme="minorHAnsi"/>
      <w:sz w:val="24"/>
      <w:szCs w:val="24"/>
      <w:lang w:eastAsia="en-US"/>
    </w:rPr>
  </w:style>
  <w:style w:type="paragraph" w:styleId="TableofFigures">
    <w:name w:val="table of figures"/>
    <w:basedOn w:val="Normal"/>
    <w:next w:val="Normal"/>
    <w:uiPriority w:val="99"/>
    <w:unhideWhenUsed/>
    <w:locked/>
    <w:rsid w:val="003E78EF"/>
    <w:pPr>
      <w:autoSpaceDE/>
      <w:autoSpaceDN/>
      <w:adjustRightInd/>
      <w:spacing w:before="120" w:after="0" w:line="276" w:lineRule="auto"/>
    </w:pPr>
    <w:rPr>
      <w:rFonts w:eastAsiaTheme="minorHAnsi"/>
      <w:sz w:val="24"/>
      <w:szCs w:val="24"/>
      <w:lang w:eastAsia="en-US"/>
    </w:rPr>
  </w:style>
  <w:style w:type="character" w:styleId="IntenseEmphasis">
    <w:name w:val="Intense Emphasis"/>
    <w:basedOn w:val="DefaultParagraphFont"/>
    <w:uiPriority w:val="21"/>
    <w:qFormat/>
    <w:locked/>
    <w:rsid w:val="003E78EF"/>
    <w:rPr>
      <w:b/>
      <w:bCs/>
      <w:i/>
      <w:iCs/>
      <w:color w:val="auto"/>
    </w:rPr>
  </w:style>
  <w:style w:type="paragraph" w:styleId="IntenseQuote">
    <w:name w:val="Intense Quote"/>
    <w:basedOn w:val="Normal"/>
    <w:next w:val="Normal"/>
    <w:link w:val="IntenseQuoteChar"/>
    <w:uiPriority w:val="30"/>
    <w:qFormat/>
    <w:locked/>
    <w:rsid w:val="003E78EF"/>
    <w:pPr>
      <w:pBdr>
        <w:bottom w:val="single" w:sz="4" w:space="4" w:color="5B9BD5" w:themeColor="accent1"/>
      </w:pBdr>
      <w:autoSpaceDE/>
      <w:autoSpaceDN/>
      <w:adjustRightInd/>
      <w:spacing w:before="200" w:after="280" w:line="276" w:lineRule="auto"/>
      <w:ind w:left="936" w:right="936"/>
    </w:pPr>
    <w:rPr>
      <w:rFonts w:eastAsiaTheme="minorHAnsi"/>
      <w:b/>
      <w:bCs/>
      <w:i/>
      <w:iCs/>
      <w:sz w:val="24"/>
      <w:szCs w:val="24"/>
      <w:lang w:eastAsia="en-US"/>
    </w:rPr>
  </w:style>
  <w:style w:type="character" w:customStyle="1" w:styleId="IntenseQuoteChar">
    <w:name w:val="Intense Quote Char"/>
    <w:basedOn w:val="DefaultParagraphFont"/>
    <w:link w:val="IntenseQuote"/>
    <w:uiPriority w:val="30"/>
    <w:rsid w:val="003E78EF"/>
    <w:rPr>
      <w:rFonts w:ascii="Arial" w:hAnsi="Arial" w:cs="Arial"/>
      <w:b/>
      <w:bCs/>
      <w:i/>
      <w:iCs/>
      <w:sz w:val="24"/>
      <w:szCs w:val="24"/>
    </w:rPr>
  </w:style>
  <w:style w:type="character" w:styleId="SubtleReference">
    <w:name w:val="Subtle Reference"/>
    <w:basedOn w:val="DefaultParagraphFont"/>
    <w:uiPriority w:val="31"/>
    <w:qFormat/>
    <w:locked/>
    <w:rsid w:val="003E78EF"/>
    <w:rPr>
      <w:smallCaps/>
      <w:color w:val="auto"/>
      <w:u w:val="single"/>
    </w:rPr>
  </w:style>
  <w:style w:type="character" w:styleId="IntenseReference">
    <w:name w:val="Intense Reference"/>
    <w:basedOn w:val="DefaultParagraphFont"/>
    <w:uiPriority w:val="32"/>
    <w:qFormat/>
    <w:locked/>
    <w:rsid w:val="003E78EF"/>
    <w:rPr>
      <w:b/>
      <w:bCs/>
      <w:smallCaps/>
      <w:color w:val="auto"/>
      <w:spacing w:val="5"/>
      <w:u w:val="single"/>
    </w:rPr>
  </w:style>
  <w:style w:type="paragraph" w:styleId="TOCHeading">
    <w:name w:val="TOC Heading"/>
    <w:basedOn w:val="Heading1"/>
    <w:next w:val="Normal"/>
    <w:uiPriority w:val="39"/>
    <w:unhideWhenUsed/>
    <w:qFormat/>
    <w:locked/>
    <w:rsid w:val="003E78EF"/>
    <w:pPr>
      <w:keepNext/>
      <w:keepLines/>
      <w:shd w:val="clear" w:color="auto" w:fill="auto"/>
      <w:autoSpaceDE/>
      <w:autoSpaceDN/>
      <w:adjustRightInd/>
      <w:spacing w:before="480" w:line="276" w:lineRule="auto"/>
      <w:ind w:left="1080" w:hanging="720"/>
      <w:outlineLvl w:val="9"/>
    </w:pPr>
    <w:rPr>
      <w:rFonts w:eastAsiaTheme="majorEastAsia" w:cstheme="majorBidi"/>
      <w:color w:val="000000"/>
      <w:lang w:eastAsia="en-US"/>
    </w:rPr>
  </w:style>
  <w:style w:type="paragraph" w:styleId="BlockText">
    <w:name w:val="Block Text"/>
    <w:basedOn w:val="Normal"/>
    <w:uiPriority w:val="99"/>
    <w:semiHidden/>
    <w:unhideWhenUsed/>
    <w:locked/>
    <w:rsid w:val="003E78EF"/>
    <w:pPr>
      <w:pBdr>
        <w:top w:val="single" w:sz="2" w:space="10" w:color="auto" w:shadow="1"/>
        <w:left w:val="single" w:sz="2" w:space="10" w:color="auto" w:shadow="1"/>
        <w:bottom w:val="single" w:sz="2" w:space="10" w:color="auto" w:shadow="1"/>
        <w:right w:val="single" w:sz="2" w:space="10" w:color="auto" w:shadow="1"/>
      </w:pBdr>
      <w:autoSpaceDE/>
      <w:autoSpaceDN/>
      <w:adjustRightInd/>
      <w:spacing w:before="120" w:after="0" w:line="276" w:lineRule="auto"/>
      <w:ind w:left="1152" w:right="1152"/>
    </w:pPr>
    <w:rPr>
      <w:rFonts w:cstheme="minorBidi"/>
      <w:i/>
      <w:iCs/>
      <w:sz w:val="24"/>
      <w:szCs w:val="24"/>
      <w:lang w:eastAsia="en-US"/>
    </w:rPr>
  </w:style>
  <w:style w:type="character" w:styleId="PlaceholderText">
    <w:name w:val="Placeholder Text"/>
    <w:basedOn w:val="DefaultParagraphFont"/>
    <w:uiPriority w:val="99"/>
    <w:semiHidden/>
    <w:locked/>
    <w:rsid w:val="003E78EF"/>
    <w:rPr>
      <w:color w:val="auto"/>
    </w:rPr>
  </w:style>
  <w:style w:type="paragraph" w:styleId="TOAHeading">
    <w:name w:val="toa heading"/>
    <w:basedOn w:val="Normal"/>
    <w:next w:val="Normal"/>
    <w:uiPriority w:val="99"/>
    <w:semiHidden/>
    <w:unhideWhenUsed/>
    <w:locked/>
    <w:rsid w:val="003E78EF"/>
    <w:pPr>
      <w:autoSpaceDE/>
      <w:autoSpaceDN/>
      <w:adjustRightInd/>
      <w:spacing w:before="120" w:after="0" w:line="276" w:lineRule="auto"/>
    </w:pPr>
    <w:rPr>
      <w:rFonts w:eastAsiaTheme="majorEastAsia" w:cstheme="majorBidi"/>
      <w:b/>
      <w:bCs/>
      <w:sz w:val="28"/>
      <w:szCs w:val="24"/>
      <w:lang w:eastAsia="en-US"/>
    </w:rPr>
  </w:style>
  <w:style w:type="paragraph" w:styleId="PlainText">
    <w:name w:val="Plain Text"/>
    <w:basedOn w:val="Normal"/>
    <w:link w:val="PlainTextChar"/>
    <w:uiPriority w:val="99"/>
    <w:semiHidden/>
    <w:unhideWhenUsed/>
    <w:locked/>
    <w:rsid w:val="003E78EF"/>
    <w:pPr>
      <w:autoSpaceDE/>
      <w:autoSpaceDN/>
      <w:adjustRightInd/>
      <w:spacing w:after="0" w:line="240" w:lineRule="auto"/>
    </w:pPr>
    <w:rPr>
      <w:rFonts w:ascii="Consolas" w:eastAsiaTheme="minorHAnsi" w:hAnsi="Consolas"/>
      <w:sz w:val="24"/>
      <w:szCs w:val="21"/>
      <w:lang w:eastAsia="en-US"/>
    </w:rPr>
  </w:style>
  <w:style w:type="character" w:customStyle="1" w:styleId="PlainTextChar">
    <w:name w:val="Plain Text Char"/>
    <w:basedOn w:val="DefaultParagraphFont"/>
    <w:link w:val="PlainText"/>
    <w:uiPriority w:val="99"/>
    <w:semiHidden/>
    <w:rsid w:val="003E78EF"/>
    <w:rPr>
      <w:rFonts w:ascii="Consolas" w:hAnsi="Consolas" w:cs="Arial"/>
      <w:sz w:val="24"/>
      <w:szCs w:val="21"/>
    </w:rPr>
  </w:style>
  <w:style w:type="paragraph" w:styleId="BodyText3">
    <w:name w:val="Body Text 3"/>
    <w:basedOn w:val="Normal"/>
    <w:link w:val="BodyText3Char"/>
    <w:uiPriority w:val="99"/>
    <w:unhideWhenUsed/>
    <w:locked/>
    <w:rsid w:val="003E78EF"/>
    <w:pPr>
      <w:autoSpaceDE/>
      <w:autoSpaceDN/>
      <w:adjustRightInd/>
      <w:spacing w:before="120" w:after="120" w:line="276" w:lineRule="auto"/>
    </w:pPr>
    <w:rPr>
      <w:rFonts w:eastAsiaTheme="minorHAnsi"/>
      <w:sz w:val="20"/>
      <w:szCs w:val="16"/>
      <w:lang w:eastAsia="en-US"/>
    </w:rPr>
  </w:style>
  <w:style w:type="character" w:customStyle="1" w:styleId="BodyText3Char">
    <w:name w:val="Body Text 3 Char"/>
    <w:basedOn w:val="DefaultParagraphFont"/>
    <w:link w:val="BodyText3"/>
    <w:uiPriority w:val="99"/>
    <w:rsid w:val="003E78EF"/>
    <w:rPr>
      <w:rFonts w:ascii="Arial" w:hAnsi="Arial" w:cs="Arial"/>
      <w:sz w:val="20"/>
      <w:szCs w:val="16"/>
    </w:rPr>
  </w:style>
  <w:style w:type="paragraph" w:styleId="BodyText">
    <w:name w:val="Body Text"/>
    <w:basedOn w:val="Normal"/>
    <w:link w:val="BodyTextChar"/>
    <w:uiPriority w:val="99"/>
    <w:unhideWhenUsed/>
    <w:locked/>
    <w:rsid w:val="003E78EF"/>
    <w:pPr>
      <w:autoSpaceDE/>
      <w:autoSpaceDN/>
      <w:adjustRightInd/>
      <w:spacing w:before="120" w:after="120" w:line="276" w:lineRule="auto"/>
    </w:pPr>
    <w:rPr>
      <w:rFonts w:eastAsiaTheme="minorHAnsi"/>
      <w:sz w:val="24"/>
      <w:szCs w:val="24"/>
      <w:lang w:eastAsia="en-US"/>
    </w:rPr>
  </w:style>
  <w:style w:type="character" w:customStyle="1" w:styleId="BodyTextChar">
    <w:name w:val="Body Text Char"/>
    <w:basedOn w:val="DefaultParagraphFont"/>
    <w:link w:val="BodyText"/>
    <w:uiPriority w:val="99"/>
    <w:rsid w:val="003E78EF"/>
    <w:rPr>
      <w:rFonts w:ascii="Arial" w:hAnsi="Arial" w:cs="Arial"/>
      <w:sz w:val="24"/>
      <w:szCs w:val="24"/>
    </w:rPr>
  </w:style>
  <w:style w:type="paragraph" w:styleId="BodyTextFirstIndent">
    <w:name w:val="Body Text First Indent"/>
    <w:basedOn w:val="BodyText"/>
    <w:link w:val="BodyTextFirstIndentChar"/>
    <w:uiPriority w:val="99"/>
    <w:unhideWhenUsed/>
    <w:locked/>
    <w:rsid w:val="003E78EF"/>
    <w:pPr>
      <w:spacing w:after="320"/>
      <w:ind w:firstLine="360"/>
    </w:pPr>
  </w:style>
  <w:style w:type="character" w:customStyle="1" w:styleId="BodyTextFirstIndentChar">
    <w:name w:val="Body Text First Indent Char"/>
    <w:basedOn w:val="BodyTextChar"/>
    <w:link w:val="BodyTextFirstIndent"/>
    <w:uiPriority w:val="99"/>
    <w:rsid w:val="003E78EF"/>
    <w:rPr>
      <w:rFonts w:ascii="Arial" w:hAnsi="Arial" w:cs="Arial"/>
      <w:sz w:val="24"/>
      <w:szCs w:val="24"/>
    </w:rPr>
  </w:style>
  <w:style w:type="paragraph" w:styleId="BodyTextIndent3">
    <w:name w:val="Body Text Indent 3"/>
    <w:basedOn w:val="Normal"/>
    <w:link w:val="BodyTextIndent3Char"/>
    <w:uiPriority w:val="99"/>
    <w:unhideWhenUsed/>
    <w:locked/>
    <w:rsid w:val="003E78EF"/>
    <w:pPr>
      <w:autoSpaceDE/>
      <w:autoSpaceDN/>
      <w:adjustRightInd/>
      <w:spacing w:before="120" w:after="120" w:line="276" w:lineRule="auto"/>
      <w:ind w:left="283"/>
    </w:pPr>
    <w:rPr>
      <w:rFonts w:eastAsiaTheme="minorHAnsi"/>
      <w:sz w:val="20"/>
      <w:szCs w:val="16"/>
      <w:lang w:eastAsia="en-US"/>
    </w:rPr>
  </w:style>
  <w:style w:type="character" w:customStyle="1" w:styleId="BodyTextIndent3Char">
    <w:name w:val="Body Text Indent 3 Char"/>
    <w:basedOn w:val="DefaultParagraphFont"/>
    <w:link w:val="BodyTextIndent3"/>
    <w:uiPriority w:val="99"/>
    <w:rsid w:val="003E78EF"/>
    <w:rPr>
      <w:rFonts w:ascii="Arial" w:hAnsi="Arial" w:cs="Arial"/>
      <w:sz w:val="20"/>
      <w:szCs w:val="16"/>
    </w:rPr>
  </w:style>
  <w:style w:type="paragraph" w:styleId="DocumentMap">
    <w:name w:val="Document Map"/>
    <w:basedOn w:val="Normal"/>
    <w:link w:val="DocumentMapChar"/>
    <w:uiPriority w:val="99"/>
    <w:semiHidden/>
    <w:unhideWhenUsed/>
    <w:locked/>
    <w:rsid w:val="003E78EF"/>
    <w:pPr>
      <w:autoSpaceDE/>
      <w:autoSpaceDN/>
      <w:adjustRightInd/>
      <w:spacing w:after="0" w:line="240" w:lineRule="auto"/>
    </w:pPr>
    <w:rPr>
      <w:rFonts w:eastAsiaTheme="minorHAnsi" w:cs="Tahoma"/>
      <w:sz w:val="24"/>
      <w:szCs w:val="16"/>
      <w:lang w:eastAsia="en-US"/>
    </w:rPr>
  </w:style>
  <w:style w:type="character" w:customStyle="1" w:styleId="DocumentMapChar">
    <w:name w:val="Document Map Char"/>
    <w:basedOn w:val="DefaultParagraphFont"/>
    <w:link w:val="DocumentMap"/>
    <w:uiPriority w:val="99"/>
    <w:semiHidden/>
    <w:rsid w:val="003E78EF"/>
    <w:rPr>
      <w:rFonts w:ascii="Arial" w:hAnsi="Arial" w:cs="Tahoma"/>
      <w:sz w:val="24"/>
      <w:szCs w:val="16"/>
    </w:rPr>
  </w:style>
  <w:style w:type="paragraph" w:styleId="EndnoteText">
    <w:name w:val="endnote text"/>
    <w:basedOn w:val="Normal"/>
    <w:link w:val="EndnoteTextChar"/>
    <w:uiPriority w:val="99"/>
    <w:unhideWhenUsed/>
    <w:locked/>
    <w:rsid w:val="003E78EF"/>
    <w:pPr>
      <w:autoSpaceDE/>
      <w:autoSpaceDN/>
      <w:adjustRightInd/>
      <w:spacing w:after="0" w:line="240" w:lineRule="auto"/>
    </w:pPr>
    <w:rPr>
      <w:rFonts w:eastAsiaTheme="minorHAnsi"/>
      <w:sz w:val="24"/>
      <w:szCs w:val="20"/>
      <w:lang w:eastAsia="en-US"/>
    </w:rPr>
  </w:style>
  <w:style w:type="character" w:customStyle="1" w:styleId="EndnoteTextChar">
    <w:name w:val="Endnote Text Char"/>
    <w:basedOn w:val="DefaultParagraphFont"/>
    <w:link w:val="EndnoteText"/>
    <w:uiPriority w:val="99"/>
    <w:rsid w:val="003E78EF"/>
    <w:rPr>
      <w:rFonts w:ascii="Arial" w:hAnsi="Arial" w:cs="Arial"/>
      <w:sz w:val="24"/>
      <w:szCs w:val="20"/>
    </w:rPr>
  </w:style>
  <w:style w:type="character" w:styleId="Emphasis">
    <w:name w:val="Emphasis"/>
    <w:basedOn w:val="DefaultParagraphFont"/>
    <w:uiPriority w:val="20"/>
    <w:qFormat/>
    <w:locked/>
    <w:rsid w:val="003E78EF"/>
    <w:rPr>
      <w:i/>
      <w:iCs/>
    </w:rPr>
  </w:style>
  <w:style w:type="paragraph" w:styleId="EnvelopeReturn">
    <w:name w:val="envelope return"/>
    <w:basedOn w:val="Normal"/>
    <w:uiPriority w:val="99"/>
    <w:semiHidden/>
    <w:unhideWhenUsed/>
    <w:locked/>
    <w:rsid w:val="003E78EF"/>
    <w:pPr>
      <w:autoSpaceDE/>
      <w:autoSpaceDN/>
      <w:adjustRightInd/>
      <w:spacing w:after="0" w:line="240" w:lineRule="auto"/>
    </w:pPr>
    <w:rPr>
      <w:rFonts w:eastAsiaTheme="majorEastAsia" w:cstheme="majorBidi"/>
      <w:sz w:val="24"/>
      <w:szCs w:val="20"/>
      <w:lang w:eastAsia="en-US"/>
    </w:rPr>
  </w:style>
  <w:style w:type="paragraph" w:styleId="MessageHeader">
    <w:name w:val="Message Header"/>
    <w:basedOn w:val="Normal"/>
    <w:link w:val="MessageHeaderChar"/>
    <w:uiPriority w:val="99"/>
    <w:semiHidden/>
    <w:unhideWhenUsed/>
    <w:locked/>
    <w:rsid w:val="003E78EF"/>
    <w:pPr>
      <w:pBdr>
        <w:top w:val="single" w:sz="6" w:space="1" w:color="auto"/>
        <w:left w:val="single" w:sz="6" w:space="1" w:color="auto"/>
        <w:bottom w:val="single" w:sz="6" w:space="1" w:color="auto"/>
        <w:right w:val="single" w:sz="6" w:space="1" w:color="auto"/>
      </w:pBdr>
      <w:shd w:val="pct20" w:color="auto" w:fill="auto"/>
      <w:autoSpaceDE/>
      <w:autoSpaceDN/>
      <w:adjustRightInd/>
      <w:spacing w:after="0" w:line="240" w:lineRule="auto"/>
      <w:ind w:left="1134" w:hanging="1134"/>
    </w:pPr>
    <w:rPr>
      <w:rFonts w:eastAsiaTheme="majorEastAsia" w:cstheme="majorBidi"/>
      <w:sz w:val="24"/>
      <w:szCs w:val="24"/>
      <w:lang w:eastAsia="en-US"/>
    </w:rPr>
  </w:style>
  <w:style w:type="character" w:customStyle="1" w:styleId="MessageHeaderChar">
    <w:name w:val="Message Header Char"/>
    <w:basedOn w:val="DefaultParagraphFont"/>
    <w:link w:val="MessageHeader"/>
    <w:uiPriority w:val="99"/>
    <w:semiHidden/>
    <w:rsid w:val="003E78EF"/>
    <w:rPr>
      <w:rFonts w:ascii="Arial" w:eastAsiaTheme="majorEastAsia" w:hAnsi="Arial" w:cstheme="majorBidi"/>
      <w:sz w:val="24"/>
      <w:szCs w:val="24"/>
      <w:shd w:val="pct20" w:color="auto" w:fill="auto"/>
    </w:rPr>
  </w:style>
  <w:style w:type="paragraph" w:styleId="NoSpacing">
    <w:name w:val="No Spacing"/>
    <w:uiPriority w:val="1"/>
    <w:qFormat/>
    <w:locked/>
    <w:rsid w:val="003E78EF"/>
    <w:pPr>
      <w:spacing w:after="0" w:line="240" w:lineRule="auto"/>
    </w:pPr>
    <w:rPr>
      <w:rFonts w:ascii="Arial" w:hAnsi="Arial" w:cs="Arial"/>
      <w:sz w:val="24"/>
      <w:szCs w:val="24"/>
    </w:rPr>
  </w:style>
  <w:style w:type="paragraph" w:styleId="NormalWeb">
    <w:name w:val="Normal (Web)"/>
    <w:basedOn w:val="Normal"/>
    <w:uiPriority w:val="99"/>
    <w:unhideWhenUsed/>
    <w:rsid w:val="003E78EF"/>
    <w:pPr>
      <w:autoSpaceDE/>
      <w:autoSpaceDN/>
      <w:adjustRightInd/>
      <w:spacing w:before="120" w:after="0" w:line="276" w:lineRule="auto"/>
    </w:pPr>
    <w:rPr>
      <w:rFonts w:eastAsiaTheme="minorHAnsi" w:cs="Times New Roman"/>
      <w:sz w:val="24"/>
      <w:szCs w:val="24"/>
      <w:lang w:eastAsia="en-US"/>
    </w:rPr>
  </w:style>
  <w:style w:type="paragraph" w:styleId="Index1">
    <w:name w:val="index 1"/>
    <w:basedOn w:val="Normal"/>
    <w:next w:val="Normal"/>
    <w:autoRedefine/>
    <w:uiPriority w:val="99"/>
    <w:semiHidden/>
    <w:unhideWhenUsed/>
    <w:locked/>
    <w:rsid w:val="003E78EF"/>
    <w:pPr>
      <w:autoSpaceDE/>
      <w:autoSpaceDN/>
      <w:adjustRightInd/>
      <w:spacing w:after="0" w:line="240" w:lineRule="auto"/>
      <w:ind w:left="240" w:hanging="240"/>
    </w:pPr>
    <w:rPr>
      <w:rFonts w:eastAsiaTheme="minorHAnsi"/>
      <w:sz w:val="24"/>
      <w:szCs w:val="24"/>
      <w:lang w:eastAsia="en-US"/>
    </w:rPr>
  </w:style>
  <w:style w:type="paragraph" w:styleId="IndexHeading">
    <w:name w:val="index heading"/>
    <w:basedOn w:val="Normal"/>
    <w:next w:val="Index1"/>
    <w:uiPriority w:val="99"/>
    <w:semiHidden/>
    <w:unhideWhenUsed/>
    <w:locked/>
    <w:rsid w:val="003E78EF"/>
    <w:pPr>
      <w:autoSpaceDE/>
      <w:autoSpaceDN/>
      <w:adjustRightInd/>
      <w:spacing w:before="120" w:after="0" w:line="276" w:lineRule="auto"/>
    </w:pPr>
    <w:rPr>
      <w:rFonts w:eastAsiaTheme="majorEastAsia" w:cstheme="majorBidi"/>
      <w:b/>
      <w:bCs/>
      <w:sz w:val="24"/>
      <w:szCs w:val="24"/>
      <w:lang w:eastAsia="en-US"/>
    </w:rPr>
  </w:style>
  <w:style w:type="paragraph" w:customStyle="1" w:styleId="Default">
    <w:name w:val="Default"/>
    <w:locked/>
    <w:rsid w:val="003E78EF"/>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locked/>
    <w:rsid w:val="003E78EF"/>
    <w:pPr>
      <w:widowControl w:val="0"/>
      <w:autoSpaceDE/>
      <w:autoSpaceDN/>
      <w:adjustRightInd/>
      <w:spacing w:after="100" w:line="240" w:lineRule="auto"/>
    </w:pPr>
    <w:rPr>
      <w:rFonts w:ascii="Times New Roman" w:eastAsia="Times New Roman" w:hAnsi="Times New Roman" w:cs="Times New Roman"/>
      <w:snapToGrid w:val="0"/>
      <w:sz w:val="24"/>
      <w:szCs w:val="20"/>
      <w:lang w:eastAsia="en-US"/>
    </w:rPr>
  </w:style>
  <w:style w:type="paragraph" w:styleId="TOC2">
    <w:name w:val="toc 2"/>
    <w:basedOn w:val="Normal"/>
    <w:next w:val="Normal"/>
    <w:autoRedefine/>
    <w:uiPriority w:val="39"/>
    <w:unhideWhenUsed/>
    <w:locked/>
    <w:rsid w:val="003E78EF"/>
    <w:pPr>
      <w:widowControl w:val="0"/>
      <w:autoSpaceDE/>
      <w:autoSpaceDN/>
      <w:adjustRightInd/>
      <w:spacing w:after="100" w:line="240" w:lineRule="auto"/>
      <w:ind w:left="240"/>
    </w:pPr>
    <w:rPr>
      <w:rFonts w:ascii="Times New Roman" w:eastAsia="Times New Roman" w:hAnsi="Times New Roman" w:cs="Times New Roman"/>
      <w:snapToGrid w:val="0"/>
      <w:sz w:val="24"/>
      <w:szCs w:val="20"/>
      <w:lang w:eastAsia="en-US"/>
    </w:rPr>
  </w:style>
  <w:style w:type="paragraph" w:styleId="TOC3">
    <w:name w:val="toc 3"/>
    <w:basedOn w:val="Normal"/>
    <w:next w:val="Normal"/>
    <w:autoRedefine/>
    <w:uiPriority w:val="39"/>
    <w:unhideWhenUsed/>
    <w:locked/>
    <w:rsid w:val="003E78EF"/>
    <w:pPr>
      <w:widowControl w:val="0"/>
      <w:autoSpaceDE/>
      <w:autoSpaceDN/>
      <w:adjustRightInd/>
      <w:spacing w:after="100" w:line="240" w:lineRule="auto"/>
      <w:ind w:left="480"/>
    </w:pPr>
    <w:rPr>
      <w:rFonts w:ascii="Times New Roman" w:eastAsia="Times New Roman" w:hAnsi="Times New Roman" w:cs="Times New Roman"/>
      <w:snapToGrid w:val="0"/>
      <w:sz w:val="24"/>
      <w:szCs w:val="20"/>
      <w:lang w:eastAsia="en-US"/>
    </w:rPr>
  </w:style>
  <w:style w:type="paragraph" w:customStyle="1" w:styleId="Text">
    <w:name w:val="Text"/>
    <w:basedOn w:val="Normal"/>
    <w:locked/>
    <w:rsid w:val="003E78EF"/>
    <w:pPr>
      <w:autoSpaceDE/>
      <w:autoSpaceDN/>
      <w:adjustRightInd/>
      <w:spacing w:before="120" w:after="0" w:line="240" w:lineRule="auto"/>
      <w:jc w:val="both"/>
    </w:pPr>
    <w:rPr>
      <w:rFonts w:ascii="Times New Roman" w:eastAsia="Times New Roman" w:hAnsi="Times New Roman" w:cs="Times New Roman"/>
      <w:sz w:val="24"/>
      <w:szCs w:val="20"/>
      <w:lang w:eastAsia="en-US"/>
    </w:rPr>
  </w:style>
  <w:style w:type="paragraph" w:customStyle="1" w:styleId="CM61">
    <w:name w:val="CM61"/>
    <w:basedOn w:val="Normal"/>
    <w:next w:val="Normal"/>
    <w:locked/>
    <w:rsid w:val="003E78EF"/>
    <w:pPr>
      <w:widowControl w:val="0"/>
      <w:spacing w:after="405" w:line="240" w:lineRule="auto"/>
    </w:pPr>
    <w:rPr>
      <w:rFonts w:ascii="Verdana" w:eastAsia="SimSun" w:hAnsi="Verdana" w:cs="Times New Roman"/>
      <w:sz w:val="24"/>
      <w:szCs w:val="24"/>
      <w:lang w:val="en-US" w:eastAsia="en-US"/>
    </w:rPr>
  </w:style>
  <w:style w:type="numbering" w:customStyle="1" w:styleId="NoList1">
    <w:name w:val="No List1"/>
    <w:next w:val="NoList"/>
    <w:uiPriority w:val="99"/>
    <w:semiHidden/>
    <w:unhideWhenUsed/>
    <w:locked/>
    <w:rsid w:val="003E78EF"/>
  </w:style>
  <w:style w:type="table" w:styleId="TableGrid">
    <w:name w:val="Table Grid"/>
    <w:basedOn w:val="TableNormal"/>
    <w:uiPriority w:val="59"/>
    <w:locked/>
    <w:rsid w:val="003E78E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locked/>
    <w:rsid w:val="003E78EF"/>
    <w:pPr>
      <w:spacing w:after="0" w:line="240" w:lineRule="auto"/>
    </w:pPr>
    <w:rPr>
      <w:rFonts w:eastAsiaTheme="minorEastAsia"/>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locked/>
    <w:rsid w:val="003E78EF"/>
    <w:pPr>
      <w:autoSpaceDE/>
      <w:autoSpaceDN/>
      <w:adjustRightInd/>
      <w:spacing w:after="100" w:line="276" w:lineRule="auto"/>
      <w:ind w:left="660"/>
    </w:pPr>
    <w:rPr>
      <w:rFonts w:asciiTheme="minorHAnsi" w:hAnsiTheme="minorHAnsi" w:cstheme="minorBidi"/>
    </w:rPr>
  </w:style>
  <w:style w:type="paragraph" w:styleId="TOC5">
    <w:name w:val="toc 5"/>
    <w:basedOn w:val="Normal"/>
    <w:next w:val="Normal"/>
    <w:autoRedefine/>
    <w:uiPriority w:val="39"/>
    <w:unhideWhenUsed/>
    <w:locked/>
    <w:rsid w:val="003E78EF"/>
    <w:pPr>
      <w:autoSpaceDE/>
      <w:autoSpaceDN/>
      <w:adjustRightInd/>
      <w:spacing w:after="100" w:line="276" w:lineRule="auto"/>
      <w:ind w:left="880"/>
    </w:pPr>
    <w:rPr>
      <w:rFonts w:asciiTheme="minorHAnsi" w:hAnsiTheme="minorHAnsi" w:cstheme="minorBidi"/>
    </w:rPr>
  </w:style>
  <w:style w:type="paragraph" w:styleId="TOC6">
    <w:name w:val="toc 6"/>
    <w:basedOn w:val="Normal"/>
    <w:next w:val="Normal"/>
    <w:autoRedefine/>
    <w:uiPriority w:val="39"/>
    <w:unhideWhenUsed/>
    <w:locked/>
    <w:rsid w:val="003E78EF"/>
    <w:pPr>
      <w:autoSpaceDE/>
      <w:autoSpaceDN/>
      <w:adjustRightInd/>
      <w:spacing w:after="100" w:line="276" w:lineRule="auto"/>
      <w:ind w:left="1100"/>
    </w:pPr>
    <w:rPr>
      <w:rFonts w:asciiTheme="minorHAnsi" w:hAnsiTheme="minorHAnsi" w:cstheme="minorBidi"/>
    </w:rPr>
  </w:style>
  <w:style w:type="paragraph" w:styleId="TOC7">
    <w:name w:val="toc 7"/>
    <w:basedOn w:val="Normal"/>
    <w:next w:val="Normal"/>
    <w:autoRedefine/>
    <w:uiPriority w:val="39"/>
    <w:unhideWhenUsed/>
    <w:locked/>
    <w:rsid w:val="003E78EF"/>
    <w:pPr>
      <w:autoSpaceDE/>
      <w:autoSpaceDN/>
      <w:adjustRightInd/>
      <w:spacing w:after="100" w:line="276" w:lineRule="auto"/>
      <w:ind w:left="1320"/>
    </w:pPr>
    <w:rPr>
      <w:rFonts w:asciiTheme="minorHAnsi" w:hAnsiTheme="minorHAnsi" w:cstheme="minorBidi"/>
    </w:rPr>
  </w:style>
  <w:style w:type="paragraph" w:styleId="TOC8">
    <w:name w:val="toc 8"/>
    <w:basedOn w:val="Normal"/>
    <w:next w:val="Normal"/>
    <w:autoRedefine/>
    <w:uiPriority w:val="39"/>
    <w:unhideWhenUsed/>
    <w:locked/>
    <w:rsid w:val="003E78EF"/>
    <w:pPr>
      <w:autoSpaceDE/>
      <w:autoSpaceDN/>
      <w:adjustRightInd/>
      <w:spacing w:after="100" w:line="276" w:lineRule="auto"/>
      <w:ind w:left="1540"/>
    </w:pPr>
    <w:rPr>
      <w:rFonts w:asciiTheme="minorHAnsi" w:hAnsiTheme="minorHAnsi" w:cstheme="minorBidi"/>
    </w:rPr>
  </w:style>
  <w:style w:type="paragraph" w:styleId="TOC9">
    <w:name w:val="toc 9"/>
    <w:basedOn w:val="Normal"/>
    <w:next w:val="Normal"/>
    <w:autoRedefine/>
    <w:uiPriority w:val="39"/>
    <w:unhideWhenUsed/>
    <w:locked/>
    <w:rsid w:val="003E78EF"/>
    <w:pPr>
      <w:autoSpaceDE/>
      <w:autoSpaceDN/>
      <w:adjustRightInd/>
      <w:spacing w:after="100" w:line="276" w:lineRule="auto"/>
      <w:ind w:left="1760"/>
    </w:pPr>
    <w:rPr>
      <w:rFonts w:asciiTheme="minorHAnsi" w:hAnsiTheme="minorHAnsi" w:cstheme="minorBidi"/>
    </w:rPr>
  </w:style>
  <w:style w:type="paragraph" w:styleId="Revision">
    <w:name w:val="Revision"/>
    <w:hidden/>
    <w:uiPriority w:val="99"/>
    <w:semiHidden/>
    <w:rsid w:val="003E78EF"/>
    <w:pPr>
      <w:spacing w:after="0" w:line="240" w:lineRule="auto"/>
    </w:pPr>
    <w:rPr>
      <w:rFonts w:ascii="Times New Roman" w:eastAsia="Times New Roman" w:hAnsi="Times New Roman" w:cs="Times New Roman"/>
      <w:snapToGrid w:val="0"/>
      <w:sz w:val="24"/>
      <w:szCs w:val="20"/>
    </w:rPr>
  </w:style>
  <w:style w:type="character" w:styleId="Strong">
    <w:name w:val="Strong"/>
    <w:basedOn w:val="DefaultParagraphFont"/>
    <w:uiPriority w:val="22"/>
    <w:qFormat/>
    <w:locked/>
    <w:rsid w:val="003E78EF"/>
    <w:rPr>
      <w:b/>
      <w:bCs/>
    </w:rPr>
  </w:style>
  <w:style w:type="character" w:customStyle="1" w:styleId="st1">
    <w:name w:val="st1"/>
    <w:basedOn w:val="DefaultParagraphFont"/>
    <w:locked/>
    <w:rsid w:val="003E78EF"/>
  </w:style>
  <w:style w:type="character" w:styleId="FollowedHyperlink">
    <w:name w:val="FollowedHyperlink"/>
    <w:basedOn w:val="DefaultParagraphFont"/>
    <w:uiPriority w:val="99"/>
    <w:semiHidden/>
    <w:unhideWhenUsed/>
    <w:locked/>
    <w:rsid w:val="003E78EF"/>
    <w:rPr>
      <w:color w:val="954F72" w:themeColor="followedHyperlink"/>
      <w:u w:val="single"/>
    </w:rPr>
  </w:style>
  <w:style w:type="table" w:customStyle="1" w:styleId="TableGrid1">
    <w:name w:val="Table Grid1"/>
    <w:basedOn w:val="TableNormal"/>
    <w:next w:val="TableGrid"/>
    <w:uiPriority w:val="59"/>
    <w:locked/>
    <w:rsid w:val="003E78E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81409F"/>
    <w:pPr>
      <w:spacing w:after="0"/>
    </w:pPr>
    <w:rPr>
      <w:b/>
    </w:rPr>
  </w:style>
  <w:style w:type="paragraph" w:customStyle="1" w:styleId="Figure">
    <w:name w:val="Figure"/>
    <w:basedOn w:val="Normal"/>
    <w:link w:val="FigureChar"/>
    <w:qFormat/>
    <w:rsid w:val="00B501E2"/>
  </w:style>
  <w:style w:type="character" w:customStyle="1" w:styleId="FigureChar">
    <w:name w:val="Figure Char"/>
    <w:basedOn w:val="DefaultParagraphFont"/>
    <w:link w:val="Figure"/>
    <w:rsid w:val="00B501E2"/>
    <w:rPr>
      <w:rFonts w:ascii="Arial" w:eastAsiaTheme="minorEastAsia" w:hAnsi="Arial" w:cs="Arial"/>
      <w:lang w:eastAsia="en-GB"/>
    </w:rPr>
  </w:style>
  <w:style w:type="table" w:customStyle="1" w:styleId="TableGrid2">
    <w:name w:val="Table Grid2"/>
    <w:basedOn w:val="TableNormal"/>
    <w:next w:val="TableGrid"/>
    <w:uiPriority w:val="39"/>
    <w:locked/>
    <w:rsid w:val="008E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604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C577F"/>
  </w:style>
  <w:style w:type="table" w:customStyle="1" w:styleId="TableGrid4">
    <w:name w:val="Table Grid4"/>
    <w:basedOn w:val="TableNormal"/>
    <w:next w:val="TableGrid"/>
    <w:uiPriority w:val="59"/>
    <w:rsid w:val="005C577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C577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E781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locked/>
    <w:rsid w:val="003F60A4"/>
    <w:rPr>
      <w:i/>
      <w:iCs/>
    </w:rPr>
  </w:style>
  <w:style w:type="character" w:customStyle="1" w:styleId="author">
    <w:name w:val="author"/>
    <w:basedOn w:val="DefaultParagraphFont"/>
    <w:rsid w:val="003F60A4"/>
  </w:style>
  <w:style w:type="character" w:customStyle="1" w:styleId="pubyear">
    <w:name w:val="pubyear"/>
    <w:basedOn w:val="DefaultParagraphFont"/>
    <w:rsid w:val="003F60A4"/>
  </w:style>
  <w:style w:type="character" w:customStyle="1" w:styleId="articletitle">
    <w:name w:val="articletitle"/>
    <w:basedOn w:val="DefaultParagraphFont"/>
    <w:rsid w:val="003F60A4"/>
  </w:style>
  <w:style w:type="character" w:customStyle="1" w:styleId="journaltitle">
    <w:name w:val="journaltitle"/>
    <w:basedOn w:val="DefaultParagraphFont"/>
    <w:rsid w:val="003F60A4"/>
  </w:style>
  <w:style w:type="character" w:customStyle="1" w:styleId="vol">
    <w:name w:val="vol"/>
    <w:basedOn w:val="DefaultParagraphFont"/>
    <w:rsid w:val="003F60A4"/>
  </w:style>
  <w:style w:type="character" w:customStyle="1" w:styleId="pagefirst">
    <w:name w:val="pagefirst"/>
    <w:basedOn w:val="DefaultParagraphFont"/>
    <w:rsid w:val="003F60A4"/>
  </w:style>
  <w:style w:type="character" w:customStyle="1" w:styleId="pagelast">
    <w:name w:val="pagelast"/>
    <w:basedOn w:val="DefaultParagraphFont"/>
    <w:rsid w:val="003F60A4"/>
  </w:style>
  <w:style w:type="character" w:customStyle="1" w:styleId="authors5">
    <w:name w:val="authors5"/>
    <w:basedOn w:val="DefaultParagraphFont"/>
    <w:rsid w:val="00D51416"/>
  </w:style>
  <w:style w:type="character" w:customStyle="1" w:styleId="Date1">
    <w:name w:val="Date1"/>
    <w:basedOn w:val="DefaultParagraphFont"/>
    <w:rsid w:val="00D51416"/>
  </w:style>
  <w:style w:type="character" w:customStyle="1" w:styleId="arttitle4">
    <w:name w:val="art_title4"/>
    <w:basedOn w:val="DefaultParagraphFont"/>
    <w:rsid w:val="00D51416"/>
  </w:style>
  <w:style w:type="character" w:customStyle="1" w:styleId="serialtitle">
    <w:name w:val="serial_title"/>
    <w:basedOn w:val="DefaultParagraphFont"/>
    <w:rsid w:val="00D51416"/>
  </w:style>
  <w:style w:type="character" w:customStyle="1" w:styleId="volumeissue">
    <w:name w:val="volume_issue"/>
    <w:basedOn w:val="DefaultParagraphFont"/>
    <w:rsid w:val="00D51416"/>
  </w:style>
  <w:style w:type="character" w:customStyle="1" w:styleId="pagerange">
    <w:name w:val="page_range"/>
    <w:basedOn w:val="DefaultParagraphFont"/>
    <w:rsid w:val="00D51416"/>
  </w:style>
  <w:style w:type="character" w:customStyle="1" w:styleId="doilink">
    <w:name w:val="doi_link"/>
    <w:basedOn w:val="DefaultParagraphFont"/>
    <w:rsid w:val="00D51416"/>
  </w:style>
  <w:style w:type="numbering" w:customStyle="1" w:styleId="NoList3">
    <w:name w:val="No List3"/>
    <w:next w:val="NoList"/>
    <w:uiPriority w:val="99"/>
    <w:semiHidden/>
    <w:unhideWhenUsed/>
    <w:rsid w:val="00E07CDE"/>
  </w:style>
  <w:style w:type="table" w:customStyle="1" w:styleId="TableGrid5">
    <w:name w:val="Table Grid5"/>
    <w:basedOn w:val="TableNormal"/>
    <w:next w:val="TableGrid"/>
    <w:uiPriority w:val="59"/>
    <w:rsid w:val="00E07CD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CD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95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4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B13F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C0B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6C0B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6C0B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235">
      <w:bodyDiv w:val="1"/>
      <w:marLeft w:val="0"/>
      <w:marRight w:val="0"/>
      <w:marTop w:val="0"/>
      <w:marBottom w:val="0"/>
      <w:divBdr>
        <w:top w:val="none" w:sz="0" w:space="0" w:color="auto"/>
        <w:left w:val="none" w:sz="0" w:space="0" w:color="auto"/>
        <w:bottom w:val="none" w:sz="0" w:space="0" w:color="auto"/>
        <w:right w:val="none" w:sz="0" w:space="0" w:color="auto"/>
      </w:divBdr>
    </w:div>
    <w:div w:id="262765175">
      <w:bodyDiv w:val="1"/>
      <w:marLeft w:val="0"/>
      <w:marRight w:val="0"/>
      <w:marTop w:val="0"/>
      <w:marBottom w:val="0"/>
      <w:divBdr>
        <w:top w:val="none" w:sz="0" w:space="0" w:color="auto"/>
        <w:left w:val="none" w:sz="0" w:space="0" w:color="auto"/>
        <w:bottom w:val="none" w:sz="0" w:space="0" w:color="auto"/>
        <w:right w:val="none" w:sz="0" w:space="0" w:color="auto"/>
      </w:divBdr>
    </w:div>
    <w:div w:id="322396930">
      <w:bodyDiv w:val="1"/>
      <w:marLeft w:val="0"/>
      <w:marRight w:val="0"/>
      <w:marTop w:val="0"/>
      <w:marBottom w:val="0"/>
      <w:divBdr>
        <w:top w:val="none" w:sz="0" w:space="0" w:color="auto"/>
        <w:left w:val="none" w:sz="0" w:space="0" w:color="auto"/>
        <w:bottom w:val="none" w:sz="0" w:space="0" w:color="auto"/>
        <w:right w:val="none" w:sz="0" w:space="0" w:color="auto"/>
      </w:divBdr>
      <w:divsChild>
        <w:div w:id="1538195616">
          <w:marLeft w:val="0"/>
          <w:marRight w:val="0"/>
          <w:marTop w:val="100"/>
          <w:marBottom w:val="100"/>
          <w:divBdr>
            <w:top w:val="none" w:sz="0" w:space="0" w:color="auto"/>
            <w:left w:val="none" w:sz="0" w:space="0" w:color="auto"/>
            <w:bottom w:val="none" w:sz="0" w:space="0" w:color="auto"/>
            <w:right w:val="none" w:sz="0" w:space="0" w:color="auto"/>
          </w:divBdr>
          <w:divsChild>
            <w:div w:id="1085884120">
              <w:marLeft w:val="0"/>
              <w:marRight w:val="0"/>
              <w:marTop w:val="0"/>
              <w:marBottom w:val="0"/>
              <w:divBdr>
                <w:top w:val="none" w:sz="0" w:space="0" w:color="auto"/>
                <w:left w:val="none" w:sz="0" w:space="0" w:color="auto"/>
                <w:bottom w:val="none" w:sz="0" w:space="0" w:color="auto"/>
                <w:right w:val="none" w:sz="0" w:space="0" w:color="auto"/>
              </w:divBdr>
              <w:divsChild>
                <w:div w:id="1535462080">
                  <w:marLeft w:val="105"/>
                  <w:marRight w:val="105"/>
                  <w:marTop w:val="105"/>
                  <w:marBottom w:val="105"/>
                  <w:divBdr>
                    <w:top w:val="none" w:sz="0" w:space="0" w:color="auto"/>
                    <w:left w:val="none" w:sz="0" w:space="0" w:color="auto"/>
                    <w:bottom w:val="none" w:sz="0" w:space="0" w:color="auto"/>
                    <w:right w:val="none" w:sz="0" w:space="0" w:color="auto"/>
                  </w:divBdr>
                  <w:divsChild>
                    <w:div w:id="382097757">
                      <w:marLeft w:val="0"/>
                      <w:marRight w:val="0"/>
                      <w:marTop w:val="0"/>
                      <w:marBottom w:val="0"/>
                      <w:divBdr>
                        <w:top w:val="none" w:sz="0" w:space="0" w:color="auto"/>
                        <w:left w:val="none" w:sz="0" w:space="0" w:color="auto"/>
                        <w:bottom w:val="none" w:sz="0" w:space="0" w:color="auto"/>
                        <w:right w:val="none" w:sz="0" w:space="0" w:color="auto"/>
                      </w:divBdr>
                      <w:divsChild>
                        <w:div w:id="554395863">
                          <w:marLeft w:val="0"/>
                          <w:marRight w:val="0"/>
                          <w:marTop w:val="0"/>
                          <w:marBottom w:val="0"/>
                          <w:divBdr>
                            <w:top w:val="none" w:sz="0" w:space="0" w:color="auto"/>
                            <w:left w:val="none" w:sz="0" w:space="0" w:color="auto"/>
                            <w:bottom w:val="none" w:sz="0" w:space="0" w:color="auto"/>
                            <w:right w:val="none" w:sz="0" w:space="0" w:color="auto"/>
                          </w:divBdr>
                          <w:divsChild>
                            <w:div w:id="587544487">
                              <w:marLeft w:val="0"/>
                              <w:marRight w:val="0"/>
                              <w:marTop w:val="0"/>
                              <w:marBottom w:val="0"/>
                              <w:divBdr>
                                <w:top w:val="none" w:sz="0" w:space="0" w:color="auto"/>
                                <w:left w:val="none" w:sz="0" w:space="0" w:color="auto"/>
                                <w:bottom w:val="none" w:sz="0" w:space="0" w:color="auto"/>
                                <w:right w:val="none" w:sz="0" w:space="0" w:color="auto"/>
                              </w:divBdr>
                              <w:divsChild>
                                <w:div w:id="898436815">
                                  <w:marLeft w:val="0"/>
                                  <w:marRight w:val="0"/>
                                  <w:marTop w:val="0"/>
                                  <w:marBottom w:val="0"/>
                                  <w:divBdr>
                                    <w:top w:val="none" w:sz="0" w:space="0" w:color="auto"/>
                                    <w:left w:val="none" w:sz="0" w:space="0" w:color="auto"/>
                                    <w:bottom w:val="none" w:sz="0" w:space="0" w:color="auto"/>
                                    <w:right w:val="none" w:sz="0" w:space="0" w:color="auto"/>
                                  </w:divBdr>
                                  <w:divsChild>
                                    <w:div w:id="1820686172">
                                      <w:marLeft w:val="105"/>
                                      <w:marRight w:val="105"/>
                                      <w:marTop w:val="105"/>
                                      <w:marBottom w:val="105"/>
                                      <w:divBdr>
                                        <w:top w:val="none" w:sz="0" w:space="0" w:color="auto"/>
                                        <w:left w:val="none" w:sz="0" w:space="0" w:color="auto"/>
                                        <w:bottom w:val="none" w:sz="0" w:space="0" w:color="auto"/>
                                        <w:right w:val="none" w:sz="0" w:space="0" w:color="auto"/>
                                      </w:divBdr>
                                      <w:divsChild>
                                        <w:div w:id="1819154616">
                                          <w:marLeft w:val="0"/>
                                          <w:marRight w:val="0"/>
                                          <w:marTop w:val="0"/>
                                          <w:marBottom w:val="0"/>
                                          <w:divBdr>
                                            <w:top w:val="none" w:sz="0" w:space="0" w:color="auto"/>
                                            <w:left w:val="none" w:sz="0" w:space="0" w:color="auto"/>
                                            <w:bottom w:val="none" w:sz="0" w:space="0" w:color="auto"/>
                                            <w:right w:val="none" w:sz="0" w:space="0" w:color="auto"/>
                                          </w:divBdr>
                                          <w:divsChild>
                                            <w:div w:id="1272513846">
                                              <w:marLeft w:val="0"/>
                                              <w:marRight w:val="0"/>
                                              <w:marTop w:val="0"/>
                                              <w:marBottom w:val="0"/>
                                              <w:divBdr>
                                                <w:top w:val="none" w:sz="0" w:space="0" w:color="auto"/>
                                                <w:left w:val="none" w:sz="0" w:space="0" w:color="auto"/>
                                                <w:bottom w:val="none" w:sz="0" w:space="0" w:color="auto"/>
                                                <w:right w:val="none" w:sz="0" w:space="0" w:color="auto"/>
                                              </w:divBdr>
                                              <w:divsChild>
                                                <w:div w:id="1960062951">
                                                  <w:marLeft w:val="0"/>
                                                  <w:marRight w:val="0"/>
                                                  <w:marTop w:val="0"/>
                                                  <w:marBottom w:val="0"/>
                                                  <w:divBdr>
                                                    <w:top w:val="none" w:sz="0" w:space="0" w:color="auto"/>
                                                    <w:left w:val="none" w:sz="0" w:space="0" w:color="auto"/>
                                                    <w:bottom w:val="none" w:sz="0" w:space="0" w:color="auto"/>
                                                    <w:right w:val="none" w:sz="0" w:space="0" w:color="auto"/>
                                                  </w:divBdr>
                                                  <w:divsChild>
                                                    <w:div w:id="924459934">
                                                      <w:marLeft w:val="0"/>
                                                      <w:marRight w:val="0"/>
                                                      <w:marTop w:val="0"/>
                                                      <w:marBottom w:val="0"/>
                                                      <w:divBdr>
                                                        <w:top w:val="none" w:sz="0" w:space="0" w:color="auto"/>
                                                        <w:left w:val="none" w:sz="0" w:space="0" w:color="auto"/>
                                                        <w:bottom w:val="none" w:sz="0" w:space="0" w:color="auto"/>
                                                        <w:right w:val="none" w:sz="0" w:space="0" w:color="auto"/>
                                                      </w:divBdr>
                                                      <w:divsChild>
                                                        <w:div w:id="126969000">
                                                          <w:marLeft w:val="0"/>
                                                          <w:marRight w:val="0"/>
                                                          <w:marTop w:val="0"/>
                                                          <w:marBottom w:val="0"/>
                                                          <w:divBdr>
                                                            <w:top w:val="none" w:sz="0" w:space="0" w:color="auto"/>
                                                            <w:left w:val="none" w:sz="0" w:space="0" w:color="auto"/>
                                                            <w:bottom w:val="none" w:sz="0" w:space="0" w:color="auto"/>
                                                            <w:right w:val="none" w:sz="0" w:space="0" w:color="auto"/>
                                                          </w:divBdr>
                                                          <w:divsChild>
                                                            <w:div w:id="567308309">
                                                              <w:marLeft w:val="0"/>
                                                              <w:marRight w:val="0"/>
                                                              <w:marTop w:val="0"/>
                                                              <w:marBottom w:val="0"/>
                                                              <w:divBdr>
                                                                <w:top w:val="none" w:sz="0" w:space="0" w:color="auto"/>
                                                                <w:left w:val="none" w:sz="0" w:space="0" w:color="auto"/>
                                                                <w:bottom w:val="none" w:sz="0" w:space="0" w:color="auto"/>
                                                                <w:right w:val="none" w:sz="0" w:space="0" w:color="auto"/>
                                                              </w:divBdr>
                                                              <w:divsChild>
                                                                <w:div w:id="1582447110">
                                                                  <w:marLeft w:val="105"/>
                                                                  <w:marRight w:val="105"/>
                                                                  <w:marTop w:val="105"/>
                                                                  <w:marBottom w:val="105"/>
                                                                  <w:divBdr>
                                                                    <w:top w:val="none" w:sz="0" w:space="0" w:color="auto"/>
                                                                    <w:left w:val="none" w:sz="0" w:space="0" w:color="auto"/>
                                                                    <w:bottom w:val="none" w:sz="0" w:space="0" w:color="auto"/>
                                                                    <w:right w:val="none" w:sz="0" w:space="0" w:color="auto"/>
                                                                  </w:divBdr>
                                                                  <w:divsChild>
                                                                    <w:div w:id="1273247730">
                                                                      <w:marLeft w:val="0"/>
                                                                      <w:marRight w:val="0"/>
                                                                      <w:marTop w:val="0"/>
                                                                      <w:marBottom w:val="0"/>
                                                                      <w:divBdr>
                                                                        <w:top w:val="none" w:sz="0" w:space="0" w:color="auto"/>
                                                                        <w:left w:val="none" w:sz="0" w:space="0" w:color="auto"/>
                                                                        <w:bottom w:val="none" w:sz="0" w:space="0" w:color="auto"/>
                                                                        <w:right w:val="none" w:sz="0" w:space="0" w:color="auto"/>
                                                                      </w:divBdr>
                                                                      <w:divsChild>
                                                                        <w:div w:id="908923774">
                                                                          <w:marLeft w:val="0"/>
                                                                          <w:marRight w:val="0"/>
                                                                          <w:marTop w:val="0"/>
                                                                          <w:marBottom w:val="0"/>
                                                                          <w:divBdr>
                                                                            <w:top w:val="none" w:sz="0" w:space="0" w:color="auto"/>
                                                                            <w:left w:val="none" w:sz="0" w:space="0" w:color="auto"/>
                                                                            <w:bottom w:val="none" w:sz="0" w:space="0" w:color="auto"/>
                                                                            <w:right w:val="none" w:sz="0" w:space="0" w:color="auto"/>
                                                                          </w:divBdr>
                                                                          <w:divsChild>
                                                                            <w:div w:id="558321851">
                                                                              <w:marLeft w:val="0"/>
                                                                              <w:marRight w:val="0"/>
                                                                              <w:marTop w:val="0"/>
                                                                              <w:marBottom w:val="0"/>
                                                                              <w:divBdr>
                                                                                <w:top w:val="none" w:sz="0" w:space="0" w:color="auto"/>
                                                                                <w:left w:val="none" w:sz="0" w:space="0" w:color="auto"/>
                                                                                <w:bottom w:val="none" w:sz="0" w:space="0" w:color="auto"/>
                                                                                <w:right w:val="none" w:sz="0" w:space="0" w:color="auto"/>
                                                                              </w:divBdr>
                                                                              <w:divsChild>
                                                                                <w:div w:id="797919695">
                                                                                  <w:marLeft w:val="0"/>
                                                                                  <w:marRight w:val="0"/>
                                                                                  <w:marTop w:val="0"/>
                                                                                  <w:marBottom w:val="0"/>
                                                                                  <w:divBdr>
                                                                                    <w:top w:val="none" w:sz="0" w:space="0" w:color="auto"/>
                                                                                    <w:left w:val="none" w:sz="0" w:space="0" w:color="auto"/>
                                                                                    <w:bottom w:val="none" w:sz="0" w:space="0" w:color="auto"/>
                                                                                    <w:right w:val="none" w:sz="0" w:space="0" w:color="auto"/>
                                                                                  </w:divBdr>
                                                                                  <w:divsChild>
                                                                                    <w:div w:id="1247613280">
                                                                                      <w:marLeft w:val="0"/>
                                                                                      <w:marRight w:val="0"/>
                                                                                      <w:marTop w:val="0"/>
                                                                                      <w:marBottom w:val="0"/>
                                                                                      <w:divBdr>
                                                                                        <w:top w:val="none" w:sz="0" w:space="0" w:color="auto"/>
                                                                                        <w:left w:val="none" w:sz="0" w:space="0" w:color="auto"/>
                                                                                        <w:bottom w:val="none" w:sz="0" w:space="0" w:color="auto"/>
                                                                                        <w:right w:val="none" w:sz="0" w:space="0" w:color="auto"/>
                                                                                      </w:divBdr>
                                                                                      <w:divsChild>
                                                                                        <w:div w:id="10272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049555">
      <w:bodyDiv w:val="1"/>
      <w:marLeft w:val="0"/>
      <w:marRight w:val="0"/>
      <w:marTop w:val="0"/>
      <w:marBottom w:val="0"/>
      <w:divBdr>
        <w:top w:val="none" w:sz="0" w:space="0" w:color="auto"/>
        <w:left w:val="none" w:sz="0" w:space="0" w:color="auto"/>
        <w:bottom w:val="none" w:sz="0" w:space="0" w:color="auto"/>
        <w:right w:val="none" w:sz="0" w:space="0" w:color="auto"/>
      </w:divBdr>
    </w:div>
    <w:div w:id="1239513848">
      <w:bodyDiv w:val="1"/>
      <w:marLeft w:val="0"/>
      <w:marRight w:val="0"/>
      <w:marTop w:val="0"/>
      <w:marBottom w:val="0"/>
      <w:divBdr>
        <w:top w:val="none" w:sz="0" w:space="0" w:color="auto"/>
        <w:left w:val="none" w:sz="0" w:space="0" w:color="auto"/>
        <w:bottom w:val="none" w:sz="0" w:space="0" w:color="auto"/>
        <w:right w:val="none" w:sz="0" w:space="0" w:color="auto"/>
      </w:divBdr>
    </w:div>
    <w:div w:id="18008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urr@leedsbeckett.ac.uk" TargetMode="External"/><Relationship Id="rId13" Type="http://schemas.openxmlformats.org/officeDocument/2006/relationships/image" Target="media/image1.gif"/><Relationship Id="rId18" Type="http://schemas.openxmlformats.org/officeDocument/2006/relationships/image" Target="media/image4.emf"/><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bradford.ac.uk/health/dementia/training/training-courses/dementia-care-mapping-for-realising-person-centred-care/"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emf"/><Relationship Id="rId25"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nice.org.uk/process/pmg9/chapter/the-appraisal-of-the-evidence-and-structured-decision-making"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yperlink" Target="https://doi.org/10.1177/147130121876816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edsbeckett.ac.uk/pages/epic-trial/" TargetMode="External"/><Relationship Id="rId14" Type="http://schemas.openxmlformats.org/officeDocument/2006/relationships/image" Target="media/image2.png"/><Relationship Id="rId22" Type="http://schemas.openxmlformats.org/officeDocument/2006/relationships/hyperlink" Target="https://doi.org/10.1186/s12877-019-1045-y" TargetMode="External"/><Relationship Id="rId27" Type="http://schemas.openxmlformats.org/officeDocument/2006/relationships/image" Target="media/image7.png"/><Relationship Id="rId30"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Completion</a:t>
            </a:r>
            <a:r>
              <a:rPr lang="en-GB" baseline="0"/>
              <a:t> of intervention components by cycle by furthest cycle component reported as completed (n=31)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Sheet1!$A$2</c:f>
              <c:strCache>
                <c:ptCount val="1"/>
                <c:pt idx="0">
                  <c:v>Full cycle</c:v>
                </c:pt>
              </c:strCache>
            </c:strRef>
          </c:tx>
          <c:spPr>
            <a:solidFill>
              <a:schemeClr val="tx1"/>
            </a:solidFill>
            <a:ln>
              <a:solidFill>
                <a:schemeClr val="tx1"/>
              </a:solidFill>
            </a:ln>
            <a:effectLst/>
          </c:spPr>
          <c:invertIfNegative val="0"/>
          <c:cat>
            <c:strRef>
              <c:f>Sheet1!$B$1:$D$1</c:f>
              <c:strCache>
                <c:ptCount val="3"/>
                <c:pt idx="0">
                  <c:v>1st cycle</c:v>
                </c:pt>
                <c:pt idx="1">
                  <c:v>2nd cycle</c:v>
                </c:pt>
                <c:pt idx="2">
                  <c:v>3rd cycle</c:v>
                </c:pt>
              </c:strCache>
            </c:strRef>
          </c:cat>
          <c:val>
            <c:numRef>
              <c:f>Sheet1!$B$2:$D$2</c:f>
              <c:numCache>
                <c:formatCode>General</c:formatCode>
                <c:ptCount val="3"/>
                <c:pt idx="0">
                  <c:v>24</c:v>
                </c:pt>
                <c:pt idx="1">
                  <c:v>8</c:v>
                </c:pt>
                <c:pt idx="2">
                  <c:v>4</c:v>
                </c:pt>
              </c:numCache>
            </c:numRef>
          </c:val>
          <c:extLst>
            <c:ext xmlns:c16="http://schemas.microsoft.com/office/drawing/2014/chart" uri="{C3380CC4-5D6E-409C-BE32-E72D297353CC}">
              <c16:uniqueId val="{00000000-59A9-4CCA-9D16-F2693BB34FB7}"/>
            </c:ext>
          </c:extLst>
        </c:ser>
        <c:ser>
          <c:idx val="1"/>
          <c:order val="1"/>
          <c:tx>
            <c:strRef>
              <c:f>Sheet1!$A$3</c:f>
              <c:strCache>
                <c:ptCount val="1"/>
                <c:pt idx="0">
                  <c:v>Feedback</c:v>
                </c:pt>
              </c:strCache>
            </c:strRef>
          </c:tx>
          <c:spPr>
            <a:pattFill prst="dkVert">
              <a:fgClr>
                <a:schemeClr val="tx1"/>
              </a:fgClr>
              <a:bgClr>
                <a:schemeClr val="bg1"/>
              </a:bgClr>
            </a:pattFill>
            <a:ln>
              <a:solidFill>
                <a:schemeClr val="tx1"/>
              </a:solidFill>
            </a:ln>
            <a:effectLst/>
          </c:spPr>
          <c:invertIfNegative val="0"/>
          <c:cat>
            <c:strRef>
              <c:f>Sheet1!$B$1:$D$1</c:f>
              <c:strCache>
                <c:ptCount val="3"/>
                <c:pt idx="0">
                  <c:v>1st cycle</c:v>
                </c:pt>
                <c:pt idx="1">
                  <c:v>2nd cycle</c:v>
                </c:pt>
                <c:pt idx="2">
                  <c:v>3rd cycle</c:v>
                </c:pt>
              </c:strCache>
            </c:strRef>
          </c:cat>
          <c:val>
            <c:numRef>
              <c:f>Sheet1!$B$3:$D$3</c:f>
              <c:numCache>
                <c:formatCode>General</c:formatCode>
                <c:ptCount val="3"/>
                <c:pt idx="0">
                  <c:v>0</c:v>
                </c:pt>
                <c:pt idx="1">
                  <c:v>3</c:v>
                </c:pt>
                <c:pt idx="2">
                  <c:v>2</c:v>
                </c:pt>
              </c:numCache>
            </c:numRef>
          </c:val>
          <c:extLst>
            <c:ext xmlns:c16="http://schemas.microsoft.com/office/drawing/2014/chart" uri="{C3380CC4-5D6E-409C-BE32-E72D297353CC}">
              <c16:uniqueId val="{00000001-59A9-4CCA-9D16-F2693BB34FB7}"/>
            </c:ext>
          </c:extLst>
        </c:ser>
        <c:ser>
          <c:idx val="2"/>
          <c:order val="2"/>
          <c:tx>
            <c:strRef>
              <c:f>Sheet1!$A$4</c:f>
              <c:strCache>
                <c:ptCount val="1"/>
                <c:pt idx="0">
                  <c:v>Mapping</c:v>
                </c:pt>
              </c:strCache>
            </c:strRef>
          </c:tx>
          <c:spPr>
            <a:pattFill prst="wdDnDiag">
              <a:fgClr>
                <a:schemeClr val="tx1"/>
              </a:fgClr>
              <a:bgClr>
                <a:schemeClr val="bg1"/>
              </a:bgClr>
            </a:pattFill>
            <a:ln>
              <a:solidFill>
                <a:schemeClr val="bg1">
                  <a:lumMod val="75000"/>
                </a:schemeClr>
              </a:solidFill>
            </a:ln>
            <a:effectLst/>
          </c:spPr>
          <c:invertIfNegative val="0"/>
          <c:cat>
            <c:strRef>
              <c:f>Sheet1!$B$1:$D$1</c:f>
              <c:strCache>
                <c:ptCount val="3"/>
                <c:pt idx="0">
                  <c:v>1st cycle</c:v>
                </c:pt>
                <c:pt idx="1">
                  <c:v>2nd cycle</c:v>
                </c:pt>
                <c:pt idx="2">
                  <c:v>3rd cycle</c:v>
                </c:pt>
              </c:strCache>
            </c:strRef>
          </c:cat>
          <c:val>
            <c:numRef>
              <c:f>Sheet1!$B$4:$D$4</c:f>
              <c:numCache>
                <c:formatCode>General</c:formatCode>
                <c:ptCount val="3"/>
                <c:pt idx="0">
                  <c:v>4</c:v>
                </c:pt>
                <c:pt idx="1">
                  <c:v>0</c:v>
                </c:pt>
                <c:pt idx="2">
                  <c:v>0</c:v>
                </c:pt>
              </c:numCache>
            </c:numRef>
          </c:val>
          <c:extLst>
            <c:ext xmlns:c16="http://schemas.microsoft.com/office/drawing/2014/chart" uri="{C3380CC4-5D6E-409C-BE32-E72D297353CC}">
              <c16:uniqueId val="{00000002-59A9-4CCA-9D16-F2693BB34FB7}"/>
            </c:ext>
          </c:extLst>
        </c:ser>
        <c:ser>
          <c:idx val="3"/>
          <c:order val="3"/>
          <c:tx>
            <c:strRef>
              <c:f>Sheet1!$A$5</c:f>
              <c:strCache>
                <c:ptCount val="1"/>
                <c:pt idx="0">
                  <c:v>Briefing</c:v>
                </c:pt>
              </c:strCache>
            </c:strRef>
          </c:tx>
          <c:spPr>
            <a:solidFill>
              <a:schemeClr val="bg1"/>
            </a:solidFill>
            <a:ln>
              <a:solidFill>
                <a:schemeClr val="tx1"/>
              </a:solidFill>
            </a:ln>
            <a:effectLst/>
          </c:spPr>
          <c:invertIfNegative val="0"/>
          <c:cat>
            <c:strRef>
              <c:f>Sheet1!$B$1:$D$1</c:f>
              <c:strCache>
                <c:ptCount val="3"/>
                <c:pt idx="0">
                  <c:v>1st cycle</c:v>
                </c:pt>
                <c:pt idx="1">
                  <c:v>2nd cycle</c:v>
                </c:pt>
                <c:pt idx="2">
                  <c:v>3rd cycle</c:v>
                </c:pt>
              </c:strCache>
            </c:strRef>
          </c:cat>
          <c:val>
            <c:numRef>
              <c:f>Sheet1!$B$5:$D$5</c:f>
              <c:numCache>
                <c:formatCode>General</c:formatCode>
                <c:ptCount val="3"/>
                <c:pt idx="0">
                  <c:v>0</c:v>
                </c:pt>
                <c:pt idx="1">
                  <c:v>1</c:v>
                </c:pt>
                <c:pt idx="2">
                  <c:v>0</c:v>
                </c:pt>
              </c:numCache>
            </c:numRef>
          </c:val>
          <c:extLst>
            <c:ext xmlns:c16="http://schemas.microsoft.com/office/drawing/2014/chart" uri="{C3380CC4-5D6E-409C-BE32-E72D297353CC}">
              <c16:uniqueId val="{00000003-59A9-4CCA-9D16-F2693BB34FB7}"/>
            </c:ext>
          </c:extLst>
        </c:ser>
        <c:ser>
          <c:idx val="4"/>
          <c:order val="4"/>
          <c:tx>
            <c:strRef>
              <c:f>Sheet1!$A$6</c:f>
              <c:strCache>
                <c:ptCount val="1"/>
                <c:pt idx="0">
                  <c:v>None</c:v>
                </c:pt>
              </c:strCache>
            </c:strRef>
          </c:tx>
          <c:spPr>
            <a:pattFill prst="zigZag">
              <a:fgClr>
                <a:schemeClr val="tx1"/>
              </a:fgClr>
              <a:bgClr>
                <a:schemeClr val="bg1"/>
              </a:bgClr>
            </a:pattFill>
            <a:ln>
              <a:solidFill>
                <a:schemeClr val="tx1"/>
              </a:solidFill>
            </a:ln>
            <a:effectLst/>
          </c:spPr>
          <c:invertIfNegative val="0"/>
          <c:cat>
            <c:strRef>
              <c:f>Sheet1!$B$1:$D$1</c:f>
              <c:strCache>
                <c:ptCount val="3"/>
                <c:pt idx="0">
                  <c:v>1st cycle</c:v>
                </c:pt>
                <c:pt idx="1">
                  <c:v>2nd cycle</c:v>
                </c:pt>
                <c:pt idx="2">
                  <c:v>3rd cycle</c:v>
                </c:pt>
              </c:strCache>
            </c:strRef>
          </c:cat>
          <c:val>
            <c:numRef>
              <c:f>Sheet1!$B$6:$D$6</c:f>
              <c:numCache>
                <c:formatCode>General</c:formatCode>
                <c:ptCount val="3"/>
                <c:pt idx="0">
                  <c:v>3</c:v>
                </c:pt>
                <c:pt idx="1">
                  <c:v>19</c:v>
                </c:pt>
                <c:pt idx="2">
                  <c:v>25</c:v>
                </c:pt>
              </c:numCache>
            </c:numRef>
          </c:val>
          <c:extLst>
            <c:ext xmlns:c16="http://schemas.microsoft.com/office/drawing/2014/chart" uri="{C3380CC4-5D6E-409C-BE32-E72D297353CC}">
              <c16:uniqueId val="{00000004-59A9-4CCA-9D16-F2693BB34FB7}"/>
            </c:ext>
          </c:extLst>
        </c:ser>
        <c:dLbls>
          <c:showLegendKey val="0"/>
          <c:showVal val="0"/>
          <c:showCatName val="0"/>
          <c:showSerName val="0"/>
          <c:showPercent val="0"/>
          <c:showBubbleSize val="0"/>
        </c:dLbls>
        <c:gapWidth val="100"/>
        <c:overlap val="100"/>
        <c:axId val="149609440"/>
        <c:axId val="149609832"/>
      </c:barChart>
      <c:catAx>
        <c:axId val="149609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Cycle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09832"/>
        <c:crosses val="autoZero"/>
        <c:auto val="1"/>
        <c:lblAlgn val="ctr"/>
        <c:lblOffset val="100"/>
        <c:noMultiLvlLbl val="0"/>
      </c:catAx>
      <c:valAx>
        <c:axId val="149609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intervention care homes completing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09440"/>
        <c:crosses val="autoZero"/>
        <c:crossBetween val="between"/>
      </c:valAx>
      <c:spPr>
        <a:noFill/>
        <a:ln>
          <a:noFill/>
        </a:ln>
        <a:effectLst/>
      </c:spPr>
    </c:plotArea>
    <c:legend>
      <c:legendPos val="b"/>
      <c:layout>
        <c:manualLayout>
          <c:xMode val="edge"/>
          <c:yMode val="edge"/>
          <c:x val="0.16988604549431321"/>
          <c:y val="0.89010505073727109"/>
          <c:w val="0.76856124234470702"/>
          <c:h val="9.04302290680818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FA9A-94F5-4BA1-8F1A-12673D46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105683</Words>
  <Characters>602399</Characters>
  <Application>Microsoft Office Word</Application>
  <DocSecurity>0</DocSecurity>
  <Lines>5019</Lines>
  <Paragraphs>1413</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706669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 Claire</dc:creator>
  <cp:keywords/>
  <dc:description/>
  <cp:lastModifiedBy>Cipriano, K.</cp:lastModifiedBy>
  <cp:revision>2</cp:revision>
  <cp:lastPrinted>2019-01-10T11:05:00Z</cp:lastPrinted>
  <dcterms:created xsi:type="dcterms:W3CDTF">2019-03-06T11:57:00Z</dcterms:created>
  <dcterms:modified xsi:type="dcterms:W3CDTF">2019-03-06T11:57:00Z</dcterms:modified>
</cp:coreProperties>
</file>